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46306755" w14:textId="77777777">
      <w:pPr>
        <w:jc w:val="right"/>
        <w:rPr>
          <w:sz w:val="24"/>
        </w:rPr>
      </w:pPr>
    </w:p>
    <w:p w:rsidR="00013A8B" w:rsidRPr="00B20363" w:rsidP="00013A8B" w14:paraId="49F914D3" w14:textId="01C8250A">
      <w:pPr>
        <w:jc w:val="right"/>
        <w:rPr>
          <w:b/>
          <w:sz w:val="24"/>
        </w:rPr>
      </w:pPr>
      <w:r>
        <w:rPr>
          <w:b/>
          <w:sz w:val="24"/>
        </w:rPr>
        <w:t xml:space="preserve">DA </w:t>
      </w:r>
      <w:r w:rsidRPr="00D802DF" w:rsidR="00D802DF">
        <w:rPr>
          <w:b/>
          <w:sz w:val="24"/>
        </w:rPr>
        <w:t>21-450</w:t>
      </w:r>
    </w:p>
    <w:p w:rsidR="00013A8B" w:rsidRPr="00B20363" w:rsidP="00013A8B" w14:paraId="73A0C089" w14:textId="7ACFAC9E">
      <w:pPr>
        <w:spacing w:before="60"/>
        <w:jc w:val="right"/>
        <w:rPr>
          <w:b/>
          <w:sz w:val="24"/>
        </w:rPr>
      </w:pPr>
      <w:r>
        <w:rPr>
          <w:b/>
          <w:sz w:val="24"/>
        </w:rPr>
        <w:t>April 27, 2021</w:t>
      </w:r>
      <w:bookmarkStart w:id="0" w:name="_GoBack"/>
      <w:bookmarkEnd w:id="0"/>
    </w:p>
    <w:p w:rsidR="00013A8B" w:rsidP="00013A8B" w14:paraId="79073875" w14:textId="77777777">
      <w:pPr>
        <w:jc w:val="right"/>
        <w:rPr>
          <w:sz w:val="24"/>
        </w:rPr>
      </w:pPr>
    </w:p>
    <w:p w:rsidR="0070295C" w:rsidRPr="00E77405" w:rsidP="0070295C" w14:paraId="250DE7E7" w14:textId="3C41F948">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BUREAU </w:t>
      </w:r>
      <w:r w:rsidR="00620964">
        <w:rPr>
          <w:rFonts w:ascii="Times New Roman Bold" w:hAnsi="Times New Roman Bold"/>
          <w:b/>
          <w:caps/>
          <w:sz w:val="24"/>
        </w:rPr>
        <w:t>TO ACCEPT</w:t>
      </w:r>
      <w:r w:rsidR="00D032EE">
        <w:rPr>
          <w:rFonts w:ascii="Times New Roman Bold" w:hAnsi="Times New Roman Bold"/>
          <w:b/>
          <w:caps/>
          <w:sz w:val="24"/>
        </w:rPr>
        <w:t xml:space="preserve"> 900 mhz broadband segment applications</w:t>
      </w:r>
      <w:r w:rsidR="00866706">
        <w:rPr>
          <w:rFonts w:ascii="Times New Roman Bold" w:hAnsi="Times New Roman Bold"/>
          <w:b/>
          <w:caps/>
          <w:sz w:val="24"/>
        </w:rPr>
        <w:t xml:space="preserve"> </w:t>
      </w:r>
      <w:r w:rsidR="00620964">
        <w:rPr>
          <w:rFonts w:ascii="Times New Roman Bold" w:hAnsi="Times New Roman Bold"/>
          <w:b/>
          <w:caps/>
          <w:sz w:val="24"/>
        </w:rPr>
        <w:t>BEGINNING MAY 27, 2021</w:t>
      </w:r>
    </w:p>
    <w:p w:rsidR="0070295C" w:rsidP="00866706" w14:paraId="21864516" w14:textId="078F6405">
      <w:pPr>
        <w:jc w:val="center"/>
        <w:rPr>
          <w:b/>
          <w:sz w:val="24"/>
        </w:rPr>
      </w:pPr>
      <w:bookmarkStart w:id="1" w:name="TOChere"/>
      <w:r>
        <w:rPr>
          <w:b/>
          <w:sz w:val="24"/>
        </w:rPr>
        <w:t>WT</w:t>
      </w:r>
      <w:r w:rsidRPr="00E77405" w:rsidR="00D8692B">
        <w:rPr>
          <w:b/>
          <w:sz w:val="24"/>
        </w:rPr>
        <w:t xml:space="preserve"> Docket No. </w:t>
      </w:r>
      <w:r>
        <w:rPr>
          <w:b/>
          <w:sz w:val="24"/>
        </w:rPr>
        <w:t>17</w:t>
      </w:r>
      <w:r w:rsidR="00866706">
        <w:rPr>
          <w:b/>
          <w:sz w:val="24"/>
        </w:rPr>
        <w:t>-</w:t>
      </w:r>
      <w:r>
        <w:rPr>
          <w:b/>
          <w:sz w:val="24"/>
        </w:rPr>
        <w:t>200</w:t>
      </w:r>
    </w:p>
    <w:p w:rsidR="00866706" w:rsidRPr="00866706" w:rsidP="00866706" w14:paraId="3715315D" w14:textId="77777777">
      <w:pPr>
        <w:rPr>
          <w:bCs/>
          <w:szCs w:val="22"/>
        </w:rPr>
      </w:pPr>
    </w:p>
    <w:p w:rsidR="00D97F02" w:rsidRPr="00835001" w:rsidP="00CF563A" w14:paraId="4313847E" w14:textId="45265D9F">
      <w:pPr>
        <w:pStyle w:val="ParaNum"/>
        <w:numPr>
          <w:ilvl w:val="0"/>
          <w:numId w:val="0"/>
        </w:numPr>
        <w:ind w:firstLine="720"/>
        <w:rPr>
          <w:rFonts w:eastAsia="Calibri"/>
          <w:snapToGrid/>
          <w:kern w:val="0"/>
          <w:sz w:val="24"/>
          <w:szCs w:val="24"/>
        </w:rPr>
      </w:pPr>
      <w:r w:rsidRPr="00835001">
        <w:rPr>
          <w:bCs/>
          <w:sz w:val="24"/>
          <w:szCs w:val="24"/>
        </w:rPr>
        <w:t xml:space="preserve">By this </w:t>
      </w:r>
      <w:bookmarkEnd w:id="1"/>
      <w:r w:rsidRPr="00835001">
        <w:rPr>
          <w:rFonts w:eastAsia="Calibri"/>
          <w:i/>
          <w:snapToGrid/>
          <w:kern w:val="0"/>
          <w:sz w:val="24"/>
          <w:szCs w:val="24"/>
        </w:rPr>
        <w:t>Public Notice</w:t>
      </w:r>
      <w:r w:rsidRPr="00835001">
        <w:rPr>
          <w:rFonts w:eastAsia="Calibri"/>
          <w:snapToGrid/>
          <w:kern w:val="0"/>
          <w:sz w:val="24"/>
          <w:szCs w:val="24"/>
        </w:rPr>
        <w:t xml:space="preserve">, the Wireless Telecommunications Bureau </w:t>
      </w:r>
      <w:r w:rsidR="0072477F">
        <w:rPr>
          <w:rFonts w:eastAsia="Calibri"/>
          <w:snapToGrid/>
          <w:kern w:val="0"/>
          <w:sz w:val="24"/>
          <w:szCs w:val="24"/>
        </w:rPr>
        <w:t xml:space="preserve">(Bureau) </w:t>
      </w:r>
      <w:r w:rsidRPr="00835001">
        <w:rPr>
          <w:rFonts w:eastAsia="Calibri"/>
          <w:snapToGrid/>
          <w:kern w:val="0"/>
          <w:sz w:val="24"/>
          <w:szCs w:val="24"/>
        </w:rPr>
        <w:t>announce</w:t>
      </w:r>
      <w:r w:rsidR="002307D3">
        <w:rPr>
          <w:rFonts w:eastAsia="Calibri"/>
          <w:snapToGrid/>
          <w:kern w:val="0"/>
          <w:sz w:val="24"/>
          <w:szCs w:val="24"/>
        </w:rPr>
        <w:t>s</w:t>
      </w:r>
      <w:r w:rsidRPr="00835001">
        <w:rPr>
          <w:rFonts w:eastAsia="Calibri"/>
          <w:snapToGrid/>
          <w:kern w:val="0"/>
          <w:sz w:val="24"/>
          <w:szCs w:val="24"/>
        </w:rPr>
        <w:t xml:space="preserve"> </w:t>
      </w:r>
      <w:r w:rsidR="00620964">
        <w:rPr>
          <w:rFonts w:eastAsia="Calibri"/>
          <w:snapToGrid/>
          <w:kern w:val="0"/>
          <w:sz w:val="24"/>
          <w:szCs w:val="24"/>
        </w:rPr>
        <w:t>that it will begin accepting</w:t>
      </w:r>
      <w:r w:rsidR="00D032EE">
        <w:rPr>
          <w:rFonts w:eastAsia="Calibri"/>
          <w:snapToGrid/>
          <w:kern w:val="0"/>
          <w:sz w:val="24"/>
          <w:szCs w:val="24"/>
        </w:rPr>
        <w:t xml:space="preserve"> 900 MHz </w:t>
      </w:r>
      <w:r w:rsidR="00D92E08">
        <w:rPr>
          <w:rFonts w:eastAsia="Calibri"/>
          <w:snapToGrid/>
          <w:kern w:val="0"/>
          <w:sz w:val="24"/>
          <w:szCs w:val="24"/>
        </w:rPr>
        <w:t>b</w:t>
      </w:r>
      <w:r w:rsidR="00D032EE">
        <w:rPr>
          <w:rFonts w:eastAsia="Calibri"/>
          <w:snapToGrid/>
          <w:kern w:val="0"/>
          <w:sz w:val="24"/>
          <w:szCs w:val="24"/>
        </w:rPr>
        <w:t xml:space="preserve">roadband segment </w:t>
      </w:r>
      <w:r w:rsidR="001A60BA">
        <w:rPr>
          <w:rFonts w:eastAsia="Calibri"/>
          <w:snapToGrid/>
          <w:kern w:val="0"/>
          <w:sz w:val="24"/>
          <w:szCs w:val="24"/>
        </w:rPr>
        <w:t>applica</w:t>
      </w:r>
      <w:r w:rsidR="004E0A0C">
        <w:rPr>
          <w:rFonts w:eastAsia="Calibri"/>
          <w:snapToGrid/>
          <w:kern w:val="0"/>
          <w:sz w:val="24"/>
          <w:szCs w:val="24"/>
        </w:rPr>
        <w:t>tions</w:t>
      </w:r>
      <w:r w:rsidR="0072477F">
        <w:rPr>
          <w:rFonts w:eastAsia="Calibri"/>
          <w:snapToGrid/>
          <w:kern w:val="0"/>
          <w:sz w:val="24"/>
          <w:szCs w:val="24"/>
        </w:rPr>
        <w:t>,</w:t>
      </w:r>
      <w:r w:rsidRPr="004E0A0C" w:rsidR="004E0A0C">
        <w:rPr>
          <w:rFonts w:eastAsia="Calibri"/>
          <w:snapToGrid/>
          <w:kern w:val="0"/>
          <w:sz w:val="24"/>
          <w:szCs w:val="24"/>
        </w:rPr>
        <w:t xml:space="preserve"> </w:t>
      </w:r>
      <w:r w:rsidR="004E0A0C">
        <w:rPr>
          <w:rFonts w:eastAsia="Calibri"/>
          <w:snapToGrid/>
          <w:kern w:val="0"/>
          <w:sz w:val="24"/>
          <w:szCs w:val="24"/>
        </w:rPr>
        <w:t xml:space="preserve">and </w:t>
      </w:r>
      <w:r w:rsidR="0072477F">
        <w:rPr>
          <w:rFonts w:eastAsia="Calibri"/>
          <w:snapToGrid/>
          <w:kern w:val="0"/>
          <w:sz w:val="24"/>
          <w:szCs w:val="24"/>
        </w:rPr>
        <w:t xml:space="preserve">it </w:t>
      </w:r>
      <w:r w:rsidR="004E0A0C">
        <w:rPr>
          <w:rFonts w:eastAsia="Calibri"/>
          <w:snapToGrid/>
          <w:kern w:val="0"/>
          <w:sz w:val="24"/>
          <w:szCs w:val="24"/>
        </w:rPr>
        <w:t xml:space="preserve">details </w:t>
      </w:r>
      <w:r w:rsidRPr="004E0A0C" w:rsidR="004E0A0C">
        <w:rPr>
          <w:rFonts w:eastAsia="Calibri"/>
          <w:snapToGrid/>
          <w:kern w:val="0"/>
          <w:sz w:val="24"/>
          <w:szCs w:val="24"/>
        </w:rPr>
        <w:t xml:space="preserve">the information </w:t>
      </w:r>
      <w:r w:rsidR="0072477F">
        <w:rPr>
          <w:rFonts w:eastAsia="Calibri"/>
          <w:snapToGrid/>
          <w:kern w:val="0"/>
          <w:sz w:val="24"/>
          <w:szCs w:val="24"/>
        </w:rPr>
        <w:t xml:space="preserve">that </w:t>
      </w:r>
      <w:r w:rsidRPr="004E0A0C" w:rsidR="004E0A0C">
        <w:rPr>
          <w:rFonts w:eastAsia="Calibri"/>
          <w:snapToGrid/>
          <w:kern w:val="0"/>
          <w:sz w:val="24"/>
          <w:szCs w:val="24"/>
        </w:rPr>
        <w:t xml:space="preserve">applicants must include in their </w:t>
      </w:r>
      <w:r w:rsidR="004E0A0C">
        <w:rPr>
          <w:rFonts w:eastAsia="Calibri"/>
          <w:snapToGrid/>
          <w:kern w:val="0"/>
          <w:sz w:val="24"/>
          <w:szCs w:val="24"/>
        </w:rPr>
        <w:t xml:space="preserve">applications, as well as </w:t>
      </w:r>
      <w:r w:rsidRPr="004E0A0C" w:rsidR="004E0A0C">
        <w:rPr>
          <w:rFonts w:eastAsia="Calibri"/>
          <w:snapToGrid/>
          <w:kern w:val="0"/>
          <w:sz w:val="24"/>
          <w:szCs w:val="24"/>
        </w:rPr>
        <w:t>the procedures for submitting such materials</w:t>
      </w:r>
      <w:r w:rsidRPr="00835001" w:rsidR="00E3635C">
        <w:rPr>
          <w:rFonts w:eastAsia="Calibri"/>
          <w:snapToGrid/>
          <w:kern w:val="0"/>
          <w:sz w:val="24"/>
          <w:szCs w:val="24"/>
        </w:rPr>
        <w:t>.</w:t>
      </w:r>
      <w:r w:rsidRPr="00835001" w:rsidR="00CF563A">
        <w:rPr>
          <w:rFonts w:eastAsia="Calibri"/>
          <w:snapToGrid/>
          <w:kern w:val="0"/>
          <w:sz w:val="24"/>
          <w:szCs w:val="24"/>
        </w:rPr>
        <w:t xml:space="preserve">  </w:t>
      </w:r>
    </w:p>
    <w:p w:rsidR="00D32738" w:rsidP="002307D3" w14:paraId="03DF65C4" w14:textId="46E0E629">
      <w:pPr>
        <w:pStyle w:val="ParaNum"/>
        <w:numPr>
          <w:ilvl w:val="0"/>
          <w:numId w:val="0"/>
        </w:numPr>
        <w:ind w:firstLine="720"/>
        <w:rPr>
          <w:sz w:val="24"/>
          <w:szCs w:val="24"/>
        </w:rPr>
      </w:pPr>
      <w:r w:rsidRPr="001F5CCE">
        <w:rPr>
          <w:rFonts w:eastAsia="Calibri"/>
          <w:snapToGrid/>
          <w:kern w:val="0"/>
          <w:sz w:val="24"/>
          <w:szCs w:val="24"/>
        </w:rPr>
        <w:t xml:space="preserve">On </w:t>
      </w:r>
      <w:r w:rsidRPr="001F5CCE" w:rsidR="002307D3">
        <w:rPr>
          <w:rFonts w:eastAsia="Calibri"/>
          <w:snapToGrid/>
          <w:kern w:val="0"/>
          <w:sz w:val="24"/>
          <w:szCs w:val="24"/>
        </w:rPr>
        <w:t>May 13, 2020</w:t>
      </w:r>
      <w:r w:rsidRPr="001F5CCE">
        <w:rPr>
          <w:rFonts w:eastAsia="Calibri"/>
          <w:snapToGrid/>
          <w:kern w:val="0"/>
          <w:sz w:val="24"/>
          <w:szCs w:val="24"/>
        </w:rPr>
        <w:t xml:space="preserve">, the Commission </w:t>
      </w:r>
      <w:r w:rsidRPr="001F5CCE" w:rsidR="00FB4D2B">
        <w:rPr>
          <w:rFonts w:eastAsia="Calibri"/>
          <w:snapToGrid/>
          <w:kern w:val="0"/>
          <w:sz w:val="24"/>
          <w:szCs w:val="24"/>
        </w:rPr>
        <w:t xml:space="preserve">realigned the 900 MHz </w:t>
      </w:r>
      <w:r w:rsidRPr="001F5CCE" w:rsidR="001A60BA">
        <w:rPr>
          <w:rFonts w:eastAsia="Calibri"/>
          <w:snapToGrid/>
          <w:kern w:val="0"/>
          <w:sz w:val="24"/>
          <w:szCs w:val="24"/>
        </w:rPr>
        <w:t xml:space="preserve">band to </w:t>
      </w:r>
      <w:r w:rsidRPr="00B306BD" w:rsidR="00FB4D2B">
        <w:rPr>
          <w:rFonts w:eastAsia="Calibri"/>
          <w:snapToGrid/>
          <w:kern w:val="0"/>
          <w:sz w:val="24"/>
          <w:szCs w:val="24"/>
        </w:rPr>
        <w:t xml:space="preserve">make </w:t>
      </w:r>
      <w:r w:rsidRPr="00B306BD">
        <w:rPr>
          <w:rFonts w:eastAsia="Calibri"/>
          <w:snapToGrid/>
          <w:kern w:val="0"/>
          <w:sz w:val="24"/>
          <w:szCs w:val="24"/>
        </w:rPr>
        <w:t xml:space="preserve">available </w:t>
      </w:r>
      <w:r w:rsidRPr="003E5ABD" w:rsidR="00FB4D2B">
        <w:rPr>
          <w:rFonts w:eastAsia="Calibri"/>
          <w:snapToGrid/>
          <w:kern w:val="0"/>
          <w:sz w:val="24"/>
          <w:szCs w:val="24"/>
        </w:rPr>
        <w:t>six megahertz of low-band spectrum for the development of critical wireless broadband technologies and services</w:t>
      </w:r>
      <w:r w:rsidRPr="001F5CCE" w:rsidR="001A60BA">
        <w:rPr>
          <w:sz w:val="24"/>
          <w:szCs w:val="24"/>
        </w:rPr>
        <w:t>,</w:t>
      </w:r>
      <w:r w:rsidRPr="001F5CCE" w:rsidR="00FB4D2B">
        <w:rPr>
          <w:sz w:val="24"/>
          <w:szCs w:val="24"/>
        </w:rPr>
        <w:t xml:space="preserve"> while reserving the remaining four megahertz of spectrum for continued narrowband operations</w:t>
      </w:r>
      <w:r w:rsidRPr="00835001" w:rsidR="0079298E">
        <w:rPr>
          <w:sz w:val="24"/>
          <w:szCs w:val="24"/>
        </w:rPr>
        <w:t>.</w:t>
      </w:r>
      <w:r>
        <w:rPr>
          <w:rStyle w:val="FootnoteReference"/>
          <w:sz w:val="24"/>
          <w:szCs w:val="24"/>
        </w:rPr>
        <w:footnoteReference w:id="3"/>
      </w:r>
      <w:r w:rsidRPr="00835001" w:rsidR="0079298E">
        <w:rPr>
          <w:sz w:val="24"/>
          <w:szCs w:val="24"/>
        </w:rPr>
        <w:t xml:space="preserve">  </w:t>
      </w:r>
      <w:r w:rsidRPr="00D32738">
        <w:rPr>
          <w:sz w:val="24"/>
          <w:szCs w:val="24"/>
        </w:rPr>
        <w:t xml:space="preserve">This transition </w:t>
      </w:r>
      <w:r>
        <w:rPr>
          <w:sz w:val="24"/>
          <w:szCs w:val="24"/>
        </w:rPr>
        <w:t xml:space="preserve">of this band </w:t>
      </w:r>
      <w:r w:rsidRPr="00D32738">
        <w:rPr>
          <w:sz w:val="24"/>
          <w:szCs w:val="24"/>
        </w:rPr>
        <w:t xml:space="preserve">will enable next generation, mission-critical applications not available via current narrowband systems and </w:t>
      </w:r>
      <w:r w:rsidR="0072477F">
        <w:rPr>
          <w:sz w:val="24"/>
          <w:szCs w:val="24"/>
        </w:rPr>
        <w:t xml:space="preserve">will </w:t>
      </w:r>
      <w:r w:rsidRPr="00D32738">
        <w:rPr>
          <w:sz w:val="24"/>
          <w:szCs w:val="24"/>
        </w:rPr>
        <w:t xml:space="preserve">help </w:t>
      </w:r>
      <w:r w:rsidR="0072477F">
        <w:rPr>
          <w:sz w:val="24"/>
          <w:szCs w:val="24"/>
        </w:rPr>
        <w:t xml:space="preserve">to </w:t>
      </w:r>
      <w:r w:rsidRPr="00D32738">
        <w:rPr>
          <w:sz w:val="24"/>
          <w:szCs w:val="24"/>
        </w:rPr>
        <w:t>meet the evolving technological needs of industries that provide crucial services to the American public</w:t>
      </w:r>
      <w:r>
        <w:rPr>
          <w:sz w:val="24"/>
          <w:szCs w:val="24"/>
        </w:rPr>
        <w:t>.</w:t>
      </w:r>
      <w:r w:rsidR="00410292">
        <w:rPr>
          <w:sz w:val="24"/>
          <w:szCs w:val="24"/>
        </w:rPr>
        <w:t xml:space="preserve"> </w:t>
      </w:r>
      <w:r>
        <w:rPr>
          <w:sz w:val="24"/>
          <w:szCs w:val="24"/>
        </w:rPr>
        <w:t xml:space="preserve"> </w:t>
      </w:r>
      <w:r w:rsidRPr="001465FB" w:rsidR="004A58F4">
        <w:rPr>
          <w:rFonts w:eastAsia="Calibri"/>
          <w:snapToGrid/>
          <w:kern w:val="0"/>
          <w:sz w:val="24"/>
          <w:szCs w:val="24"/>
        </w:rPr>
        <w:t xml:space="preserve">The new </w:t>
      </w:r>
      <w:r w:rsidRPr="001A60BA" w:rsidR="004A58F4">
        <w:rPr>
          <w:rFonts w:eastAsia="Calibri"/>
          <w:snapToGrid/>
          <w:kern w:val="0"/>
          <w:sz w:val="24"/>
          <w:szCs w:val="24"/>
        </w:rPr>
        <w:t xml:space="preserve">897.5-900.5/936.5-939.5 MHz 900 MHz </w:t>
      </w:r>
      <w:r w:rsidR="00D92E08">
        <w:rPr>
          <w:rFonts w:eastAsia="Calibri"/>
          <w:snapToGrid/>
          <w:kern w:val="0"/>
          <w:sz w:val="24"/>
          <w:szCs w:val="24"/>
        </w:rPr>
        <w:t>b</w:t>
      </w:r>
      <w:r w:rsidRPr="001A60BA" w:rsidR="004A58F4">
        <w:rPr>
          <w:rFonts w:eastAsia="Calibri"/>
          <w:snapToGrid/>
          <w:kern w:val="0"/>
          <w:sz w:val="24"/>
          <w:szCs w:val="24"/>
        </w:rPr>
        <w:t>roadband segment consist</w:t>
      </w:r>
      <w:r w:rsidR="004A58F4">
        <w:rPr>
          <w:rFonts w:eastAsia="Calibri"/>
          <w:snapToGrid/>
          <w:kern w:val="0"/>
          <w:sz w:val="24"/>
          <w:szCs w:val="24"/>
        </w:rPr>
        <w:t xml:space="preserve">s </w:t>
      </w:r>
      <w:r w:rsidRPr="001A60BA" w:rsidR="004A58F4">
        <w:rPr>
          <w:rFonts w:eastAsia="Calibri"/>
          <w:snapToGrid/>
          <w:kern w:val="0"/>
          <w:sz w:val="24"/>
          <w:szCs w:val="24"/>
        </w:rPr>
        <w:t xml:space="preserve">of </w:t>
      </w:r>
      <w:r w:rsidR="00620964">
        <w:rPr>
          <w:rFonts w:eastAsia="Calibri"/>
          <w:snapToGrid/>
          <w:kern w:val="0"/>
          <w:sz w:val="24"/>
          <w:szCs w:val="24"/>
        </w:rPr>
        <w:t xml:space="preserve">paired three megahertz blocks, for </w:t>
      </w:r>
      <w:r w:rsidR="005F09A1">
        <w:rPr>
          <w:rFonts w:eastAsia="Calibri"/>
          <w:snapToGrid/>
          <w:kern w:val="0"/>
          <w:sz w:val="24"/>
          <w:szCs w:val="24"/>
        </w:rPr>
        <w:t xml:space="preserve">a </w:t>
      </w:r>
      <w:r w:rsidR="00620964">
        <w:rPr>
          <w:rFonts w:eastAsia="Calibri"/>
          <w:snapToGrid/>
          <w:kern w:val="0"/>
          <w:sz w:val="24"/>
          <w:szCs w:val="24"/>
        </w:rPr>
        <w:t xml:space="preserve">total of </w:t>
      </w:r>
      <w:r w:rsidR="005F09A1">
        <w:rPr>
          <w:rFonts w:eastAsia="Calibri"/>
          <w:snapToGrid/>
          <w:kern w:val="0"/>
          <w:sz w:val="24"/>
          <w:szCs w:val="24"/>
        </w:rPr>
        <w:t xml:space="preserve">six </w:t>
      </w:r>
      <w:r w:rsidRPr="001A60BA" w:rsidR="00B7656B">
        <w:rPr>
          <w:rFonts w:eastAsia="Calibri"/>
          <w:snapToGrid/>
          <w:kern w:val="0"/>
          <w:sz w:val="24"/>
          <w:szCs w:val="24"/>
        </w:rPr>
        <w:t>megahertz</w:t>
      </w:r>
      <w:r w:rsidR="00912D2C">
        <w:rPr>
          <w:rFonts w:eastAsia="Calibri"/>
          <w:snapToGrid/>
          <w:kern w:val="0"/>
          <w:sz w:val="24"/>
          <w:szCs w:val="24"/>
        </w:rPr>
        <w:t xml:space="preserve"> of spectrum</w:t>
      </w:r>
      <w:r w:rsidR="005D2712">
        <w:rPr>
          <w:rFonts w:eastAsia="Calibri"/>
          <w:snapToGrid/>
          <w:kern w:val="0"/>
          <w:sz w:val="24"/>
          <w:szCs w:val="24"/>
        </w:rPr>
        <w:t>,</w:t>
      </w:r>
      <w:r>
        <w:rPr>
          <w:rStyle w:val="FootnoteReference"/>
          <w:rFonts w:eastAsia="Calibri"/>
          <w:snapToGrid/>
          <w:kern w:val="0"/>
          <w:szCs w:val="24"/>
        </w:rPr>
        <w:footnoteReference w:id="4"/>
      </w:r>
      <w:r w:rsidR="00620964">
        <w:rPr>
          <w:rFonts w:eastAsia="Calibri"/>
          <w:snapToGrid/>
          <w:kern w:val="0"/>
          <w:sz w:val="24"/>
          <w:szCs w:val="24"/>
        </w:rPr>
        <w:t xml:space="preserve"> </w:t>
      </w:r>
      <w:r w:rsidR="004A58F4">
        <w:rPr>
          <w:rFonts w:eastAsia="Calibri"/>
          <w:snapToGrid/>
          <w:kern w:val="0"/>
          <w:sz w:val="24"/>
          <w:szCs w:val="24"/>
        </w:rPr>
        <w:t>and will be licensed on a geo</w:t>
      </w:r>
      <w:r w:rsidR="004A58F4">
        <w:rPr>
          <w:sz w:val="24"/>
          <w:szCs w:val="24"/>
        </w:rPr>
        <w:t>graphic,</w:t>
      </w:r>
      <w:r w:rsidR="004A58F4">
        <w:rPr>
          <w:rFonts w:eastAsia="Calibri"/>
          <w:snapToGrid/>
          <w:kern w:val="0"/>
          <w:sz w:val="24"/>
          <w:szCs w:val="24"/>
        </w:rPr>
        <w:t xml:space="preserve"> per county basis.</w:t>
      </w:r>
      <w:r>
        <w:rPr>
          <w:rStyle w:val="FootnoteReference"/>
          <w:rFonts w:eastAsia="Calibri"/>
          <w:snapToGrid/>
          <w:kern w:val="0"/>
          <w:szCs w:val="24"/>
        </w:rPr>
        <w:footnoteReference w:id="5"/>
      </w:r>
      <w:r w:rsidRPr="001465FB" w:rsidR="004A58F4">
        <w:rPr>
          <w:rFonts w:eastAsia="Calibri"/>
          <w:snapToGrid/>
          <w:kern w:val="0"/>
          <w:sz w:val="24"/>
          <w:szCs w:val="24"/>
        </w:rPr>
        <w:t xml:space="preserve">  </w:t>
      </w:r>
    </w:p>
    <w:p w:rsidR="00FB4D2B" w:rsidRPr="00835001" w:rsidP="002307D3" w14:paraId="27CB63D4" w14:textId="5041F407">
      <w:pPr>
        <w:pStyle w:val="ParaNum"/>
        <w:numPr>
          <w:ilvl w:val="0"/>
          <w:numId w:val="0"/>
        </w:numPr>
        <w:ind w:firstLine="720"/>
        <w:rPr>
          <w:rFonts w:eastAsia="Calibri"/>
          <w:snapToGrid/>
          <w:kern w:val="0"/>
          <w:sz w:val="24"/>
          <w:szCs w:val="24"/>
        </w:rPr>
      </w:pPr>
      <w:r>
        <w:rPr>
          <w:sz w:val="24"/>
          <w:szCs w:val="24"/>
        </w:rPr>
        <w:t>In accordance</w:t>
      </w:r>
      <w:r>
        <w:rPr>
          <w:sz w:val="24"/>
          <w:szCs w:val="24"/>
        </w:rPr>
        <w:t xml:space="preserve"> with the </w:t>
      </w:r>
      <w:r w:rsidRPr="00D60D75" w:rsidR="00D60D75">
        <w:rPr>
          <w:i/>
          <w:iCs/>
          <w:sz w:val="24"/>
          <w:szCs w:val="24"/>
        </w:rPr>
        <w:t>900 MHz Report and Order</w:t>
      </w:r>
      <w:r>
        <w:rPr>
          <w:sz w:val="24"/>
          <w:szCs w:val="24"/>
        </w:rPr>
        <w:t>,</w:t>
      </w:r>
      <w:r>
        <w:rPr>
          <w:rStyle w:val="FootnoteReference"/>
          <w:szCs w:val="24"/>
        </w:rPr>
        <w:footnoteReference w:id="6"/>
      </w:r>
      <w:r>
        <w:rPr>
          <w:sz w:val="24"/>
          <w:szCs w:val="24"/>
        </w:rPr>
        <w:t xml:space="preserve"> the Bureau announces</w:t>
      </w:r>
      <w:r>
        <w:rPr>
          <w:sz w:val="24"/>
          <w:szCs w:val="24"/>
        </w:rPr>
        <w:t xml:space="preserve"> that</w:t>
      </w:r>
      <w:r>
        <w:rPr>
          <w:sz w:val="24"/>
          <w:szCs w:val="24"/>
        </w:rPr>
        <w:t xml:space="preserve"> the </w:t>
      </w:r>
      <w:r w:rsidR="00620964">
        <w:rPr>
          <w:sz w:val="24"/>
          <w:szCs w:val="24"/>
        </w:rPr>
        <w:t>opening date</w:t>
      </w:r>
      <w:r>
        <w:rPr>
          <w:sz w:val="24"/>
          <w:szCs w:val="24"/>
        </w:rPr>
        <w:t xml:space="preserve"> </w:t>
      </w:r>
      <w:r w:rsidR="00D60D75">
        <w:rPr>
          <w:sz w:val="24"/>
          <w:szCs w:val="24"/>
        </w:rPr>
        <w:t xml:space="preserve">for </w:t>
      </w:r>
      <w:r w:rsidR="00A51D1D">
        <w:rPr>
          <w:sz w:val="24"/>
          <w:szCs w:val="24"/>
        </w:rPr>
        <w:t xml:space="preserve">acceptance of </w:t>
      </w:r>
      <w:r>
        <w:rPr>
          <w:sz w:val="24"/>
          <w:szCs w:val="24"/>
        </w:rPr>
        <w:t xml:space="preserve">900 MHz </w:t>
      </w:r>
      <w:r w:rsidR="00D92E08">
        <w:rPr>
          <w:sz w:val="24"/>
          <w:szCs w:val="24"/>
        </w:rPr>
        <w:t>b</w:t>
      </w:r>
      <w:r>
        <w:rPr>
          <w:sz w:val="24"/>
          <w:szCs w:val="24"/>
        </w:rPr>
        <w:t xml:space="preserve">roadband </w:t>
      </w:r>
      <w:r w:rsidR="001A60BA">
        <w:rPr>
          <w:sz w:val="24"/>
          <w:szCs w:val="24"/>
        </w:rPr>
        <w:t xml:space="preserve">segment </w:t>
      </w:r>
      <w:r>
        <w:rPr>
          <w:sz w:val="24"/>
          <w:szCs w:val="24"/>
        </w:rPr>
        <w:t xml:space="preserve">applications will </w:t>
      </w:r>
      <w:r w:rsidR="00620964">
        <w:rPr>
          <w:sz w:val="24"/>
          <w:szCs w:val="24"/>
        </w:rPr>
        <w:t xml:space="preserve">be </w:t>
      </w:r>
      <w:r>
        <w:rPr>
          <w:sz w:val="24"/>
          <w:szCs w:val="24"/>
        </w:rPr>
        <w:t xml:space="preserve">on </w:t>
      </w:r>
      <w:r w:rsidRPr="00045C6A">
        <w:rPr>
          <w:b/>
          <w:bCs/>
          <w:sz w:val="24"/>
          <w:szCs w:val="24"/>
        </w:rPr>
        <w:t>May 27, 2021</w:t>
      </w:r>
      <w:r>
        <w:rPr>
          <w:sz w:val="24"/>
          <w:szCs w:val="24"/>
        </w:rPr>
        <w:t>.</w:t>
      </w:r>
      <w:r w:rsidRPr="00835001" w:rsidR="00D802DF">
        <w:rPr>
          <w:rFonts w:eastAsia="Calibri"/>
          <w:snapToGrid/>
          <w:kern w:val="0"/>
          <w:sz w:val="24"/>
          <w:szCs w:val="24"/>
        </w:rPr>
        <w:t xml:space="preserve"> </w:t>
      </w:r>
    </w:p>
    <w:p w:rsidR="00312D5C" w:rsidP="004A58F4" w14:paraId="723E32F1" w14:textId="0BAC20A2">
      <w:pPr>
        <w:pStyle w:val="ParaNum"/>
        <w:numPr>
          <w:ilvl w:val="0"/>
          <w:numId w:val="0"/>
        </w:numPr>
        <w:ind w:firstLine="720"/>
        <w:rPr>
          <w:rFonts w:eastAsia="Calibri"/>
          <w:snapToGrid/>
          <w:kern w:val="0"/>
          <w:sz w:val="24"/>
          <w:szCs w:val="24"/>
        </w:rPr>
      </w:pPr>
      <w:r>
        <w:rPr>
          <w:rFonts w:eastAsia="Calibri"/>
          <w:snapToGrid/>
          <w:kern w:val="0"/>
          <w:sz w:val="24"/>
          <w:szCs w:val="24"/>
        </w:rPr>
        <w:t xml:space="preserve">All </w:t>
      </w:r>
      <w:r w:rsidR="004A58F4">
        <w:rPr>
          <w:rFonts w:eastAsia="Calibri"/>
          <w:snapToGrid/>
          <w:kern w:val="0"/>
          <w:sz w:val="24"/>
          <w:szCs w:val="24"/>
        </w:rPr>
        <w:t xml:space="preserve">900 MHz </w:t>
      </w:r>
      <w:r w:rsidR="00D92E08">
        <w:rPr>
          <w:rFonts w:eastAsia="Calibri"/>
          <w:snapToGrid/>
          <w:kern w:val="0"/>
          <w:sz w:val="24"/>
          <w:szCs w:val="24"/>
        </w:rPr>
        <w:t>b</w:t>
      </w:r>
      <w:r w:rsidRPr="00CD14A6">
        <w:rPr>
          <w:rFonts w:eastAsia="Calibri"/>
          <w:snapToGrid/>
          <w:kern w:val="0"/>
          <w:sz w:val="24"/>
          <w:szCs w:val="24"/>
        </w:rPr>
        <w:t xml:space="preserve">roadband </w:t>
      </w:r>
      <w:r>
        <w:rPr>
          <w:rFonts w:eastAsia="Calibri"/>
          <w:snapToGrid/>
          <w:kern w:val="0"/>
          <w:sz w:val="24"/>
          <w:szCs w:val="24"/>
        </w:rPr>
        <w:t xml:space="preserve">segment applicants </w:t>
      </w:r>
      <w:r w:rsidR="00D60CFD">
        <w:rPr>
          <w:rFonts w:eastAsia="Calibri"/>
          <w:snapToGrid/>
          <w:kern w:val="0"/>
          <w:sz w:val="24"/>
          <w:szCs w:val="24"/>
        </w:rPr>
        <w:t>must</w:t>
      </w:r>
      <w:r w:rsidRPr="00CD14A6">
        <w:rPr>
          <w:rFonts w:eastAsia="Calibri"/>
          <w:snapToGrid/>
          <w:kern w:val="0"/>
          <w:sz w:val="24"/>
          <w:szCs w:val="24"/>
        </w:rPr>
        <w:t xml:space="preserve"> demonstrate</w:t>
      </w:r>
      <w:r>
        <w:rPr>
          <w:rFonts w:eastAsia="Calibri"/>
          <w:snapToGrid/>
          <w:kern w:val="0"/>
          <w:sz w:val="24"/>
          <w:szCs w:val="24"/>
        </w:rPr>
        <w:t xml:space="preserve"> in their overall application that they</w:t>
      </w:r>
      <w:r w:rsidRPr="00CD14A6">
        <w:rPr>
          <w:rFonts w:eastAsia="Calibri"/>
          <w:snapToGrid/>
          <w:kern w:val="0"/>
          <w:sz w:val="24"/>
          <w:szCs w:val="24"/>
        </w:rPr>
        <w:t xml:space="preserve"> satisf</w:t>
      </w:r>
      <w:r>
        <w:rPr>
          <w:rFonts w:eastAsia="Calibri"/>
          <w:snapToGrid/>
          <w:kern w:val="0"/>
          <w:sz w:val="24"/>
          <w:szCs w:val="24"/>
        </w:rPr>
        <w:t>y</w:t>
      </w:r>
      <w:r w:rsidRPr="00CD14A6">
        <w:rPr>
          <w:rFonts w:eastAsia="Calibri"/>
          <w:snapToGrid/>
          <w:kern w:val="0"/>
          <w:sz w:val="24"/>
          <w:szCs w:val="24"/>
        </w:rPr>
        <w:t xml:space="preserve"> the eligibility conditions (Eligibility Certification) and submit a plan for </w:t>
      </w:r>
      <w:r w:rsidRPr="00CD14A6">
        <w:rPr>
          <w:rFonts w:eastAsia="Calibri"/>
          <w:snapToGrid/>
          <w:kern w:val="0"/>
          <w:sz w:val="24"/>
          <w:szCs w:val="24"/>
        </w:rPr>
        <w:t xml:space="preserve">transitioning the 900 MHz band in </w:t>
      </w:r>
      <w:r w:rsidR="00A51D1D">
        <w:rPr>
          <w:rFonts w:eastAsia="Calibri"/>
          <w:snapToGrid/>
          <w:kern w:val="0"/>
          <w:sz w:val="24"/>
          <w:szCs w:val="24"/>
        </w:rPr>
        <w:t>the</w:t>
      </w:r>
      <w:r w:rsidRPr="00CD14A6">
        <w:rPr>
          <w:rFonts w:eastAsia="Calibri"/>
          <w:snapToGrid/>
          <w:kern w:val="0"/>
          <w:sz w:val="24"/>
          <w:szCs w:val="24"/>
        </w:rPr>
        <w:t xml:space="preserve"> particular county</w:t>
      </w:r>
      <w:r w:rsidR="00A51D1D">
        <w:rPr>
          <w:rFonts w:eastAsia="Calibri"/>
          <w:snapToGrid/>
          <w:kern w:val="0"/>
          <w:sz w:val="24"/>
          <w:szCs w:val="24"/>
        </w:rPr>
        <w:t xml:space="preserve"> requested</w:t>
      </w:r>
      <w:r w:rsidRPr="00CD14A6">
        <w:rPr>
          <w:rFonts w:eastAsia="Calibri"/>
          <w:snapToGrid/>
          <w:kern w:val="0"/>
          <w:sz w:val="24"/>
          <w:szCs w:val="24"/>
        </w:rPr>
        <w:t xml:space="preserve"> (Transition Plan).</w:t>
      </w:r>
      <w:r>
        <w:rPr>
          <w:rStyle w:val="FootnoteReference"/>
          <w:rFonts w:eastAsia="Calibri"/>
          <w:snapToGrid/>
          <w:kern w:val="0"/>
          <w:szCs w:val="24"/>
        </w:rPr>
        <w:footnoteReference w:id="7"/>
      </w:r>
      <w:r w:rsidRPr="00CD14A6">
        <w:rPr>
          <w:rFonts w:eastAsia="Calibri"/>
          <w:snapToGrid/>
          <w:kern w:val="0"/>
          <w:sz w:val="24"/>
          <w:szCs w:val="24"/>
        </w:rPr>
        <w:t xml:space="preserve">  </w:t>
      </w:r>
      <w:r w:rsidRPr="00D032EE" w:rsidR="00D032EE">
        <w:rPr>
          <w:rFonts w:eastAsia="Calibri"/>
          <w:snapToGrid/>
          <w:kern w:val="0"/>
          <w:sz w:val="24"/>
          <w:szCs w:val="24"/>
        </w:rPr>
        <w:t xml:space="preserve">The applicant </w:t>
      </w:r>
      <w:r w:rsidR="00D60CFD">
        <w:rPr>
          <w:rFonts w:eastAsia="Calibri"/>
          <w:snapToGrid/>
          <w:kern w:val="0"/>
          <w:sz w:val="24"/>
          <w:szCs w:val="24"/>
        </w:rPr>
        <w:t>must also</w:t>
      </w:r>
      <w:r w:rsidRPr="00D032EE" w:rsidR="00D032EE">
        <w:rPr>
          <w:rFonts w:eastAsia="Calibri"/>
          <w:snapToGrid/>
          <w:kern w:val="0"/>
          <w:sz w:val="24"/>
          <w:szCs w:val="24"/>
        </w:rPr>
        <w:t xml:space="preserve"> file, within 15 days of filing its </w:t>
      </w:r>
      <w:r w:rsidR="00A51D1D">
        <w:rPr>
          <w:rFonts w:eastAsia="Calibri"/>
          <w:snapToGrid/>
          <w:kern w:val="0"/>
          <w:sz w:val="24"/>
          <w:szCs w:val="24"/>
        </w:rPr>
        <w:t xml:space="preserve">900 MHz </w:t>
      </w:r>
      <w:r w:rsidRPr="00D032EE" w:rsidR="00D032EE">
        <w:rPr>
          <w:rFonts w:eastAsia="Calibri"/>
          <w:snapToGrid/>
          <w:kern w:val="0"/>
          <w:sz w:val="24"/>
          <w:szCs w:val="24"/>
        </w:rPr>
        <w:t xml:space="preserve">broadband license application, an application(s) to cancel all of its 900 MHz SMR and B/ILT spectrum, up to six megahertz, </w:t>
      </w:r>
      <w:r w:rsidR="00EF0C9B">
        <w:rPr>
          <w:rFonts w:eastAsia="Calibri"/>
          <w:snapToGrid/>
          <w:kern w:val="0"/>
          <w:sz w:val="24"/>
          <w:szCs w:val="24"/>
        </w:rPr>
        <w:t xml:space="preserve">for the county in which it seeks a broadband license, </w:t>
      </w:r>
      <w:r w:rsidRPr="00D032EE" w:rsidR="00D032EE">
        <w:rPr>
          <w:rFonts w:eastAsia="Calibri"/>
          <w:snapToGrid/>
          <w:kern w:val="0"/>
          <w:sz w:val="24"/>
          <w:szCs w:val="24"/>
        </w:rPr>
        <w:t>conditioned upon Commission grant of its</w:t>
      </w:r>
      <w:r w:rsidR="00A51D1D">
        <w:rPr>
          <w:rFonts w:eastAsia="Calibri"/>
          <w:snapToGrid/>
          <w:kern w:val="0"/>
          <w:sz w:val="24"/>
          <w:szCs w:val="24"/>
        </w:rPr>
        <w:t xml:space="preserve"> underlying 900 MHz broadband li</w:t>
      </w:r>
      <w:r w:rsidR="005F09A1">
        <w:rPr>
          <w:rFonts w:eastAsia="Calibri"/>
          <w:snapToGrid/>
          <w:kern w:val="0"/>
          <w:sz w:val="24"/>
          <w:szCs w:val="24"/>
        </w:rPr>
        <w:t>c</w:t>
      </w:r>
      <w:r w:rsidR="00A51D1D">
        <w:rPr>
          <w:rFonts w:eastAsia="Calibri"/>
          <w:snapToGrid/>
          <w:kern w:val="0"/>
          <w:sz w:val="24"/>
          <w:szCs w:val="24"/>
        </w:rPr>
        <w:t>ense</w:t>
      </w:r>
      <w:r w:rsidRPr="00D032EE" w:rsidR="00D032EE">
        <w:rPr>
          <w:rFonts w:eastAsia="Calibri"/>
          <w:snapToGrid/>
          <w:kern w:val="0"/>
          <w:sz w:val="24"/>
          <w:szCs w:val="24"/>
        </w:rPr>
        <w:t xml:space="preserve"> application.</w:t>
      </w:r>
      <w:r>
        <w:rPr>
          <w:rStyle w:val="FootnoteReference"/>
          <w:rFonts w:eastAsia="Calibri"/>
          <w:snapToGrid/>
          <w:kern w:val="0"/>
          <w:szCs w:val="24"/>
        </w:rPr>
        <w:footnoteReference w:id="8"/>
      </w:r>
      <w:r w:rsidRPr="00D032EE" w:rsidR="00D032EE">
        <w:rPr>
          <w:rFonts w:eastAsia="Calibri"/>
          <w:snapToGrid/>
          <w:kern w:val="0"/>
          <w:sz w:val="24"/>
          <w:szCs w:val="24"/>
        </w:rPr>
        <w:t xml:space="preserve">  </w:t>
      </w:r>
      <w:r w:rsidR="00A13658">
        <w:rPr>
          <w:rFonts w:eastAsia="Calibri"/>
          <w:snapToGrid/>
          <w:kern w:val="0"/>
          <w:sz w:val="24"/>
          <w:szCs w:val="24"/>
        </w:rPr>
        <w:t>In addition, applica</w:t>
      </w:r>
      <w:r w:rsidR="00316D91">
        <w:rPr>
          <w:rFonts w:eastAsia="Calibri"/>
          <w:snapToGrid/>
          <w:kern w:val="0"/>
          <w:sz w:val="24"/>
          <w:szCs w:val="24"/>
        </w:rPr>
        <w:t>nts that relinquish less than six megahertz of spectrum are required to make an</w:t>
      </w:r>
      <w:r w:rsidR="00A13658">
        <w:rPr>
          <w:rFonts w:eastAsia="Calibri"/>
          <w:snapToGrid/>
          <w:kern w:val="0"/>
          <w:sz w:val="24"/>
          <w:szCs w:val="24"/>
        </w:rPr>
        <w:t xml:space="preserve"> anti-windfall payment </w:t>
      </w:r>
      <w:r w:rsidR="00316D91">
        <w:rPr>
          <w:rFonts w:eastAsia="Calibri"/>
          <w:snapToGrid/>
          <w:kern w:val="0"/>
          <w:sz w:val="24"/>
          <w:szCs w:val="24"/>
        </w:rPr>
        <w:t>before the Commission will grant its</w:t>
      </w:r>
      <w:r w:rsidR="00A51D1D">
        <w:rPr>
          <w:rFonts w:eastAsia="Calibri"/>
          <w:snapToGrid/>
          <w:kern w:val="0"/>
          <w:sz w:val="24"/>
          <w:szCs w:val="24"/>
        </w:rPr>
        <w:t xml:space="preserve"> </w:t>
      </w:r>
      <w:r w:rsidRPr="00A51D1D" w:rsidR="00A51D1D">
        <w:rPr>
          <w:rFonts w:eastAsia="Calibri"/>
          <w:snapToGrid/>
          <w:kern w:val="0"/>
          <w:sz w:val="24"/>
          <w:szCs w:val="24"/>
        </w:rPr>
        <w:t xml:space="preserve">900 MHz </w:t>
      </w:r>
      <w:r w:rsidR="00D92E08">
        <w:rPr>
          <w:rFonts w:eastAsia="Calibri"/>
          <w:snapToGrid/>
          <w:kern w:val="0"/>
          <w:sz w:val="24"/>
          <w:szCs w:val="24"/>
        </w:rPr>
        <w:t>b</w:t>
      </w:r>
      <w:r w:rsidRPr="00A51D1D" w:rsidR="00A51D1D">
        <w:rPr>
          <w:rFonts w:eastAsia="Calibri"/>
          <w:snapToGrid/>
          <w:kern w:val="0"/>
          <w:sz w:val="24"/>
          <w:szCs w:val="24"/>
        </w:rPr>
        <w:t>roadband segment</w:t>
      </w:r>
      <w:r w:rsidR="00316D91">
        <w:rPr>
          <w:rFonts w:eastAsia="Calibri"/>
          <w:snapToGrid/>
          <w:kern w:val="0"/>
          <w:sz w:val="24"/>
          <w:szCs w:val="24"/>
        </w:rPr>
        <w:t xml:space="preserve"> application.</w:t>
      </w:r>
      <w:r>
        <w:rPr>
          <w:rStyle w:val="FootnoteReference"/>
          <w:rFonts w:eastAsia="Calibri"/>
          <w:snapToGrid/>
          <w:kern w:val="0"/>
          <w:szCs w:val="24"/>
        </w:rPr>
        <w:footnoteReference w:id="9"/>
      </w:r>
      <w:r w:rsidR="004A58F4">
        <w:rPr>
          <w:rFonts w:eastAsia="Calibri"/>
          <w:snapToGrid/>
          <w:kern w:val="0"/>
          <w:sz w:val="24"/>
          <w:szCs w:val="24"/>
        </w:rPr>
        <w:t xml:space="preserve">  </w:t>
      </w:r>
      <w:r w:rsidR="00381F78">
        <w:rPr>
          <w:rFonts w:eastAsia="Calibri"/>
          <w:snapToGrid/>
          <w:kern w:val="0"/>
          <w:sz w:val="24"/>
          <w:szCs w:val="24"/>
        </w:rPr>
        <w:t>Details for the</w:t>
      </w:r>
      <w:r w:rsidR="00A51D1D">
        <w:rPr>
          <w:rFonts w:eastAsia="Calibri"/>
          <w:snapToGrid/>
          <w:kern w:val="0"/>
          <w:sz w:val="24"/>
          <w:szCs w:val="24"/>
        </w:rPr>
        <w:t xml:space="preserve"> </w:t>
      </w:r>
      <w:r w:rsidR="00381F78">
        <w:rPr>
          <w:rFonts w:eastAsia="Calibri"/>
          <w:snapToGrid/>
          <w:kern w:val="0"/>
          <w:sz w:val="24"/>
          <w:szCs w:val="24"/>
        </w:rPr>
        <w:t>specific Eligibility Certification and Transition Plan</w:t>
      </w:r>
      <w:r w:rsidR="00A51D1D">
        <w:rPr>
          <w:rFonts w:eastAsia="Calibri"/>
          <w:snapToGrid/>
          <w:kern w:val="0"/>
          <w:sz w:val="24"/>
          <w:szCs w:val="24"/>
        </w:rPr>
        <w:t xml:space="preserve"> requirements are </w:t>
      </w:r>
      <w:r w:rsidR="00381F78">
        <w:rPr>
          <w:rFonts w:eastAsia="Calibri"/>
          <w:snapToGrid/>
          <w:kern w:val="0"/>
          <w:sz w:val="24"/>
          <w:szCs w:val="24"/>
        </w:rPr>
        <w:t xml:space="preserve">included in </w:t>
      </w:r>
      <w:r w:rsidRPr="00620964" w:rsidR="00381F78">
        <w:rPr>
          <w:rFonts w:eastAsia="Calibri"/>
          <w:snapToGrid/>
          <w:kern w:val="0"/>
          <w:sz w:val="24"/>
          <w:szCs w:val="24"/>
        </w:rPr>
        <w:t>Attachment A</w:t>
      </w:r>
      <w:r w:rsidR="00381F78">
        <w:rPr>
          <w:rFonts w:eastAsia="Calibri"/>
          <w:snapToGrid/>
          <w:kern w:val="0"/>
          <w:sz w:val="24"/>
          <w:szCs w:val="24"/>
        </w:rPr>
        <w:t xml:space="preserve">.  </w:t>
      </w:r>
    </w:p>
    <w:p w:rsidR="00A13658" w:rsidP="001007A4" w14:paraId="47111036" w14:textId="1274D9AC">
      <w:pPr>
        <w:pStyle w:val="ParaNum"/>
        <w:numPr>
          <w:ilvl w:val="0"/>
          <w:numId w:val="0"/>
        </w:numPr>
        <w:ind w:firstLine="720"/>
        <w:rPr>
          <w:rFonts w:eastAsia="Calibri"/>
          <w:snapToGrid/>
          <w:kern w:val="0"/>
          <w:sz w:val="24"/>
          <w:szCs w:val="24"/>
        </w:rPr>
      </w:pPr>
      <w:r>
        <w:rPr>
          <w:rFonts w:eastAsia="Calibri"/>
          <w:snapToGrid/>
          <w:kern w:val="0"/>
          <w:sz w:val="24"/>
          <w:szCs w:val="24"/>
        </w:rPr>
        <w:t>Finally, applicants are required to certify</w:t>
      </w:r>
      <w:r w:rsidR="001660EC">
        <w:rPr>
          <w:rFonts w:eastAsia="Calibri"/>
          <w:snapToGrid/>
          <w:kern w:val="0"/>
          <w:sz w:val="24"/>
          <w:szCs w:val="24"/>
        </w:rPr>
        <w:t xml:space="preserve"> in their applications</w:t>
      </w:r>
      <w:r>
        <w:rPr>
          <w:rFonts w:eastAsia="Calibri"/>
          <w:snapToGrid/>
          <w:kern w:val="0"/>
          <w:sz w:val="24"/>
          <w:szCs w:val="24"/>
        </w:rPr>
        <w:t xml:space="preserve"> that they understand and have</w:t>
      </w:r>
      <w:r w:rsidR="00D60CFD">
        <w:rPr>
          <w:rFonts w:eastAsia="Calibri"/>
          <w:snapToGrid/>
          <w:kern w:val="0"/>
          <w:sz w:val="24"/>
          <w:szCs w:val="24"/>
        </w:rPr>
        <w:t xml:space="preserve"> complied or </w:t>
      </w:r>
      <w:r w:rsidR="001660EC">
        <w:rPr>
          <w:rFonts w:eastAsia="Calibri"/>
          <w:snapToGrid/>
          <w:kern w:val="0"/>
          <w:sz w:val="24"/>
          <w:szCs w:val="24"/>
        </w:rPr>
        <w:t>w</w:t>
      </w:r>
      <w:r>
        <w:rPr>
          <w:rFonts w:eastAsia="Calibri"/>
          <w:snapToGrid/>
          <w:kern w:val="0"/>
          <w:sz w:val="24"/>
          <w:szCs w:val="24"/>
        </w:rPr>
        <w:t xml:space="preserve">ill comply with the requirements listed above.  </w:t>
      </w:r>
      <w:r>
        <w:rPr>
          <w:rFonts w:eastAsia="Calibri"/>
          <w:snapToGrid/>
          <w:kern w:val="0"/>
          <w:sz w:val="24"/>
          <w:szCs w:val="24"/>
        </w:rPr>
        <w:t>A</w:t>
      </w:r>
      <w:r w:rsidRPr="00D032EE">
        <w:rPr>
          <w:rFonts w:eastAsia="Calibri"/>
          <w:snapToGrid/>
          <w:kern w:val="0"/>
          <w:sz w:val="24"/>
          <w:szCs w:val="24"/>
        </w:rPr>
        <w:t xml:space="preserve">pplications </w:t>
      </w:r>
      <w:r w:rsidR="00540D89">
        <w:rPr>
          <w:rFonts w:eastAsia="Calibri"/>
          <w:snapToGrid/>
          <w:kern w:val="0"/>
          <w:sz w:val="24"/>
          <w:szCs w:val="24"/>
        </w:rPr>
        <w:t xml:space="preserve">in a condition </w:t>
      </w:r>
      <w:r w:rsidRPr="00D032EE">
        <w:rPr>
          <w:rFonts w:eastAsia="Calibri"/>
          <w:snapToGrid/>
          <w:kern w:val="0"/>
          <w:sz w:val="24"/>
          <w:szCs w:val="24"/>
        </w:rPr>
        <w:t>accept</w:t>
      </w:r>
      <w:r w:rsidR="00540D89">
        <w:rPr>
          <w:rFonts w:eastAsia="Calibri"/>
          <w:snapToGrid/>
          <w:kern w:val="0"/>
          <w:sz w:val="24"/>
          <w:szCs w:val="24"/>
        </w:rPr>
        <w:t>able</w:t>
      </w:r>
      <w:r w:rsidRPr="00D032EE">
        <w:rPr>
          <w:rFonts w:eastAsia="Calibri"/>
          <w:snapToGrid/>
          <w:kern w:val="0"/>
          <w:sz w:val="24"/>
          <w:szCs w:val="24"/>
        </w:rPr>
        <w:t xml:space="preserve"> for filing </w:t>
      </w:r>
      <w:r w:rsidR="00540D89">
        <w:rPr>
          <w:rFonts w:eastAsia="Calibri"/>
          <w:snapToGrid/>
          <w:kern w:val="0"/>
          <w:sz w:val="24"/>
          <w:szCs w:val="24"/>
        </w:rPr>
        <w:t>will be</w:t>
      </w:r>
      <w:r w:rsidRPr="00D032EE" w:rsidR="00540D89">
        <w:rPr>
          <w:rFonts w:eastAsia="Calibri"/>
          <w:snapToGrid/>
          <w:kern w:val="0"/>
          <w:sz w:val="24"/>
          <w:szCs w:val="24"/>
        </w:rPr>
        <w:t xml:space="preserve"> </w:t>
      </w:r>
      <w:r w:rsidRPr="00D032EE">
        <w:rPr>
          <w:rFonts w:eastAsia="Calibri"/>
          <w:snapToGrid/>
          <w:kern w:val="0"/>
          <w:sz w:val="24"/>
          <w:szCs w:val="24"/>
        </w:rPr>
        <w:t>placed on Public Notice for 30 days, during which time interested parties may file petitions to deny.</w:t>
      </w:r>
      <w:r>
        <w:rPr>
          <w:rStyle w:val="FootnoteReference"/>
          <w:rFonts w:eastAsia="Calibri"/>
          <w:snapToGrid/>
          <w:kern w:val="0"/>
          <w:szCs w:val="24"/>
        </w:rPr>
        <w:footnoteReference w:id="10"/>
      </w:r>
      <w:r w:rsidRPr="00D032EE">
        <w:rPr>
          <w:rFonts w:eastAsia="Calibri"/>
          <w:snapToGrid/>
          <w:kern w:val="0"/>
          <w:sz w:val="24"/>
          <w:szCs w:val="24"/>
        </w:rPr>
        <w:t xml:space="preserve">  </w:t>
      </w:r>
    </w:p>
    <w:p w:rsidR="00A13658" w:rsidP="00381F78" w14:paraId="46E9C2F8" w14:textId="0D3B8D02">
      <w:pPr>
        <w:pStyle w:val="ParaNum"/>
        <w:numPr>
          <w:ilvl w:val="0"/>
          <w:numId w:val="0"/>
        </w:numPr>
        <w:ind w:firstLine="720"/>
        <w:rPr>
          <w:rFonts w:eastAsia="Calibri"/>
          <w:snapToGrid/>
          <w:kern w:val="0"/>
          <w:sz w:val="24"/>
          <w:szCs w:val="24"/>
        </w:rPr>
      </w:pPr>
      <w:r>
        <w:rPr>
          <w:rFonts w:eastAsia="Calibri"/>
          <w:snapToGrid/>
          <w:kern w:val="0"/>
          <w:sz w:val="24"/>
          <w:szCs w:val="24"/>
        </w:rPr>
        <w:t>If the Commission</w:t>
      </w:r>
      <w:r w:rsidRPr="00D032EE" w:rsidR="00D032EE">
        <w:rPr>
          <w:rFonts w:eastAsia="Calibri"/>
          <w:snapToGrid/>
          <w:kern w:val="0"/>
          <w:sz w:val="24"/>
          <w:szCs w:val="24"/>
        </w:rPr>
        <w:t xml:space="preserve"> finds that the applicant has satisfied the eligibility restrictions, application requirements, anti-windfall provisions, and that grant of the application is otherwise in the public interest, </w:t>
      </w:r>
      <w:r w:rsidR="001660EC">
        <w:rPr>
          <w:rFonts w:eastAsia="Calibri"/>
          <w:snapToGrid/>
          <w:kern w:val="0"/>
          <w:sz w:val="24"/>
          <w:szCs w:val="24"/>
        </w:rPr>
        <w:t xml:space="preserve">it </w:t>
      </w:r>
      <w:r w:rsidRPr="00D032EE" w:rsidR="00D032EE">
        <w:rPr>
          <w:rFonts w:eastAsia="Calibri"/>
          <w:snapToGrid/>
          <w:kern w:val="0"/>
          <w:sz w:val="24"/>
          <w:szCs w:val="24"/>
        </w:rPr>
        <w:t xml:space="preserve">will grant the </w:t>
      </w:r>
      <w:r w:rsidR="00A51D1D">
        <w:rPr>
          <w:rFonts w:eastAsia="Calibri"/>
          <w:snapToGrid/>
          <w:kern w:val="0"/>
          <w:sz w:val="24"/>
          <w:szCs w:val="24"/>
        </w:rPr>
        <w:t xml:space="preserve">900 MHz </w:t>
      </w:r>
      <w:r w:rsidR="00D92E08">
        <w:rPr>
          <w:rFonts w:eastAsia="Calibri"/>
          <w:snapToGrid/>
          <w:kern w:val="0"/>
          <w:sz w:val="24"/>
          <w:szCs w:val="24"/>
        </w:rPr>
        <w:t>b</w:t>
      </w:r>
      <w:r w:rsidR="00A51D1D">
        <w:rPr>
          <w:rFonts w:eastAsia="Calibri"/>
          <w:snapToGrid/>
          <w:kern w:val="0"/>
          <w:sz w:val="24"/>
          <w:szCs w:val="24"/>
        </w:rPr>
        <w:t xml:space="preserve">roadband segment </w:t>
      </w:r>
      <w:r w:rsidRPr="00D032EE" w:rsidR="00D032EE">
        <w:rPr>
          <w:rFonts w:eastAsia="Calibri"/>
          <w:snapToGrid/>
          <w:kern w:val="0"/>
          <w:sz w:val="24"/>
          <w:szCs w:val="24"/>
        </w:rPr>
        <w:t xml:space="preserve">application and issue a </w:t>
      </w:r>
      <w:r w:rsidR="00D00FF1">
        <w:rPr>
          <w:rFonts w:eastAsia="Calibri"/>
          <w:snapToGrid/>
          <w:kern w:val="0"/>
          <w:sz w:val="24"/>
          <w:szCs w:val="24"/>
        </w:rPr>
        <w:t>six</w:t>
      </w:r>
      <w:r w:rsidRPr="00D032EE" w:rsidR="00D032EE">
        <w:rPr>
          <w:rFonts w:eastAsia="Calibri"/>
          <w:snapToGrid/>
          <w:kern w:val="0"/>
          <w:sz w:val="24"/>
          <w:szCs w:val="24"/>
        </w:rPr>
        <w:t xml:space="preserve"> megahertz broadband license for the requested county.  </w:t>
      </w:r>
      <w:r w:rsidR="00162001">
        <w:rPr>
          <w:rFonts w:eastAsia="Calibri"/>
          <w:snapToGrid/>
          <w:kern w:val="0"/>
          <w:sz w:val="24"/>
          <w:szCs w:val="24"/>
        </w:rPr>
        <w:t>A</w:t>
      </w:r>
      <w:r w:rsidRPr="003C76B1" w:rsidR="003C76B1">
        <w:rPr>
          <w:rFonts w:eastAsia="Calibri"/>
          <w:snapToGrid/>
          <w:kern w:val="0"/>
          <w:sz w:val="24"/>
          <w:szCs w:val="24"/>
        </w:rPr>
        <w:t xml:space="preserve">fter grant of a license, a new 900 MHz </w:t>
      </w:r>
      <w:r w:rsidR="00D92E08">
        <w:rPr>
          <w:rFonts w:eastAsia="Calibri"/>
          <w:snapToGrid/>
          <w:kern w:val="0"/>
          <w:sz w:val="24"/>
          <w:szCs w:val="24"/>
        </w:rPr>
        <w:t>b</w:t>
      </w:r>
      <w:r w:rsidRPr="003C76B1" w:rsidR="003C76B1">
        <w:rPr>
          <w:rFonts w:eastAsia="Calibri"/>
          <w:snapToGrid/>
          <w:kern w:val="0"/>
          <w:sz w:val="24"/>
          <w:szCs w:val="24"/>
        </w:rPr>
        <w:t xml:space="preserve">roadband licensee </w:t>
      </w:r>
      <w:r w:rsidR="00BF0559">
        <w:rPr>
          <w:rFonts w:eastAsia="Calibri"/>
          <w:snapToGrid/>
          <w:kern w:val="0"/>
          <w:sz w:val="24"/>
          <w:szCs w:val="24"/>
        </w:rPr>
        <w:t>may</w:t>
      </w:r>
      <w:r w:rsidRPr="003C76B1" w:rsidR="003C76B1">
        <w:rPr>
          <w:rFonts w:eastAsia="Calibri"/>
          <w:snapToGrid/>
          <w:kern w:val="0"/>
          <w:sz w:val="24"/>
          <w:szCs w:val="24"/>
        </w:rPr>
        <w:t xml:space="preserve"> begin operation in the applicable county, subject to protecting covered incumbents.</w:t>
      </w:r>
      <w:r>
        <w:rPr>
          <w:rStyle w:val="FootnoteReference"/>
          <w:rFonts w:eastAsia="Calibri"/>
          <w:snapToGrid/>
          <w:kern w:val="0"/>
          <w:szCs w:val="24"/>
        </w:rPr>
        <w:footnoteReference w:id="11"/>
      </w:r>
      <w:r w:rsidRPr="003C76B1" w:rsidR="003C76B1">
        <w:rPr>
          <w:rFonts w:eastAsia="Calibri"/>
          <w:snapToGrid/>
          <w:kern w:val="0"/>
          <w:sz w:val="24"/>
          <w:szCs w:val="24"/>
        </w:rPr>
        <w:t xml:space="preserve">   </w:t>
      </w:r>
    </w:p>
    <w:p w:rsidR="003C76B1" w:rsidP="00D97F02" w14:paraId="3A951C56" w14:textId="2B46434A">
      <w:pPr>
        <w:pStyle w:val="ParaNum"/>
        <w:numPr>
          <w:ilvl w:val="0"/>
          <w:numId w:val="0"/>
        </w:numPr>
        <w:ind w:firstLine="720"/>
        <w:rPr>
          <w:rFonts w:eastAsia="Calibri"/>
          <w:snapToGrid/>
          <w:kern w:val="0"/>
          <w:sz w:val="24"/>
          <w:szCs w:val="24"/>
        </w:rPr>
      </w:pPr>
      <w:r w:rsidRPr="003C76B1">
        <w:rPr>
          <w:rFonts w:eastAsia="Calibri"/>
          <w:snapToGrid/>
          <w:kern w:val="0"/>
          <w:sz w:val="24"/>
          <w:szCs w:val="24"/>
        </w:rPr>
        <w:t xml:space="preserve">  </w:t>
      </w:r>
      <w:r w:rsidR="00620964">
        <w:rPr>
          <w:rFonts w:eastAsia="Calibri"/>
          <w:snapToGrid/>
          <w:kern w:val="0"/>
          <w:sz w:val="24"/>
          <w:szCs w:val="24"/>
        </w:rPr>
        <w:t>Applicants</w:t>
      </w:r>
      <w:r w:rsidRPr="00620964" w:rsidR="00620964">
        <w:rPr>
          <w:rFonts w:eastAsia="Calibri"/>
          <w:snapToGrid/>
          <w:kern w:val="0"/>
          <w:sz w:val="24"/>
          <w:szCs w:val="24"/>
        </w:rPr>
        <w:t xml:space="preserve"> who have questions concerning this </w:t>
      </w:r>
      <w:r w:rsidRPr="00347774" w:rsidR="00620964">
        <w:rPr>
          <w:rFonts w:eastAsia="Calibri"/>
          <w:i/>
          <w:iCs/>
          <w:snapToGrid/>
          <w:kern w:val="0"/>
          <w:sz w:val="24"/>
          <w:szCs w:val="24"/>
        </w:rPr>
        <w:t>Public Notice</w:t>
      </w:r>
      <w:r w:rsidRPr="00620964" w:rsidR="00620964">
        <w:rPr>
          <w:rFonts w:eastAsia="Calibri"/>
          <w:snapToGrid/>
          <w:kern w:val="0"/>
          <w:sz w:val="24"/>
          <w:szCs w:val="24"/>
        </w:rPr>
        <w:t xml:space="preserve"> may contact </w:t>
      </w:r>
      <w:r w:rsidR="00D92E08">
        <w:rPr>
          <w:rFonts w:eastAsia="Calibri"/>
          <w:snapToGrid/>
          <w:kern w:val="0"/>
          <w:sz w:val="24"/>
          <w:szCs w:val="24"/>
        </w:rPr>
        <w:t>Katherine Patsas Nevitt</w:t>
      </w:r>
      <w:r w:rsidRPr="00620964" w:rsidR="00620964">
        <w:rPr>
          <w:rFonts w:eastAsia="Calibri"/>
          <w:snapToGrid/>
          <w:kern w:val="0"/>
          <w:sz w:val="24"/>
          <w:szCs w:val="24"/>
        </w:rPr>
        <w:t xml:space="preserve"> of the Wireless Telecommunications Bureau, Mobility Division, (202) </w:t>
      </w:r>
      <w:r w:rsidRPr="00D92E08" w:rsidR="00D92E08">
        <w:rPr>
          <w:rFonts w:eastAsia="Calibri"/>
          <w:snapToGrid/>
          <w:kern w:val="0"/>
          <w:sz w:val="24"/>
          <w:szCs w:val="24"/>
        </w:rPr>
        <w:t>418-0638</w:t>
      </w:r>
      <w:r w:rsidRPr="00620964" w:rsidR="00620964">
        <w:rPr>
          <w:rFonts w:eastAsia="Calibri"/>
          <w:snapToGrid/>
          <w:kern w:val="0"/>
          <w:sz w:val="24"/>
          <w:szCs w:val="24"/>
        </w:rPr>
        <w:t xml:space="preserve">, </w:t>
      </w:r>
      <w:hyperlink r:id="rId5" w:history="1">
        <w:r w:rsidRPr="00311F74" w:rsidR="00D802DF">
          <w:rPr>
            <w:rStyle w:val="Hyperlink"/>
            <w:rFonts w:eastAsia="Calibri"/>
            <w:snapToGrid/>
            <w:kern w:val="0"/>
            <w:sz w:val="24"/>
            <w:szCs w:val="24"/>
          </w:rPr>
          <w:t>katherine.nevitt@fcc.gov</w:t>
        </w:r>
      </w:hyperlink>
      <w:r w:rsidRPr="00620964" w:rsidR="00620964">
        <w:rPr>
          <w:rFonts w:eastAsia="Calibri"/>
          <w:snapToGrid/>
          <w:kern w:val="0"/>
          <w:sz w:val="24"/>
          <w:szCs w:val="24"/>
        </w:rPr>
        <w:t>.</w:t>
      </w:r>
      <w:r w:rsidR="00D802DF">
        <w:rPr>
          <w:rFonts w:eastAsia="Calibri"/>
          <w:snapToGrid/>
          <w:kern w:val="0"/>
          <w:sz w:val="24"/>
          <w:szCs w:val="24"/>
        </w:rPr>
        <w:t xml:space="preserve"> </w:t>
      </w:r>
      <w:r w:rsidRPr="00620964" w:rsidR="00620964">
        <w:rPr>
          <w:rFonts w:eastAsia="Calibri"/>
          <w:snapToGrid/>
          <w:kern w:val="0"/>
          <w:sz w:val="24"/>
          <w:szCs w:val="24"/>
        </w:rPr>
        <w:t xml:space="preserve">    </w:t>
      </w:r>
    </w:p>
    <w:p w:rsidR="00D97F02" w:rsidP="00D97F02" w14:paraId="5D8E942D" w14:textId="42B89413">
      <w:pPr>
        <w:widowControl/>
        <w:autoSpaceDE w:val="0"/>
        <w:autoSpaceDN w:val="0"/>
        <w:adjustRightInd w:val="0"/>
        <w:rPr>
          <w:snapToGrid/>
          <w:kern w:val="0"/>
          <w:szCs w:val="24"/>
        </w:rPr>
      </w:pPr>
    </w:p>
    <w:p w:rsidR="003C76B1" w:rsidRPr="00620964" w:rsidP="00D97F02" w14:paraId="3E157338" w14:textId="14656A67">
      <w:pPr>
        <w:widowControl/>
        <w:autoSpaceDE w:val="0"/>
        <w:autoSpaceDN w:val="0"/>
        <w:adjustRightInd w:val="0"/>
        <w:rPr>
          <w:snapToGrid/>
          <w:kern w:val="0"/>
          <w:sz w:val="24"/>
          <w:szCs w:val="24"/>
        </w:rPr>
      </w:pPr>
      <w:r w:rsidRPr="00620964">
        <w:rPr>
          <w:snapToGrid/>
          <w:kern w:val="0"/>
          <w:sz w:val="24"/>
          <w:szCs w:val="24"/>
        </w:rPr>
        <w:t xml:space="preserve">ATTACHMENT A </w:t>
      </w:r>
      <w:r w:rsidRPr="00620964" w:rsidR="000D4BB3">
        <w:rPr>
          <w:snapToGrid/>
          <w:kern w:val="0"/>
          <w:sz w:val="24"/>
          <w:szCs w:val="24"/>
        </w:rPr>
        <w:t xml:space="preserve">– </w:t>
      </w:r>
      <w:bookmarkStart w:id="4" w:name="_Hlk69469199"/>
      <w:r w:rsidRPr="00620964" w:rsidR="000D4BB3">
        <w:rPr>
          <w:snapToGrid/>
          <w:kern w:val="0"/>
          <w:sz w:val="24"/>
          <w:szCs w:val="24"/>
        </w:rPr>
        <w:t>Instructions for Eligibility Certification and Transition Plan Submissions</w:t>
      </w:r>
      <w:bookmarkEnd w:id="4"/>
    </w:p>
    <w:p w:rsidR="001F5CCE" w:rsidP="00D97F02" w14:paraId="7C2DC541" w14:textId="02F55736">
      <w:pPr>
        <w:widowControl/>
        <w:autoSpaceDE w:val="0"/>
        <w:autoSpaceDN w:val="0"/>
        <w:adjustRightInd w:val="0"/>
        <w:rPr>
          <w:snapToGrid/>
          <w:kern w:val="0"/>
          <w:szCs w:val="24"/>
        </w:rPr>
      </w:pPr>
    </w:p>
    <w:p w:rsidR="001F5CCE" w:rsidRPr="00620964" w:rsidP="00620964" w14:paraId="191F6B31" w14:textId="5EA0877F">
      <w:pPr>
        <w:widowControl/>
        <w:autoSpaceDE w:val="0"/>
        <w:autoSpaceDN w:val="0"/>
        <w:adjustRightInd w:val="0"/>
        <w:ind w:firstLine="720"/>
        <w:rPr>
          <w:snapToGrid/>
          <w:kern w:val="0"/>
          <w:sz w:val="24"/>
          <w:szCs w:val="24"/>
        </w:rPr>
      </w:pPr>
      <w:r w:rsidRPr="00620964">
        <w:rPr>
          <w:snapToGrid/>
          <w:kern w:val="0"/>
          <w:sz w:val="24"/>
          <w:szCs w:val="24"/>
        </w:rPr>
        <w:t xml:space="preserve">Action by </w:t>
      </w:r>
      <w:r w:rsidR="00DF78F6">
        <w:rPr>
          <w:snapToGrid/>
          <w:kern w:val="0"/>
          <w:sz w:val="24"/>
          <w:szCs w:val="24"/>
        </w:rPr>
        <w:t xml:space="preserve">the </w:t>
      </w:r>
      <w:r w:rsidRPr="00620964">
        <w:rPr>
          <w:snapToGrid/>
          <w:kern w:val="0"/>
          <w:sz w:val="24"/>
          <w:szCs w:val="24"/>
        </w:rPr>
        <w:t>Acting Chief, Wireless Telecommunications Bureau.</w:t>
      </w:r>
    </w:p>
    <w:p w:rsidR="000D4BB3" w:rsidP="00D97F02" w14:paraId="2DA8EA6D" w14:textId="77777777">
      <w:pPr>
        <w:widowControl/>
        <w:jc w:val="center"/>
        <w:rPr>
          <w:snapToGrid/>
          <w:kern w:val="0"/>
          <w:szCs w:val="22"/>
        </w:rPr>
      </w:pPr>
    </w:p>
    <w:p w:rsidR="00D97F02" w:rsidRPr="006D3BA5" w:rsidP="00D97F02" w14:paraId="41D76D1F" w14:textId="3A2EBA2C">
      <w:pPr>
        <w:widowControl/>
        <w:jc w:val="center"/>
        <w:rPr>
          <w:snapToGrid/>
          <w:kern w:val="0"/>
          <w:szCs w:val="22"/>
        </w:rPr>
      </w:pPr>
      <w:r w:rsidRPr="006D3BA5">
        <w:rPr>
          <w:snapToGrid/>
          <w:kern w:val="0"/>
          <w:szCs w:val="22"/>
        </w:rPr>
        <w:t>-</w:t>
      </w:r>
      <w:r w:rsidRPr="007257A0">
        <w:rPr>
          <w:b/>
          <w:snapToGrid/>
          <w:kern w:val="0"/>
          <w:szCs w:val="22"/>
        </w:rPr>
        <w:t>FCC</w:t>
      </w:r>
      <w:r w:rsidRPr="006D3BA5">
        <w:rPr>
          <w:snapToGrid/>
          <w:kern w:val="0"/>
          <w:szCs w:val="22"/>
        </w:rPr>
        <w:t>-</w:t>
      </w:r>
    </w:p>
    <w:p w:rsidR="00F96F63" w:rsidP="00D97F02" w14:paraId="008211E3" w14:textId="77777777">
      <w:pPr>
        <w:ind w:firstLine="720"/>
        <w:rPr>
          <w:sz w:val="24"/>
        </w:rPr>
      </w:pPr>
    </w:p>
    <w:p w:rsidR="00930ECF" w:rsidRPr="00930ECF" w:rsidP="00F96F63" w14:paraId="18F4D9DB"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E366B9A" w14:textId="629B8DDE">
    <w:pPr>
      <w:pStyle w:val="Footer"/>
      <w:framePr w:wrap="around" w:vAnchor="text" w:hAnchor="margin" w:xAlign="center" w:y="1"/>
    </w:pPr>
    <w:r>
      <w:fldChar w:fldCharType="begin"/>
    </w:r>
    <w:r>
      <w:instrText xml:space="preserve">PAGE  </w:instrText>
    </w:r>
    <w:r>
      <w:fldChar w:fldCharType="separate"/>
    </w:r>
    <w:r w:rsidR="00F943EE">
      <w:rPr>
        <w:noProof/>
      </w:rPr>
      <w:t>3</w:t>
    </w:r>
    <w:r>
      <w:fldChar w:fldCharType="end"/>
    </w:r>
  </w:p>
  <w:p w:rsidR="006F7393" w14:paraId="08CAFC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28AE0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E7411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68B6" w14:paraId="5EA16D6C" w14:textId="77777777">
      <w:r>
        <w:separator/>
      </w:r>
    </w:p>
  </w:footnote>
  <w:footnote w:type="continuationSeparator" w:id="1">
    <w:p w:rsidR="002A68B6" w14:paraId="13A7A7DE" w14:textId="77777777">
      <w:pPr>
        <w:rPr>
          <w:sz w:val="20"/>
        </w:rPr>
      </w:pPr>
      <w:r>
        <w:rPr>
          <w:sz w:val="20"/>
        </w:rPr>
        <w:t xml:space="preserve">(Continued from previous page)  </w:t>
      </w:r>
      <w:r>
        <w:rPr>
          <w:sz w:val="20"/>
        </w:rPr>
        <w:separator/>
      </w:r>
    </w:p>
  </w:footnote>
  <w:footnote w:type="continuationNotice" w:id="2">
    <w:p w:rsidR="002A68B6" w:rsidP="00910F12" w14:paraId="1C50CAFD" w14:textId="77777777">
      <w:pPr>
        <w:jc w:val="right"/>
        <w:rPr>
          <w:sz w:val="20"/>
        </w:rPr>
      </w:pPr>
      <w:r>
        <w:rPr>
          <w:sz w:val="20"/>
        </w:rPr>
        <w:t>(continued….)</w:t>
      </w:r>
    </w:p>
  </w:footnote>
  <w:footnote w:id="3">
    <w:p w:rsidR="004B57A2" w14:paraId="164B46D7" w14:textId="3D53B5EE">
      <w:pPr>
        <w:pStyle w:val="FootnoteText"/>
      </w:pPr>
      <w:r>
        <w:rPr>
          <w:rStyle w:val="FootnoteReference"/>
        </w:rPr>
        <w:footnoteRef/>
      </w:r>
      <w:r>
        <w:t xml:space="preserve"> </w:t>
      </w:r>
      <w:r w:rsidRPr="00D60D75" w:rsidR="00D60D75">
        <w:rPr>
          <w:i/>
        </w:rPr>
        <w:t>Review of the Commission’s Rules Governing the 896-901/935-940 MHz Band</w:t>
      </w:r>
      <w:r>
        <w:t xml:space="preserve">, </w:t>
      </w:r>
      <w:r w:rsidR="00D60D75">
        <w:t>W</w:t>
      </w:r>
      <w:r>
        <w:t xml:space="preserve">T Docket No. 19-138, Report and Order, Order of Proposed Modification, </w:t>
      </w:r>
      <w:r w:rsidR="00D60D75">
        <w:t xml:space="preserve">and Order, </w:t>
      </w:r>
      <w:r w:rsidRPr="00D60D75" w:rsidR="00D60D75">
        <w:t xml:space="preserve">35 FCC Rcd 5183 </w:t>
      </w:r>
      <w:r>
        <w:t>(</w:t>
      </w:r>
      <w:r w:rsidRPr="005A736D">
        <w:t>20</w:t>
      </w:r>
      <w:r>
        <w:t>20)</w:t>
      </w:r>
      <w:r w:rsidR="00A310CE">
        <w:t xml:space="preserve"> </w:t>
      </w:r>
      <w:r w:rsidR="00276435">
        <w:t>(</w:t>
      </w:r>
      <w:r w:rsidR="00D60D75">
        <w:rPr>
          <w:i/>
          <w:iCs/>
        </w:rPr>
        <w:t>900 MHz Report and Order</w:t>
      </w:r>
      <w:r w:rsidR="00276435">
        <w:t>)</w:t>
      </w:r>
      <w:r>
        <w:t xml:space="preserve">.  </w:t>
      </w:r>
    </w:p>
  </w:footnote>
  <w:footnote w:id="4">
    <w:p w:rsidR="005D2712" w14:paraId="63798C8A" w14:textId="058A9CB7">
      <w:pPr>
        <w:pStyle w:val="FootnoteText"/>
      </w:pPr>
      <w:r>
        <w:rPr>
          <w:rStyle w:val="FootnoteReference"/>
        </w:rPr>
        <w:footnoteRef/>
      </w:r>
      <w:r>
        <w:t xml:space="preserve"> </w:t>
      </w:r>
      <w:r w:rsidRPr="005D2712">
        <w:t>47 CFR § 27.150</w:t>
      </w:r>
      <w:r>
        <w:t>6.</w:t>
      </w:r>
    </w:p>
  </w:footnote>
  <w:footnote w:id="5">
    <w:p w:rsidR="004A58F4" w:rsidP="004A58F4" w14:paraId="7D891618" w14:textId="42032F16">
      <w:pPr>
        <w:pStyle w:val="FootnoteText"/>
      </w:pPr>
      <w:r>
        <w:rPr>
          <w:rStyle w:val="FootnoteReference"/>
        </w:rPr>
        <w:footnoteRef/>
      </w:r>
      <w:r>
        <w:t xml:space="preserve"> </w:t>
      </w:r>
      <w:r w:rsidRPr="00FA5F32" w:rsidR="00FA5F32">
        <w:t>900 MHz Report and Order</w:t>
      </w:r>
      <w:r w:rsidR="00FA5F32">
        <w:t xml:space="preserve">, </w:t>
      </w:r>
      <w:r w:rsidRPr="00FA5F32" w:rsidR="00FA5F32">
        <w:t>35 FCC Rcd at 52</w:t>
      </w:r>
      <w:r w:rsidR="003755BC">
        <w:t>32</w:t>
      </w:r>
      <w:r w:rsidRPr="00FA5F32" w:rsidR="00FA5F32">
        <w:t>, para. 1</w:t>
      </w:r>
      <w:r w:rsidR="003755BC">
        <w:t>22</w:t>
      </w:r>
      <w:r w:rsidRPr="00FA5F32" w:rsidR="00FA5F32">
        <w:t>.</w:t>
      </w:r>
      <w:r w:rsidRPr="00FA5F32" w:rsidR="00FA5F32">
        <w:rPr>
          <w:rFonts w:eastAsia="Calibri"/>
        </w:rPr>
        <w:t xml:space="preserve"> </w:t>
      </w:r>
      <w:r w:rsidRPr="00771EC7" w:rsidR="00FA5F32">
        <w:rPr>
          <w:rFonts w:eastAsia="Calibri"/>
          <w:i/>
          <w:iCs/>
        </w:rPr>
        <w:t>See also</w:t>
      </w:r>
      <w:r w:rsidR="00FA5F32">
        <w:rPr>
          <w:rFonts w:eastAsia="Calibri"/>
        </w:rPr>
        <w:t xml:space="preserve"> </w:t>
      </w:r>
      <w:r w:rsidRPr="004818A8" w:rsidR="00311B17">
        <w:rPr>
          <w:rFonts w:eastAsia="Calibri"/>
          <w:i/>
        </w:rPr>
        <w:t>Review of the Commission’s Rules Governing the 896-901/935-940 MHz Band</w:t>
      </w:r>
      <w:r w:rsidRPr="004818A8" w:rsidR="00311B17">
        <w:rPr>
          <w:rFonts w:eastAsia="Calibri"/>
        </w:rPr>
        <w:t>, WT Docket No. 17-200, Notice of Proposed Rulemaking, 3</w:t>
      </w:r>
      <w:r w:rsidR="00311B17">
        <w:rPr>
          <w:rFonts w:eastAsia="Calibri"/>
        </w:rPr>
        <w:t>4</w:t>
      </w:r>
      <w:r w:rsidRPr="004818A8" w:rsidR="00311B17">
        <w:rPr>
          <w:rFonts w:eastAsia="Calibri"/>
        </w:rPr>
        <w:t xml:space="preserve"> FCC Rcd 1550</w:t>
      </w:r>
      <w:r w:rsidR="00347774">
        <w:rPr>
          <w:rFonts w:eastAsia="Calibri"/>
        </w:rPr>
        <w:t>,</w:t>
      </w:r>
      <w:r w:rsidRPr="001465FB">
        <w:t xml:space="preserve"> 1558, para. 22.  For purposes of the 900 MHz broadband licenses, we define counties using the </w:t>
      </w:r>
      <w:r w:rsidRPr="00D92E08">
        <w:t>United States Census Bureau’s data reflecting county legal boundaries and names valid through January 1, 2017</w:t>
      </w:r>
      <w:r w:rsidRPr="00D92E08" w:rsidR="00635CC1">
        <w:t>,</w:t>
      </w:r>
      <w:r w:rsidRPr="00D92E08" w:rsidR="00540D89">
        <w:t xml:space="preserve"> </w:t>
      </w:r>
      <w:hyperlink r:id="rId1" w:history="1">
        <w:r w:rsidRPr="00D92E08" w:rsidR="00635CC1">
          <w:rPr>
            <w:rStyle w:val="Hyperlink"/>
          </w:rPr>
          <w:t>https://www.census.gov/cgi-bin/geo/shapefiles/index.php</w:t>
        </w:r>
      </w:hyperlink>
      <w:r w:rsidRPr="00D92E08" w:rsidR="00635CC1">
        <w:t xml:space="preserve">.  </w:t>
      </w:r>
      <w:r w:rsidR="00AB47C8">
        <w:t xml:space="preserve">47 CFR § 27.1501.  </w:t>
      </w:r>
      <w:r w:rsidRPr="00D92E08">
        <w:t>Equivalent entities are primary legal divisions of states.  In most states, these entities are termed “counties.”  For a list of the 2017 counties and county equivalents, please visit Federal Communications Commission</w:t>
      </w:r>
      <w:r w:rsidRPr="001465FB">
        <w:t xml:space="preserve">, FCC Areas (updated May 8, 2020), </w:t>
      </w:r>
      <w:hyperlink r:id="rId2" w:history="1">
        <w:r w:rsidRPr="00284E25">
          <w:rPr>
            <w:rStyle w:val="Hyperlink"/>
          </w:rPr>
          <w:t>https://www.fcc.gov/oet/maps/areas</w:t>
        </w:r>
      </w:hyperlink>
      <w:r w:rsidRPr="001465FB">
        <w:t>.</w:t>
      </w:r>
    </w:p>
  </w:footnote>
  <w:footnote w:id="6">
    <w:p w:rsidR="00E36EA3" w14:paraId="005A66E2" w14:textId="1B0D7FA6">
      <w:pPr>
        <w:pStyle w:val="FootnoteText"/>
      </w:pPr>
      <w:r>
        <w:rPr>
          <w:rStyle w:val="FootnoteReference"/>
        </w:rPr>
        <w:footnoteRef/>
      </w:r>
      <w:r>
        <w:t xml:space="preserve"> </w:t>
      </w:r>
      <w:r w:rsidRPr="004E0A0C" w:rsidR="004E0A0C">
        <w:rPr>
          <w:i/>
          <w:iCs/>
        </w:rPr>
        <w:t>900 MHz Report and Order</w:t>
      </w:r>
      <w:r w:rsidR="00852D8D">
        <w:t>, 35 FCC Rcd</w:t>
      </w:r>
      <w:r w:rsidRPr="004E0A0C" w:rsidR="004E0A0C">
        <w:t xml:space="preserve"> at</w:t>
      </w:r>
      <w:r w:rsidR="00852D8D">
        <w:t xml:space="preserve"> 5229,</w:t>
      </w:r>
      <w:r w:rsidRPr="004E0A0C" w:rsidR="004E0A0C">
        <w:t xml:space="preserve"> </w:t>
      </w:r>
      <w:r w:rsidR="00852D8D">
        <w:t xml:space="preserve">para. </w:t>
      </w:r>
      <w:r w:rsidR="004E0A0C">
        <w:t>113</w:t>
      </w:r>
      <w:r w:rsidRPr="004E0A0C" w:rsidR="004E0A0C">
        <w:t>.</w:t>
      </w:r>
    </w:p>
  </w:footnote>
  <w:footnote w:id="7">
    <w:p w:rsidR="00316D91" w14:paraId="45711B5D" w14:textId="6E1E88DE">
      <w:pPr>
        <w:pStyle w:val="FootnoteText"/>
      </w:pPr>
      <w:r>
        <w:rPr>
          <w:rStyle w:val="FootnoteReference"/>
        </w:rPr>
        <w:footnoteRef/>
      </w:r>
      <w:r>
        <w:t xml:space="preserve"> </w:t>
      </w:r>
      <w:bookmarkStart w:id="2" w:name="_Hlk69720430"/>
      <w:bookmarkStart w:id="3" w:name="_Hlk69329154"/>
      <w:r>
        <w:t>47 CFR § 27.1503</w:t>
      </w:r>
      <w:bookmarkEnd w:id="2"/>
      <w:r>
        <w:t>.</w:t>
      </w:r>
      <w:bookmarkEnd w:id="3"/>
    </w:p>
  </w:footnote>
  <w:footnote w:id="8">
    <w:p w:rsidR="00316D91" w14:paraId="4DAF2465" w14:textId="0828DD44">
      <w:pPr>
        <w:pStyle w:val="FootnoteText"/>
      </w:pPr>
      <w:r>
        <w:rPr>
          <w:rStyle w:val="FootnoteReference"/>
        </w:rPr>
        <w:footnoteRef/>
      </w:r>
      <w:r>
        <w:t xml:space="preserve"> 47 CFR § 27.1503(c).</w:t>
      </w:r>
    </w:p>
  </w:footnote>
  <w:footnote w:id="9">
    <w:p w:rsidR="00316D91" w14:paraId="2B1FAEB0" w14:textId="3F1521EA">
      <w:pPr>
        <w:pStyle w:val="FootnoteText"/>
      </w:pPr>
      <w:r>
        <w:rPr>
          <w:rStyle w:val="FootnoteReference"/>
        </w:rPr>
        <w:footnoteRef/>
      </w:r>
      <w:r>
        <w:t xml:space="preserve"> </w:t>
      </w:r>
      <w:r w:rsidRPr="00A51D1D">
        <w:rPr>
          <w:i/>
          <w:iCs/>
        </w:rPr>
        <w:t>Id.</w:t>
      </w:r>
      <w:r>
        <w:t xml:space="preserve"> </w:t>
      </w:r>
    </w:p>
  </w:footnote>
  <w:footnote w:id="10">
    <w:p w:rsidR="008C0C5D" w14:paraId="6580B8B4" w14:textId="252D34CC">
      <w:pPr>
        <w:pStyle w:val="FootnoteText"/>
      </w:pPr>
      <w:r>
        <w:rPr>
          <w:rStyle w:val="FootnoteReference"/>
        </w:rPr>
        <w:footnoteRef/>
      </w:r>
      <w:r>
        <w:t xml:space="preserve"> </w:t>
      </w:r>
      <w:r w:rsidRPr="008C0C5D">
        <w:t xml:space="preserve">47 CFR § </w:t>
      </w:r>
      <w:r>
        <w:t>1.933</w:t>
      </w:r>
      <w:r w:rsidR="00347774">
        <w:t>.</w:t>
      </w:r>
    </w:p>
  </w:footnote>
  <w:footnote w:id="11">
    <w:p w:rsidR="00A13658" w14:paraId="4D746EA3" w14:textId="5EE49C9B">
      <w:pPr>
        <w:pStyle w:val="FootnoteText"/>
      </w:pPr>
      <w:r>
        <w:rPr>
          <w:rStyle w:val="FootnoteReference"/>
        </w:rPr>
        <w:footnoteRef/>
      </w:r>
      <w:r>
        <w:t xml:space="preserve"> </w:t>
      </w:r>
      <w:r w:rsidR="004326CD">
        <w:t xml:space="preserve">A </w:t>
      </w:r>
      <w:r w:rsidR="00381F78">
        <w:t xml:space="preserve">Covered Incumbent </w:t>
      </w:r>
      <w:r w:rsidR="00A51D1D">
        <w:t>is a</w:t>
      </w:r>
      <w:r w:rsidRPr="00A51D1D" w:rsid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rsidR="00347774">
        <w:t xml:space="preserve"> </w:t>
      </w:r>
      <w:r w:rsidRPr="00A51D1D" w:rsidR="00A51D1D">
        <w:t>47 CFR § 27.150</w:t>
      </w:r>
      <w:r w:rsidR="00A51D1D">
        <w:t>1(g)</w:t>
      </w:r>
      <w:r w:rsidRPr="00A51D1D" w:rsidR="00A51D1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0DDE372" w14:textId="2A819342">
    <w:pPr>
      <w:tabs>
        <w:tab w:val="center" w:pos="4680"/>
        <w:tab w:val="right" w:pos="9360"/>
      </w:tabs>
    </w:pPr>
    <w:r w:rsidRPr="009838BC">
      <w:rPr>
        <w:b/>
      </w:rPr>
      <w:tab/>
      <w:t>Federal Communications Commission</w:t>
    </w:r>
    <w:r w:rsidRPr="009838BC">
      <w:rPr>
        <w:b/>
      </w:rPr>
      <w:tab/>
    </w:r>
    <w:r w:rsidR="00373826">
      <w:rPr>
        <w:b/>
      </w:rPr>
      <w:t>DA</w:t>
    </w:r>
    <w:r w:rsidR="00D802DF">
      <w:rPr>
        <w:b/>
      </w:rPr>
      <w:t xml:space="preserve"> </w:t>
    </w:r>
    <w:r w:rsidRPr="00D802DF" w:rsidR="00D802DF">
      <w:rPr>
        <w:b/>
      </w:rPr>
      <w:t>21-450</w:t>
    </w:r>
    <w:r w:rsidR="00373826">
      <w:rPr>
        <w:b/>
      </w:rPr>
      <w:t xml:space="preserve"> </w:t>
    </w:r>
  </w:p>
  <w:p w:rsidR="009838BC" w:rsidRPr="009838BC" w:rsidP="009838BC" w14:paraId="7B6B57C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013D63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D37C6C"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 xml:space="preserve">45 </w:t>
                          </w:r>
                          <w:r w:rsidR="0070295C">
                            <w:rPr>
                              <w:rFonts w:ascii="Arial" w:hAnsi="Arial"/>
                              <w:b/>
                            </w:rPr>
                            <w:t>L</w:t>
                          </w:r>
                          <w:r>
                            <w:rPr>
                              <w:rFonts w:ascii="Arial" w:hAnsi="Arial"/>
                              <w:b/>
                            </w:rPr>
                            <w:t xml:space="preserve"> St., </w:t>
                          </w:r>
                          <w:r w:rsidR="0070295C">
                            <w:rPr>
                              <w:rFonts w:ascii="Arial" w:hAnsi="Arial"/>
                              <w:b/>
                            </w:rPr>
                            <w:t>N</w:t>
                          </w:r>
                          <w:r>
                            <w:rPr>
                              <w:rFonts w:ascii="Arial" w:hAnsi="Arial"/>
                              <w:b/>
                            </w:rPr>
                            <w:t>.</w:t>
                          </w:r>
                          <w:r w:rsidR="0070295C">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6783494" w14:textId="77777777">
                    <w:pPr>
                      <w:rPr>
                        <w:rFonts w:ascii="Arial" w:hAnsi="Arial"/>
                        <w:b/>
                      </w:rPr>
                    </w:pPr>
                    <w:r>
                      <w:rPr>
                        <w:rFonts w:ascii="Arial" w:hAnsi="Arial"/>
                        <w:b/>
                      </w:rPr>
                      <w:t>Federal Communications Commission</w:t>
                    </w:r>
                  </w:p>
                  <w:p w:rsidR="009838BC" w:rsidP="009838BC" w14:paraId="2C8602E9" w14:textId="77777777">
                    <w:pPr>
                      <w:rPr>
                        <w:rFonts w:ascii="Arial" w:hAnsi="Arial"/>
                        <w:b/>
                      </w:rPr>
                    </w:pPr>
                    <w:r>
                      <w:rPr>
                        <w:rFonts w:ascii="Arial" w:hAnsi="Arial"/>
                        <w:b/>
                      </w:rPr>
                      <w:t xml:space="preserve">45 </w:t>
                    </w:r>
                    <w:r w:rsidR="0070295C">
                      <w:rPr>
                        <w:rFonts w:ascii="Arial" w:hAnsi="Arial"/>
                        <w:b/>
                      </w:rPr>
                      <w:t>L</w:t>
                    </w:r>
                    <w:r>
                      <w:rPr>
                        <w:rFonts w:ascii="Arial" w:hAnsi="Arial"/>
                        <w:b/>
                      </w:rPr>
                      <w:t xml:space="preserve"> St., </w:t>
                    </w:r>
                    <w:r w:rsidR="0070295C">
                      <w:rPr>
                        <w:rFonts w:ascii="Arial" w:hAnsi="Arial"/>
                        <w:b/>
                      </w:rPr>
                      <w:t>N</w:t>
                    </w:r>
                    <w:r>
                      <w:rPr>
                        <w:rFonts w:ascii="Arial" w:hAnsi="Arial"/>
                        <w:b/>
                      </w:rPr>
                      <w:t>.</w:t>
                    </w:r>
                    <w:r w:rsidR="0070295C">
                      <w:rPr>
                        <w:rFonts w:ascii="Arial" w:hAnsi="Arial"/>
                        <w:b/>
                      </w:rPr>
                      <w:t>E</w:t>
                    </w:r>
                    <w:r>
                      <w:rPr>
                        <w:rFonts w:ascii="Arial" w:hAnsi="Arial"/>
                        <w:b/>
                      </w:rPr>
                      <w:t>.</w:t>
                    </w:r>
                  </w:p>
                  <w:p w:rsidR="009838BC" w:rsidP="009838BC" w14:paraId="2C2A62C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A590ABB"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049E61AF">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B525CB0" w14:textId="77777777">
                    <w:pPr>
                      <w:spacing w:before="40"/>
                      <w:jc w:val="right"/>
                      <w:rPr>
                        <w:rFonts w:ascii="Arial" w:hAnsi="Arial"/>
                        <w:b/>
                        <w:sz w:val="16"/>
                      </w:rPr>
                    </w:pPr>
                    <w:r>
                      <w:rPr>
                        <w:rFonts w:ascii="Arial" w:hAnsi="Arial"/>
                        <w:b/>
                        <w:sz w:val="16"/>
                      </w:rPr>
                      <w:t>News Media Information 202 / 418-0500</w:t>
                    </w:r>
                  </w:p>
                  <w:p w:rsidR="009838BC" w:rsidP="009838BC" w14:paraId="31BAA913" w14:textId="049E61AF">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60F50F46" w14:textId="77777777">
                    <w:pPr>
                      <w:jc w:val="right"/>
                    </w:pPr>
                    <w:r>
                      <w:rPr>
                        <w:rFonts w:ascii="Arial" w:hAnsi="Arial"/>
                        <w:b/>
                        <w:sz w:val="16"/>
                      </w:rPr>
                      <w:t>TTY: 1-888-835-5322</w:t>
                    </w:r>
                  </w:p>
                </w:txbxContent>
              </v:textbox>
            </v:shape>
          </w:pict>
        </mc:Fallback>
      </mc:AlternateContent>
    </w:r>
  </w:p>
  <w:p w:rsidR="006F7393" w:rsidRPr="009838BC" w:rsidP="009838BC" w14:paraId="74FD9D6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5C"/>
    <w:rsid w:val="00002FEE"/>
    <w:rsid w:val="000072CE"/>
    <w:rsid w:val="00012AFA"/>
    <w:rsid w:val="00013A8B"/>
    <w:rsid w:val="00021445"/>
    <w:rsid w:val="00022073"/>
    <w:rsid w:val="00030A6A"/>
    <w:rsid w:val="00036039"/>
    <w:rsid w:val="00037F90"/>
    <w:rsid w:val="00045C6A"/>
    <w:rsid w:val="00060D7F"/>
    <w:rsid w:val="00077D13"/>
    <w:rsid w:val="0008174D"/>
    <w:rsid w:val="00084C8B"/>
    <w:rsid w:val="000875BF"/>
    <w:rsid w:val="00096D8C"/>
    <w:rsid w:val="000C0B65"/>
    <w:rsid w:val="000D1E3E"/>
    <w:rsid w:val="000D2C1C"/>
    <w:rsid w:val="000D4BB3"/>
    <w:rsid w:val="000E386E"/>
    <w:rsid w:val="000E3D42"/>
    <w:rsid w:val="000E5884"/>
    <w:rsid w:val="001007A4"/>
    <w:rsid w:val="00101443"/>
    <w:rsid w:val="001172EF"/>
    <w:rsid w:val="00122BD5"/>
    <w:rsid w:val="00134BE7"/>
    <w:rsid w:val="001465FB"/>
    <w:rsid w:val="00153B06"/>
    <w:rsid w:val="00162001"/>
    <w:rsid w:val="001660EC"/>
    <w:rsid w:val="001854E2"/>
    <w:rsid w:val="0019508E"/>
    <w:rsid w:val="001979D9"/>
    <w:rsid w:val="001A60BA"/>
    <w:rsid w:val="001B0293"/>
    <w:rsid w:val="001D6BCF"/>
    <w:rsid w:val="001E01CA"/>
    <w:rsid w:val="001F2F8C"/>
    <w:rsid w:val="001F47AE"/>
    <w:rsid w:val="001F5CCE"/>
    <w:rsid w:val="002060D9"/>
    <w:rsid w:val="00226822"/>
    <w:rsid w:val="002307D3"/>
    <w:rsid w:val="00260594"/>
    <w:rsid w:val="00276435"/>
    <w:rsid w:val="00282619"/>
    <w:rsid w:val="00284E25"/>
    <w:rsid w:val="00285017"/>
    <w:rsid w:val="0028626E"/>
    <w:rsid w:val="002A2D2E"/>
    <w:rsid w:val="002A68B6"/>
    <w:rsid w:val="002B6E7C"/>
    <w:rsid w:val="002C0392"/>
    <w:rsid w:val="00300A14"/>
    <w:rsid w:val="00311B17"/>
    <w:rsid w:val="00311F74"/>
    <w:rsid w:val="00312D5C"/>
    <w:rsid w:val="00316D91"/>
    <w:rsid w:val="00343749"/>
    <w:rsid w:val="00347774"/>
    <w:rsid w:val="00357D50"/>
    <w:rsid w:val="00373826"/>
    <w:rsid w:val="003755BC"/>
    <w:rsid w:val="00381F78"/>
    <w:rsid w:val="003925DC"/>
    <w:rsid w:val="003B0550"/>
    <w:rsid w:val="003B694F"/>
    <w:rsid w:val="003C76B1"/>
    <w:rsid w:val="003E5ABD"/>
    <w:rsid w:val="003E66D7"/>
    <w:rsid w:val="003E72DE"/>
    <w:rsid w:val="003F171C"/>
    <w:rsid w:val="00410292"/>
    <w:rsid w:val="00412FC5"/>
    <w:rsid w:val="00422276"/>
    <w:rsid w:val="004242F1"/>
    <w:rsid w:val="004326CD"/>
    <w:rsid w:val="00445A00"/>
    <w:rsid w:val="00450FC2"/>
    <w:rsid w:val="00451B0F"/>
    <w:rsid w:val="0046125F"/>
    <w:rsid w:val="00474F50"/>
    <w:rsid w:val="004818A8"/>
    <w:rsid w:val="00487524"/>
    <w:rsid w:val="00492F64"/>
    <w:rsid w:val="004958D4"/>
    <w:rsid w:val="00496106"/>
    <w:rsid w:val="004A58F4"/>
    <w:rsid w:val="004B19B0"/>
    <w:rsid w:val="004B57A2"/>
    <w:rsid w:val="004C12D0"/>
    <w:rsid w:val="004C2EE3"/>
    <w:rsid w:val="004D3296"/>
    <w:rsid w:val="004E0A0C"/>
    <w:rsid w:val="004E4A22"/>
    <w:rsid w:val="004F7394"/>
    <w:rsid w:val="00503997"/>
    <w:rsid w:val="00511968"/>
    <w:rsid w:val="00535661"/>
    <w:rsid w:val="00540D89"/>
    <w:rsid w:val="0055614C"/>
    <w:rsid w:val="00586677"/>
    <w:rsid w:val="005A736D"/>
    <w:rsid w:val="005C59D1"/>
    <w:rsid w:val="005D2712"/>
    <w:rsid w:val="005E0043"/>
    <w:rsid w:val="005F09A1"/>
    <w:rsid w:val="005F54B2"/>
    <w:rsid w:val="00607BA5"/>
    <w:rsid w:val="00620964"/>
    <w:rsid w:val="00626EB6"/>
    <w:rsid w:val="00632BD5"/>
    <w:rsid w:val="006353A3"/>
    <w:rsid w:val="00635CC1"/>
    <w:rsid w:val="00655D03"/>
    <w:rsid w:val="00683F84"/>
    <w:rsid w:val="006A6A81"/>
    <w:rsid w:val="006B75A0"/>
    <w:rsid w:val="006D0988"/>
    <w:rsid w:val="006D3BA5"/>
    <w:rsid w:val="006E26AF"/>
    <w:rsid w:val="006E4ECB"/>
    <w:rsid w:val="006E7128"/>
    <w:rsid w:val="006F7393"/>
    <w:rsid w:val="0070086B"/>
    <w:rsid w:val="0070224F"/>
    <w:rsid w:val="0070295C"/>
    <w:rsid w:val="007115F7"/>
    <w:rsid w:val="007125A6"/>
    <w:rsid w:val="0072418B"/>
    <w:rsid w:val="0072477F"/>
    <w:rsid w:val="007257A0"/>
    <w:rsid w:val="00725AFD"/>
    <w:rsid w:val="007330E7"/>
    <w:rsid w:val="00753F6F"/>
    <w:rsid w:val="0076428F"/>
    <w:rsid w:val="00771EC7"/>
    <w:rsid w:val="007779B5"/>
    <w:rsid w:val="00785689"/>
    <w:rsid w:val="0079298E"/>
    <w:rsid w:val="0079754B"/>
    <w:rsid w:val="007A1E6D"/>
    <w:rsid w:val="007C2CB1"/>
    <w:rsid w:val="007D1B00"/>
    <w:rsid w:val="007E6914"/>
    <w:rsid w:val="00810FA7"/>
    <w:rsid w:val="00822CE0"/>
    <w:rsid w:val="00835001"/>
    <w:rsid w:val="00837C62"/>
    <w:rsid w:val="00841AB1"/>
    <w:rsid w:val="00852D8D"/>
    <w:rsid w:val="00866706"/>
    <w:rsid w:val="00884E3B"/>
    <w:rsid w:val="0088784C"/>
    <w:rsid w:val="0089064A"/>
    <w:rsid w:val="00892AD6"/>
    <w:rsid w:val="008C0C5D"/>
    <w:rsid w:val="008C22FD"/>
    <w:rsid w:val="008D2E82"/>
    <w:rsid w:val="008D4B0E"/>
    <w:rsid w:val="00910F12"/>
    <w:rsid w:val="00912D2C"/>
    <w:rsid w:val="00915297"/>
    <w:rsid w:val="00926503"/>
    <w:rsid w:val="00930ECF"/>
    <w:rsid w:val="00963C4C"/>
    <w:rsid w:val="009838BC"/>
    <w:rsid w:val="009A1272"/>
    <w:rsid w:val="00A13658"/>
    <w:rsid w:val="00A26248"/>
    <w:rsid w:val="00A310CE"/>
    <w:rsid w:val="00A4417D"/>
    <w:rsid w:val="00A45F4F"/>
    <w:rsid w:val="00A51D1D"/>
    <w:rsid w:val="00A600A9"/>
    <w:rsid w:val="00A866AC"/>
    <w:rsid w:val="00AA55B7"/>
    <w:rsid w:val="00AA5B9E"/>
    <w:rsid w:val="00AB2407"/>
    <w:rsid w:val="00AB47C8"/>
    <w:rsid w:val="00AB53DF"/>
    <w:rsid w:val="00AD7851"/>
    <w:rsid w:val="00B07E5C"/>
    <w:rsid w:val="00B20363"/>
    <w:rsid w:val="00B306BD"/>
    <w:rsid w:val="00B326E3"/>
    <w:rsid w:val="00B34276"/>
    <w:rsid w:val="00B7656B"/>
    <w:rsid w:val="00B811F7"/>
    <w:rsid w:val="00BA5DC6"/>
    <w:rsid w:val="00BA6196"/>
    <w:rsid w:val="00BB204C"/>
    <w:rsid w:val="00BC6D8C"/>
    <w:rsid w:val="00BF0559"/>
    <w:rsid w:val="00C16AF2"/>
    <w:rsid w:val="00C2567A"/>
    <w:rsid w:val="00C30A3F"/>
    <w:rsid w:val="00C34006"/>
    <w:rsid w:val="00C426B1"/>
    <w:rsid w:val="00C470BA"/>
    <w:rsid w:val="00C82B6B"/>
    <w:rsid w:val="00C90D6A"/>
    <w:rsid w:val="00C92081"/>
    <w:rsid w:val="00C94AAA"/>
    <w:rsid w:val="00CC5967"/>
    <w:rsid w:val="00CC72B6"/>
    <w:rsid w:val="00CD14A6"/>
    <w:rsid w:val="00CD7835"/>
    <w:rsid w:val="00CE632A"/>
    <w:rsid w:val="00CF563A"/>
    <w:rsid w:val="00D00FF1"/>
    <w:rsid w:val="00D0218D"/>
    <w:rsid w:val="00D032EE"/>
    <w:rsid w:val="00D04CC2"/>
    <w:rsid w:val="00D216CD"/>
    <w:rsid w:val="00D32738"/>
    <w:rsid w:val="00D50954"/>
    <w:rsid w:val="00D55127"/>
    <w:rsid w:val="00D60CFD"/>
    <w:rsid w:val="00D60D75"/>
    <w:rsid w:val="00D61725"/>
    <w:rsid w:val="00D700B5"/>
    <w:rsid w:val="00D71E87"/>
    <w:rsid w:val="00D73A96"/>
    <w:rsid w:val="00D802DF"/>
    <w:rsid w:val="00D815E4"/>
    <w:rsid w:val="00D8692B"/>
    <w:rsid w:val="00D92E08"/>
    <w:rsid w:val="00D97F02"/>
    <w:rsid w:val="00DA2529"/>
    <w:rsid w:val="00DB067D"/>
    <w:rsid w:val="00DB130A"/>
    <w:rsid w:val="00DC10A1"/>
    <w:rsid w:val="00DC655F"/>
    <w:rsid w:val="00DD7EBD"/>
    <w:rsid w:val="00DF230B"/>
    <w:rsid w:val="00DF5869"/>
    <w:rsid w:val="00DF62B6"/>
    <w:rsid w:val="00DF78F6"/>
    <w:rsid w:val="00E01682"/>
    <w:rsid w:val="00E05409"/>
    <w:rsid w:val="00E07225"/>
    <w:rsid w:val="00E12B8B"/>
    <w:rsid w:val="00E155B7"/>
    <w:rsid w:val="00E31CBE"/>
    <w:rsid w:val="00E3635C"/>
    <w:rsid w:val="00E36EA3"/>
    <w:rsid w:val="00E5409F"/>
    <w:rsid w:val="00E77405"/>
    <w:rsid w:val="00E82451"/>
    <w:rsid w:val="00E96918"/>
    <w:rsid w:val="00E9742C"/>
    <w:rsid w:val="00EC0185"/>
    <w:rsid w:val="00EC66DB"/>
    <w:rsid w:val="00EF0C9B"/>
    <w:rsid w:val="00F001C1"/>
    <w:rsid w:val="00F021FA"/>
    <w:rsid w:val="00F1494A"/>
    <w:rsid w:val="00F25F86"/>
    <w:rsid w:val="00F57ACA"/>
    <w:rsid w:val="00F62E97"/>
    <w:rsid w:val="00F64209"/>
    <w:rsid w:val="00F65A16"/>
    <w:rsid w:val="00F77C29"/>
    <w:rsid w:val="00F93BF5"/>
    <w:rsid w:val="00F943EE"/>
    <w:rsid w:val="00F96F63"/>
    <w:rsid w:val="00FA5DC6"/>
    <w:rsid w:val="00FA5F32"/>
    <w:rsid w:val="00FA6D20"/>
    <w:rsid w:val="00FB4D2B"/>
    <w:rsid w:val="00FC0900"/>
    <w:rsid w:val="00FC4E6B"/>
    <w:rsid w:val="00FD01A8"/>
    <w:rsid w:val="00FD08D1"/>
    <w:rsid w:val="00FD6D1E"/>
    <w:rsid w:val="00FF7C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BB121F"/>
  <w15:chartTrackingRefBased/>
  <w15:docId w15:val="{0BD0F7C3-902C-4522-8ACF-D2A05BEB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702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5C"/>
    <w:rPr>
      <w:rFonts w:ascii="Segoe UI" w:hAnsi="Segoe UI" w:cs="Segoe UI"/>
      <w:snapToGrid w:val="0"/>
      <w:kern w:val="28"/>
      <w:sz w:val="18"/>
      <w:szCs w:val="18"/>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70295C"/>
  </w:style>
  <w:style w:type="character" w:customStyle="1" w:styleId="FootnoteTextCharCharChar4CharChar">
    <w:name w:val="Footnote Text Char Char Char4 Char Char"/>
    <w:aliases w:val="Footnote Text Char1 Char,Footnote Text Char4 Char1 Char Char,Footnote Text Char4 Char1 Char Char Char Char Char,Footnote Text Char7 Char Char,f Char,fn Char1"/>
    <w:locked/>
    <w:rsid w:val="00D97F02"/>
  </w:style>
  <w:style w:type="character" w:customStyle="1" w:styleId="ParaNumChar">
    <w:name w:val="ParaNum Char"/>
    <w:link w:val="ParaNum"/>
    <w:rsid w:val="005E0043"/>
    <w:rPr>
      <w:snapToGrid w:val="0"/>
      <w:kern w:val="28"/>
      <w:sz w:val="22"/>
    </w:rPr>
  </w:style>
  <w:style w:type="character" w:customStyle="1" w:styleId="UnresolvedMention">
    <w:name w:val="Unresolved Mention"/>
    <w:basedOn w:val="DefaultParagraphFont"/>
    <w:uiPriority w:val="99"/>
    <w:rsid w:val="005E0043"/>
    <w:rPr>
      <w:color w:val="605E5C"/>
      <w:shd w:val="clear" w:color="auto" w:fill="E1DFDD"/>
    </w:rPr>
  </w:style>
  <w:style w:type="character" w:styleId="CommentReference">
    <w:name w:val="annotation reference"/>
    <w:basedOn w:val="DefaultParagraphFont"/>
    <w:uiPriority w:val="99"/>
    <w:semiHidden/>
    <w:unhideWhenUsed/>
    <w:rsid w:val="00084C8B"/>
    <w:rPr>
      <w:sz w:val="16"/>
      <w:szCs w:val="16"/>
    </w:rPr>
  </w:style>
  <w:style w:type="paragraph" w:styleId="CommentText">
    <w:name w:val="annotation text"/>
    <w:basedOn w:val="Normal"/>
    <w:link w:val="CommentTextChar"/>
    <w:uiPriority w:val="99"/>
    <w:unhideWhenUsed/>
    <w:rsid w:val="00084C8B"/>
    <w:rPr>
      <w:sz w:val="20"/>
    </w:rPr>
  </w:style>
  <w:style w:type="character" w:customStyle="1" w:styleId="CommentTextChar">
    <w:name w:val="Comment Text Char"/>
    <w:basedOn w:val="DefaultParagraphFont"/>
    <w:link w:val="CommentText"/>
    <w:uiPriority w:val="99"/>
    <w:rsid w:val="00084C8B"/>
    <w:rPr>
      <w:snapToGrid w:val="0"/>
      <w:kern w:val="28"/>
    </w:rPr>
  </w:style>
  <w:style w:type="paragraph" w:styleId="CommentSubject">
    <w:name w:val="annotation subject"/>
    <w:basedOn w:val="CommentText"/>
    <w:next w:val="CommentText"/>
    <w:link w:val="CommentSubjectChar"/>
    <w:uiPriority w:val="99"/>
    <w:semiHidden/>
    <w:unhideWhenUsed/>
    <w:rsid w:val="00084C8B"/>
    <w:rPr>
      <w:b/>
      <w:bCs/>
    </w:rPr>
  </w:style>
  <w:style w:type="character" w:customStyle="1" w:styleId="CommentSubjectChar">
    <w:name w:val="Comment Subject Char"/>
    <w:basedOn w:val="CommentTextChar"/>
    <w:link w:val="CommentSubject"/>
    <w:uiPriority w:val="99"/>
    <w:semiHidden/>
    <w:rsid w:val="00084C8B"/>
    <w:rPr>
      <w:b/>
      <w:bCs/>
      <w:snapToGrid w:val="0"/>
      <w:kern w:val="28"/>
    </w:rPr>
  </w:style>
  <w:style w:type="paragraph" w:styleId="Revision">
    <w:name w:val="Revision"/>
    <w:hidden/>
    <w:uiPriority w:val="99"/>
    <w:semiHidden/>
    <w:rsid w:val="00D71E87"/>
    <w:rPr>
      <w:snapToGrid w:val="0"/>
      <w:kern w:val="28"/>
      <w:sz w:val="22"/>
    </w:rPr>
  </w:style>
  <w:style w:type="character" w:styleId="FollowedHyperlink">
    <w:name w:val="FollowedHyperlink"/>
    <w:basedOn w:val="DefaultParagraphFont"/>
    <w:uiPriority w:val="99"/>
    <w:semiHidden/>
    <w:unhideWhenUsed/>
    <w:rsid w:val="00E31C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ensus.gov/cgi-bin/geo/shapefiles/index.php" TargetMode="External" /><Relationship Id="rId2" Type="http://schemas.openxmlformats.org/officeDocument/2006/relationships/hyperlink" Target="https://www.fcc.gov/oet/maps/area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