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D3121" w:rsidRPr="00B20363" w:rsidP="00722211" w14:paraId="58257A91" w14:textId="769958CD">
      <w:pPr>
        <w:jc w:val="right"/>
        <w:rPr>
          <w:b/>
          <w:sz w:val="24"/>
        </w:rPr>
      </w:pPr>
      <w:r>
        <w:rPr>
          <w:b/>
          <w:sz w:val="24"/>
        </w:rPr>
        <w:t>DA 21-</w:t>
      </w:r>
      <w:r w:rsidR="00AD7B5C">
        <w:rPr>
          <w:b/>
          <w:sz w:val="24"/>
        </w:rPr>
        <w:t>454</w:t>
      </w:r>
    </w:p>
    <w:p w:rsidR="002D3121" w:rsidRPr="00B20363" w:rsidP="002D3121" w14:paraId="30DC03BD" w14:textId="15A187AA">
      <w:pPr>
        <w:spacing w:before="60"/>
        <w:jc w:val="right"/>
        <w:rPr>
          <w:b/>
          <w:sz w:val="24"/>
        </w:rPr>
      </w:pPr>
      <w:r>
        <w:rPr>
          <w:b/>
          <w:sz w:val="24"/>
        </w:rPr>
        <w:t xml:space="preserve">Released:  </w:t>
      </w:r>
      <w:r w:rsidR="00AA4ADC">
        <w:rPr>
          <w:b/>
          <w:sz w:val="24"/>
        </w:rPr>
        <w:t xml:space="preserve">April </w:t>
      </w:r>
      <w:r w:rsidR="00CC6DDB">
        <w:rPr>
          <w:b/>
          <w:sz w:val="24"/>
        </w:rPr>
        <w:t>20</w:t>
      </w:r>
      <w:r>
        <w:rPr>
          <w:b/>
          <w:sz w:val="24"/>
        </w:rPr>
        <w:t>, 2021</w:t>
      </w:r>
    </w:p>
    <w:p w:rsidR="002D3121" w:rsidRPr="00A94AB3" w:rsidP="002D3121" w14:paraId="03883531" w14:textId="77777777">
      <w:pPr>
        <w:jc w:val="right"/>
        <w:rPr>
          <w:sz w:val="24"/>
        </w:rPr>
      </w:pPr>
    </w:p>
    <w:p w:rsidR="002D3121" w:rsidRPr="004C576C" w:rsidP="002D3121" w14:paraId="1B6D4FE0" w14:textId="7F175015">
      <w:pPr>
        <w:spacing w:after="240"/>
        <w:jc w:val="center"/>
        <w:rPr>
          <w:rFonts w:ascii="Times New Roman Bold" w:hAnsi="Times New Roman Bold"/>
          <w:b/>
          <w:caps/>
          <w:sz w:val="24"/>
          <w:szCs w:val="24"/>
        </w:rPr>
      </w:pPr>
      <w:bookmarkStart w:id="0" w:name="_Hlk69807274"/>
      <w:r w:rsidRPr="004C576C">
        <w:rPr>
          <w:b/>
          <w:bCs/>
          <w:snapToGrid/>
          <w:kern w:val="0"/>
          <w:sz w:val="24"/>
          <w:szCs w:val="24"/>
        </w:rPr>
        <w:t xml:space="preserve">WIRELINE COMPETITION BUREAU ANNOUNCES </w:t>
      </w:r>
      <w:r w:rsidR="00911A43">
        <w:rPr>
          <w:b/>
          <w:bCs/>
          <w:snapToGrid/>
          <w:kern w:val="0"/>
          <w:sz w:val="24"/>
          <w:szCs w:val="24"/>
        </w:rPr>
        <w:t>OPENING OF ROBOCALL MITIGATION DATABASE</w:t>
      </w:r>
      <w:r w:rsidR="004B4E83">
        <w:rPr>
          <w:b/>
          <w:bCs/>
          <w:snapToGrid/>
          <w:kern w:val="0"/>
          <w:sz w:val="24"/>
          <w:szCs w:val="24"/>
        </w:rPr>
        <w:t xml:space="preserve"> AND</w:t>
      </w:r>
      <w:r w:rsidR="00911A43">
        <w:rPr>
          <w:b/>
          <w:bCs/>
          <w:snapToGrid/>
          <w:kern w:val="0"/>
          <w:sz w:val="24"/>
          <w:szCs w:val="24"/>
        </w:rPr>
        <w:t xml:space="preserve"> </w:t>
      </w:r>
      <w:r w:rsidR="004B4E83">
        <w:rPr>
          <w:b/>
          <w:bCs/>
          <w:snapToGrid/>
          <w:kern w:val="0"/>
          <w:sz w:val="24"/>
          <w:szCs w:val="24"/>
        </w:rPr>
        <w:t xml:space="preserve">PROVIDES </w:t>
      </w:r>
      <w:r w:rsidR="00911A43">
        <w:rPr>
          <w:b/>
          <w:bCs/>
          <w:snapToGrid/>
          <w:kern w:val="0"/>
          <w:sz w:val="24"/>
          <w:szCs w:val="24"/>
        </w:rPr>
        <w:t>FILING INSTRUCTIONS AND</w:t>
      </w:r>
      <w:r w:rsidR="00BF6A4C">
        <w:rPr>
          <w:b/>
          <w:bCs/>
          <w:snapToGrid/>
          <w:kern w:val="0"/>
          <w:sz w:val="24"/>
          <w:szCs w:val="24"/>
        </w:rPr>
        <w:t xml:space="preserve"> </w:t>
      </w:r>
      <w:r w:rsidR="00911A43">
        <w:rPr>
          <w:b/>
          <w:bCs/>
          <w:snapToGrid/>
          <w:kern w:val="0"/>
          <w:sz w:val="24"/>
          <w:szCs w:val="24"/>
        </w:rPr>
        <w:t>DEADLINES</w:t>
      </w:r>
    </w:p>
    <w:bookmarkEnd w:id="0"/>
    <w:p w:rsidR="002D3121" w:rsidRPr="00AD7B5C" w:rsidP="002D3121" w14:paraId="4B9E0B42" w14:textId="77777777">
      <w:pPr>
        <w:jc w:val="center"/>
        <w:rPr>
          <w:b/>
          <w:szCs w:val="22"/>
        </w:rPr>
      </w:pPr>
      <w:r w:rsidRPr="00AD7B5C">
        <w:rPr>
          <w:b/>
          <w:szCs w:val="22"/>
        </w:rPr>
        <w:t>WC Docket No. 17-97</w:t>
      </w:r>
    </w:p>
    <w:p w:rsidR="002D3121" w:rsidP="002D3121" w14:paraId="0922B660" w14:textId="77777777">
      <w:pPr>
        <w:jc w:val="center"/>
        <w:rPr>
          <w:b/>
          <w:sz w:val="24"/>
        </w:rPr>
      </w:pPr>
    </w:p>
    <w:p w:rsidR="0055014C" w:rsidRPr="00B33D16" w:rsidP="0055014C" w14:paraId="706884A3" w14:textId="67402FDA">
      <w:pPr>
        <w:widowControl/>
        <w:spacing w:after="120"/>
        <w:ind w:firstLine="720"/>
        <w:rPr>
          <w:color w:val="000000"/>
          <w:szCs w:val="22"/>
        </w:rPr>
      </w:pPr>
      <w:r w:rsidRPr="00B33D16">
        <w:rPr>
          <w:color w:val="000000"/>
          <w:szCs w:val="22"/>
        </w:rPr>
        <w:t>In</w:t>
      </w:r>
      <w:r w:rsidRPr="00B33D16" w:rsidR="002D3121">
        <w:rPr>
          <w:color w:val="000000"/>
          <w:szCs w:val="22"/>
        </w:rPr>
        <w:t xml:space="preserve"> this Public Notice, the Wireline Competition Bureau (Bureau)</w:t>
      </w:r>
      <w:r w:rsidRPr="00B33D16">
        <w:rPr>
          <w:color w:val="000000"/>
          <w:szCs w:val="22"/>
        </w:rPr>
        <w:t xml:space="preserve"> </w:t>
      </w:r>
      <w:bookmarkStart w:id="1" w:name="_Hlk69807408"/>
      <w:r w:rsidRPr="00B33D16">
        <w:rPr>
          <w:color w:val="000000"/>
          <w:szCs w:val="22"/>
        </w:rPr>
        <w:t xml:space="preserve">announces the </w:t>
      </w:r>
      <w:r w:rsidR="007402B7">
        <w:rPr>
          <w:color w:val="000000"/>
          <w:szCs w:val="22"/>
        </w:rPr>
        <w:t xml:space="preserve">immediate </w:t>
      </w:r>
      <w:r w:rsidRPr="00B33D16">
        <w:rPr>
          <w:color w:val="000000"/>
          <w:szCs w:val="22"/>
        </w:rPr>
        <w:t>opening of the Robocall Mitigation Database</w:t>
      </w:r>
      <w:r w:rsidRPr="00B33D16" w:rsidR="00EB4CEB">
        <w:rPr>
          <w:color w:val="000000"/>
          <w:szCs w:val="22"/>
        </w:rPr>
        <w:t xml:space="preserve">, provides detailed filing instructions, and establishes a </w:t>
      </w:r>
      <w:r w:rsidRPr="007402B7" w:rsidR="00EB4CEB">
        <w:rPr>
          <w:b/>
          <w:bCs/>
          <w:color w:val="000000"/>
          <w:szCs w:val="22"/>
        </w:rPr>
        <w:t>June 30, 2021</w:t>
      </w:r>
      <w:r w:rsidRPr="00B33D16" w:rsidR="00EB4CEB">
        <w:rPr>
          <w:color w:val="000000"/>
          <w:szCs w:val="22"/>
        </w:rPr>
        <w:t xml:space="preserve"> deadline for voice service providers to submit required information in the Database.</w:t>
      </w:r>
      <w:r w:rsidR="00536125">
        <w:rPr>
          <w:color w:val="000000"/>
          <w:szCs w:val="22"/>
        </w:rPr>
        <w:t xml:space="preserve">  </w:t>
      </w:r>
      <w:bookmarkEnd w:id="1"/>
      <w:r w:rsidR="00A26852">
        <w:rPr>
          <w:color w:val="000000"/>
          <w:szCs w:val="22"/>
        </w:rPr>
        <w:t>Based</w:t>
      </w:r>
      <w:r w:rsidR="007402B7">
        <w:rPr>
          <w:color w:val="000000"/>
          <w:szCs w:val="22"/>
        </w:rPr>
        <w:t xml:space="preserve"> o</w:t>
      </w:r>
      <w:r w:rsidR="00A26852">
        <w:rPr>
          <w:color w:val="000000"/>
          <w:szCs w:val="22"/>
        </w:rPr>
        <w:t>n</w:t>
      </w:r>
      <w:r w:rsidR="007402B7">
        <w:rPr>
          <w:color w:val="000000"/>
          <w:szCs w:val="22"/>
        </w:rPr>
        <w:t xml:space="preserve"> this deadline,</w:t>
      </w:r>
      <w:r w:rsidRPr="003759C8" w:rsidR="003759C8">
        <w:rPr>
          <w:color w:val="000000"/>
          <w:szCs w:val="22"/>
        </w:rPr>
        <w:t xml:space="preserve"> </w:t>
      </w:r>
      <w:r w:rsidR="007402B7">
        <w:rPr>
          <w:color w:val="000000"/>
          <w:szCs w:val="22"/>
        </w:rPr>
        <w:t>i</w:t>
      </w:r>
      <w:r w:rsidRPr="00B33D16" w:rsidR="003759C8">
        <w:rPr>
          <w:color w:val="000000"/>
          <w:szCs w:val="22"/>
        </w:rPr>
        <w:t xml:space="preserve">ntermediate providers and terminating voice service providers will be prohibited from accepting traffic from voice service providers not listed in the Robocall Mitigation Database beginning </w:t>
      </w:r>
      <w:r w:rsidRPr="00A33DF6" w:rsidR="003759C8">
        <w:rPr>
          <w:b/>
          <w:bCs/>
          <w:color w:val="000000"/>
          <w:szCs w:val="22"/>
        </w:rPr>
        <w:t>September 28, 2021</w:t>
      </w:r>
      <w:r w:rsidRPr="00B33D16" w:rsidR="003759C8">
        <w:rPr>
          <w:color w:val="000000"/>
          <w:szCs w:val="22"/>
        </w:rPr>
        <w:t>.</w:t>
      </w:r>
    </w:p>
    <w:p w:rsidR="00364B8B" w:rsidRPr="00B33D16" w:rsidP="00364B8B" w14:paraId="4FEF5D98" w14:textId="2C23CA01">
      <w:pPr>
        <w:widowControl/>
        <w:spacing w:after="120"/>
        <w:ind w:firstLine="720"/>
        <w:rPr>
          <w:color w:val="000000"/>
          <w:szCs w:val="22"/>
        </w:rPr>
      </w:pPr>
      <w:r w:rsidRPr="00B33D16">
        <w:rPr>
          <w:color w:val="000000"/>
          <w:szCs w:val="22"/>
        </w:rPr>
        <w:t>In March</w:t>
      </w:r>
      <w:r w:rsidRPr="00B33D16" w:rsidR="006C1D55">
        <w:rPr>
          <w:color w:val="000000"/>
          <w:szCs w:val="22"/>
        </w:rPr>
        <w:t xml:space="preserve"> 2020, acting pursuant to </w:t>
      </w:r>
      <w:r w:rsidRPr="00B33D16" w:rsidR="002D3121">
        <w:rPr>
          <w:color w:val="000000"/>
          <w:szCs w:val="22"/>
        </w:rPr>
        <w:t>the Pallone-Thune Telephone Robocall Abuse Criminal Enforcement and Deterrence (TRACED</w:t>
      </w:r>
      <w:r w:rsidRPr="00B33D16" w:rsidR="001A114C">
        <w:rPr>
          <w:color w:val="000000"/>
          <w:szCs w:val="22"/>
        </w:rPr>
        <w:t>)</w:t>
      </w:r>
      <w:r w:rsidRPr="00B33D16" w:rsidR="002D3121">
        <w:rPr>
          <w:color w:val="000000"/>
          <w:szCs w:val="22"/>
        </w:rPr>
        <w:t xml:space="preserve"> Act</w:t>
      </w:r>
      <w:r w:rsidRPr="00B33D16" w:rsidR="006C1D55">
        <w:rPr>
          <w:color w:val="000000"/>
          <w:szCs w:val="22"/>
        </w:rPr>
        <w:t>,</w:t>
      </w:r>
      <w:r>
        <w:rPr>
          <w:rStyle w:val="FootnoteReference"/>
          <w:szCs w:val="22"/>
        </w:rPr>
        <w:footnoteReference w:id="3"/>
      </w:r>
      <w:r w:rsidRPr="00B33D16" w:rsidR="006C1D55">
        <w:rPr>
          <w:color w:val="000000"/>
          <w:szCs w:val="22"/>
        </w:rPr>
        <w:t xml:space="preserve"> the Commission adopted rules requiring voice service providers to</w:t>
      </w:r>
      <w:r w:rsidRPr="00B33D16">
        <w:rPr>
          <w:color w:val="000000"/>
          <w:szCs w:val="22"/>
        </w:rPr>
        <w:t xml:space="preserve"> implement STIR/SHAKEN caller ID authentication technology in the Internet Protocol (IP) portions of their network</w:t>
      </w:r>
      <w:r w:rsidR="00E342CE">
        <w:rPr>
          <w:color w:val="000000"/>
          <w:szCs w:val="22"/>
        </w:rPr>
        <w:t>s</w:t>
      </w:r>
      <w:r w:rsidRPr="00B33D16">
        <w:rPr>
          <w:color w:val="000000"/>
          <w:szCs w:val="22"/>
        </w:rPr>
        <w:t>.</w:t>
      </w:r>
      <w:r>
        <w:rPr>
          <w:rStyle w:val="FootnoteReference"/>
          <w:szCs w:val="22"/>
        </w:rPr>
        <w:footnoteReference w:id="4"/>
      </w:r>
      <w:r w:rsidRPr="00B33D16">
        <w:rPr>
          <w:color w:val="000000"/>
          <w:szCs w:val="22"/>
        </w:rPr>
        <w:t xml:space="preserve">  Thereafter, in accordance with the TRACED Act, the Commission granted extensions </w:t>
      </w:r>
      <w:r w:rsidR="0086704C">
        <w:rPr>
          <w:color w:val="000000"/>
          <w:szCs w:val="22"/>
        </w:rPr>
        <w:t>for</w:t>
      </w:r>
      <w:r w:rsidRPr="00B33D16" w:rsidR="00711948">
        <w:rPr>
          <w:color w:val="000000"/>
          <w:szCs w:val="22"/>
        </w:rPr>
        <w:t xml:space="preserve"> compliance with this deadline </w:t>
      </w:r>
      <w:r w:rsidRPr="00B33D16">
        <w:rPr>
          <w:color w:val="000000"/>
          <w:szCs w:val="22"/>
        </w:rPr>
        <w:t>to certain classes of providers,</w:t>
      </w:r>
      <w:r>
        <w:rPr>
          <w:rStyle w:val="FootnoteReference"/>
          <w:szCs w:val="22"/>
        </w:rPr>
        <w:footnoteReference w:id="5"/>
      </w:r>
      <w:r w:rsidRPr="00B33D16">
        <w:rPr>
          <w:color w:val="000000"/>
          <w:szCs w:val="22"/>
        </w:rPr>
        <w:t xml:space="preserve"> and required</w:t>
      </w:r>
      <w:r w:rsidRPr="00B33D16" w:rsidR="00711948">
        <w:rPr>
          <w:color w:val="000000"/>
          <w:szCs w:val="22"/>
        </w:rPr>
        <w:t xml:space="preserve"> those voice service</w:t>
      </w:r>
      <w:r w:rsidRPr="00B33D16">
        <w:rPr>
          <w:color w:val="000000"/>
          <w:szCs w:val="22"/>
        </w:rPr>
        <w:t xml:space="preserve"> provi</w:t>
      </w:r>
      <w:r w:rsidRPr="00B33D16" w:rsidR="00711948">
        <w:rPr>
          <w:color w:val="000000"/>
          <w:szCs w:val="22"/>
        </w:rPr>
        <w:t>ders with an extension to implement robocall mitigation programs to</w:t>
      </w:r>
      <w:r w:rsidR="00690CD3">
        <w:rPr>
          <w:color w:val="000000"/>
          <w:szCs w:val="22"/>
        </w:rPr>
        <w:t xml:space="preserve"> </w:t>
      </w:r>
      <w:r w:rsidRPr="00B33D16" w:rsidR="00711948">
        <w:rPr>
          <w:color w:val="000000"/>
          <w:szCs w:val="22"/>
        </w:rPr>
        <w:t>combat the origination of illegal robocalls on their networks.</w:t>
      </w:r>
      <w:r>
        <w:rPr>
          <w:rStyle w:val="FootnoteReference"/>
          <w:szCs w:val="22"/>
        </w:rPr>
        <w:footnoteReference w:id="6"/>
      </w:r>
    </w:p>
    <w:p w:rsidR="002C152E" w:rsidRPr="00B33D16" w:rsidP="009D0600" w14:paraId="0C988C1D" w14:textId="1CF5383C">
      <w:pPr>
        <w:widowControl/>
        <w:spacing w:after="120"/>
        <w:ind w:firstLine="720"/>
        <w:rPr>
          <w:color w:val="000000"/>
          <w:szCs w:val="22"/>
        </w:rPr>
      </w:pPr>
      <w:r w:rsidRPr="00B33D16">
        <w:rPr>
          <w:color w:val="000000"/>
          <w:szCs w:val="22"/>
        </w:rPr>
        <w:t>The TRACED Act directs the Commission to require all voice service providers with an extension to “implement an appropriate robocall mitigation program to prevent unlawful robocalls from originating on the network of the provider.”</w:t>
      </w:r>
      <w:r>
        <w:rPr>
          <w:rStyle w:val="FootnoteReference"/>
          <w:szCs w:val="22"/>
        </w:rPr>
        <w:footnoteReference w:id="7"/>
      </w:r>
      <w:r w:rsidR="00F275AD">
        <w:rPr>
          <w:color w:val="000000"/>
          <w:szCs w:val="22"/>
        </w:rPr>
        <w:t xml:space="preserve">  </w:t>
      </w:r>
      <w:r w:rsidRPr="00F275AD" w:rsidR="00F275AD">
        <w:rPr>
          <w:color w:val="000000"/>
          <w:szCs w:val="22"/>
        </w:rPr>
        <w:t>The Commission required voice service providers</w:t>
      </w:r>
      <w:r w:rsidR="00F275AD">
        <w:rPr>
          <w:color w:val="000000"/>
          <w:szCs w:val="22"/>
        </w:rPr>
        <w:t xml:space="preserve"> subject to an extension</w:t>
      </w:r>
      <w:r w:rsidRPr="00F275AD" w:rsidR="00F275AD">
        <w:rPr>
          <w:color w:val="000000"/>
          <w:szCs w:val="22"/>
        </w:rPr>
        <w:t xml:space="preserve"> </w:t>
      </w:r>
      <w:r w:rsidR="007A2FD6">
        <w:rPr>
          <w:color w:val="000000"/>
          <w:szCs w:val="22"/>
        </w:rPr>
        <w:t xml:space="preserve">to </w:t>
      </w:r>
      <w:r w:rsidRPr="00F275AD" w:rsidR="00F275AD">
        <w:rPr>
          <w:color w:val="000000"/>
          <w:szCs w:val="22"/>
        </w:rPr>
        <w:t>certify what method</w:t>
      </w:r>
      <w:r w:rsidR="00F275AD">
        <w:rPr>
          <w:color w:val="000000"/>
          <w:szCs w:val="22"/>
        </w:rPr>
        <w:t>s</w:t>
      </w:r>
      <w:r w:rsidRPr="00F275AD" w:rsidR="00F275AD">
        <w:rPr>
          <w:color w:val="000000"/>
          <w:szCs w:val="22"/>
        </w:rPr>
        <w:t xml:space="preserve"> they are using to combat the origination of illegal robocalls and </w:t>
      </w:r>
      <w:r w:rsidRPr="00F275AD" w:rsidR="00F275AD">
        <w:rPr>
          <w:color w:val="000000"/>
          <w:szCs w:val="22"/>
        </w:rPr>
        <w:t>announced that it would establish a database for these certifications.</w:t>
      </w:r>
      <w:r>
        <w:rPr>
          <w:rStyle w:val="FootnoteReference"/>
          <w:szCs w:val="22"/>
        </w:rPr>
        <w:footnoteReference w:id="8"/>
      </w:r>
      <w:r w:rsidRPr="00F275AD" w:rsidR="00F275AD">
        <w:rPr>
          <w:color w:val="000000"/>
          <w:szCs w:val="22"/>
        </w:rPr>
        <w:t xml:space="preserve">  </w:t>
      </w:r>
      <w:r w:rsidRPr="00B33D16">
        <w:rPr>
          <w:color w:val="000000"/>
          <w:szCs w:val="22"/>
        </w:rPr>
        <w:t xml:space="preserve">The Commission stated that a robocall mitigation program is sufficient if the detailed practices </w:t>
      </w:r>
      <w:r w:rsidR="005E4C5E">
        <w:rPr>
          <w:color w:val="000000"/>
          <w:szCs w:val="22"/>
        </w:rPr>
        <w:t>that the voice service provider</w:t>
      </w:r>
      <w:r w:rsidRPr="00B33D16">
        <w:rPr>
          <w:color w:val="000000"/>
          <w:szCs w:val="22"/>
        </w:rPr>
        <w:t xml:space="preserve"> </w:t>
      </w:r>
      <w:r w:rsidR="005E4C5E">
        <w:rPr>
          <w:color w:val="000000"/>
          <w:szCs w:val="22"/>
        </w:rPr>
        <w:t>submits</w:t>
      </w:r>
      <w:r w:rsidRPr="00B33D16" w:rsidR="005E4C5E">
        <w:rPr>
          <w:color w:val="000000"/>
          <w:szCs w:val="22"/>
        </w:rPr>
        <w:t xml:space="preserve"> </w:t>
      </w:r>
      <w:r w:rsidRPr="00B33D16">
        <w:rPr>
          <w:color w:val="000000"/>
          <w:szCs w:val="22"/>
        </w:rPr>
        <w:t>can “reasonably be expected to significantly reduce the origination of illegal robocalls”</w:t>
      </w:r>
      <w:r>
        <w:rPr>
          <w:rStyle w:val="FootnoteReference"/>
          <w:szCs w:val="22"/>
        </w:rPr>
        <w:footnoteReference w:id="9"/>
      </w:r>
      <w:r w:rsidRPr="00B33D16">
        <w:rPr>
          <w:color w:val="000000"/>
          <w:szCs w:val="22"/>
        </w:rPr>
        <w:t xml:space="preserve"> and the voice service provider complies with the practices it describes in its filings.</w:t>
      </w:r>
      <w:r>
        <w:rPr>
          <w:rStyle w:val="FootnoteReference"/>
          <w:szCs w:val="22"/>
        </w:rPr>
        <w:footnoteReference w:id="10"/>
      </w:r>
      <w:r w:rsidRPr="00B33D16">
        <w:rPr>
          <w:color w:val="000000"/>
          <w:szCs w:val="22"/>
        </w:rPr>
        <w:t xml:space="preserve">  The Commission also found that it would consider a mitigation program to be insufficient if a provider “knowingly or through negligence serves as the originator for unlawful robocall campaigns.”</w:t>
      </w:r>
      <w:r>
        <w:rPr>
          <w:rStyle w:val="FootnoteReference"/>
          <w:szCs w:val="22"/>
        </w:rPr>
        <w:footnoteReference w:id="11"/>
      </w:r>
      <w:r w:rsidRPr="00B33D16">
        <w:rPr>
          <w:color w:val="000000"/>
          <w:szCs w:val="22"/>
        </w:rPr>
        <w:t xml:space="preserve">  </w:t>
      </w:r>
      <w:r w:rsidR="00AC7F6A">
        <w:rPr>
          <w:color w:val="000000"/>
          <w:szCs w:val="22"/>
        </w:rPr>
        <w:t>T</w:t>
      </w:r>
      <w:r w:rsidRPr="00B33D16">
        <w:rPr>
          <w:color w:val="000000"/>
          <w:szCs w:val="22"/>
        </w:rPr>
        <w:t>he Commission required that all voice service providers participate in traceback as part of their robocall mitigation programs.</w:t>
      </w:r>
      <w:r>
        <w:rPr>
          <w:rStyle w:val="FootnoteReference"/>
          <w:szCs w:val="22"/>
        </w:rPr>
        <w:footnoteReference w:id="12"/>
      </w:r>
    </w:p>
    <w:p w:rsidR="00DD0BD5" w:rsidRPr="00B33D16" w:rsidP="009C06EB" w14:paraId="05896168" w14:textId="61F7CB3D">
      <w:pPr>
        <w:widowControl/>
        <w:spacing w:after="120"/>
        <w:ind w:firstLine="720"/>
        <w:rPr>
          <w:color w:val="000000"/>
          <w:szCs w:val="22"/>
        </w:rPr>
      </w:pPr>
      <w:r>
        <w:rPr>
          <w:color w:val="000000"/>
          <w:szCs w:val="22"/>
        </w:rPr>
        <w:t>T</w:t>
      </w:r>
      <w:r w:rsidRPr="00B33D16" w:rsidR="004C4F4C">
        <w:rPr>
          <w:color w:val="000000"/>
          <w:szCs w:val="22"/>
        </w:rPr>
        <w:t xml:space="preserve">he Commission </w:t>
      </w:r>
      <w:r>
        <w:rPr>
          <w:color w:val="000000"/>
          <w:szCs w:val="22"/>
        </w:rPr>
        <w:t xml:space="preserve">also </w:t>
      </w:r>
      <w:r w:rsidRPr="00B33D16" w:rsidR="004C4F4C">
        <w:rPr>
          <w:color w:val="000000"/>
          <w:szCs w:val="22"/>
        </w:rPr>
        <w:t>require</w:t>
      </w:r>
      <w:r w:rsidRPr="00B33D16" w:rsidR="00EB6B7A">
        <w:rPr>
          <w:color w:val="000000"/>
          <w:szCs w:val="22"/>
        </w:rPr>
        <w:t>d</w:t>
      </w:r>
      <w:r w:rsidRPr="00B33D16" w:rsidR="004C4F4C">
        <w:rPr>
          <w:color w:val="000000"/>
          <w:szCs w:val="22"/>
        </w:rPr>
        <w:t xml:space="preserve"> </w:t>
      </w:r>
      <w:r w:rsidRPr="00B33D16" w:rsidR="00EB6B7A">
        <w:rPr>
          <w:color w:val="000000"/>
          <w:szCs w:val="22"/>
        </w:rPr>
        <w:t>“</w:t>
      </w:r>
      <w:r w:rsidRPr="00B33D16" w:rsidR="004C4F4C">
        <w:rPr>
          <w:color w:val="000000"/>
          <w:szCs w:val="22"/>
        </w:rPr>
        <w:t>all voice service providers—not only those granted an extension—to file certifications with the Commission regarding their efforts to stem the origination of illegal robocalls on their networks.”</w:t>
      </w:r>
      <w:r>
        <w:rPr>
          <w:rStyle w:val="FootnoteReference"/>
          <w:szCs w:val="22"/>
        </w:rPr>
        <w:footnoteReference w:id="13"/>
      </w:r>
      <w:r w:rsidRPr="00B33D16" w:rsidR="00722838">
        <w:rPr>
          <w:color w:val="000000"/>
          <w:szCs w:val="22"/>
        </w:rPr>
        <w:t xml:space="preserve">  </w:t>
      </w:r>
      <w:r w:rsidRPr="00B33D16" w:rsidR="009D0600">
        <w:rPr>
          <w:color w:val="000000"/>
          <w:szCs w:val="22"/>
        </w:rPr>
        <w:t xml:space="preserve">Specifically, the </w:t>
      </w:r>
      <w:r w:rsidR="00DC68C6">
        <w:rPr>
          <w:color w:val="000000"/>
          <w:szCs w:val="22"/>
        </w:rPr>
        <w:t>Commission</w:t>
      </w:r>
      <w:r w:rsidRPr="00B33D16" w:rsidR="009D0600">
        <w:rPr>
          <w:color w:val="000000"/>
          <w:szCs w:val="22"/>
        </w:rPr>
        <w:t>: (1) require</w:t>
      </w:r>
      <w:r w:rsidR="00EB55AD">
        <w:rPr>
          <w:color w:val="000000"/>
          <w:szCs w:val="22"/>
        </w:rPr>
        <w:t>d</w:t>
      </w:r>
      <w:r w:rsidRPr="00B33D16" w:rsidR="009D0600">
        <w:rPr>
          <w:color w:val="000000"/>
          <w:szCs w:val="22"/>
        </w:rPr>
        <w:t xml:space="preserve"> all voice service providers to certify that their traffic is either </w:t>
      </w:r>
      <w:r w:rsidRPr="00B33D16" w:rsidR="00400901">
        <w:rPr>
          <w:color w:val="000000"/>
          <w:szCs w:val="22"/>
        </w:rPr>
        <w:t xml:space="preserve">fully, partially, or not yet </w:t>
      </w:r>
      <w:r w:rsidRPr="00B33D16" w:rsidR="009D0600">
        <w:rPr>
          <w:color w:val="000000"/>
          <w:szCs w:val="22"/>
        </w:rPr>
        <w:t>signed with STIR/SHAKEN</w:t>
      </w:r>
      <w:r w:rsidRPr="00B33D16" w:rsidR="00400901">
        <w:rPr>
          <w:color w:val="000000"/>
          <w:szCs w:val="22"/>
        </w:rPr>
        <w:t>;</w:t>
      </w:r>
      <w:r>
        <w:rPr>
          <w:rStyle w:val="FootnoteReference"/>
          <w:szCs w:val="22"/>
        </w:rPr>
        <w:footnoteReference w:id="14"/>
      </w:r>
      <w:r w:rsidRPr="00B33D16" w:rsidR="00400901">
        <w:rPr>
          <w:color w:val="000000"/>
          <w:szCs w:val="22"/>
        </w:rPr>
        <w:t xml:space="preserve"> </w:t>
      </w:r>
      <w:r w:rsidRPr="00B33D16" w:rsidR="009D0600">
        <w:rPr>
          <w:color w:val="000000"/>
          <w:szCs w:val="22"/>
        </w:rPr>
        <w:t>(</w:t>
      </w:r>
      <w:r w:rsidRPr="00B33D16" w:rsidR="00957482">
        <w:rPr>
          <w:color w:val="000000"/>
          <w:szCs w:val="22"/>
        </w:rPr>
        <w:t>2</w:t>
      </w:r>
      <w:r w:rsidRPr="00B33D16" w:rsidR="009D0600">
        <w:rPr>
          <w:color w:val="000000"/>
          <w:szCs w:val="22"/>
        </w:rPr>
        <w:t>) require</w:t>
      </w:r>
      <w:r w:rsidR="00EB55AD">
        <w:rPr>
          <w:color w:val="000000"/>
          <w:szCs w:val="22"/>
        </w:rPr>
        <w:t>d</w:t>
      </w:r>
      <w:r w:rsidRPr="00B33D16" w:rsidR="009D0600">
        <w:rPr>
          <w:color w:val="000000"/>
          <w:szCs w:val="22"/>
        </w:rPr>
        <w:t xml:space="preserve"> voice service providers</w:t>
      </w:r>
      <w:r w:rsidRPr="00B33D16" w:rsidR="00E50A32">
        <w:rPr>
          <w:color w:val="000000"/>
          <w:szCs w:val="22"/>
        </w:rPr>
        <w:t xml:space="preserve"> that certify that some or all of the calls they originate are subject to a robocall mitigation program to submit additional information with their certifications, including the type of extension or extension</w:t>
      </w:r>
      <w:r w:rsidR="00FE0EEA">
        <w:rPr>
          <w:color w:val="000000"/>
          <w:szCs w:val="22"/>
        </w:rPr>
        <w:t>s</w:t>
      </w:r>
      <w:r w:rsidRPr="00B33D16" w:rsidR="00E50A32">
        <w:rPr>
          <w:color w:val="000000"/>
          <w:szCs w:val="22"/>
        </w:rPr>
        <w:t xml:space="preserve"> received under </w:t>
      </w:r>
      <w:r w:rsidR="00101F19">
        <w:rPr>
          <w:color w:val="000000"/>
          <w:szCs w:val="22"/>
        </w:rPr>
        <w:t xml:space="preserve">section </w:t>
      </w:r>
      <w:r w:rsidRPr="00B33D16" w:rsidR="00E50A32">
        <w:rPr>
          <w:color w:val="000000"/>
          <w:szCs w:val="22"/>
        </w:rPr>
        <w:t>64.6304</w:t>
      </w:r>
      <w:r w:rsidR="00101F19">
        <w:rPr>
          <w:color w:val="000000"/>
          <w:szCs w:val="22"/>
        </w:rPr>
        <w:t xml:space="preserve"> of the Commission’s rules</w:t>
      </w:r>
      <w:r w:rsidRPr="00B33D16" w:rsidR="00E50A32">
        <w:rPr>
          <w:color w:val="000000"/>
          <w:szCs w:val="22"/>
        </w:rPr>
        <w:t>, specific reasonable steps taken under a program to avoid originating illegal robocalls, and a commitment to respond to traceback requests and to cooperate with investigating and stopping illegal robocalls</w:t>
      </w:r>
      <w:r w:rsidRPr="00B33D16" w:rsidR="00DD557D">
        <w:rPr>
          <w:color w:val="000000"/>
          <w:szCs w:val="22"/>
        </w:rPr>
        <w:t>;</w:t>
      </w:r>
      <w:r>
        <w:rPr>
          <w:rStyle w:val="FootnoteReference"/>
          <w:szCs w:val="22"/>
        </w:rPr>
        <w:footnoteReference w:id="15"/>
      </w:r>
      <w:r w:rsidRPr="00B33D16" w:rsidR="00DD557D">
        <w:rPr>
          <w:color w:val="000000"/>
          <w:szCs w:val="22"/>
        </w:rPr>
        <w:t xml:space="preserve"> and (</w:t>
      </w:r>
      <w:r w:rsidRPr="00B33D16" w:rsidR="00306E3C">
        <w:rPr>
          <w:color w:val="000000"/>
          <w:szCs w:val="22"/>
        </w:rPr>
        <w:t>3</w:t>
      </w:r>
      <w:r w:rsidRPr="00B33D16" w:rsidR="00DD557D">
        <w:rPr>
          <w:color w:val="000000"/>
          <w:szCs w:val="22"/>
        </w:rPr>
        <w:t>) require</w:t>
      </w:r>
      <w:r w:rsidR="00E147E1">
        <w:rPr>
          <w:color w:val="000000"/>
          <w:szCs w:val="22"/>
        </w:rPr>
        <w:t>d</w:t>
      </w:r>
      <w:r w:rsidRPr="00B33D16" w:rsidR="00DD557D">
        <w:rPr>
          <w:color w:val="000000"/>
          <w:szCs w:val="22"/>
        </w:rPr>
        <w:t xml:space="preserve"> that </w:t>
      </w:r>
      <w:r w:rsidRPr="00B33D16" w:rsidR="0049142B">
        <w:rPr>
          <w:color w:val="000000"/>
          <w:szCs w:val="22"/>
        </w:rPr>
        <w:t xml:space="preserve">all </w:t>
      </w:r>
      <w:r w:rsidRPr="00B33D16" w:rsidR="00DD557D">
        <w:rPr>
          <w:color w:val="000000"/>
          <w:szCs w:val="22"/>
        </w:rPr>
        <w:t xml:space="preserve">certifications </w:t>
      </w:r>
      <w:r w:rsidR="00DC68C6">
        <w:rPr>
          <w:color w:val="000000"/>
          <w:szCs w:val="22"/>
        </w:rPr>
        <w:t>must be</w:t>
      </w:r>
      <w:r w:rsidRPr="00B33D16" w:rsidR="00DC68C6">
        <w:rPr>
          <w:color w:val="000000"/>
          <w:szCs w:val="22"/>
        </w:rPr>
        <w:t xml:space="preserve"> </w:t>
      </w:r>
      <w:r w:rsidRPr="00B33D16" w:rsidR="00DD557D">
        <w:rPr>
          <w:color w:val="000000"/>
          <w:szCs w:val="22"/>
        </w:rPr>
        <w:t xml:space="preserve">signed by an officer in conformity with </w:t>
      </w:r>
      <w:r w:rsidR="00D67916">
        <w:rPr>
          <w:color w:val="000000"/>
          <w:szCs w:val="22"/>
        </w:rPr>
        <w:t>section</w:t>
      </w:r>
      <w:r w:rsidRPr="00B33D16" w:rsidR="00DD557D">
        <w:rPr>
          <w:color w:val="000000"/>
          <w:szCs w:val="22"/>
        </w:rPr>
        <w:t xml:space="preserve"> 1.16.</w:t>
      </w:r>
      <w:r>
        <w:rPr>
          <w:rStyle w:val="FootnoteReference"/>
          <w:szCs w:val="22"/>
        </w:rPr>
        <w:footnoteReference w:id="16"/>
      </w:r>
    </w:p>
    <w:p w:rsidR="000245B0" w:rsidP="009D0600" w14:paraId="1FC23632" w14:textId="475FB123">
      <w:pPr>
        <w:widowControl/>
        <w:spacing w:after="120"/>
        <w:ind w:firstLine="720"/>
        <w:rPr>
          <w:snapToGrid/>
          <w:kern w:val="0"/>
          <w:szCs w:val="22"/>
        </w:rPr>
      </w:pPr>
      <w:r w:rsidRPr="00B33D16">
        <w:rPr>
          <w:snapToGrid/>
          <w:kern w:val="0"/>
          <w:szCs w:val="22"/>
        </w:rPr>
        <w:t xml:space="preserve">The Commission also </w:t>
      </w:r>
      <w:r w:rsidRPr="00B33D16">
        <w:rPr>
          <w:snapToGrid/>
          <w:kern w:val="0"/>
          <w:szCs w:val="22"/>
        </w:rPr>
        <w:t>adopted provisions directing voice service providers to submit contact and identification information when filing their certifications.</w:t>
      </w:r>
      <w:r>
        <w:rPr>
          <w:rStyle w:val="FootnoteReference"/>
          <w:snapToGrid/>
          <w:kern w:val="0"/>
          <w:szCs w:val="22"/>
        </w:rPr>
        <w:footnoteReference w:id="17"/>
      </w:r>
      <w:r w:rsidRPr="00B33D16">
        <w:rPr>
          <w:snapToGrid/>
          <w:kern w:val="0"/>
          <w:szCs w:val="22"/>
        </w:rPr>
        <w:t xml:space="preserve">  Such information </w:t>
      </w:r>
      <w:r w:rsidR="00E147E1">
        <w:rPr>
          <w:snapToGrid/>
          <w:kern w:val="0"/>
          <w:szCs w:val="22"/>
        </w:rPr>
        <w:t xml:space="preserve">must </w:t>
      </w:r>
      <w:r w:rsidRPr="00B33D16">
        <w:rPr>
          <w:snapToGrid/>
          <w:kern w:val="0"/>
          <w:szCs w:val="22"/>
        </w:rPr>
        <w:t xml:space="preserve">include: (1) the </w:t>
      </w:r>
      <w:r w:rsidRPr="006712F8">
        <w:rPr>
          <w:snapToGrid/>
          <w:kern w:val="0"/>
          <w:szCs w:val="22"/>
        </w:rPr>
        <w:t xml:space="preserve">business name(s) and primary address of the voice service provider; </w:t>
      </w:r>
      <w:r w:rsidRPr="006712F8">
        <w:rPr>
          <w:snapToGrid/>
          <w:kern w:val="0"/>
          <w:szCs w:val="22"/>
          <w:bdr w:val="none" w:sz="0" w:space="0" w:color="auto" w:frame="1"/>
          <w:shd w:val="clear" w:color="auto" w:fill="FFFFFF"/>
        </w:rPr>
        <w:t>(2)</w:t>
      </w:r>
      <w:r w:rsidRPr="006712F8">
        <w:rPr>
          <w:snapToGrid/>
          <w:kern w:val="0"/>
          <w:szCs w:val="22"/>
        </w:rPr>
        <w:t xml:space="preserve"> other business names in use by the voice service provider; </w:t>
      </w:r>
      <w:r w:rsidRPr="006712F8">
        <w:rPr>
          <w:snapToGrid/>
          <w:kern w:val="0"/>
          <w:szCs w:val="22"/>
          <w:bdr w:val="none" w:sz="0" w:space="0" w:color="auto" w:frame="1"/>
          <w:shd w:val="clear" w:color="auto" w:fill="FFFFFF"/>
        </w:rPr>
        <w:t>(3)</w:t>
      </w:r>
      <w:r w:rsidRPr="006712F8">
        <w:rPr>
          <w:snapToGrid/>
          <w:kern w:val="0"/>
          <w:szCs w:val="22"/>
        </w:rPr>
        <w:t xml:space="preserve"> all business names previously used by the voice service provider; </w:t>
      </w:r>
      <w:r w:rsidRPr="006712F8">
        <w:rPr>
          <w:snapToGrid/>
          <w:kern w:val="0"/>
          <w:szCs w:val="22"/>
          <w:bdr w:val="none" w:sz="0" w:space="0" w:color="auto" w:frame="1"/>
          <w:shd w:val="clear" w:color="auto" w:fill="FFFFFF"/>
        </w:rPr>
        <w:t>(4)</w:t>
      </w:r>
      <w:r w:rsidRPr="006712F8">
        <w:rPr>
          <w:snapToGrid/>
          <w:kern w:val="0"/>
          <w:szCs w:val="22"/>
        </w:rPr>
        <w:t xml:space="preserve"> whether the voice service provider is a foreign voice service provider; and </w:t>
      </w:r>
      <w:r w:rsidRPr="006712F8">
        <w:rPr>
          <w:snapToGrid/>
          <w:kern w:val="0"/>
          <w:szCs w:val="22"/>
          <w:bdr w:val="none" w:sz="0" w:space="0" w:color="auto" w:frame="1"/>
          <w:shd w:val="clear" w:color="auto" w:fill="FFFFFF"/>
        </w:rPr>
        <w:t>(5)</w:t>
      </w:r>
      <w:r w:rsidRPr="006712F8">
        <w:rPr>
          <w:snapToGrid/>
          <w:kern w:val="0"/>
          <w:szCs w:val="22"/>
        </w:rPr>
        <w:t> the name, title, department, business address, telephone number, and email address of one person within the company responsible for addressing robocall mitigation-related issues.</w:t>
      </w:r>
      <w:r>
        <w:rPr>
          <w:rStyle w:val="FootnoteReference"/>
          <w:snapToGrid/>
          <w:kern w:val="0"/>
          <w:szCs w:val="22"/>
        </w:rPr>
        <w:footnoteReference w:id="18"/>
      </w:r>
    </w:p>
    <w:p w:rsidR="0092554C" w:rsidRPr="006712F8" w:rsidP="00C908F9" w14:paraId="3D1B58F7" w14:textId="72EC2354">
      <w:pPr>
        <w:widowControl/>
        <w:spacing w:after="120"/>
        <w:ind w:firstLine="720"/>
        <w:rPr>
          <w:color w:val="000000"/>
          <w:szCs w:val="22"/>
        </w:rPr>
      </w:pPr>
      <w:r w:rsidRPr="00B33D16">
        <w:rPr>
          <w:i/>
          <w:iCs/>
          <w:color w:val="000000"/>
          <w:szCs w:val="22"/>
        </w:rPr>
        <w:t>Obligations on Intermediate Providers and Terminating Voice Service Providers</w:t>
      </w:r>
      <w:r w:rsidRPr="00B33D16">
        <w:rPr>
          <w:color w:val="000000"/>
          <w:szCs w:val="22"/>
        </w:rPr>
        <w:t>.</w:t>
      </w:r>
      <w:r w:rsidRPr="00B33D16">
        <w:rPr>
          <w:i/>
          <w:iCs/>
          <w:color w:val="000000"/>
          <w:szCs w:val="22"/>
        </w:rPr>
        <w:t xml:space="preserve">  </w:t>
      </w:r>
      <w:r w:rsidRPr="00B33D16">
        <w:rPr>
          <w:color w:val="000000"/>
          <w:szCs w:val="22"/>
        </w:rPr>
        <w:t xml:space="preserve">Intermediate providers and terminating voice service providers will be prohibited from accepting traffic from voice </w:t>
      </w:r>
      <w:r w:rsidRPr="00B33D16">
        <w:rPr>
          <w:color w:val="000000"/>
          <w:szCs w:val="22"/>
        </w:rPr>
        <w:t xml:space="preserve">service providers not listed in the Robocall Mitigation Database beginning </w:t>
      </w:r>
      <w:r w:rsidRPr="003759C8">
        <w:rPr>
          <w:color w:val="000000"/>
          <w:szCs w:val="22"/>
        </w:rPr>
        <w:t>September 28, 2021</w:t>
      </w:r>
      <w:r w:rsidRPr="00B33D16">
        <w:rPr>
          <w:color w:val="000000"/>
          <w:szCs w:val="22"/>
        </w:rPr>
        <w:t xml:space="preserve">.  In the </w:t>
      </w:r>
      <w:r w:rsidRPr="00B33D16">
        <w:rPr>
          <w:i/>
          <w:iCs/>
          <w:color w:val="000000"/>
          <w:szCs w:val="22"/>
        </w:rPr>
        <w:t>Second STIR/SHAKEN Order</w:t>
      </w:r>
      <w:r w:rsidRPr="00B33D16">
        <w:rPr>
          <w:color w:val="000000"/>
          <w:szCs w:val="22"/>
        </w:rPr>
        <w:t>, the Commission adopted a rule prohibiting “intermediate providers and terminating voice service providers from accepting voice traffic from any voice service provider that does not appear in the [Robocall Mitigation Database].”</w:t>
      </w:r>
      <w:r>
        <w:rPr>
          <w:rStyle w:val="FootnoteReference"/>
          <w:szCs w:val="22"/>
        </w:rPr>
        <w:footnoteReference w:id="19"/>
      </w:r>
      <w:r w:rsidRPr="00B33D16">
        <w:rPr>
          <w:color w:val="000000"/>
          <w:szCs w:val="22"/>
        </w:rPr>
        <w:t xml:space="preserve">  The Commission stated that this rule would be effective “90 days after the deadline for robocall mitigation program certifications set forth” by the Bureau in this Public Notice.</w:t>
      </w:r>
      <w:r>
        <w:rPr>
          <w:rStyle w:val="FootnoteReference"/>
          <w:szCs w:val="22"/>
        </w:rPr>
        <w:footnoteReference w:id="20"/>
      </w:r>
      <w:r w:rsidRPr="00B33D16">
        <w:rPr>
          <w:color w:val="000000"/>
          <w:szCs w:val="22"/>
        </w:rPr>
        <w:t xml:space="preserve">  With the filing deadline now established for June 30, 2021, this prohibition will go into effect on </w:t>
      </w:r>
      <w:r w:rsidRPr="003759C8">
        <w:rPr>
          <w:color w:val="000000"/>
          <w:szCs w:val="22"/>
        </w:rPr>
        <w:t>September 28, 2021</w:t>
      </w:r>
      <w:r w:rsidRPr="00B33D16">
        <w:rPr>
          <w:color w:val="000000"/>
          <w:szCs w:val="22"/>
        </w:rPr>
        <w:t>.  As of that day, intermediate providers and voice service providers will be prohibited from accepting calls directly from a voice service provider, including a foreign voice service provider that uses North American Numbering Plan resources that pertain to the United States to send voice traffic to residential or business subscribers in the United States, if that voice service provider’s filing does not appear in the Robocall Mitigation Database.</w:t>
      </w:r>
      <w:r>
        <w:rPr>
          <w:rStyle w:val="FootnoteReference"/>
          <w:szCs w:val="22"/>
        </w:rPr>
        <w:footnoteReference w:id="21"/>
      </w:r>
    </w:p>
    <w:p w:rsidR="007B1C53" w:rsidRPr="00E750AB" w:rsidP="00A343E2" w14:paraId="11E4110D" w14:textId="30938D53">
      <w:pPr>
        <w:widowControl/>
        <w:spacing w:after="120"/>
        <w:ind w:firstLine="720"/>
        <w:rPr>
          <w:color w:val="000000"/>
          <w:szCs w:val="22"/>
        </w:rPr>
      </w:pPr>
      <w:r w:rsidRPr="00E750AB">
        <w:rPr>
          <w:i/>
          <w:iCs/>
          <w:color w:val="000000"/>
          <w:szCs w:val="22"/>
        </w:rPr>
        <w:t>Certification Filing Instructions</w:t>
      </w:r>
      <w:r w:rsidRPr="00E750AB">
        <w:rPr>
          <w:color w:val="000000"/>
          <w:szCs w:val="22"/>
        </w:rPr>
        <w:t xml:space="preserve">.  </w:t>
      </w:r>
      <w:r w:rsidRPr="00E750AB" w:rsidR="003E7F75">
        <w:rPr>
          <w:color w:val="000000"/>
          <w:szCs w:val="22"/>
        </w:rPr>
        <w:t>C</w:t>
      </w:r>
      <w:r w:rsidRPr="00E750AB" w:rsidR="002D3121">
        <w:rPr>
          <w:color w:val="000000"/>
          <w:szCs w:val="22"/>
        </w:rPr>
        <w:t>ertifications</w:t>
      </w:r>
      <w:r w:rsidRPr="00E750AB" w:rsidR="005878A4">
        <w:rPr>
          <w:color w:val="000000"/>
          <w:szCs w:val="22"/>
        </w:rPr>
        <w:t xml:space="preserve">, </w:t>
      </w:r>
      <w:r w:rsidRPr="00E750AB" w:rsidR="006F3CCC">
        <w:rPr>
          <w:color w:val="000000"/>
          <w:szCs w:val="22"/>
        </w:rPr>
        <w:t>identification</w:t>
      </w:r>
      <w:r w:rsidRPr="00E750AB" w:rsidR="002D3121">
        <w:rPr>
          <w:color w:val="000000"/>
          <w:szCs w:val="22"/>
        </w:rPr>
        <w:t xml:space="preserve"> information</w:t>
      </w:r>
      <w:r w:rsidRPr="00E750AB" w:rsidR="005878A4">
        <w:rPr>
          <w:color w:val="000000"/>
          <w:szCs w:val="22"/>
        </w:rPr>
        <w:t>, and contact information</w:t>
      </w:r>
      <w:r w:rsidRPr="00E750AB" w:rsidR="002D3121">
        <w:rPr>
          <w:color w:val="000000"/>
          <w:szCs w:val="22"/>
        </w:rPr>
        <w:t xml:space="preserve"> must be submitted via</w:t>
      </w:r>
      <w:r w:rsidRPr="00E750AB" w:rsidR="00C72BEB">
        <w:rPr>
          <w:color w:val="000000"/>
          <w:szCs w:val="22"/>
        </w:rPr>
        <w:t xml:space="preserve"> a portal on</w:t>
      </w:r>
      <w:r w:rsidRPr="00E750AB" w:rsidR="002D3121">
        <w:rPr>
          <w:color w:val="000000"/>
          <w:szCs w:val="22"/>
        </w:rPr>
        <w:t xml:space="preserve"> the Commission’s website at </w:t>
      </w:r>
      <w:r w:rsidR="00CC6DDB">
        <w:rPr>
          <w:color w:val="000000"/>
          <w:szCs w:val="22"/>
        </w:rPr>
        <w:t xml:space="preserve"> </w:t>
      </w:r>
      <w:hyperlink r:id="rId5" w:history="1">
        <w:r w:rsidRPr="00C85B14" w:rsidR="002B5205">
          <w:rPr>
            <w:rStyle w:val="Hyperlink"/>
          </w:rPr>
          <w:t>https://fccprod.servicenowservices.com/rmd?id=rmd_welcome</w:t>
        </w:r>
      </w:hyperlink>
      <w:r w:rsidR="002B5205">
        <w:t xml:space="preserve"> </w:t>
      </w:r>
      <w:r w:rsidRPr="00E750AB" w:rsidR="00A343E2">
        <w:rPr>
          <w:color w:val="000000"/>
          <w:szCs w:val="22"/>
        </w:rPr>
        <w:t>on or before June 30, 2021.</w:t>
      </w:r>
      <w:r>
        <w:rPr>
          <w:rStyle w:val="FootnoteReference"/>
          <w:szCs w:val="22"/>
        </w:rPr>
        <w:footnoteReference w:id="22"/>
      </w:r>
      <w:r w:rsidRPr="00E750AB" w:rsidR="00A343E2">
        <w:rPr>
          <w:color w:val="000000"/>
          <w:szCs w:val="22"/>
        </w:rPr>
        <w:t xml:space="preserve">  </w:t>
      </w:r>
      <w:r w:rsidRPr="00E750AB" w:rsidR="002D3121">
        <w:rPr>
          <w:color w:val="000000"/>
          <w:szCs w:val="22"/>
        </w:rPr>
        <w:t xml:space="preserve">Instructions for submitting a certification and </w:t>
      </w:r>
      <w:r w:rsidRPr="00E750AB" w:rsidR="005878A4">
        <w:rPr>
          <w:color w:val="000000"/>
          <w:szCs w:val="22"/>
        </w:rPr>
        <w:t>this</w:t>
      </w:r>
      <w:r w:rsidRPr="00E750AB" w:rsidR="002D3121">
        <w:rPr>
          <w:color w:val="000000"/>
          <w:szCs w:val="22"/>
        </w:rPr>
        <w:t xml:space="preserve"> information can be found at</w:t>
      </w:r>
      <w:r w:rsidRPr="00E750AB" w:rsidR="007E7B9C">
        <w:rPr>
          <w:color w:val="000000"/>
          <w:szCs w:val="22"/>
        </w:rPr>
        <w:t xml:space="preserve"> </w:t>
      </w:r>
      <w:hyperlink r:id="rId6" w:history="1">
        <w:r w:rsidRPr="00E750AB" w:rsidR="007E7B9C">
          <w:rPr>
            <w:rStyle w:val="Hyperlink"/>
            <w:szCs w:val="22"/>
          </w:rPr>
          <w:t>https://www.fcc.gov/files/rmd-instructions</w:t>
        </w:r>
      </w:hyperlink>
      <w:r w:rsidRPr="00E750AB" w:rsidR="002D3121">
        <w:rPr>
          <w:color w:val="000000"/>
          <w:szCs w:val="22"/>
        </w:rPr>
        <w:t>.  Voice service providers must</w:t>
      </w:r>
      <w:r w:rsidRPr="00E750AB">
        <w:rPr>
          <w:color w:val="000000"/>
          <w:szCs w:val="22"/>
        </w:rPr>
        <w:t xml:space="preserve"> </w:t>
      </w:r>
      <w:r w:rsidRPr="00E750AB" w:rsidR="002D3121">
        <w:rPr>
          <w:color w:val="000000"/>
          <w:szCs w:val="22"/>
        </w:rPr>
        <w:t>submit any necessary updates because of changes to their certification</w:t>
      </w:r>
      <w:r w:rsidRPr="00E750AB" w:rsidR="005878A4">
        <w:rPr>
          <w:color w:val="000000"/>
          <w:szCs w:val="22"/>
        </w:rPr>
        <w:t xml:space="preserve">, </w:t>
      </w:r>
      <w:r w:rsidRPr="00E750AB" w:rsidR="00C8490F">
        <w:rPr>
          <w:color w:val="000000"/>
          <w:szCs w:val="22"/>
        </w:rPr>
        <w:t>identification</w:t>
      </w:r>
      <w:r w:rsidRPr="00E750AB" w:rsidR="002D3121">
        <w:rPr>
          <w:color w:val="000000"/>
          <w:szCs w:val="22"/>
        </w:rPr>
        <w:t xml:space="preserve"> information</w:t>
      </w:r>
      <w:r w:rsidRPr="00E750AB" w:rsidR="005878A4">
        <w:rPr>
          <w:color w:val="000000"/>
          <w:szCs w:val="22"/>
        </w:rPr>
        <w:t>, or contact information</w:t>
      </w:r>
      <w:r w:rsidRPr="00E750AB" w:rsidR="002D3121">
        <w:rPr>
          <w:color w:val="000000"/>
          <w:szCs w:val="22"/>
        </w:rPr>
        <w:t xml:space="preserve"> to the Commission within 10 business days of the change.</w:t>
      </w:r>
      <w:r>
        <w:rPr>
          <w:rStyle w:val="FootnoteReference"/>
          <w:szCs w:val="22"/>
        </w:rPr>
        <w:footnoteReference w:id="23"/>
      </w:r>
      <w:r w:rsidRPr="00E750AB" w:rsidR="00863B11">
        <w:rPr>
          <w:color w:val="000000"/>
          <w:szCs w:val="22"/>
        </w:rPr>
        <w:t xml:space="preserve"> </w:t>
      </w:r>
      <w:r w:rsidRPr="00E750AB" w:rsidR="002B3614">
        <w:rPr>
          <w:color w:val="000000"/>
          <w:szCs w:val="22"/>
        </w:rPr>
        <w:t xml:space="preserve"> </w:t>
      </w:r>
      <w:r w:rsidRPr="00E750AB" w:rsidR="003E7F75">
        <w:rPr>
          <w:color w:val="000000"/>
          <w:szCs w:val="22"/>
        </w:rPr>
        <w:t>A</w:t>
      </w:r>
      <w:r w:rsidRPr="00E750AB" w:rsidR="003D30A8">
        <w:rPr>
          <w:color w:val="000000"/>
          <w:szCs w:val="22"/>
        </w:rPr>
        <w:t xml:space="preserve">ll </w:t>
      </w:r>
      <w:r w:rsidRPr="00E750AB" w:rsidR="004F0504">
        <w:rPr>
          <w:color w:val="000000"/>
          <w:szCs w:val="22"/>
        </w:rPr>
        <w:t>i</w:t>
      </w:r>
      <w:r w:rsidRPr="00E750AB" w:rsidR="002B3614">
        <w:rPr>
          <w:color w:val="000000"/>
          <w:szCs w:val="22"/>
        </w:rPr>
        <w:t xml:space="preserve">ntermediate provider entries will </w:t>
      </w:r>
      <w:r w:rsidRPr="00E750AB" w:rsidR="004F0504">
        <w:rPr>
          <w:color w:val="000000"/>
          <w:szCs w:val="22"/>
        </w:rPr>
        <w:t>be imported</w:t>
      </w:r>
      <w:r w:rsidRPr="00E750AB" w:rsidR="003D30A8">
        <w:rPr>
          <w:color w:val="000000"/>
          <w:szCs w:val="22"/>
        </w:rPr>
        <w:t xml:space="preserve"> </w:t>
      </w:r>
      <w:r w:rsidRPr="00E750AB" w:rsidR="004F0504">
        <w:rPr>
          <w:color w:val="000000"/>
          <w:szCs w:val="22"/>
        </w:rPr>
        <w:t>from the Intermediate Provider Registry</w:t>
      </w:r>
      <w:r w:rsidRPr="00E750AB" w:rsidR="003D30A8">
        <w:rPr>
          <w:color w:val="000000"/>
          <w:szCs w:val="22"/>
        </w:rPr>
        <w:t xml:space="preserve"> to the Robocall Mitigation Database on a rolling basis.</w:t>
      </w:r>
      <w:r>
        <w:rPr>
          <w:rStyle w:val="FootnoteReference"/>
          <w:szCs w:val="22"/>
        </w:rPr>
        <w:footnoteReference w:id="24"/>
      </w:r>
      <w:r w:rsidRPr="00E750AB" w:rsidR="003D30A8">
        <w:rPr>
          <w:color w:val="000000"/>
          <w:szCs w:val="22"/>
        </w:rPr>
        <w:t xml:space="preserve"> </w:t>
      </w:r>
    </w:p>
    <w:p w:rsidR="002D3121" w:rsidRPr="006712F8" w:rsidP="00A343E2" w14:paraId="16A9560C" w14:textId="419826C3">
      <w:pPr>
        <w:widowControl/>
        <w:spacing w:after="120"/>
        <w:ind w:firstLine="720"/>
        <w:rPr>
          <w:color w:val="000000"/>
          <w:szCs w:val="22"/>
        </w:rPr>
      </w:pPr>
      <w:r w:rsidRPr="00E750AB">
        <w:rPr>
          <w:i/>
          <w:iCs/>
          <w:color w:val="000000"/>
          <w:szCs w:val="22"/>
        </w:rPr>
        <w:t>Database Location.</w:t>
      </w:r>
      <w:r w:rsidRPr="00E750AB">
        <w:rPr>
          <w:color w:val="000000"/>
          <w:szCs w:val="22"/>
        </w:rPr>
        <w:t xml:space="preserve">  </w:t>
      </w:r>
      <w:r w:rsidRPr="00E750AB" w:rsidR="00863B11">
        <w:rPr>
          <w:color w:val="000000"/>
          <w:szCs w:val="22"/>
        </w:rPr>
        <w:t>The Robocall Mitigation Database is publicly available on the Commission’s website</w:t>
      </w:r>
      <w:r w:rsidRPr="00E750AB" w:rsidR="00C576F5">
        <w:rPr>
          <w:color w:val="000000"/>
          <w:szCs w:val="22"/>
        </w:rPr>
        <w:t xml:space="preserve"> at </w:t>
      </w:r>
      <w:hyperlink r:id="rId7" w:history="1">
        <w:r w:rsidRPr="00E750AB" w:rsidR="00E750AB">
          <w:rPr>
            <w:rStyle w:val="Hyperlink"/>
            <w:szCs w:val="22"/>
          </w:rPr>
          <w:t>https://fccprod.servicenowservices.com/rmd?id=rmd_listings</w:t>
        </w:r>
      </w:hyperlink>
      <w:r w:rsidRPr="00E750AB" w:rsidR="00C576F5">
        <w:rPr>
          <w:color w:val="000000"/>
          <w:szCs w:val="22"/>
        </w:rPr>
        <w:t>.</w:t>
      </w:r>
      <w:r>
        <w:rPr>
          <w:rStyle w:val="FootnoteReference"/>
          <w:szCs w:val="22"/>
        </w:rPr>
        <w:footnoteReference w:id="25"/>
      </w:r>
      <w:r w:rsidRPr="00E750AB" w:rsidR="001B6C9B">
        <w:rPr>
          <w:color w:val="000000"/>
          <w:szCs w:val="22"/>
        </w:rPr>
        <w:t xml:space="preserve"> </w:t>
      </w:r>
      <w:r w:rsidRPr="00E750AB" w:rsidR="00863B11">
        <w:rPr>
          <w:color w:val="000000"/>
          <w:szCs w:val="22"/>
        </w:rPr>
        <w:t xml:space="preserve"> A list of voice service providers that have </w:t>
      </w:r>
      <w:r w:rsidRPr="00E750AB" w:rsidR="00FA602D">
        <w:rPr>
          <w:color w:val="000000"/>
          <w:szCs w:val="22"/>
        </w:rPr>
        <w:t>submitted</w:t>
      </w:r>
      <w:r w:rsidRPr="00E750AB" w:rsidR="00863B11">
        <w:rPr>
          <w:color w:val="000000"/>
          <w:szCs w:val="22"/>
        </w:rPr>
        <w:t xml:space="preserve"> certifications, published as a .csv file, may be downloaded at any time at</w:t>
      </w:r>
      <w:r w:rsidRPr="00E750AB" w:rsidR="00D36FEF">
        <w:rPr>
          <w:color w:val="000000"/>
          <w:szCs w:val="22"/>
        </w:rPr>
        <w:t xml:space="preserve"> </w:t>
      </w:r>
      <w:hyperlink r:id="rId5" w:history="1">
        <w:r w:rsidRPr="00C85B14" w:rsidR="002B5205">
          <w:rPr>
            <w:rStyle w:val="Hyperlink"/>
          </w:rPr>
          <w:t>https://fccprod.servicenowservices.com/rmd?id=rmd_welcome</w:t>
        </w:r>
      </w:hyperlink>
      <w:r w:rsidRPr="00E750AB" w:rsidR="00863B11">
        <w:rPr>
          <w:color w:val="000000"/>
          <w:szCs w:val="22"/>
        </w:rPr>
        <w:t>.</w:t>
      </w:r>
      <w:r w:rsidR="002B5205">
        <w:rPr>
          <w:color w:val="000000"/>
          <w:szCs w:val="22"/>
        </w:rPr>
        <w:t xml:space="preserve"> </w:t>
      </w:r>
    </w:p>
    <w:p w:rsidR="002D3121" w:rsidRPr="006712F8" w:rsidP="002D3121" w14:paraId="7956C64D" w14:textId="3DE63C6F">
      <w:pPr>
        <w:widowControl/>
        <w:spacing w:after="120"/>
        <w:ind w:firstLine="720"/>
        <w:rPr>
          <w:color w:val="000000"/>
          <w:szCs w:val="22"/>
        </w:rPr>
      </w:pPr>
      <w:r w:rsidRPr="006712F8">
        <w:rPr>
          <w:i/>
          <w:iCs/>
          <w:color w:val="000000"/>
          <w:szCs w:val="22"/>
        </w:rPr>
        <w:t>Confidential Submissions</w:t>
      </w:r>
      <w:r w:rsidRPr="006712F8">
        <w:rPr>
          <w:color w:val="000000"/>
          <w:szCs w:val="22"/>
        </w:rPr>
        <w:t xml:space="preserve">. </w:t>
      </w:r>
      <w:r w:rsidRPr="006712F8" w:rsidR="00410498">
        <w:rPr>
          <w:color w:val="000000"/>
          <w:szCs w:val="22"/>
        </w:rPr>
        <w:t xml:space="preserve"> </w:t>
      </w:r>
      <w:r w:rsidRPr="006712F8" w:rsidR="00863B11">
        <w:rPr>
          <w:color w:val="000000"/>
          <w:szCs w:val="22"/>
        </w:rPr>
        <w:t>Filers</w:t>
      </w:r>
      <w:r w:rsidRPr="006712F8">
        <w:rPr>
          <w:color w:val="000000"/>
          <w:szCs w:val="22"/>
        </w:rPr>
        <w:t xml:space="preserve"> will be able to request that any materials or information submitted to the Commission in their certifications be withheld from public inspection.</w:t>
      </w:r>
      <w:r w:rsidRPr="006712F8" w:rsidR="002B4946">
        <w:rPr>
          <w:color w:val="000000"/>
          <w:szCs w:val="22"/>
        </w:rPr>
        <w:t xml:space="preserve">  To do so, a voice service provider must first submit a confidentiality request</w:t>
      </w:r>
      <w:r w:rsidRPr="006712F8" w:rsidR="00096521">
        <w:rPr>
          <w:color w:val="000000"/>
          <w:szCs w:val="22"/>
        </w:rPr>
        <w:t xml:space="preserve"> in WC Docket No. </w:t>
      </w:r>
      <w:r w:rsidRPr="006712F8" w:rsidR="0038511C">
        <w:rPr>
          <w:color w:val="000000"/>
          <w:szCs w:val="22"/>
        </w:rPr>
        <w:t>17-97</w:t>
      </w:r>
      <w:r w:rsidRPr="006712F8" w:rsidR="002B4946">
        <w:rPr>
          <w:color w:val="000000"/>
          <w:szCs w:val="22"/>
        </w:rPr>
        <w:t xml:space="preserve"> through the Commission’s Electronic Comment Filing System (ECFS).</w:t>
      </w:r>
      <w:r>
        <w:rPr>
          <w:rStyle w:val="FootnoteReference"/>
          <w:szCs w:val="22"/>
        </w:rPr>
        <w:footnoteReference w:id="26"/>
      </w:r>
      <w:r w:rsidRPr="006712F8" w:rsidR="002B4946">
        <w:rPr>
          <w:color w:val="000000"/>
          <w:szCs w:val="22"/>
        </w:rPr>
        <w:t xml:space="preserve">  </w:t>
      </w:r>
      <w:r w:rsidRPr="006712F8" w:rsidR="0003568C">
        <w:rPr>
          <w:color w:val="000000"/>
          <w:szCs w:val="22"/>
        </w:rPr>
        <w:t>The</w:t>
      </w:r>
      <w:r w:rsidRPr="006712F8" w:rsidR="00BC588F">
        <w:rPr>
          <w:color w:val="000000"/>
          <w:szCs w:val="22"/>
        </w:rPr>
        <w:t xml:space="preserve"> voice service provider will</w:t>
      </w:r>
      <w:r w:rsidRPr="006712F8" w:rsidR="0003568C">
        <w:rPr>
          <w:color w:val="000000"/>
          <w:szCs w:val="22"/>
        </w:rPr>
        <w:t xml:space="preserve"> then</w:t>
      </w:r>
      <w:r w:rsidRPr="006712F8" w:rsidR="00BC588F">
        <w:rPr>
          <w:color w:val="000000"/>
          <w:szCs w:val="22"/>
        </w:rPr>
        <w:t xml:space="preserve"> be able to submit redacted (i.e., public) and unredacted (i.e., non-public) copies of </w:t>
      </w:r>
      <w:r w:rsidRPr="006712F8" w:rsidR="0003568C">
        <w:rPr>
          <w:color w:val="000000"/>
          <w:szCs w:val="22"/>
        </w:rPr>
        <w:t>its</w:t>
      </w:r>
      <w:r w:rsidRPr="006712F8" w:rsidR="00BC588F">
        <w:rPr>
          <w:color w:val="000000"/>
          <w:szCs w:val="22"/>
        </w:rPr>
        <w:t xml:space="preserve"> robocall mitigation program</w:t>
      </w:r>
      <w:r w:rsidRPr="006712F8" w:rsidR="00772A12">
        <w:rPr>
          <w:color w:val="000000"/>
          <w:szCs w:val="22"/>
        </w:rPr>
        <w:t xml:space="preserve"> </w:t>
      </w:r>
      <w:r w:rsidRPr="006712F8" w:rsidR="00772A12">
        <w:rPr>
          <w:color w:val="000000"/>
          <w:szCs w:val="22"/>
        </w:rPr>
        <w:t>description via the Commission</w:t>
      </w:r>
      <w:r w:rsidRPr="006712F8" w:rsidR="00B461B9">
        <w:rPr>
          <w:color w:val="000000"/>
          <w:szCs w:val="22"/>
        </w:rPr>
        <w:t>’s</w:t>
      </w:r>
      <w:r w:rsidRPr="006712F8" w:rsidR="00772A12">
        <w:rPr>
          <w:color w:val="000000"/>
          <w:szCs w:val="22"/>
        </w:rPr>
        <w:t xml:space="preserve"> portal</w:t>
      </w:r>
      <w:r w:rsidRPr="006712F8" w:rsidR="0003568C">
        <w:rPr>
          <w:color w:val="000000"/>
          <w:szCs w:val="22"/>
        </w:rPr>
        <w:t>.</w:t>
      </w:r>
      <w:r w:rsidRPr="006712F8" w:rsidR="00772A12">
        <w:rPr>
          <w:color w:val="000000"/>
          <w:szCs w:val="22"/>
        </w:rPr>
        <w:t xml:space="preserve">  </w:t>
      </w:r>
      <w:r w:rsidRPr="006712F8" w:rsidR="00772A12">
        <w:rPr>
          <w:rStyle w:val="CommentReference"/>
          <w:sz w:val="22"/>
          <w:szCs w:val="22"/>
        </w:rPr>
        <w:t>Comprehensive</w:t>
      </w:r>
      <w:r w:rsidRPr="006712F8" w:rsidR="0080479E">
        <w:rPr>
          <w:rStyle w:val="CommentReference"/>
          <w:sz w:val="22"/>
          <w:szCs w:val="22"/>
        </w:rPr>
        <w:t xml:space="preserve"> instructions </w:t>
      </w:r>
      <w:r w:rsidRPr="006712F8" w:rsidR="00404AFB">
        <w:rPr>
          <w:rStyle w:val="CommentReference"/>
          <w:sz w:val="22"/>
          <w:szCs w:val="22"/>
        </w:rPr>
        <w:t xml:space="preserve">for </w:t>
      </w:r>
      <w:r w:rsidRPr="006712F8" w:rsidR="00C72BEB">
        <w:rPr>
          <w:rStyle w:val="CommentReference"/>
          <w:sz w:val="22"/>
          <w:szCs w:val="22"/>
        </w:rPr>
        <w:t>submitting confidential filings</w:t>
      </w:r>
      <w:r w:rsidRPr="006712F8" w:rsidR="00404AFB">
        <w:rPr>
          <w:rStyle w:val="CommentReference"/>
          <w:sz w:val="22"/>
          <w:szCs w:val="22"/>
        </w:rPr>
        <w:t xml:space="preserve"> </w:t>
      </w:r>
      <w:r w:rsidRPr="006712F8" w:rsidR="00C72BEB">
        <w:rPr>
          <w:rStyle w:val="CommentReference"/>
          <w:sz w:val="22"/>
          <w:szCs w:val="22"/>
        </w:rPr>
        <w:t>via the portal are</w:t>
      </w:r>
      <w:r w:rsidRPr="006712F8" w:rsidR="00FA0296">
        <w:rPr>
          <w:rStyle w:val="CommentReference"/>
          <w:sz w:val="22"/>
          <w:szCs w:val="22"/>
        </w:rPr>
        <w:t xml:space="preserve"> </w:t>
      </w:r>
      <w:r w:rsidRPr="00740FC0" w:rsidR="00404AFB">
        <w:rPr>
          <w:rStyle w:val="CommentReference"/>
          <w:sz w:val="22"/>
          <w:szCs w:val="22"/>
        </w:rPr>
        <w:t>available</w:t>
      </w:r>
      <w:r w:rsidRPr="00740FC0" w:rsidR="00C72BEB">
        <w:rPr>
          <w:rStyle w:val="CommentReference"/>
          <w:sz w:val="22"/>
          <w:szCs w:val="22"/>
        </w:rPr>
        <w:t xml:space="preserve"> at</w:t>
      </w:r>
      <w:r w:rsidRPr="00740FC0" w:rsidR="007E7B9C">
        <w:rPr>
          <w:color w:val="000000"/>
          <w:szCs w:val="22"/>
        </w:rPr>
        <w:t xml:space="preserve"> </w:t>
      </w:r>
      <w:hyperlink r:id="rId6" w:history="1">
        <w:r w:rsidRPr="00740FC0" w:rsidR="007E7B9C">
          <w:rPr>
            <w:rStyle w:val="Hyperlink"/>
            <w:szCs w:val="22"/>
          </w:rPr>
          <w:t>https://www.fcc.gov/files/rmd-instructions</w:t>
        </w:r>
      </w:hyperlink>
      <w:r w:rsidRPr="00740FC0" w:rsidR="00FC5D53">
        <w:rPr>
          <w:color w:val="000000"/>
          <w:szCs w:val="22"/>
        </w:rPr>
        <w:t>.</w:t>
      </w:r>
      <w:r w:rsidRPr="006712F8" w:rsidR="00C72BEB">
        <w:rPr>
          <w:rStyle w:val="CommentReference"/>
          <w:sz w:val="22"/>
          <w:szCs w:val="22"/>
        </w:rPr>
        <w:t xml:space="preserve"> </w:t>
      </w:r>
      <w:r w:rsidRPr="006712F8" w:rsidR="00404AFB">
        <w:rPr>
          <w:rStyle w:val="CommentReference"/>
          <w:sz w:val="22"/>
          <w:szCs w:val="22"/>
        </w:rPr>
        <w:t xml:space="preserve"> </w:t>
      </w:r>
      <w:r w:rsidRPr="006712F8" w:rsidR="00AB1F16">
        <w:rPr>
          <w:color w:val="000000"/>
          <w:szCs w:val="22"/>
        </w:rPr>
        <w:t xml:space="preserve">Finally, consistent with the </w:t>
      </w:r>
      <w:r w:rsidRPr="006712F8" w:rsidR="00AB1F16">
        <w:rPr>
          <w:i/>
          <w:iCs/>
          <w:color w:val="000000"/>
          <w:szCs w:val="22"/>
        </w:rPr>
        <w:t>Second STIR/SHAKEN Order</w:t>
      </w:r>
      <w:r w:rsidRPr="006712F8" w:rsidR="00AB1F16">
        <w:rPr>
          <w:color w:val="000000"/>
          <w:szCs w:val="22"/>
        </w:rPr>
        <w:t>,</w:t>
      </w:r>
      <w:r>
        <w:rPr>
          <w:rStyle w:val="FootnoteReference"/>
          <w:szCs w:val="22"/>
        </w:rPr>
        <w:footnoteReference w:id="27"/>
      </w:r>
      <w:r w:rsidRPr="006712F8" w:rsidR="00AB1F16">
        <w:rPr>
          <w:color w:val="000000"/>
          <w:szCs w:val="22"/>
        </w:rPr>
        <w:t xml:space="preserve"> the </w:t>
      </w:r>
      <w:r w:rsidRPr="006712F8" w:rsidR="00D97B2F">
        <w:rPr>
          <w:color w:val="000000"/>
          <w:szCs w:val="22"/>
        </w:rPr>
        <w:t xml:space="preserve">Bureau </w:t>
      </w:r>
      <w:r w:rsidR="003B57C4">
        <w:rPr>
          <w:color w:val="000000"/>
          <w:szCs w:val="22"/>
        </w:rPr>
        <w:t xml:space="preserve">plans to release another Public Notice seeking comment on the </w:t>
      </w:r>
      <w:r w:rsidR="003C3AEA">
        <w:rPr>
          <w:color w:val="000000"/>
          <w:szCs w:val="22"/>
        </w:rPr>
        <w:t>contents</w:t>
      </w:r>
      <w:r w:rsidR="003B57C4">
        <w:rPr>
          <w:color w:val="000000"/>
          <w:szCs w:val="22"/>
        </w:rPr>
        <w:t xml:space="preserve"> of</w:t>
      </w:r>
      <w:r w:rsidR="003C3AEA">
        <w:rPr>
          <w:color w:val="000000"/>
          <w:szCs w:val="22"/>
        </w:rPr>
        <w:t xml:space="preserve"> the</w:t>
      </w:r>
      <w:r w:rsidR="003B57C4">
        <w:rPr>
          <w:color w:val="000000"/>
          <w:szCs w:val="22"/>
        </w:rPr>
        <w:t xml:space="preserve"> </w:t>
      </w:r>
      <w:r w:rsidRPr="006712F8" w:rsidR="00D97B2F">
        <w:rPr>
          <w:color w:val="000000"/>
          <w:szCs w:val="22"/>
        </w:rPr>
        <w:t xml:space="preserve">protective order </w:t>
      </w:r>
      <w:r w:rsidR="003B57C4">
        <w:rPr>
          <w:color w:val="000000"/>
          <w:szCs w:val="22"/>
        </w:rPr>
        <w:t xml:space="preserve">it </w:t>
      </w:r>
      <w:r w:rsidR="003C3AEA">
        <w:rPr>
          <w:color w:val="000000"/>
          <w:szCs w:val="22"/>
        </w:rPr>
        <w:t>will</w:t>
      </w:r>
      <w:r w:rsidR="003B57C4">
        <w:rPr>
          <w:color w:val="000000"/>
          <w:szCs w:val="22"/>
        </w:rPr>
        <w:t xml:space="preserve"> adopt </w:t>
      </w:r>
      <w:r w:rsidR="003C3AEA">
        <w:rPr>
          <w:color w:val="000000"/>
          <w:szCs w:val="22"/>
        </w:rPr>
        <w:t>in this context.</w:t>
      </w:r>
      <w:r w:rsidRPr="006712F8" w:rsidR="003B57C4">
        <w:rPr>
          <w:color w:val="000000"/>
          <w:szCs w:val="22"/>
        </w:rPr>
        <w:t xml:space="preserve"> </w:t>
      </w:r>
    </w:p>
    <w:p w:rsidR="00926274" w:rsidRPr="00B33D16" w:rsidP="00926274" w14:paraId="07ACC14E" w14:textId="61CFBD09">
      <w:pPr>
        <w:widowControl/>
        <w:spacing w:after="120"/>
        <w:ind w:firstLine="720"/>
        <w:rPr>
          <w:color w:val="000000"/>
          <w:szCs w:val="22"/>
        </w:rPr>
      </w:pPr>
      <w:r>
        <w:rPr>
          <w:i/>
          <w:iCs/>
          <w:szCs w:val="22"/>
        </w:rPr>
        <w:t>OMB Approval.</w:t>
      </w:r>
      <w:r w:rsidRPr="007D518D">
        <w:rPr>
          <w:szCs w:val="22"/>
        </w:rPr>
        <w:t xml:space="preserve">  </w:t>
      </w:r>
      <w:r w:rsidRPr="00B33D16">
        <w:rPr>
          <w:szCs w:val="22"/>
        </w:rPr>
        <w:t>The Commission must obtain Office of Management and Budget (OMB) approval for the process by which voice service providers must certify how they are combating the origination of illegal robocall traffic on their networks, and is in the process of doing so.</w:t>
      </w:r>
      <w:r>
        <w:rPr>
          <w:rStyle w:val="FootnoteReference"/>
          <w:szCs w:val="22"/>
        </w:rPr>
        <w:footnoteReference w:id="28"/>
      </w:r>
      <w:r w:rsidRPr="00B33D16">
        <w:rPr>
          <w:szCs w:val="22"/>
        </w:rPr>
        <w:t xml:space="preserve">  The Bureau will publish a notice of OMB approval in the Federal Register and the rules regarding robocall mitigation certifications will become effective upon publication of that notice.</w:t>
      </w:r>
    </w:p>
    <w:p w:rsidR="002D3121" w:rsidRPr="00B33D16" w:rsidP="00AB04ED" w14:paraId="578D05D4" w14:textId="5C5C4533">
      <w:pPr>
        <w:widowControl/>
        <w:spacing w:after="120"/>
        <w:ind w:firstLine="720"/>
        <w:rPr>
          <w:color w:val="000000"/>
          <w:szCs w:val="22"/>
        </w:rPr>
      </w:pPr>
      <w:r w:rsidRPr="00B33D16">
        <w:rPr>
          <w:color w:val="000000"/>
          <w:szCs w:val="22"/>
        </w:rPr>
        <w:t>For further information, please contact Michael Nemcik, Wireline Competition Bureau,</w:t>
      </w:r>
      <w:r w:rsidRPr="00B33D16" w:rsidR="00A935DA">
        <w:rPr>
          <w:color w:val="000000"/>
          <w:szCs w:val="22"/>
        </w:rPr>
        <w:t xml:space="preserve"> </w:t>
      </w:r>
      <w:r w:rsidRPr="00B33D16">
        <w:rPr>
          <w:color w:val="000000"/>
          <w:szCs w:val="22"/>
        </w:rPr>
        <w:t xml:space="preserve">Competition Policy Division, at (202) 418-2343 or by email at </w:t>
      </w:r>
      <w:hyperlink r:id="rId8" w:history="1">
        <w:r w:rsidRPr="00B33D16">
          <w:rPr>
            <w:rStyle w:val="Hyperlink"/>
            <w:szCs w:val="22"/>
          </w:rPr>
          <w:t>Michael.Nemcik@fcc.gov</w:t>
        </w:r>
      </w:hyperlink>
      <w:r w:rsidRPr="00B33D16" w:rsidR="00A935DA">
        <w:rPr>
          <w:color w:val="000000"/>
          <w:szCs w:val="22"/>
        </w:rPr>
        <w:t>.</w:t>
      </w:r>
    </w:p>
    <w:p w:rsidR="00A97185" w:rsidRPr="00AB04ED" w:rsidP="00AB04ED" w14:paraId="44EC8AF7" w14:textId="77777777">
      <w:pPr>
        <w:widowControl/>
        <w:spacing w:after="120"/>
        <w:ind w:firstLine="720"/>
        <w:rPr>
          <w:color w:val="000000"/>
        </w:rPr>
      </w:pPr>
    </w:p>
    <w:p w:rsidR="00DA60B6" w:rsidRPr="00DA60B6" w:rsidP="00DA60B6" w14:paraId="428F49D3" w14:textId="0EBA0341">
      <w:pPr>
        <w:widowControl/>
        <w:autoSpaceDE w:val="0"/>
        <w:autoSpaceDN w:val="0"/>
        <w:adjustRightInd w:val="0"/>
        <w:spacing w:after="240"/>
        <w:jc w:val="center"/>
        <w:rPr>
          <w:b/>
          <w:bCs/>
          <w:sz w:val="24"/>
          <w:szCs w:val="24"/>
        </w:rPr>
      </w:pPr>
      <w:r w:rsidRPr="00DA60B6">
        <w:rPr>
          <w:b/>
          <w:bCs/>
          <w:sz w:val="24"/>
          <w:szCs w:val="24"/>
        </w:rPr>
        <w:t>- FCC -</w:t>
      </w:r>
    </w:p>
    <w:p w:rsidR="00930ECF" w:rsidRPr="00930ECF" w:rsidP="00DA60B6" w14:paraId="0A00AA6A" w14:textId="77777777">
      <w:pPr>
        <w:spacing w:after="240"/>
        <w:jc w:val="cente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7F224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F805B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E9741D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AD7B5C" w14:paraId="6F138300" w14:textId="68AA44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02B6" w14:paraId="20E67A22" w14:textId="77777777">
      <w:r>
        <w:separator/>
      </w:r>
    </w:p>
  </w:footnote>
  <w:footnote w:type="continuationSeparator" w:id="1">
    <w:p w:rsidR="00E602B6" w14:paraId="1D1719C8" w14:textId="77777777">
      <w:pPr>
        <w:rPr>
          <w:sz w:val="20"/>
        </w:rPr>
      </w:pPr>
      <w:r>
        <w:rPr>
          <w:sz w:val="20"/>
        </w:rPr>
        <w:t xml:space="preserve">(Continued from previous page)  </w:t>
      </w:r>
      <w:r>
        <w:rPr>
          <w:sz w:val="20"/>
        </w:rPr>
        <w:separator/>
      </w:r>
    </w:p>
  </w:footnote>
  <w:footnote w:type="continuationNotice" w:id="2">
    <w:p w:rsidR="00E602B6" w:rsidP="00910F12" w14:paraId="5B97FCAD" w14:textId="77777777">
      <w:pPr>
        <w:jc w:val="right"/>
        <w:rPr>
          <w:sz w:val="20"/>
        </w:rPr>
      </w:pPr>
      <w:r>
        <w:rPr>
          <w:sz w:val="20"/>
        </w:rPr>
        <w:t>(continued….)</w:t>
      </w:r>
    </w:p>
  </w:footnote>
  <w:footnote w:id="3">
    <w:p w:rsidR="002D3121" w:rsidRPr="00ED2251" w:rsidP="002D3121" w14:paraId="70403297" w14:textId="74479FE3">
      <w:pPr>
        <w:pStyle w:val="FootnoteText"/>
      </w:pPr>
      <w:r w:rsidRPr="00ED2251">
        <w:rPr>
          <w:rStyle w:val="FootnoteReference"/>
          <w:sz w:val="20"/>
        </w:rPr>
        <w:footnoteRef/>
      </w:r>
      <w:r w:rsidRPr="00ED2251">
        <w:t xml:space="preserve"> </w:t>
      </w:r>
      <w:r w:rsidRPr="00ED2251" w:rsidR="00926FBD">
        <w:t>Pallone-Thune Telephone Robocall Abuse Criminal Enforcement and Deterrence Act, Pub. L. No. 116-105 (2019) (TRACED Act).</w:t>
      </w:r>
    </w:p>
  </w:footnote>
  <w:footnote w:id="4">
    <w:p w:rsidR="00711948" w:rsidRPr="00ED2251" w14:paraId="210E42AB" w14:textId="23D90F89">
      <w:pPr>
        <w:pStyle w:val="FootnoteText"/>
      </w:pPr>
      <w:r w:rsidRPr="00ED2251">
        <w:rPr>
          <w:rStyle w:val="FootnoteReference"/>
          <w:sz w:val="20"/>
        </w:rPr>
        <w:footnoteRef/>
      </w:r>
      <w:r w:rsidRPr="00ED2251">
        <w:t xml:space="preserve"> </w:t>
      </w:r>
      <w:r w:rsidRPr="00ED2251" w:rsidR="0051018F">
        <w:rPr>
          <w:i/>
          <w:iCs/>
        </w:rPr>
        <w:t>Call Authentication Trust Anchor</w:t>
      </w:r>
      <w:r w:rsidRPr="00ED2251" w:rsidR="00EF2959">
        <w:rPr>
          <w:i/>
          <w:iCs/>
        </w:rPr>
        <w:t>;</w:t>
      </w:r>
      <w:r w:rsidRPr="00ED2251" w:rsidR="0051018F">
        <w:rPr>
          <w:i/>
          <w:iCs/>
        </w:rPr>
        <w:t xml:space="preserve"> Implementation of TRACED Act Section 6(a)—Knowledge of Customers by Entities with Access to Numbering Resources</w:t>
      </w:r>
      <w:r w:rsidRPr="00ED2251" w:rsidR="0051018F">
        <w:t xml:space="preserve">, WC Docket Nos. 17-97 and 20-67, Report and Order and Further Notice of Proposed Rulemaking, 35 FCC Rcd 3241, </w:t>
      </w:r>
      <w:r w:rsidRPr="00ED2251" w:rsidR="00EF2959">
        <w:t>3257-58, paras. 32-35</w:t>
      </w:r>
      <w:r w:rsidRPr="00ED2251" w:rsidR="0051018F">
        <w:t xml:space="preserve"> (2020) (</w:t>
      </w:r>
      <w:r w:rsidRPr="00ED2251" w:rsidR="0051018F">
        <w:rPr>
          <w:i/>
          <w:iCs/>
        </w:rPr>
        <w:t>First Caller ID Authentication Report and Order and Further Notice</w:t>
      </w:r>
      <w:r w:rsidRPr="00ED2251" w:rsidR="0051018F">
        <w:t>)</w:t>
      </w:r>
      <w:r w:rsidRPr="00ED2251" w:rsidR="00F909E9">
        <w:t>; 47 CFR § 64.6301</w:t>
      </w:r>
      <w:r w:rsidRPr="00ED2251" w:rsidR="00103C35">
        <w:t>.</w:t>
      </w:r>
    </w:p>
  </w:footnote>
  <w:footnote w:id="5">
    <w:p w:rsidR="00711948" w:rsidRPr="00ED2251" w14:paraId="127C0626" w14:textId="543FA35B">
      <w:pPr>
        <w:pStyle w:val="FootnoteText"/>
      </w:pPr>
      <w:r w:rsidRPr="00ED2251">
        <w:rPr>
          <w:rStyle w:val="FootnoteReference"/>
          <w:sz w:val="20"/>
        </w:rPr>
        <w:footnoteRef/>
      </w:r>
      <w:r w:rsidRPr="00ED2251">
        <w:t xml:space="preserve"> </w:t>
      </w:r>
      <w:r w:rsidRPr="00ED2251" w:rsidR="004F6AA1">
        <w:rPr>
          <w:i/>
          <w:iCs/>
        </w:rPr>
        <w:t>Call Authentication Trust Anchor</w:t>
      </w:r>
      <w:r w:rsidRPr="00ED2251" w:rsidR="004F6AA1">
        <w:t xml:space="preserve">, WC Docket No. 17-97, Second Report and Order, FCC 20-136, at </w:t>
      </w:r>
      <w:r w:rsidRPr="00ED2251" w:rsidR="00B46C11">
        <w:t>18</w:t>
      </w:r>
      <w:r w:rsidRPr="00ED2251" w:rsidR="004F6AA1">
        <w:t xml:space="preserve">, para. </w:t>
      </w:r>
      <w:r w:rsidRPr="00ED2251" w:rsidR="00B46C11">
        <w:t>38</w:t>
      </w:r>
      <w:r w:rsidRPr="00ED2251" w:rsidR="00E75C6F">
        <w:t xml:space="preserve"> </w:t>
      </w:r>
      <w:r w:rsidRPr="00ED2251" w:rsidR="004F6AA1">
        <w:t>(Sept. 29, 2020) (</w:t>
      </w:r>
      <w:r w:rsidRPr="00ED2251" w:rsidR="004F6AA1">
        <w:rPr>
          <w:i/>
          <w:iCs/>
        </w:rPr>
        <w:t>Second STIR/SHAKEN Order</w:t>
      </w:r>
      <w:r w:rsidRPr="00ED2251" w:rsidR="004F6AA1">
        <w:t>) (</w:t>
      </w:r>
      <w:r w:rsidRPr="00ED2251" w:rsidR="00B46C11">
        <w:t>explaining that the Commission granted the following extensions from implementation of caller ID authentication: “(1) a two-year extension to small, including small rural, voice service providers; (2) an extension to voice service providers that cannot obtain a certificate due to the Governance Authority’s token access policy until such provider is able to obtain a certificate; (3) a one-year extension to services scheduled for section 214 discontinuance; and (4) as required by the TRACED Act, an extension for the parts of a voice service provider’s network that rely on technology that cannot initiate, maintain, and terminate SIP calls until a solution for such calls is reasonably available</w:t>
      </w:r>
      <w:r w:rsidRPr="00ED2251" w:rsidR="00E75C6F">
        <w:t>”</w:t>
      </w:r>
      <w:r w:rsidRPr="00ED2251" w:rsidR="004F6AA1">
        <w:t>).</w:t>
      </w:r>
    </w:p>
  </w:footnote>
  <w:footnote w:id="6">
    <w:p w:rsidR="00711948" w:rsidRPr="00ED2251" w14:paraId="022270C1" w14:textId="0292D143">
      <w:pPr>
        <w:pStyle w:val="FootnoteText"/>
      </w:pPr>
      <w:r w:rsidRPr="00ED2251">
        <w:rPr>
          <w:rStyle w:val="FootnoteReference"/>
          <w:sz w:val="20"/>
        </w:rPr>
        <w:footnoteRef/>
      </w:r>
      <w:r w:rsidRPr="00ED2251">
        <w:t xml:space="preserve"> </w:t>
      </w:r>
      <w:r w:rsidRPr="00ED2251" w:rsidR="004F6AA1">
        <w:rPr>
          <w:i/>
          <w:iCs/>
        </w:rPr>
        <w:t>Second STIR/SHAKEN Order</w:t>
      </w:r>
      <w:r w:rsidRPr="00ED2251" w:rsidR="004F6AA1">
        <w:t xml:space="preserve"> at 39-40, para. 74.</w:t>
      </w:r>
    </w:p>
  </w:footnote>
  <w:footnote w:id="7">
    <w:p w:rsidR="002C152E" w:rsidRPr="00763B96" w14:paraId="6B93BDFC" w14:textId="13028BEE">
      <w:pPr>
        <w:pStyle w:val="FootnoteText"/>
      </w:pPr>
      <w:r w:rsidRPr="00763B96">
        <w:rPr>
          <w:rStyle w:val="FootnoteReference"/>
          <w:sz w:val="20"/>
        </w:rPr>
        <w:footnoteRef/>
      </w:r>
      <w:r w:rsidRPr="00763B96">
        <w:t xml:space="preserve"> TRACED Act § 4(b)(5)(C).</w:t>
      </w:r>
    </w:p>
  </w:footnote>
  <w:footnote w:id="8">
    <w:p w:rsidR="00F275AD" w:rsidRPr="00E90906" w:rsidP="00F275AD" w14:paraId="4B8722C0" w14:textId="77777777">
      <w:pPr>
        <w:pStyle w:val="FootnoteText"/>
      </w:pPr>
      <w:r w:rsidRPr="00E90906">
        <w:rPr>
          <w:rStyle w:val="FootnoteReference"/>
          <w:sz w:val="20"/>
        </w:rPr>
        <w:footnoteRef/>
      </w:r>
      <w:r w:rsidRPr="00E90906">
        <w:t xml:space="preserve"> </w:t>
      </w:r>
      <w:r w:rsidRPr="00E90906">
        <w:rPr>
          <w:i/>
          <w:iCs/>
        </w:rPr>
        <w:t xml:space="preserve">Second STIR/SHAKEN Order </w:t>
      </w:r>
      <w:r w:rsidRPr="00E90906">
        <w:t>at 44-46, paras. 82-85.</w:t>
      </w:r>
    </w:p>
  </w:footnote>
  <w:footnote w:id="9">
    <w:p w:rsidR="002C152E" w:rsidRPr="00E90906" w:rsidP="002C152E" w14:paraId="250DCF58" w14:textId="2DB9D2BC">
      <w:pPr>
        <w:pStyle w:val="FootnoteText"/>
      </w:pPr>
      <w:r w:rsidRPr="00E90906">
        <w:rPr>
          <w:rStyle w:val="FootnoteReference"/>
          <w:sz w:val="20"/>
        </w:rPr>
        <w:footnoteRef/>
      </w:r>
      <w:r w:rsidRPr="00E90906">
        <w:t xml:space="preserve"> </w:t>
      </w:r>
      <w:r w:rsidRPr="00E90906" w:rsidR="006551DD">
        <w:rPr>
          <w:i/>
          <w:iCs/>
        </w:rPr>
        <w:t xml:space="preserve">Second STIR/SHAKEN Order </w:t>
      </w:r>
      <w:r w:rsidRPr="00E90906" w:rsidR="006551DD">
        <w:t>at 43, para. 78.</w:t>
      </w:r>
    </w:p>
  </w:footnote>
  <w:footnote w:id="10">
    <w:p w:rsidR="002C152E" w:rsidRPr="00E90906" w:rsidP="002C152E" w14:paraId="1DD81985" w14:textId="118C4905">
      <w:pPr>
        <w:pStyle w:val="FootnoteText"/>
      </w:pPr>
      <w:r w:rsidRPr="00E90906">
        <w:rPr>
          <w:rStyle w:val="FootnoteReference"/>
          <w:sz w:val="20"/>
        </w:rPr>
        <w:footnoteRef/>
      </w:r>
      <w:r w:rsidRPr="00E90906">
        <w:t xml:space="preserve"> </w:t>
      </w:r>
      <w:r w:rsidRPr="00E90906" w:rsidR="00CA04E9">
        <w:rPr>
          <w:i/>
          <w:iCs/>
        </w:rPr>
        <w:t xml:space="preserve">Second STIR/SHAKEN Order </w:t>
      </w:r>
      <w:r w:rsidRPr="00E90906" w:rsidR="00CA04E9">
        <w:t>at 43, para. 78.</w:t>
      </w:r>
    </w:p>
  </w:footnote>
  <w:footnote w:id="11">
    <w:p w:rsidR="002C152E" w:rsidRPr="00E90906" w:rsidP="002C152E" w14:paraId="0657BFCA" w14:textId="695D0C9B">
      <w:pPr>
        <w:pStyle w:val="FootnoteText"/>
      </w:pPr>
      <w:r w:rsidRPr="00E90906">
        <w:rPr>
          <w:rStyle w:val="FootnoteReference"/>
          <w:sz w:val="20"/>
        </w:rPr>
        <w:footnoteRef/>
      </w:r>
      <w:r w:rsidRPr="00E90906">
        <w:t xml:space="preserve"> </w:t>
      </w:r>
      <w:r w:rsidRPr="00E90906" w:rsidR="00ED5492">
        <w:rPr>
          <w:i/>
          <w:iCs/>
        </w:rPr>
        <w:t xml:space="preserve">Second STIR/SHAKEN Order </w:t>
      </w:r>
      <w:r w:rsidRPr="00E90906" w:rsidR="00ED5492">
        <w:t>at 43, para. 78</w:t>
      </w:r>
      <w:r w:rsidRPr="00E90906" w:rsidR="009C06EB">
        <w:t xml:space="preserve">.  </w:t>
      </w:r>
      <w:r w:rsidRPr="00E90906" w:rsidR="009C06EB">
        <w:rPr>
          <w:color w:val="000000"/>
        </w:rPr>
        <w:t xml:space="preserve">Furthermore, the </w:t>
      </w:r>
      <w:r w:rsidRPr="00E90906" w:rsidR="009C06EB">
        <w:rPr>
          <w:i/>
          <w:iCs/>
          <w:color w:val="000000"/>
        </w:rPr>
        <w:t>Second STIR/SHAKEN Order</w:t>
      </w:r>
      <w:r w:rsidRPr="00E90906" w:rsidR="009C06EB">
        <w:rPr>
          <w:color w:val="000000"/>
        </w:rPr>
        <w:t xml:space="preserve"> clarified that if any voice service provider submits a certification that is found to be deficient in some manner, it will be subject to appropriate enforcement action, which may include the removal of its defective certification from the database after notice and an opportunity to cure.  </w:t>
      </w:r>
      <w:r w:rsidRPr="00E90906" w:rsidR="009C06EB">
        <w:rPr>
          <w:i/>
          <w:iCs/>
        </w:rPr>
        <w:t xml:space="preserve">Second STIR/SHAKEN Order </w:t>
      </w:r>
      <w:r w:rsidRPr="00E90906" w:rsidR="009C06EB">
        <w:t>at 45-46, para. 83.</w:t>
      </w:r>
    </w:p>
  </w:footnote>
  <w:footnote w:id="12">
    <w:p w:rsidR="00E90906" w:rsidRPr="00E90906" w:rsidP="00E90906" w14:paraId="01FB6F81" w14:textId="6C68CF2C">
      <w:pPr>
        <w:pStyle w:val="FootnoteText"/>
      </w:pPr>
      <w:r w:rsidRPr="00E90906">
        <w:rPr>
          <w:rStyle w:val="FootnoteReference"/>
          <w:sz w:val="20"/>
        </w:rPr>
        <w:footnoteRef/>
      </w:r>
      <w:r w:rsidRPr="00E90906">
        <w:t xml:space="preserve"> </w:t>
      </w:r>
      <w:r w:rsidRPr="00E90906">
        <w:rPr>
          <w:i/>
          <w:iCs/>
        </w:rPr>
        <w:t xml:space="preserve">Second STIR/SHAKEN Order </w:t>
      </w:r>
      <w:r w:rsidRPr="00E90906">
        <w:t xml:space="preserve">at 43, para. 79 </w:t>
      </w:r>
      <w:r w:rsidRPr="00222CF9">
        <w:t>(“</w:t>
      </w:r>
      <w:r w:rsidRPr="005D00FF">
        <w:t>The record also convinces us that participation in industry traceback efforts is of utmost importan</w:t>
      </w:r>
      <w:r w:rsidRPr="004215CF">
        <w:t>ce in the absence of STIR/SHAKEN implementation. To that end, we require voice service providers, as part of their robocall mitigation programs, to commit to cooperating with the Commission, law enforcement, and the industry traceback consortium in inve</w:t>
      </w:r>
      <w:r w:rsidRPr="00E90906">
        <w:t>stigating and stopping any illegal robocallers that it learns are using its service to originate calls. We find that this baseline requirement to participate in traceback efforts is a necessary aspect of any attempt to mitigate illegal robocalls, as it permits voice service providers and enforcement agencies to identify illegal robocallers and prevent them from further abusing the voice network.”).</w:t>
      </w:r>
    </w:p>
  </w:footnote>
  <w:footnote w:id="13">
    <w:p w:rsidR="004C4F4C" w:rsidRPr="00E90906" w14:paraId="023BB5B1" w14:textId="138C470A">
      <w:pPr>
        <w:pStyle w:val="FootnoteText"/>
      </w:pPr>
      <w:r w:rsidRPr="00E90906">
        <w:rPr>
          <w:rStyle w:val="FootnoteReference"/>
          <w:sz w:val="20"/>
        </w:rPr>
        <w:footnoteRef/>
      </w:r>
      <w:r w:rsidRPr="00E90906">
        <w:t xml:space="preserve"> </w:t>
      </w:r>
      <w:r w:rsidRPr="00E90906" w:rsidR="00ED5492">
        <w:rPr>
          <w:i/>
          <w:iCs/>
        </w:rPr>
        <w:t xml:space="preserve">Second STIR/SHAKEN Order </w:t>
      </w:r>
      <w:r w:rsidRPr="00E90906" w:rsidR="00ED5492">
        <w:t>at 44-45, para. 82.</w:t>
      </w:r>
    </w:p>
  </w:footnote>
  <w:footnote w:id="14">
    <w:p w:rsidR="00400901" w:rsidRPr="00E90906" w:rsidP="00400901" w14:paraId="2D6DE92C" w14:textId="2E0A7A62">
      <w:pPr>
        <w:pStyle w:val="FootnoteText"/>
      </w:pPr>
      <w:r w:rsidRPr="00E90906">
        <w:rPr>
          <w:rStyle w:val="FootnoteReference"/>
          <w:sz w:val="20"/>
        </w:rPr>
        <w:footnoteRef/>
      </w:r>
      <w:r w:rsidRPr="00E90906">
        <w:t xml:space="preserve"> </w:t>
      </w:r>
      <w:r w:rsidRPr="00E90906" w:rsidR="00E44F2A">
        <w:rPr>
          <w:i/>
          <w:iCs/>
        </w:rPr>
        <w:t xml:space="preserve">Second STIR/SHAKEN Order </w:t>
      </w:r>
      <w:r w:rsidRPr="00E90906" w:rsidR="00E44F2A">
        <w:t>at 45, para. 82; 47 CFR § 64.6305(b)(1)(i)-(iii).</w:t>
      </w:r>
    </w:p>
  </w:footnote>
  <w:footnote w:id="15">
    <w:p w:rsidR="00C12EF5" w:rsidRPr="00E90906" w:rsidP="008E2816" w14:paraId="70827E27" w14:textId="77E300FE">
      <w:pPr>
        <w:widowControl/>
        <w:shd w:val="clear" w:color="auto" w:fill="FFFFFF"/>
        <w:spacing w:after="120"/>
        <w:textAlignment w:val="baseline"/>
        <w:rPr>
          <w:snapToGrid/>
          <w:color w:val="000000"/>
          <w:kern w:val="0"/>
          <w:sz w:val="20"/>
        </w:rPr>
      </w:pPr>
      <w:r w:rsidRPr="00E90906">
        <w:rPr>
          <w:rStyle w:val="FootnoteReference"/>
          <w:sz w:val="20"/>
        </w:rPr>
        <w:footnoteRef/>
      </w:r>
      <w:r w:rsidRPr="00E90906">
        <w:rPr>
          <w:sz w:val="20"/>
        </w:rPr>
        <w:t xml:space="preserve"> </w:t>
      </w:r>
      <w:r w:rsidRPr="00E90906" w:rsidR="00AF6923">
        <w:rPr>
          <w:i/>
          <w:iCs/>
          <w:sz w:val="20"/>
        </w:rPr>
        <w:t xml:space="preserve">Second STIR/SHAKEN Order </w:t>
      </w:r>
      <w:r w:rsidRPr="00E90906" w:rsidR="00AF6923">
        <w:rPr>
          <w:sz w:val="20"/>
        </w:rPr>
        <w:t>at 45, para. 82; 47 CFR § 64.6305(b)(2)(i)-(iii).</w:t>
      </w:r>
    </w:p>
  </w:footnote>
  <w:footnote w:id="16">
    <w:p w:rsidR="00DD557D" w:rsidRPr="00E90906" w:rsidP="00DD557D" w14:paraId="2651AAB4" w14:textId="7D2ECB6F">
      <w:pPr>
        <w:pStyle w:val="FootnoteText"/>
      </w:pPr>
      <w:r w:rsidRPr="00E90906">
        <w:rPr>
          <w:rStyle w:val="FootnoteReference"/>
          <w:sz w:val="20"/>
        </w:rPr>
        <w:footnoteRef/>
      </w:r>
      <w:r w:rsidRPr="00E90906">
        <w:t xml:space="preserve"> </w:t>
      </w:r>
      <w:r w:rsidRPr="00E90906" w:rsidR="00661853">
        <w:t xml:space="preserve">47 CFR § 64.6305(b)(3)(ii); 47 CFR </w:t>
      </w:r>
      <w:r w:rsidRPr="00E90906" w:rsidR="00661853">
        <w:rPr>
          <w:color w:val="000000"/>
        </w:rPr>
        <w:t>§ 1.16.</w:t>
      </w:r>
    </w:p>
  </w:footnote>
  <w:footnote w:id="17">
    <w:p w:rsidR="000245B0" w:rsidRPr="00D162CA" w14:paraId="7FB58DD5" w14:textId="7C077254">
      <w:pPr>
        <w:pStyle w:val="FootnoteText"/>
      </w:pPr>
      <w:r w:rsidRPr="00E90906">
        <w:rPr>
          <w:rStyle w:val="FootnoteReference"/>
          <w:sz w:val="20"/>
        </w:rPr>
        <w:footnoteRef/>
      </w:r>
      <w:r w:rsidRPr="00E90906">
        <w:t xml:space="preserve"> </w:t>
      </w:r>
      <w:r w:rsidRPr="00E90906" w:rsidR="00C972B3">
        <w:rPr>
          <w:i/>
          <w:iCs/>
        </w:rPr>
        <w:t xml:space="preserve">Second STIR/SHAKEN Order </w:t>
      </w:r>
      <w:r w:rsidRPr="00E90906" w:rsidR="00C972B3">
        <w:t>at 46, para. 84.</w:t>
      </w:r>
    </w:p>
  </w:footnote>
  <w:footnote w:id="18">
    <w:p w:rsidR="000245B0" w:rsidRPr="00D162CA" w14:paraId="2F414168" w14:textId="52C39D87">
      <w:pPr>
        <w:pStyle w:val="FootnoteText"/>
      </w:pPr>
      <w:r w:rsidRPr="00D162CA">
        <w:rPr>
          <w:rStyle w:val="FootnoteReference"/>
          <w:sz w:val="20"/>
        </w:rPr>
        <w:footnoteRef/>
      </w:r>
      <w:r w:rsidRPr="00D162CA">
        <w:t xml:space="preserve"> </w:t>
      </w:r>
      <w:r w:rsidRPr="00D162CA" w:rsidR="00DD0BD5">
        <w:rPr>
          <w:i/>
          <w:iCs/>
        </w:rPr>
        <w:t xml:space="preserve">Second STIR/SHAKEN Order </w:t>
      </w:r>
      <w:r w:rsidRPr="00D162CA" w:rsidR="00DD0BD5">
        <w:t>at 46, para. 84</w:t>
      </w:r>
      <w:r w:rsidRPr="00D162CA" w:rsidR="00A93DE7">
        <w:t>; 47 CFR § 64.6305(b)(4)(i)-(v).</w:t>
      </w:r>
    </w:p>
  </w:footnote>
  <w:footnote w:id="19">
    <w:p w:rsidR="0092554C" w:rsidRPr="00D162CA" w:rsidP="0092554C" w14:paraId="21028550" w14:textId="77777777">
      <w:pPr>
        <w:pStyle w:val="FootnoteText"/>
      </w:pPr>
      <w:r w:rsidRPr="00D162CA">
        <w:rPr>
          <w:rStyle w:val="FootnoteReference"/>
          <w:sz w:val="20"/>
        </w:rPr>
        <w:footnoteRef/>
      </w:r>
      <w:r w:rsidRPr="00D162CA">
        <w:t xml:space="preserve"> </w:t>
      </w:r>
      <w:r w:rsidRPr="00D162CA">
        <w:rPr>
          <w:i/>
          <w:iCs/>
        </w:rPr>
        <w:t xml:space="preserve">Second STIR/SHAKEN Order </w:t>
      </w:r>
      <w:r w:rsidRPr="00D162CA">
        <w:t>at 46-47, para. 86.</w:t>
      </w:r>
    </w:p>
  </w:footnote>
  <w:footnote w:id="20">
    <w:p w:rsidR="0092554C" w:rsidRPr="00D162CA" w:rsidP="0092554C" w14:paraId="78C103A2" w14:textId="77777777">
      <w:pPr>
        <w:pStyle w:val="FootnoteText"/>
      </w:pPr>
      <w:r w:rsidRPr="00D162CA">
        <w:rPr>
          <w:rStyle w:val="FootnoteReference"/>
          <w:sz w:val="20"/>
        </w:rPr>
        <w:footnoteRef/>
      </w:r>
      <w:r w:rsidRPr="00D162CA">
        <w:t xml:space="preserve"> </w:t>
      </w:r>
      <w:r w:rsidRPr="00D162CA">
        <w:rPr>
          <w:i/>
          <w:iCs/>
        </w:rPr>
        <w:t xml:space="preserve">Second STIR/SHAKEN Order </w:t>
      </w:r>
      <w:r w:rsidRPr="00D162CA">
        <w:t>at 46-47, para. 86.</w:t>
      </w:r>
    </w:p>
  </w:footnote>
  <w:footnote w:id="21">
    <w:p w:rsidR="0092554C" w:rsidRPr="00123472" w:rsidP="0092554C" w14:paraId="1FB55930" w14:textId="77777777">
      <w:pPr>
        <w:pStyle w:val="FootnoteText"/>
      </w:pPr>
      <w:r w:rsidRPr="00D162CA">
        <w:rPr>
          <w:rStyle w:val="FootnoteReference"/>
          <w:sz w:val="20"/>
        </w:rPr>
        <w:footnoteRef/>
      </w:r>
      <w:r w:rsidRPr="00D162CA">
        <w:t xml:space="preserve"> </w:t>
      </w:r>
      <w:r w:rsidRPr="00D162CA">
        <w:rPr>
          <w:i/>
          <w:iCs/>
        </w:rPr>
        <w:t xml:space="preserve">Second STIR/SHAKEN Order </w:t>
      </w:r>
      <w:r w:rsidRPr="00D162CA">
        <w:t>at 46-47, paras. 86-87; 47 CFR § 64.6305(c).</w:t>
      </w:r>
    </w:p>
  </w:footnote>
  <w:footnote w:id="22">
    <w:p w:rsidR="00AC1682" w:rsidRPr="00D162CA" w14:paraId="700B20FB" w14:textId="5F58D762">
      <w:pPr>
        <w:pStyle w:val="FootnoteText"/>
      </w:pPr>
      <w:r w:rsidRPr="00D162CA">
        <w:rPr>
          <w:rStyle w:val="FootnoteReference"/>
          <w:sz w:val="20"/>
        </w:rPr>
        <w:footnoteRef/>
      </w:r>
      <w:r w:rsidRPr="00D162CA">
        <w:t xml:space="preserve"> </w:t>
      </w:r>
      <w:r w:rsidRPr="00D162CA">
        <w:rPr>
          <w:i/>
          <w:iCs/>
        </w:rPr>
        <w:t xml:space="preserve">Second STIR/SHAKEN Order </w:t>
      </w:r>
      <w:r w:rsidRPr="00D162CA">
        <w:t>at 45, para. 83 (“We direct the Bureau to establish this portal and database, provide appropriate filing instructions and training materials, and release a Public Notice when voice service providers may begin filing certifications. We direct the Bureau to release this Public Notice no earlier than March 30, 2021, and to establish a deadline for the filing of certifications no earlier than June 30, 2021.”).</w:t>
      </w:r>
    </w:p>
  </w:footnote>
  <w:footnote w:id="23">
    <w:p w:rsidR="002D3121" w:rsidRPr="00D162CA" w:rsidP="002D3121" w14:paraId="168D3787" w14:textId="1FAB6F6D">
      <w:pPr>
        <w:pStyle w:val="FootnoteText"/>
      </w:pPr>
      <w:r w:rsidRPr="00D162CA">
        <w:rPr>
          <w:rStyle w:val="FootnoteReference"/>
          <w:sz w:val="20"/>
        </w:rPr>
        <w:footnoteRef/>
      </w:r>
      <w:r w:rsidRPr="00D162CA">
        <w:t xml:space="preserve"> </w:t>
      </w:r>
      <w:r w:rsidRPr="00D162CA" w:rsidR="00A67769">
        <w:rPr>
          <w:i/>
          <w:iCs/>
        </w:rPr>
        <w:t xml:space="preserve">Second STIR/SHAKEN Order </w:t>
      </w:r>
      <w:r w:rsidRPr="00D162CA" w:rsidR="00A67769">
        <w:t xml:space="preserve">at 46, para. 85; </w:t>
      </w:r>
      <w:r w:rsidRPr="00D162CA" w:rsidR="00BF0AB2">
        <w:t>47 CFR § 64.6305(b)(5)</w:t>
      </w:r>
      <w:r w:rsidRPr="00D162CA" w:rsidR="00A67769">
        <w:t>.</w:t>
      </w:r>
    </w:p>
  </w:footnote>
  <w:footnote w:id="24">
    <w:p w:rsidR="003D30A8" w:rsidRPr="00D162CA" w14:paraId="68973473" w14:textId="4CD748DD">
      <w:pPr>
        <w:pStyle w:val="FootnoteText"/>
      </w:pPr>
      <w:r w:rsidRPr="00D162CA">
        <w:rPr>
          <w:rStyle w:val="FootnoteReference"/>
          <w:sz w:val="20"/>
        </w:rPr>
        <w:footnoteRef/>
      </w:r>
      <w:r w:rsidRPr="00D162CA">
        <w:t xml:space="preserve"> </w:t>
      </w:r>
      <w:r w:rsidRPr="00D162CA" w:rsidR="00763B96">
        <w:rPr>
          <w:i/>
          <w:iCs/>
        </w:rPr>
        <w:t xml:space="preserve">Second STIR/SHAKEN Order </w:t>
      </w:r>
      <w:r w:rsidRPr="00D162CA" w:rsidR="00763B96">
        <w:t>at 47, para. 87 &amp; n.3</w:t>
      </w:r>
      <w:r w:rsidRPr="00D162CA">
        <w:t>40 (</w:t>
      </w:r>
      <w:r w:rsidRPr="00D162CA" w:rsidR="00565C28">
        <w:t>“</w:t>
      </w:r>
      <w:r w:rsidRPr="00D162CA">
        <w:t xml:space="preserve">We take this action because by affirmatively adding </w:t>
      </w:r>
      <w:r w:rsidRPr="00D162CA" w:rsidR="007B3CE8">
        <w:t>[intermediate]</w:t>
      </w:r>
      <w:r w:rsidRPr="00D162CA">
        <w:t xml:space="preserve"> providers, we give intermediate and terminating voice service providers confidence that any provider not listed in the Robocall Mitigation Database is out of compliance with our rules, rather than leaving the potential for uncertainty about whether a provider is noncompliant or simply not requ</w:t>
      </w:r>
      <w:r w:rsidRPr="00D162CA" w:rsidR="00C44B9C">
        <w:t>ired to be included in the database because it does not originate traffic. Additionally, we note that a provider that serves as both an intermediate provider and originating voice service provider must file a certification with respect to the traffic for which it serves as an originating voice service provider, even if its listing has been imported from the Intermediate Provider Registry.</w:t>
      </w:r>
      <w:r w:rsidRPr="00D162CA" w:rsidR="00565C28">
        <w:t>”</w:t>
      </w:r>
      <w:r w:rsidRPr="00D162CA" w:rsidR="00C44B9C">
        <w:t>)</w:t>
      </w:r>
      <w:r w:rsidRPr="00D162CA" w:rsidR="00565C28">
        <w:t>.</w:t>
      </w:r>
    </w:p>
  </w:footnote>
  <w:footnote w:id="25">
    <w:p w:rsidR="00863B11" w:rsidRPr="00D162CA" w:rsidP="00863B11" w14:paraId="5D0001C3" w14:textId="77777777">
      <w:pPr>
        <w:pStyle w:val="FootnoteText"/>
      </w:pPr>
      <w:r w:rsidRPr="00D162CA">
        <w:rPr>
          <w:rStyle w:val="FootnoteReference"/>
          <w:sz w:val="20"/>
        </w:rPr>
        <w:footnoteRef/>
      </w:r>
      <w:r w:rsidRPr="00D162CA">
        <w:t xml:space="preserve"> </w:t>
      </w:r>
      <w:r w:rsidRPr="00D162CA">
        <w:rPr>
          <w:i/>
          <w:iCs/>
        </w:rPr>
        <w:t xml:space="preserve">Second STIR/SHAKEN Order </w:t>
      </w:r>
      <w:r w:rsidRPr="00D162CA">
        <w:t>at 45, para. 83.</w:t>
      </w:r>
    </w:p>
  </w:footnote>
  <w:footnote w:id="26">
    <w:p w:rsidR="002B4946" w:rsidRPr="00D162CA" w:rsidP="002B4946" w14:paraId="50BE3931" w14:textId="6C6F4DB2">
      <w:pPr>
        <w:pStyle w:val="FootnoteText"/>
      </w:pPr>
      <w:r w:rsidRPr="00D162CA">
        <w:rPr>
          <w:rStyle w:val="FootnoteReference"/>
          <w:sz w:val="20"/>
        </w:rPr>
        <w:footnoteRef/>
      </w:r>
      <w:r w:rsidRPr="00D162CA">
        <w:t xml:space="preserve"> 47 CFR § 0.459.  Due to the Covid-19 pandemic the Commission cannot accept hand delivered filings.  </w:t>
      </w:r>
      <w:r w:rsidRPr="00245D55" w:rsidR="001450D1">
        <w:rPr>
          <w:i/>
          <w:iCs/>
        </w:rPr>
        <w:t>See</w:t>
      </w:r>
      <w:r w:rsidRPr="00D162CA" w:rsidR="001450D1">
        <w:t xml:space="preserve"> </w:t>
      </w:r>
      <w:r w:rsidRPr="00245D55" w:rsidR="001450D1">
        <w:rPr>
          <w:i/>
          <w:iCs/>
        </w:rPr>
        <w:t>FCC Provides Further Instructions Regarding Submission of Confidential Materials</w:t>
      </w:r>
      <w:r w:rsidRPr="00D162CA" w:rsidR="001450D1">
        <w:t xml:space="preserve">, Public Notice, </w:t>
      </w:r>
      <w:r w:rsidR="001450D1">
        <w:t>35 FCC Rcd 2973, 2973</w:t>
      </w:r>
      <w:r w:rsidRPr="00D162CA" w:rsidR="001450D1">
        <w:t xml:space="preserve"> (2020).</w:t>
      </w:r>
    </w:p>
  </w:footnote>
  <w:footnote w:id="27">
    <w:p w:rsidR="00AB1F16" w14:paraId="73AA796E" w14:textId="29BA7CA7">
      <w:pPr>
        <w:pStyle w:val="FootnoteText"/>
      </w:pPr>
      <w:r w:rsidRPr="00D162CA">
        <w:rPr>
          <w:rStyle w:val="FootnoteReference"/>
          <w:sz w:val="20"/>
        </w:rPr>
        <w:footnoteRef/>
      </w:r>
      <w:r w:rsidRPr="00D162CA">
        <w:t xml:space="preserve"> </w:t>
      </w:r>
      <w:r w:rsidRPr="00D162CA" w:rsidR="000D699C">
        <w:rPr>
          <w:i/>
          <w:iCs/>
        </w:rPr>
        <w:t xml:space="preserve">Second STIR/SHAKEN Order </w:t>
      </w:r>
      <w:r w:rsidRPr="00D162CA" w:rsidR="000D699C">
        <w:t>at 4</w:t>
      </w:r>
      <w:r w:rsidRPr="00D162CA" w:rsidR="0071724A">
        <w:t>5</w:t>
      </w:r>
      <w:r w:rsidRPr="00D162CA" w:rsidR="000D699C">
        <w:t>, para. 8</w:t>
      </w:r>
      <w:r w:rsidRPr="00D162CA" w:rsidR="0071724A">
        <w:t>3</w:t>
      </w:r>
      <w:r w:rsidRPr="00D162CA" w:rsidR="00AB2736">
        <w:t>.</w:t>
      </w:r>
    </w:p>
  </w:footnote>
  <w:footnote w:id="28">
    <w:p w:rsidR="00926274" w:rsidRPr="00763B96" w:rsidP="00926274" w14:paraId="16B87802" w14:textId="77777777">
      <w:pPr>
        <w:pStyle w:val="FootnoteText"/>
      </w:pPr>
      <w:r w:rsidRPr="00763B96">
        <w:rPr>
          <w:rStyle w:val="FootnoteReference"/>
          <w:sz w:val="20"/>
        </w:rPr>
        <w:footnoteRef/>
      </w:r>
      <w:r w:rsidRPr="00763B96">
        <w:t xml:space="preserve"> </w:t>
      </w:r>
      <w:r w:rsidRPr="00763B96">
        <w:rPr>
          <w:i/>
          <w:iCs/>
        </w:rPr>
        <w:t xml:space="preserve">Second STIR/SHAKEN Order </w:t>
      </w:r>
      <w:r w:rsidRPr="00763B96">
        <w:t>at 77, paras. 163-64.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EB33ABF" w14:textId="64A21B2A">
    <w:pPr>
      <w:tabs>
        <w:tab w:val="center" w:pos="4680"/>
        <w:tab w:val="right" w:pos="9360"/>
      </w:tabs>
    </w:pPr>
    <w:r w:rsidRPr="009838BC">
      <w:rPr>
        <w:b/>
      </w:rPr>
      <w:tab/>
      <w:t>Federal Communications Commission</w:t>
    </w:r>
    <w:r w:rsidRPr="009838BC">
      <w:rPr>
        <w:b/>
      </w:rPr>
      <w:tab/>
    </w:r>
    <w:r w:rsidR="002D3121">
      <w:rPr>
        <w:b/>
      </w:rPr>
      <w:t>DA 21</w:t>
    </w:r>
    <w:r w:rsidR="00AD7B5C">
      <w:rPr>
        <w:b/>
      </w:rPr>
      <w:t>-454</w:t>
    </w:r>
  </w:p>
  <w:p w:rsidR="009838BC" w:rsidRPr="009838BC" w:rsidP="009838BC" w14:paraId="4CE18BAD" w14:textId="601A50B3">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3B840F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4B3A6B1" w14:textId="72699FDB">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B5FE933">
                          <w:pPr>
                            <w:rPr>
                              <w:rFonts w:ascii="Arial" w:hAnsi="Arial"/>
                              <w:b/>
                            </w:rPr>
                          </w:pPr>
                          <w:r w:rsidRPr="00FA0E88">
                            <w:rPr>
                              <w:rFonts w:ascii="Arial" w:hAnsi="Arial"/>
                              <w:b/>
                            </w:rPr>
                            <w:t>45 L St</w:t>
                          </w:r>
                          <w:r w:rsidR="004C576C">
                            <w:rPr>
                              <w:rFonts w:ascii="Arial" w:hAnsi="Arial"/>
                              <w:b/>
                            </w:rPr>
                            <w:t>reet</w:t>
                          </w:r>
                          <w:r w:rsidRPr="00FA0E88">
                            <w:rPr>
                              <w:rFonts w:ascii="Arial" w:hAnsi="Arial"/>
                              <w:b/>
                            </w:rPr>
                            <w:t xml:space="preserve"> NE</w:t>
                          </w:r>
                        </w:p>
                        <w:p w:rsidR="009838BC" w:rsidP="009838BC" w14:textId="61E10FD1">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A853360" w14:textId="77777777">
                    <w:pPr>
                      <w:rPr>
                        <w:rFonts w:ascii="Arial" w:hAnsi="Arial"/>
                        <w:b/>
                      </w:rPr>
                    </w:pPr>
                    <w:r>
                      <w:rPr>
                        <w:rFonts w:ascii="Arial" w:hAnsi="Arial"/>
                        <w:b/>
                      </w:rPr>
                      <w:t>Federal Communications Commission</w:t>
                    </w:r>
                  </w:p>
                  <w:p w:rsidR="009838BC" w:rsidP="009838BC" w14:paraId="7310B480" w14:textId="5B5FE933">
                    <w:pPr>
                      <w:rPr>
                        <w:rFonts w:ascii="Arial" w:hAnsi="Arial"/>
                        <w:b/>
                      </w:rPr>
                    </w:pPr>
                    <w:r w:rsidRPr="00FA0E88">
                      <w:rPr>
                        <w:rFonts w:ascii="Arial" w:hAnsi="Arial"/>
                        <w:b/>
                      </w:rPr>
                      <w:t>45 L St</w:t>
                    </w:r>
                    <w:r w:rsidR="004C576C">
                      <w:rPr>
                        <w:rFonts w:ascii="Arial" w:hAnsi="Arial"/>
                        <w:b/>
                      </w:rPr>
                      <w:t>reet</w:t>
                    </w:r>
                    <w:r w:rsidRPr="00FA0E88">
                      <w:rPr>
                        <w:rFonts w:ascii="Arial" w:hAnsi="Arial"/>
                        <w:b/>
                      </w:rPr>
                      <w:t xml:space="preserve"> NE</w:t>
                    </w:r>
                  </w:p>
                  <w:p w:rsidR="009838BC" w:rsidP="009838BC" w14:paraId="62E98F67" w14:textId="61E10FD1">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1E50E0">
      <w:rPr>
        <w:rFonts w:ascii="Arial" w:hAnsi="Arial" w:cs="Arial"/>
        <w:b/>
        <w:sz w:val="96"/>
      </w:rPr>
      <w:t>PUBLIC NOTICE</w:t>
    </w:r>
  </w:p>
  <w:p w:rsidR="009838BC" w:rsidRPr="00357D50" w:rsidP="009838BC" w14:paraId="4B0E8AEC" w14:textId="43A349AB">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4BC4CE1" w14:textId="77777777">
                    <w:pPr>
                      <w:spacing w:before="40"/>
                      <w:jc w:val="right"/>
                      <w:rPr>
                        <w:rFonts w:ascii="Arial" w:hAnsi="Arial"/>
                        <w:b/>
                        <w:sz w:val="16"/>
                      </w:rPr>
                    </w:pPr>
                    <w:r>
                      <w:rPr>
                        <w:rFonts w:ascii="Arial" w:hAnsi="Arial"/>
                        <w:b/>
                        <w:sz w:val="16"/>
                      </w:rPr>
                      <w:t>News Media Information 202 / 418-0500</w:t>
                    </w:r>
                  </w:p>
                  <w:p w:rsidR="009838BC" w:rsidP="009838BC" w14:paraId="76DE5A1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B32CBB1" w14:textId="77777777">
                    <w:pPr>
                      <w:jc w:val="right"/>
                    </w:pPr>
                    <w:r>
                      <w:rPr>
                        <w:rFonts w:ascii="Arial" w:hAnsi="Arial"/>
                        <w:b/>
                        <w:sz w:val="16"/>
                      </w:rPr>
                      <w:t>TTY: 1-888-835-5322</w:t>
                    </w:r>
                  </w:p>
                </w:txbxContent>
              </v:textbox>
            </v:shape>
          </w:pict>
        </mc:Fallback>
      </mc:AlternateContent>
    </w:r>
  </w:p>
  <w:p w:rsidR="006F7393" w:rsidRPr="009838BC" w:rsidP="009838BC" w14:paraId="07F4698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4F2DBC"/>
    <w:multiLevelType w:val="hybridMultilevel"/>
    <w:tmpl w:val="90244D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B6"/>
    <w:rsid w:val="000072CE"/>
    <w:rsid w:val="00013A8B"/>
    <w:rsid w:val="000157DC"/>
    <w:rsid w:val="00016DCF"/>
    <w:rsid w:val="000201B5"/>
    <w:rsid w:val="00021445"/>
    <w:rsid w:val="000245B0"/>
    <w:rsid w:val="00026E21"/>
    <w:rsid w:val="0003568C"/>
    <w:rsid w:val="00036039"/>
    <w:rsid w:val="0003644D"/>
    <w:rsid w:val="00037F90"/>
    <w:rsid w:val="00050372"/>
    <w:rsid w:val="00050CEB"/>
    <w:rsid w:val="000537E9"/>
    <w:rsid w:val="00070EE4"/>
    <w:rsid w:val="000734E5"/>
    <w:rsid w:val="000818F2"/>
    <w:rsid w:val="000875BF"/>
    <w:rsid w:val="00087FAE"/>
    <w:rsid w:val="00096521"/>
    <w:rsid w:val="00096D8C"/>
    <w:rsid w:val="000A2CEF"/>
    <w:rsid w:val="000B0686"/>
    <w:rsid w:val="000B389B"/>
    <w:rsid w:val="000B5F9A"/>
    <w:rsid w:val="000C0B65"/>
    <w:rsid w:val="000C2E61"/>
    <w:rsid w:val="000C6FC1"/>
    <w:rsid w:val="000D29BD"/>
    <w:rsid w:val="000D699C"/>
    <w:rsid w:val="000E3D42"/>
    <w:rsid w:val="000E5884"/>
    <w:rsid w:val="000F17F1"/>
    <w:rsid w:val="000F1C61"/>
    <w:rsid w:val="000F2C66"/>
    <w:rsid w:val="000F33B6"/>
    <w:rsid w:val="00101F19"/>
    <w:rsid w:val="00103C35"/>
    <w:rsid w:val="00105316"/>
    <w:rsid w:val="00114669"/>
    <w:rsid w:val="00114AE1"/>
    <w:rsid w:val="00122BD5"/>
    <w:rsid w:val="00123472"/>
    <w:rsid w:val="001450D1"/>
    <w:rsid w:val="00174C2E"/>
    <w:rsid w:val="001819C8"/>
    <w:rsid w:val="001827AC"/>
    <w:rsid w:val="001872BD"/>
    <w:rsid w:val="00187432"/>
    <w:rsid w:val="00194794"/>
    <w:rsid w:val="00194946"/>
    <w:rsid w:val="001979D9"/>
    <w:rsid w:val="001A114C"/>
    <w:rsid w:val="001A28D2"/>
    <w:rsid w:val="001B6C9B"/>
    <w:rsid w:val="001D0E80"/>
    <w:rsid w:val="001D6BCF"/>
    <w:rsid w:val="001E01CA"/>
    <w:rsid w:val="001E50E0"/>
    <w:rsid w:val="001F0072"/>
    <w:rsid w:val="001F7B52"/>
    <w:rsid w:val="002020A7"/>
    <w:rsid w:val="002060D9"/>
    <w:rsid w:val="00211DDE"/>
    <w:rsid w:val="00220230"/>
    <w:rsid w:val="00220FFA"/>
    <w:rsid w:val="00222CF9"/>
    <w:rsid w:val="00226822"/>
    <w:rsid w:val="00227706"/>
    <w:rsid w:val="00233130"/>
    <w:rsid w:val="00236395"/>
    <w:rsid w:val="00245D55"/>
    <w:rsid w:val="002476B3"/>
    <w:rsid w:val="00247C0F"/>
    <w:rsid w:val="00253CFA"/>
    <w:rsid w:val="00253FB2"/>
    <w:rsid w:val="002567F6"/>
    <w:rsid w:val="00260594"/>
    <w:rsid w:val="00265F2E"/>
    <w:rsid w:val="0027508C"/>
    <w:rsid w:val="00280B11"/>
    <w:rsid w:val="00285017"/>
    <w:rsid w:val="00286292"/>
    <w:rsid w:val="002916DE"/>
    <w:rsid w:val="00295BC1"/>
    <w:rsid w:val="002A2D2E"/>
    <w:rsid w:val="002A33D9"/>
    <w:rsid w:val="002A4CFA"/>
    <w:rsid w:val="002A4F35"/>
    <w:rsid w:val="002A6DEB"/>
    <w:rsid w:val="002B2152"/>
    <w:rsid w:val="002B3614"/>
    <w:rsid w:val="002B48B3"/>
    <w:rsid w:val="002B4946"/>
    <w:rsid w:val="002B5205"/>
    <w:rsid w:val="002B6E57"/>
    <w:rsid w:val="002C0A33"/>
    <w:rsid w:val="002C152E"/>
    <w:rsid w:val="002C34D9"/>
    <w:rsid w:val="002C6EA5"/>
    <w:rsid w:val="002D1C96"/>
    <w:rsid w:val="002D3121"/>
    <w:rsid w:val="002D78A5"/>
    <w:rsid w:val="002F022B"/>
    <w:rsid w:val="002F453F"/>
    <w:rsid w:val="002F5056"/>
    <w:rsid w:val="00301FFE"/>
    <w:rsid w:val="00306E3C"/>
    <w:rsid w:val="0031514D"/>
    <w:rsid w:val="0034163F"/>
    <w:rsid w:val="00343749"/>
    <w:rsid w:val="00343E80"/>
    <w:rsid w:val="00353104"/>
    <w:rsid w:val="00356283"/>
    <w:rsid w:val="00357D50"/>
    <w:rsid w:val="00364B8B"/>
    <w:rsid w:val="003759C8"/>
    <w:rsid w:val="0038511C"/>
    <w:rsid w:val="00387351"/>
    <w:rsid w:val="003925DC"/>
    <w:rsid w:val="003A5218"/>
    <w:rsid w:val="003A7C2D"/>
    <w:rsid w:val="003B0550"/>
    <w:rsid w:val="003B499A"/>
    <w:rsid w:val="003B57C4"/>
    <w:rsid w:val="003B694F"/>
    <w:rsid w:val="003C1625"/>
    <w:rsid w:val="003C201D"/>
    <w:rsid w:val="003C3AEA"/>
    <w:rsid w:val="003D30A8"/>
    <w:rsid w:val="003D69E8"/>
    <w:rsid w:val="003E7F75"/>
    <w:rsid w:val="003F171C"/>
    <w:rsid w:val="003F35A8"/>
    <w:rsid w:val="00400368"/>
    <w:rsid w:val="00400901"/>
    <w:rsid w:val="00404AFB"/>
    <w:rsid w:val="00410498"/>
    <w:rsid w:val="00412FC5"/>
    <w:rsid w:val="004215CF"/>
    <w:rsid w:val="00422276"/>
    <w:rsid w:val="00423834"/>
    <w:rsid w:val="004242F1"/>
    <w:rsid w:val="00430A0D"/>
    <w:rsid w:val="00431F78"/>
    <w:rsid w:val="00445A00"/>
    <w:rsid w:val="00451B0F"/>
    <w:rsid w:val="00454127"/>
    <w:rsid w:val="00455243"/>
    <w:rsid w:val="004608CD"/>
    <w:rsid w:val="0046125F"/>
    <w:rsid w:val="004615C8"/>
    <w:rsid w:val="004656ED"/>
    <w:rsid w:val="00465D0C"/>
    <w:rsid w:val="00476C98"/>
    <w:rsid w:val="00487524"/>
    <w:rsid w:val="0049142B"/>
    <w:rsid w:val="00496106"/>
    <w:rsid w:val="004B1080"/>
    <w:rsid w:val="004B321D"/>
    <w:rsid w:val="004B4E83"/>
    <w:rsid w:val="004C0F76"/>
    <w:rsid w:val="004C12D0"/>
    <w:rsid w:val="004C2EE3"/>
    <w:rsid w:val="004C4F4C"/>
    <w:rsid w:val="004C576C"/>
    <w:rsid w:val="004D323F"/>
    <w:rsid w:val="004E178A"/>
    <w:rsid w:val="004E35D4"/>
    <w:rsid w:val="004E4A22"/>
    <w:rsid w:val="004E4E3C"/>
    <w:rsid w:val="004F029C"/>
    <w:rsid w:val="004F0504"/>
    <w:rsid w:val="004F6AA1"/>
    <w:rsid w:val="0050534E"/>
    <w:rsid w:val="0051018F"/>
    <w:rsid w:val="00511968"/>
    <w:rsid w:val="00531BBC"/>
    <w:rsid w:val="00536125"/>
    <w:rsid w:val="0055014C"/>
    <w:rsid w:val="00550679"/>
    <w:rsid w:val="0055614C"/>
    <w:rsid w:val="00561317"/>
    <w:rsid w:val="00565C28"/>
    <w:rsid w:val="00566247"/>
    <w:rsid w:val="00581E7E"/>
    <w:rsid w:val="005878A4"/>
    <w:rsid w:val="00595E11"/>
    <w:rsid w:val="005A082B"/>
    <w:rsid w:val="005B2070"/>
    <w:rsid w:val="005B3054"/>
    <w:rsid w:val="005C6150"/>
    <w:rsid w:val="005D00FF"/>
    <w:rsid w:val="005D2559"/>
    <w:rsid w:val="005D3773"/>
    <w:rsid w:val="005D7929"/>
    <w:rsid w:val="005E4C5E"/>
    <w:rsid w:val="005E4FA9"/>
    <w:rsid w:val="005E6DE5"/>
    <w:rsid w:val="005F13CD"/>
    <w:rsid w:val="00601428"/>
    <w:rsid w:val="00607BA5"/>
    <w:rsid w:val="00615F33"/>
    <w:rsid w:val="00617E9D"/>
    <w:rsid w:val="00622327"/>
    <w:rsid w:val="00626EB6"/>
    <w:rsid w:val="006353A3"/>
    <w:rsid w:val="006551DD"/>
    <w:rsid w:val="00655D03"/>
    <w:rsid w:val="006601B4"/>
    <w:rsid w:val="00661853"/>
    <w:rsid w:val="00665050"/>
    <w:rsid w:val="006712F8"/>
    <w:rsid w:val="0068218D"/>
    <w:rsid w:val="006829FA"/>
    <w:rsid w:val="00683F84"/>
    <w:rsid w:val="006877FF"/>
    <w:rsid w:val="00690CD3"/>
    <w:rsid w:val="00693889"/>
    <w:rsid w:val="006A6A81"/>
    <w:rsid w:val="006B22BC"/>
    <w:rsid w:val="006C1D55"/>
    <w:rsid w:val="006C6A84"/>
    <w:rsid w:val="006E26AF"/>
    <w:rsid w:val="006F3CCC"/>
    <w:rsid w:val="006F7393"/>
    <w:rsid w:val="006F7F38"/>
    <w:rsid w:val="00701E5D"/>
    <w:rsid w:val="0070224F"/>
    <w:rsid w:val="007115F7"/>
    <w:rsid w:val="00711948"/>
    <w:rsid w:val="0071724A"/>
    <w:rsid w:val="00722211"/>
    <w:rsid w:val="00722838"/>
    <w:rsid w:val="00726ABC"/>
    <w:rsid w:val="007350D6"/>
    <w:rsid w:val="007365FB"/>
    <w:rsid w:val="007402B7"/>
    <w:rsid w:val="00740FC0"/>
    <w:rsid w:val="0074677F"/>
    <w:rsid w:val="00747E28"/>
    <w:rsid w:val="00752442"/>
    <w:rsid w:val="0075361B"/>
    <w:rsid w:val="00754A6B"/>
    <w:rsid w:val="00763B96"/>
    <w:rsid w:val="00772A12"/>
    <w:rsid w:val="00777CCF"/>
    <w:rsid w:val="007805B2"/>
    <w:rsid w:val="007834A2"/>
    <w:rsid w:val="00785689"/>
    <w:rsid w:val="00795AFA"/>
    <w:rsid w:val="0079754B"/>
    <w:rsid w:val="007A1E6D"/>
    <w:rsid w:val="007A2204"/>
    <w:rsid w:val="007A27DF"/>
    <w:rsid w:val="007A2FD6"/>
    <w:rsid w:val="007A696A"/>
    <w:rsid w:val="007B1C53"/>
    <w:rsid w:val="007B3CE8"/>
    <w:rsid w:val="007B529B"/>
    <w:rsid w:val="007D439A"/>
    <w:rsid w:val="007D518D"/>
    <w:rsid w:val="007E7B9C"/>
    <w:rsid w:val="007F2D9E"/>
    <w:rsid w:val="007F6894"/>
    <w:rsid w:val="007F6C6D"/>
    <w:rsid w:val="00803B29"/>
    <w:rsid w:val="0080479E"/>
    <w:rsid w:val="00822CE0"/>
    <w:rsid w:val="008234AF"/>
    <w:rsid w:val="00837C62"/>
    <w:rsid w:val="00840AB2"/>
    <w:rsid w:val="00841AB1"/>
    <w:rsid w:val="0084455E"/>
    <w:rsid w:val="00847F80"/>
    <w:rsid w:val="00854BB2"/>
    <w:rsid w:val="008569BD"/>
    <w:rsid w:val="00863B11"/>
    <w:rsid w:val="0086704C"/>
    <w:rsid w:val="008A6896"/>
    <w:rsid w:val="008A6BC3"/>
    <w:rsid w:val="008B1623"/>
    <w:rsid w:val="008C22FD"/>
    <w:rsid w:val="008D4FA5"/>
    <w:rsid w:val="008D67BC"/>
    <w:rsid w:val="008D7505"/>
    <w:rsid w:val="008D7A9A"/>
    <w:rsid w:val="008E1C2A"/>
    <w:rsid w:val="008E2816"/>
    <w:rsid w:val="008E6B9A"/>
    <w:rsid w:val="008F1317"/>
    <w:rsid w:val="00900C27"/>
    <w:rsid w:val="009043C7"/>
    <w:rsid w:val="00906AA6"/>
    <w:rsid w:val="00910F12"/>
    <w:rsid w:val="00911A43"/>
    <w:rsid w:val="0091233A"/>
    <w:rsid w:val="009206CB"/>
    <w:rsid w:val="00925516"/>
    <w:rsid w:val="0092554C"/>
    <w:rsid w:val="00926274"/>
    <w:rsid w:val="00926503"/>
    <w:rsid w:val="00926FBD"/>
    <w:rsid w:val="00930ECF"/>
    <w:rsid w:val="009377F8"/>
    <w:rsid w:val="0093788D"/>
    <w:rsid w:val="00947740"/>
    <w:rsid w:val="009572AF"/>
    <w:rsid w:val="00957482"/>
    <w:rsid w:val="00962F7F"/>
    <w:rsid w:val="00976720"/>
    <w:rsid w:val="009838BC"/>
    <w:rsid w:val="0099212F"/>
    <w:rsid w:val="00994CAE"/>
    <w:rsid w:val="009A48B4"/>
    <w:rsid w:val="009B63DD"/>
    <w:rsid w:val="009C06EB"/>
    <w:rsid w:val="009C17AF"/>
    <w:rsid w:val="009D0600"/>
    <w:rsid w:val="009D7A23"/>
    <w:rsid w:val="009E7A3E"/>
    <w:rsid w:val="00A00907"/>
    <w:rsid w:val="00A02939"/>
    <w:rsid w:val="00A06851"/>
    <w:rsid w:val="00A17064"/>
    <w:rsid w:val="00A26852"/>
    <w:rsid w:val="00A3276A"/>
    <w:rsid w:val="00A337ED"/>
    <w:rsid w:val="00A33DF6"/>
    <w:rsid w:val="00A343E2"/>
    <w:rsid w:val="00A45F4F"/>
    <w:rsid w:val="00A600A9"/>
    <w:rsid w:val="00A6303B"/>
    <w:rsid w:val="00A63061"/>
    <w:rsid w:val="00A67769"/>
    <w:rsid w:val="00A75CB9"/>
    <w:rsid w:val="00A82174"/>
    <w:rsid w:val="00A824F0"/>
    <w:rsid w:val="00A83E3C"/>
    <w:rsid w:val="00A866AC"/>
    <w:rsid w:val="00A935DA"/>
    <w:rsid w:val="00A93DE7"/>
    <w:rsid w:val="00A94AB3"/>
    <w:rsid w:val="00A97185"/>
    <w:rsid w:val="00AA4ADC"/>
    <w:rsid w:val="00AA55B7"/>
    <w:rsid w:val="00AA5B9E"/>
    <w:rsid w:val="00AB04ED"/>
    <w:rsid w:val="00AB1F16"/>
    <w:rsid w:val="00AB2407"/>
    <w:rsid w:val="00AB2736"/>
    <w:rsid w:val="00AB53DF"/>
    <w:rsid w:val="00AC1682"/>
    <w:rsid w:val="00AC7F6A"/>
    <w:rsid w:val="00AD64EE"/>
    <w:rsid w:val="00AD7B5C"/>
    <w:rsid w:val="00AF0B22"/>
    <w:rsid w:val="00AF6923"/>
    <w:rsid w:val="00AF729B"/>
    <w:rsid w:val="00B07E5C"/>
    <w:rsid w:val="00B10684"/>
    <w:rsid w:val="00B20363"/>
    <w:rsid w:val="00B326E3"/>
    <w:rsid w:val="00B33D16"/>
    <w:rsid w:val="00B36041"/>
    <w:rsid w:val="00B461B9"/>
    <w:rsid w:val="00B46C11"/>
    <w:rsid w:val="00B47558"/>
    <w:rsid w:val="00B5470F"/>
    <w:rsid w:val="00B56E04"/>
    <w:rsid w:val="00B752A1"/>
    <w:rsid w:val="00B811F7"/>
    <w:rsid w:val="00B82561"/>
    <w:rsid w:val="00B82AA3"/>
    <w:rsid w:val="00B941B6"/>
    <w:rsid w:val="00BA1EE5"/>
    <w:rsid w:val="00BA20D1"/>
    <w:rsid w:val="00BA5DC6"/>
    <w:rsid w:val="00BA6196"/>
    <w:rsid w:val="00BB03C1"/>
    <w:rsid w:val="00BB12EA"/>
    <w:rsid w:val="00BB454A"/>
    <w:rsid w:val="00BC0E83"/>
    <w:rsid w:val="00BC5144"/>
    <w:rsid w:val="00BC588F"/>
    <w:rsid w:val="00BC6D8C"/>
    <w:rsid w:val="00BD5E06"/>
    <w:rsid w:val="00BF0AB2"/>
    <w:rsid w:val="00BF150E"/>
    <w:rsid w:val="00BF6A4C"/>
    <w:rsid w:val="00C02E4F"/>
    <w:rsid w:val="00C11092"/>
    <w:rsid w:val="00C12EF5"/>
    <w:rsid w:val="00C1612A"/>
    <w:rsid w:val="00C16AF2"/>
    <w:rsid w:val="00C32A06"/>
    <w:rsid w:val="00C34006"/>
    <w:rsid w:val="00C40C98"/>
    <w:rsid w:val="00C40F47"/>
    <w:rsid w:val="00C426B1"/>
    <w:rsid w:val="00C44B9C"/>
    <w:rsid w:val="00C528F6"/>
    <w:rsid w:val="00C52AB0"/>
    <w:rsid w:val="00C5551D"/>
    <w:rsid w:val="00C576F5"/>
    <w:rsid w:val="00C66738"/>
    <w:rsid w:val="00C72BEB"/>
    <w:rsid w:val="00C73D15"/>
    <w:rsid w:val="00C82B6B"/>
    <w:rsid w:val="00C8490F"/>
    <w:rsid w:val="00C85B14"/>
    <w:rsid w:val="00C908F9"/>
    <w:rsid w:val="00C90D6A"/>
    <w:rsid w:val="00C92922"/>
    <w:rsid w:val="00C959F4"/>
    <w:rsid w:val="00C96786"/>
    <w:rsid w:val="00C972B3"/>
    <w:rsid w:val="00CA04E9"/>
    <w:rsid w:val="00CA11E6"/>
    <w:rsid w:val="00CC52F0"/>
    <w:rsid w:val="00CC66B7"/>
    <w:rsid w:val="00CC6DDB"/>
    <w:rsid w:val="00CC72B6"/>
    <w:rsid w:val="00CD0714"/>
    <w:rsid w:val="00D0218D"/>
    <w:rsid w:val="00D162CA"/>
    <w:rsid w:val="00D17ADB"/>
    <w:rsid w:val="00D216CD"/>
    <w:rsid w:val="00D31527"/>
    <w:rsid w:val="00D36424"/>
    <w:rsid w:val="00D36FEF"/>
    <w:rsid w:val="00D42F3F"/>
    <w:rsid w:val="00D438B2"/>
    <w:rsid w:val="00D5779C"/>
    <w:rsid w:val="00D60710"/>
    <w:rsid w:val="00D65434"/>
    <w:rsid w:val="00D65B3F"/>
    <w:rsid w:val="00D65EAE"/>
    <w:rsid w:val="00D67916"/>
    <w:rsid w:val="00D67CB5"/>
    <w:rsid w:val="00D74044"/>
    <w:rsid w:val="00D8256F"/>
    <w:rsid w:val="00D850D7"/>
    <w:rsid w:val="00D87651"/>
    <w:rsid w:val="00D95087"/>
    <w:rsid w:val="00D97B2F"/>
    <w:rsid w:val="00DA1761"/>
    <w:rsid w:val="00DA2529"/>
    <w:rsid w:val="00DA44B0"/>
    <w:rsid w:val="00DA60B6"/>
    <w:rsid w:val="00DB130A"/>
    <w:rsid w:val="00DB2474"/>
    <w:rsid w:val="00DB32F9"/>
    <w:rsid w:val="00DB4C0F"/>
    <w:rsid w:val="00DC10A1"/>
    <w:rsid w:val="00DC5FD7"/>
    <w:rsid w:val="00DC655F"/>
    <w:rsid w:val="00DC68C6"/>
    <w:rsid w:val="00DD0BD5"/>
    <w:rsid w:val="00DD3413"/>
    <w:rsid w:val="00DD557D"/>
    <w:rsid w:val="00DD696F"/>
    <w:rsid w:val="00DD7EBD"/>
    <w:rsid w:val="00DF62B6"/>
    <w:rsid w:val="00E0144C"/>
    <w:rsid w:val="00E07225"/>
    <w:rsid w:val="00E135DF"/>
    <w:rsid w:val="00E136B3"/>
    <w:rsid w:val="00E147E1"/>
    <w:rsid w:val="00E155B7"/>
    <w:rsid w:val="00E221F9"/>
    <w:rsid w:val="00E30D8F"/>
    <w:rsid w:val="00E342CE"/>
    <w:rsid w:val="00E403E2"/>
    <w:rsid w:val="00E44F2A"/>
    <w:rsid w:val="00E50A32"/>
    <w:rsid w:val="00E50CE9"/>
    <w:rsid w:val="00E5219A"/>
    <w:rsid w:val="00E52CE7"/>
    <w:rsid w:val="00E52EBC"/>
    <w:rsid w:val="00E5409F"/>
    <w:rsid w:val="00E54F31"/>
    <w:rsid w:val="00E602B6"/>
    <w:rsid w:val="00E750AB"/>
    <w:rsid w:val="00E7588B"/>
    <w:rsid w:val="00E75C6F"/>
    <w:rsid w:val="00E87DD6"/>
    <w:rsid w:val="00E90906"/>
    <w:rsid w:val="00EA0736"/>
    <w:rsid w:val="00EA09EC"/>
    <w:rsid w:val="00EB4CEB"/>
    <w:rsid w:val="00EB55AD"/>
    <w:rsid w:val="00EB5D3B"/>
    <w:rsid w:val="00EB6B7A"/>
    <w:rsid w:val="00EC0185"/>
    <w:rsid w:val="00EC628D"/>
    <w:rsid w:val="00ED2251"/>
    <w:rsid w:val="00ED2978"/>
    <w:rsid w:val="00ED3311"/>
    <w:rsid w:val="00ED5492"/>
    <w:rsid w:val="00ED6878"/>
    <w:rsid w:val="00EE6988"/>
    <w:rsid w:val="00EE7582"/>
    <w:rsid w:val="00EF2959"/>
    <w:rsid w:val="00EF2988"/>
    <w:rsid w:val="00EF5EA2"/>
    <w:rsid w:val="00F021FA"/>
    <w:rsid w:val="00F071E9"/>
    <w:rsid w:val="00F2539B"/>
    <w:rsid w:val="00F275AD"/>
    <w:rsid w:val="00F305D2"/>
    <w:rsid w:val="00F34C63"/>
    <w:rsid w:val="00F351FA"/>
    <w:rsid w:val="00F35818"/>
    <w:rsid w:val="00F46CEE"/>
    <w:rsid w:val="00F522B1"/>
    <w:rsid w:val="00F551A6"/>
    <w:rsid w:val="00F57ACA"/>
    <w:rsid w:val="00F62E97"/>
    <w:rsid w:val="00F64209"/>
    <w:rsid w:val="00F65251"/>
    <w:rsid w:val="00F909E9"/>
    <w:rsid w:val="00F93BF5"/>
    <w:rsid w:val="00F96F63"/>
    <w:rsid w:val="00FA0296"/>
    <w:rsid w:val="00FA05D1"/>
    <w:rsid w:val="00FA0E88"/>
    <w:rsid w:val="00FA602D"/>
    <w:rsid w:val="00FB76A5"/>
    <w:rsid w:val="00FC5D53"/>
    <w:rsid w:val="00FD20EF"/>
    <w:rsid w:val="00FD3B7F"/>
    <w:rsid w:val="00FD3C6A"/>
    <w:rsid w:val="00FE0EEA"/>
    <w:rsid w:val="00FE1A52"/>
    <w:rsid w:val="00FE49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DA72FF"/>
  <w15:chartTrackingRefBased/>
  <w15:docId w15:val="{062EF721-4091-4739-BDF7-267ACFBE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B5C"/>
    <w:pPr>
      <w:widowControl w:val="0"/>
    </w:pPr>
    <w:rPr>
      <w:snapToGrid w:val="0"/>
      <w:kern w:val="28"/>
      <w:sz w:val="22"/>
    </w:rPr>
  </w:style>
  <w:style w:type="paragraph" w:styleId="Heading1">
    <w:name w:val="heading 1"/>
    <w:basedOn w:val="Normal"/>
    <w:next w:val="ParaNum"/>
    <w:qFormat/>
    <w:rsid w:val="00AD7B5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D7B5C"/>
    <w:pPr>
      <w:keepNext/>
      <w:numPr>
        <w:ilvl w:val="1"/>
        <w:numId w:val="3"/>
      </w:numPr>
      <w:spacing w:after="120"/>
      <w:outlineLvl w:val="1"/>
    </w:pPr>
    <w:rPr>
      <w:b/>
    </w:rPr>
  </w:style>
  <w:style w:type="paragraph" w:styleId="Heading3">
    <w:name w:val="heading 3"/>
    <w:basedOn w:val="Normal"/>
    <w:next w:val="ParaNum"/>
    <w:qFormat/>
    <w:rsid w:val="00AD7B5C"/>
    <w:pPr>
      <w:keepNext/>
      <w:numPr>
        <w:ilvl w:val="2"/>
        <w:numId w:val="3"/>
      </w:numPr>
      <w:tabs>
        <w:tab w:val="left" w:pos="2160"/>
      </w:tabs>
      <w:spacing w:after="120"/>
      <w:outlineLvl w:val="2"/>
    </w:pPr>
    <w:rPr>
      <w:b/>
    </w:rPr>
  </w:style>
  <w:style w:type="paragraph" w:styleId="Heading4">
    <w:name w:val="heading 4"/>
    <w:basedOn w:val="Normal"/>
    <w:next w:val="ParaNum"/>
    <w:qFormat/>
    <w:rsid w:val="00AD7B5C"/>
    <w:pPr>
      <w:keepNext/>
      <w:numPr>
        <w:ilvl w:val="3"/>
        <w:numId w:val="3"/>
      </w:numPr>
      <w:tabs>
        <w:tab w:val="left" w:pos="2880"/>
      </w:tabs>
      <w:spacing w:after="120"/>
      <w:outlineLvl w:val="3"/>
    </w:pPr>
    <w:rPr>
      <w:b/>
    </w:rPr>
  </w:style>
  <w:style w:type="paragraph" w:styleId="Heading5">
    <w:name w:val="heading 5"/>
    <w:basedOn w:val="Normal"/>
    <w:next w:val="ParaNum"/>
    <w:qFormat/>
    <w:rsid w:val="00AD7B5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D7B5C"/>
    <w:pPr>
      <w:numPr>
        <w:ilvl w:val="5"/>
        <w:numId w:val="3"/>
      </w:numPr>
      <w:tabs>
        <w:tab w:val="left" w:pos="4320"/>
      </w:tabs>
      <w:spacing w:after="120"/>
      <w:outlineLvl w:val="5"/>
    </w:pPr>
    <w:rPr>
      <w:b/>
    </w:rPr>
  </w:style>
  <w:style w:type="paragraph" w:styleId="Heading7">
    <w:name w:val="heading 7"/>
    <w:basedOn w:val="Normal"/>
    <w:next w:val="ParaNum"/>
    <w:qFormat/>
    <w:rsid w:val="00AD7B5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D7B5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D7B5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D7B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D7B5C"/>
  </w:style>
  <w:style w:type="paragraph" w:customStyle="1" w:styleId="ParaNum">
    <w:name w:val="ParaNum"/>
    <w:basedOn w:val="Normal"/>
    <w:rsid w:val="00AD7B5C"/>
    <w:pPr>
      <w:numPr>
        <w:numId w:val="2"/>
      </w:numPr>
      <w:tabs>
        <w:tab w:val="clear" w:pos="1080"/>
        <w:tab w:val="num" w:pos="1440"/>
      </w:tabs>
      <w:spacing w:after="120"/>
    </w:pPr>
  </w:style>
  <w:style w:type="paragraph" w:styleId="EndnoteText">
    <w:name w:val="endnote text"/>
    <w:basedOn w:val="Normal"/>
    <w:semiHidden/>
    <w:rsid w:val="00AD7B5C"/>
    <w:rPr>
      <w:sz w:val="20"/>
    </w:rPr>
  </w:style>
  <w:style w:type="character" w:styleId="EndnoteReference">
    <w:name w:val="endnote reference"/>
    <w:semiHidden/>
    <w:rsid w:val="00AD7B5C"/>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AD7B5C"/>
    <w:pPr>
      <w:spacing w:after="120"/>
    </w:pPr>
  </w:style>
  <w:style w:type="character" w:styleId="FootnoteReference">
    <w:name w:val="footnote reference"/>
    <w:aliases w:val="(NECG) Footnote Reference,Appel note de bas de p,FR,Style 12,Style 124,Style 17,Style 3,fr,o"/>
    <w:rsid w:val="00AD7B5C"/>
    <w:rPr>
      <w:rFonts w:ascii="Times New Roman" w:hAnsi="Times New Roman"/>
      <w:dstrike w:val="0"/>
      <w:color w:val="auto"/>
      <w:sz w:val="22"/>
      <w:vertAlign w:val="superscript"/>
    </w:rPr>
  </w:style>
  <w:style w:type="paragraph" w:styleId="TOC1">
    <w:name w:val="toc 1"/>
    <w:basedOn w:val="Normal"/>
    <w:next w:val="Normal"/>
    <w:uiPriority w:val="39"/>
    <w:rsid w:val="00AD7B5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D7B5C"/>
    <w:pPr>
      <w:tabs>
        <w:tab w:val="left" w:pos="720"/>
        <w:tab w:val="right" w:leader="dot" w:pos="9360"/>
      </w:tabs>
      <w:suppressAutoHyphens/>
      <w:ind w:left="720" w:right="720" w:hanging="360"/>
    </w:pPr>
    <w:rPr>
      <w:noProof/>
    </w:rPr>
  </w:style>
  <w:style w:type="paragraph" w:styleId="TOC3">
    <w:name w:val="toc 3"/>
    <w:basedOn w:val="Normal"/>
    <w:next w:val="Normal"/>
    <w:semiHidden/>
    <w:rsid w:val="00AD7B5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D7B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D7B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D7B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D7B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D7B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D7B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D7B5C"/>
    <w:pPr>
      <w:tabs>
        <w:tab w:val="right" w:pos="9360"/>
      </w:tabs>
      <w:suppressAutoHyphens/>
    </w:pPr>
  </w:style>
  <w:style w:type="character" w:customStyle="1" w:styleId="EquationCaption">
    <w:name w:val="_Equation Caption"/>
    <w:rsid w:val="00AD7B5C"/>
  </w:style>
  <w:style w:type="paragraph" w:styleId="Header">
    <w:name w:val="header"/>
    <w:basedOn w:val="Normal"/>
    <w:autoRedefine/>
    <w:rsid w:val="00AD7B5C"/>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AD7B5C"/>
    <w:pPr>
      <w:tabs>
        <w:tab w:val="center" w:pos="4320"/>
        <w:tab w:val="right" w:pos="8640"/>
      </w:tabs>
    </w:pPr>
  </w:style>
  <w:style w:type="character" w:styleId="PageNumber">
    <w:name w:val="page number"/>
    <w:basedOn w:val="DefaultParagraphFont"/>
    <w:rsid w:val="00AD7B5C"/>
  </w:style>
  <w:style w:type="paragraph" w:styleId="BlockText">
    <w:name w:val="Block Text"/>
    <w:basedOn w:val="Normal"/>
    <w:rsid w:val="00AD7B5C"/>
    <w:pPr>
      <w:spacing w:after="240"/>
      <w:ind w:left="1440" w:right="1440"/>
    </w:pPr>
  </w:style>
  <w:style w:type="paragraph" w:customStyle="1" w:styleId="Paratitle">
    <w:name w:val="Para title"/>
    <w:basedOn w:val="Normal"/>
    <w:rsid w:val="00AD7B5C"/>
    <w:pPr>
      <w:tabs>
        <w:tab w:val="center" w:pos="9270"/>
      </w:tabs>
      <w:spacing w:after="240"/>
    </w:pPr>
    <w:rPr>
      <w:spacing w:val="-2"/>
    </w:rPr>
  </w:style>
  <w:style w:type="paragraph" w:customStyle="1" w:styleId="Bullet">
    <w:name w:val="Bullet"/>
    <w:basedOn w:val="Normal"/>
    <w:rsid w:val="00AD7B5C"/>
    <w:pPr>
      <w:numPr>
        <w:numId w:val="1"/>
      </w:numPr>
      <w:tabs>
        <w:tab w:val="clear" w:pos="360"/>
        <w:tab w:val="left" w:pos="2160"/>
      </w:tabs>
      <w:spacing w:after="220"/>
      <w:ind w:left="2160" w:hanging="720"/>
    </w:pPr>
  </w:style>
  <w:style w:type="paragraph" w:customStyle="1" w:styleId="TableFormat">
    <w:name w:val="TableFormat"/>
    <w:basedOn w:val="Bullet"/>
    <w:rsid w:val="00AD7B5C"/>
    <w:pPr>
      <w:numPr>
        <w:numId w:val="0"/>
      </w:numPr>
      <w:tabs>
        <w:tab w:val="clear" w:pos="2160"/>
        <w:tab w:val="left" w:pos="5040"/>
      </w:tabs>
      <w:ind w:left="5040" w:hanging="3600"/>
    </w:pPr>
  </w:style>
  <w:style w:type="paragraph" w:customStyle="1" w:styleId="TOCTitle">
    <w:name w:val="TOC Title"/>
    <w:basedOn w:val="Normal"/>
    <w:rsid w:val="00AD7B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D7B5C"/>
    <w:pPr>
      <w:jc w:val="center"/>
    </w:pPr>
    <w:rPr>
      <w:rFonts w:ascii="Times New Roman Bold" w:hAnsi="Times New Roman Bold"/>
      <w:b/>
      <w:bCs/>
      <w:caps/>
      <w:szCs w:val="22"/>
    </w:rPr>
  </w:style>
  <w:style w:type="character" w:styleId="Hyperlink">
    <w:name w:val="Hyperlink"/>
    <w:rsid w:val="00AD7B5C"/>
    <w:rPr>
      <w:color w:val="0000FF"/>
      <w:u w:val="single"/>
    </w:rPr>
  </w:style>
  <w:style w:type="character" w:customStyle="1" w:styleId="FooterChar">
    <w:name w:val="Footer Char"/>
    <w:link w:val="Footer"/>
    <w:uiPriority w:val="99"/>
    <w:rsid w:val="00AD7B5C"/>
    <w:rPr>
      <w:snapToGrid w:val="0"/>
      <w:kern w:val="28"/>
      <w:sz w:val="22"/>
    </w:rPr>
  </w:style>
  <w:style w:type="paragraph" w:styleId="BalloonText">
    <w:name w:val="Balloon Text"/>
    <w:basedOn w:val="Normal"/>
    <w:link w:val="BalloonTextChar"/>
    <w:uiPriority w:val="99"/>
    <w:semiHidden/>
    <w:unhideWhenUsed/>
    <w:rsid w:val="00A17064"/>
    <w:rPr>
      <w:rFonts w:ascii="Segoe UI" w:hAnsi="Segoe UI" w:cs="Segoe UI"/>
      <w:sz w:val="18"/>
      <w:szCs w:val="18"/>
    </w:rPr>
  </w:style>
  <w:style w:type="character" w:customStyle="1" w:styleId="BalloonTextChar">
    <w:name w:val="Balloon Text Char"/>
    <w:link w:val="BalloonText"/>
    <w:uiPriority w:val="99"/>
    <w:semiHidden/>
    <w:rsid w:val="00A17064"/>
    <w:rPr>
      <w:rFonts w:ascii="Segoe UI" w:hAnsi="Segoe UI" w:cs="Segoe UI"/>
      <w:snapToGrid w:val="0"/>
      <w:kern w:val="28"/>
      <w:sz w:val="18"/>
      <w:szCs w:val="18"/>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2D3121"/>
  </w:style>
  <w:style w:type="character" w:customStyle="1" w:styleId="cohovertext">
    <w:name w:val="co_hovertext"/>
    <w:basedOn w:val="DefaultParagraphFont"/>
    <w:rsid w:val="00B56E04"/>
  </w:style>
  <w:style w:type="character" w:styleId="CommentReference">
    <w:name w:val="annotation reference"/>
    <w:basedOn w:val="DefaultParagraphFont"/>
    <w:uiPriority w:val="99"/>
    <w:semiHidden/>
    <w:unhideWhenUsed/>
    <w:rsid w:val="00233130"/>
    <w:rPr>
      <w:sz w:val="16"/>
      <w:szCs w:val="16"/>
    </w:rPr>
  </w:style>
  <w:style w:type="paragraph" w:styleId="CommentText">
    <w:name w:val="annotation text"/>
    <w:basedOn w:val="Normal"/>
    <w:link w:val="CommentTextChar"/>
    <w:uiPriority w:val="99"/>
    <w:semiHidden/>
    <w:unhideWhenUsed/>
    <w:rsid w:val="00233130"/>
    <w:rPr>
      <w:sz w:val="20"/>
    </w:rPr>
  </w:style>
  <w:style w:type="character" w:customStyle="1" w:styleId="CommentTextChar">
    <w:name w:val="Comment Text Char"/>
    <w:basedOn w:val="DefaultParagraphFont"/>
    <w:link w:val="CommentText"/>
    <w:uiPriority w:val="99"/>
    <w:semiHidden/>
    <w:rsid w:val="00233130"/>
    <w:rPr>
      <w:snapToGrid w:val="0"/>
      <w:kern w:val="28"/>
    </w:rPr>
  </w:style>
  <w:style w:type="paragraph" w:styleId="CommentSubject">
    <w:name w:val="annotation subject"/>
    <w:basedOn w:val="CommentText"/>
    <w:next w:val="CommentText"/>
    <w:link w:val="CommentSubjectChar"/>
    <w:uiPriority w:val="99"/>
    <w:semiHidden/>
    <w:unhideWhenUsed/>
    <w:rsid w:val="00233130"/>
    <w:rPr>
      <w:b/>
      <w:bCs/>
    </w:rPr>
  </w:style>
  <w:style w:type="character" w:customStyle="1" w:styleId="CommentSubjectChar">
    <w:name w:val="Comment Subject Char"/>
    <w:basedOn w:val="CommentTextChar"/>
    <w:link w:val="CommentSubject"/>
    <w:uiPriority w:val="99"/>
    <w:semiHidden/>
    <w:rsid w:val="00233130"/>
    <w:rPr>
      <w:b/>
      <w:bCs/>
      <w:snapToGrid w:val="0"/>
      <w:kern w:val="28"/>
    </w:rPr>
  </w:style>
  <w:style w:type="paragraph" w:styleId="Revision">
    <w:name w:val="Revision"/>
    <w:hidden/>
    <w:uiPriority w:val="99"/>
    <w:semiHidden/>
    <w:rsid w:val="008B1623"/>
    <w:rPr>
      <w:snapToGrid w:val="0"/>
      <w:kern w:val="28"/>
      <w:sz w:val="22"/>
    </w:rPr>
  </w:style>
  <w:style w:type="character" w:customStyle="1" w:styleId="UnresolvedMention">
    <w:name w:val="Unresolved Mention"/>
    <w:basedOn w:val="DefaultParagraphFont"/>
    <w:uiPriority w:val="99"/>
    <w:rsid w:val="00C92922"/>
    <w:rPr>
      <w:color w:val="605E5C"/>
      <w:shd w:val="clear" w:color="auto" w:fill="E1DFDD"/>
    </w:rPr>
  </w:style>
  <w:style w:type="character" w:styleId="FollowedHyperlink">
    <w:name w:val="FollowedHyperlink"/>
    <w:basedOn w:val="DefaultParagraphFont"/>
    <w:uiPriority w:val="99"/>
    <w:semiHidden/>
    <w:unhideWhenUsed/>
    <w:rsid w:val="00C96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services.com/rmd?id=rmd_welcome" TargetMode="External" /><Relationship Id="rId6" Type="http://schemas.openxmlformats.org/officeDocument/2006/relationships/hyperlink" Target="https://www.fcc.gov/files/rmd-instructions" TargetMode="External" /><Relationship Id="rId7" Type="http://schemas.openxmlformats.org/officeDocument/2006/relationships/hyperlink" Target="https://fccprod.servicenowservices.com/rmd?id=rmd_listings" TargetMode="External" /><Relationship Id="rId8" Type="http://schemas.openxmlformats.org/officeDocument/2006/relationships/hyperlink" Target="mailto:Michael.Nemcik@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