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733B58" w:rsidRPr="00BC4319" w:rsidP="00733B58" w14:paraId="34BC66CC" w14:textId="77777777">
      <w:pPr>
        <w:jc w:val="center"/>
        <w:rPr>
          <w:b/>
          <w:szCs w:val="22"/>
        </w:rPr>
      </w:pPr>
      <w:r>
        <w:rPr>
          <w:b/>
          <w:szCs w:val="22"/>
        </w:rPr>
        <w:t xml:space="preserve"> </w:t>
      </w:r>
      <w:r w:rsidR="00750C73">
        <w:rPr>
          <w:b/>
          <w:szCs w:val="22"/>
        </w:rPr>
        <w:t xml:space="preserve"> </w:t>
      </w:r>
      <w:r w:rsidRPr="00BC4319">
        <w:rPr>
          <w:b/>
          <w:szCs w:val="22"/>
        </w:rPr>
        <w:t>Before the</w:t>
      </w:r>
    </w:p>
    <w:p w:rsidR="00733B58" w:rsidRPr="00BC4319" w:rsidP="00733B58" w14:paraId="3AC06E09" w14:textId="77777777">
      <w:pPr>
        <w:pStyle w:val="StyleBoldCentered"/>
        <w:rPr>
          <w:rFonts w:ascii="Times New Roman" w:hAnsi="Times New Roman"/>
        </w:rPr>
      </w:pPr>
      <w:r w:rsidRPr="00BC4319">
        <w:rPr>
          <w:rFonts w:ascii="Times New Roman" w:hAnsi="Times New Roman"/>
        </w:rPr>
        <w:t>F</w:t>
      </w:r>
      <w:r w:rsidRPr="00BC4319">
        <w:rPr>
          <w:rFonts w:ascii="Times New Roman" w:hAnsi="Times New Roman"/>
          <w:caps w:val="0"/>
        </w:rPr>
        <w:t>ederal Communications Commission</w:t>
      </w:r>
    </w:p>
    <w:p w:rsidR="00733B58" w:rsidRPr="00BC4319" w:rsidP="00733B58" w14:paraId="034A2584" w14:textId="77777777">
      <w:pPr>
        <w:pStyle w:val="StyleBoldCentered"/>
        <w:rPr>
          <w:rFonts w:ascii="Times New Roman" w:hAnsi="Times New Roman"/>
        </w:rPr>
      </w:pPr>
      <w:r w:rsidRPr="00BC4319">
        <w:rPr>
          <w:rFonts w:ascii="Times New Roman" w:hAnsi="Times New Roman"/>
          <w:caps w:val="0"/>
        </w:rPr>
        <w:t>Washington</w:t>
      </w:r>
      <w:r w:rsidRPr="00BC4319">
        <w:rPr>
          <w:rFonts w:ascii="Times New Roman" w:hAnsi="Times New Roman"/>
        </w:rPr>
        <w:t>, D.C. 20554</w:t>
      </w:r>
    </w:p>
    <w:p w:rsidR="00733B58" w:rsidRPr="00BC4319" w:rsidP="00733B58" w14:paraId="4E8DEF0D" w14:textId="77777777">
      <w:pPr>
        <w:rPr>
          <w:szCs w:val="22"/>
        </w:rPr>
      </w:pPr>
    </w:p>
    <w:p w:rsidR="00733B58" w:rsidRPr="00BC4319" w:rsidP="00733B58" w14:paraId="3618A51C" w14:textId="77777777">
      <w:pPr>
        <w:rPr>
          <w:szCs w:val="22"/>
        </w:rPr>
      </w:pPr>
    </w:p>
    <w:tbl>
      <w:tblPr>
        <w:tblW w:w="0" w:type="auto"/>
        <w:tblLayout w:type="fixed"/>
        <w:tblLook w:val="0000"/>
      </w:tblPr>
      <w:tblGrid>
        <w:gridCol w:w="4698"/>
        <w:gridCol w:w="630"/>
        <w:gridCol w:w="4248"/>
      </w:tblGrid>
      <w:tr w14:paraId="0B669AF7" w14:textId="77777777" w:rsidTr="00630074">
        <w:tblPrEx>
          <w:tblW w:w="0" w:type="auto"/>
          <w:tblLayout w:type="fixed"/>
          <w:tblLook w:val="0000"/>
        </w:tblPrEx>
        <w:trPr>
          <w:trHeight w:val="1350"/>
        </w:trPr>
        <w:tc>
          <w:tcPr>
            <w:tcW w:w="4698" w:type="dxa"/>
          </w:tcPr>
          <w:p w:rsidR="00733B58" w:rsidRPr="00BC4319" w:rsidP="00E735D1" w14:paraId="6A82F66A" w14:textId="77777777">
            <w:pPr>
              <w:tabs>
                <w:tab w:val="center" w:pos="4680"/>
              </w:tabs>
              <w:suppressAutoHyphens/>
              <w:rPr>
                <w:spacing w:val="-2"/>
                <w:szCs w:val="22"/>
              </w:rPr>
            </w:pPr>
            <w:r w:rsidRPr="00BC4319">
              <w:rPr>
                <w:spacing w:val="-2"/>
                <w:szCs w:val="22"/>
              </w:rPr>
              <w:t>In the Matter of</w:t>
            </w:r>
          </w:p>
          <w:p w:rsidR="00733B58" w:rsidRPr="00BC4319" w:rsidP="00E735D1" w14:paraId="3D343925" w14:textId="77777777">
            <w:pPr>
              <w:tabs>
                <w:tab w:val="center" w:pos="4680"/>
              </w:tabs>
              <w:suppressAutoHyphens/>
              <w:rPr>
                <w:spacing w:val="-2"/>
                <w:szCs w:val="22"/>
              </w:rPr>
            </w:pPr>
          </w:p>
          <w:p w:rsidR="00733B58" w:rsidP="00E735D1" w14:paraId="178104DB" w14:textId="5322B42D">
            <w:pPr>
              <w:rPr>
                <w:szCs w:val="22"/>
              </w:rPr>
            </w:pPr>
            <w:r>
              <w:t>Florida Department of Corrections</w:t>
            </w:r>
          </w:p>
          <w:p w:rsidR="00DB7C24" w:rsidRPr="00BC4319" w:rsidP="00E735D1" w14:paraId="4BA3F2D1" w14:textId="77777777">
            <w:pPr>
              <w:rPr>
                <w:szCs w:val="22"/>
              </w:rPr>
            </w:pPr>
          </w:p>
          <w:p w:rsidR="00733B58" w:rsidRPr="00BC4319" w:rsidP="00E735D1" w14:paraId="6BA70AAC" w14:textId="77777777">
            <w:pPr>
              <w:tabs>
                <w:tab w:val="left" w:pos="3430"/>
              </w:tabs>
              <w:suppressAutoHyphens/>
              <w:rPr>
                <w:spacing w:val="-2"/>
                <w:szCs w:val="22"/>
              </w:rPr>
            </w:pPr>
            <w:r w:rsidRPr="00BC4319">
              <w:rPr>
                <w:szCs w:val="22"/>
              </w:rPr>
              <w:t xml:space="preserve">Petition for Reconsideration </w:t>
            </w:r>
            <w:r w:rsidRPr="00BC4319">
              <w:rPr>
                <w:szCs w:val="22"/>
              </w:rPr>
              <w:tab/>
            </w:r>
          </w:p>
        </w:tc>
        <w:tc>
          <w:tcPr>
            <w:tcW w:w="630" w:type="dxa"/>
          </w:tcPr>
          <w:p w:rsidR="00733B58" w:rsidRPr="00BC4319" w:rsidP="00E735D1" w14:paraId="02516505" w14:textId="77777777">
            <w:pPr>
              <w:tabs>
                <w:tab w:val="center" w:pos="4680"/>
              </w:tabs>
              <w:suppressAutoHyphens/>
              <w:rPr>
                <w:b/>
                <w:spacing w:val="-2"/>
                <w:szCs w:val="22"/>
              </w:rPr>
            </w:pPr>
            <w:r w:rsidRPr="00BC4319">
              <w:rPr>
                <w:b/>
                <w:spacing w:val="-2"/>
                <w:szCs w:val="22"/>
              </w:rPr>
              <w:t>)</w:t>
            </w:r>
          </w:p>
          <w:p w:rsidR="00733B58" w:rsidRPr="00BC4319" w:rsidP="00E735D1" w14:paraId="079D201A" w14:textId="77777777">
            <w:pPr>
              <w:tabs>
                <w:tab w:val="center" w:pos="4680"/>
              </w:tabs>
              <w:suppressAutoHyphens/>
              <w:rPr>
                <w:b/>
                <w:spacing w:val="-2"/>
                <w:szCs w:val="22"/>
              </w:rPr>
            </w:pPr>
            <w:r w:rsidRPr="00BC4319">
              <w:rPr>
                <w:b/>
                <w:spacing w:val="-2"/>
                <w:szCs w:val="22"/>
              </w:rPr>
              <w:t>)</w:t>
            </w:r>
          </w:p>
          <w:p w:rsidR="00733B58" w:rsidRPr="00BC4319" w:rsidP="00E735D1" w14:paraId="31E52A2A" w14:textId="77777777">
            <w:pPr>
              <w:tabs>
                <w:tab w:val="center" w:pos="4680"/>
              </w:tabs>
              <w:suppressAutoHyphens/>
              <w:rPr>
                <w:b/>
                <w:spacing w:val="-2"/>
                <w:szCs w:val="22"/>
              </w:rPr>
            </w:pPr>
            <w:r w:rsidRPr="00BC4319">
              <w:rPr>
                <w:b/>
                <w:spacing w:val="-2"/>
                <w:szCs w:val="22"/>
              </w:rPr>
              <w:t>)</w:t>
            </w:r>
          </w:p>
          <w:p w:rsidR="00733B58" w:rsidRPr="00BC4319" w:rsidP="00E735D1" w14:paraId="3F8F57E1" w14:textId="77777777">
            <w:pPr>
              <w:tabs>
                <w:tab w:val="center" w:pos="4680"/>
              </w:tabs>
              <w:suppressAutoHyphens/>
              <w:rPr>
                <w:b/>
                <w:spacing w:val="-2"/>
                <w:szCs w:val="22"/>
              </w:rPr>
            </w:pPr>
            <w:r w:rsidRPr="00BC4319">
              <w:rPr>
                <w:b/>
                <w:spacing w:val="-2"/>
                <w:szCs w:val="22"/>
              </w:rPr>
              <w:t>)</w:t>
            </w:r>
          </w:p>
          <w:p w:rsidR="00C15B9B" w:rsidRPr="00BC4319" w:rsidP="00E735D1" w14:paraId="05928B69" w14:textId="4CD38F11">
            <w:pPr>
              <w:tabs>
                <w:tab w:val="center" w:pos="4680"/>
              </w:tabs>
              <w:suppressAutoHyphens/>
              <w:rPr>
                <w:b/>
                <w:spacing w:val="-2"/>
                <w:szCs w:val="22"/>
              </w:rPr>
            </w:pPr>
            <w:r w:rsidRPr="00BC4319">
              <w:rPr>
                <w:b/>
                <w:spacing w:val="-2"/>
                <w:szCs w:val="22"/>
              </w:rPr>
              <w:t>)</w:t>
            </w:r>
          </w:p>
        </w:tc>
        <w:tc>
          <w:tcPr>
            <w:tcW w:w="4248" w:type="dxa"/>
          </w:tcPr>
          <w:p w:rsidR="00733B58" w:rsidP="00E735D1" w14:paraId="61FB0133" w14:textId="77777777">
            <w:pPr>
              <w:tabs>
                <w:tab w:val="center" w:pos="4680"/>
              </w:tabs>
              <w:suppressAutoHyphens/>
              <w:rPr>
                <w:spacing w:val="-2"/>
                <w:szCs w:val="22"/>
              </w:rPr>
            </w:pPr>
          </w:p>
          <w:p w:rsidR="00A346E7" w:rsidRPr="00BC4319" w:rsidP="00E735D1" w14:paraId="4B43F5DA" w14:textId="77777777">
            <w:pPr>
              <w:tabs>
                <w:tab w:val="center" w:pos="4680"/>
              </w:tabs>
              <w:suppressAutoHyphens/>
              <w:rPr>
                <w:spacing w:val="-2"/>
                <w:szCs w:val="22"/>
              </w:rPr>
            </w:pPr>
          </w:p>
          <w:p w:rsidR="00733B58" w:rsidP="00630074" w14:paraId="7569FB5C" w14:textId="6524AA78">
            <w:pPr>
              <w:pStyle w:val="TOAHeading"/>
              <w:tabs>
                <w:tab w:val="left" w:pos="915"/>
                <w:tab w:val="clear" w:pos="9360"/>
              </w:tabs>
              <w:rPr>
                <w:spacing w:val="-2"/>
                <w:szCs w:val="22"/>
              </w:rPr>
            </w:pPr>
            <w:r>
              <w:rPr>
                <w:spacing w:val="-2"/>
                <w:szCs w:val="22"/>
              </w:rPr>
              <w:t xml:space="preserve">Former </w:t>
            </w:r>
            <w:r w:rsidR="00630074">
              <w:rPr>
                <w:spacing w:val="-2"/>
                <w:szCs w:val="22"/>
              </w:rPr>
              <w:t xml:space="preserve">Call Sign </w:t>
            </w:r>
            <w:r w:rsidR="00546C4E">
              <w:rPr>
                <w:spacing w:val="-2"/>
                <w:szCs w:val="22"/>
              </w:rPr>
              <w:t>WRCY224</w:t>
            </w:r>
          </w:p>
          <w:p w:rsidR="00630074" w:rsidRPr="00630074" w:rsidP="00630074" w14:paraId="7DDCDF98" w14:textId="77777777"/>
          <w:p w:rsidR="00733B58" w:rsidRPr="005B6304" w:rsidP="00630074" w14:paraId="1D7ACF12" w14:textId="0C3A884E">
            <w:pPr>
              <w:tabs>
                <w:tab w:val="left" w:pos="960"/>
              </w:tabs>
              <w:suppressAutoHyphens/>
              <w:rPr>
                <w:spacing w:val="-2"/>
                <w:szCs w:val="22"/>
              </w:rPr>
            </w:pPr>
          </w:p>
        </w:tc>
      </w:tr>
    </w:tbl>
    <w:p w:rsidR="00733B58" w:rsidRPr="001B4B42" w:rsidP="00733B58" w14:paraId="7A53BCC2" w14:textId="77777777">
      <w:pPr>
        <w:rPr>
          <w:szCs w:val="22"/>
        </w:rPr>
      </w:pPr>
    </w:p>
    <w:p w:rsidR="00733B58" w:rsidRPr="005B6304" w:rsidP="00733B58" w14:paraId="797D662B" w14:textId="77777777">
      <w:pPr>
        <w:pStyle w:val="StyleBoldCentered"/>
        <w:rPr>
          <w:rFonts w:ascii="Times New Roman" w:hAnsi="Times New Roman"/>
        </w:rPr>
      </w:pPr>
      <w:r w:rsidRPr="005B6304">
        <w:rPr>
          <w:rFonts w:ascii="Times New Roman" w:hAnsi="Times New Roman"/>
        </w:rPr>
        <w:t>Order</w:t>
      </w:r>
    </w:p>
    <w:p w:rsidR="00733B58" w:rsidRPr="001B4B42" w:rsidP="00733B58" w14:paraId="5AC57E06" w14:textId="77777777">
      <w:pPr>
        <w:tabs>
          <w:tab w:val="left" w:pos="-720"/>
        </w:tabs>
        <w:suppressAutoHyphens/>
        <w:spacing w:line="227" w:lineRule="auto"/>
        <w:rPr>
          <w:spacing w:val="-2"/>
          <w:szCs w:val="22"/>
        </w:rPr>
      </w:pPr>
    </w:p>
    <w:p w:rsidR="00733B58" w:rsidRPr="005B6304" w:rsidP="00733B58" w14:paraId="65809680" w14:textId="58E736F3">
      <w:pPr>
        <w:tabs>
          <w:tab w:val="left" w:pos="720"/>
          <w:tab w:val="left" w:pos="5760"/>
          <w:tab w:val="right" w:pos="9360"/>
        </w:tabs>
        <w:suppressAutoHyphens/>
        <w:spacing w:line="227" w:lineRule="auto"/>
        <w:rPr>
          <w:spacing w:val="-2"/>
          <w:szCs w:val="22"/>
        </w:rPr>
      </w:pPr>
      <w:r w:rsidRPr="005B6304">
        <w:rPr>
          <w:b/>
          <w:spacing w:val="-2"/>
          <w:szCs w:val="22"/>
        </w:rPr>
        <w:t>Adopted:</w:t>
      </w:r>
      <w:r w:rsidR="00483983">
        <w:rPr>
          <w:b/>
          <w:spacing w:val="-2"/>
          <w:szCs w:val="22"/>
        </w:rPr>
        <w:t xml:space="preserve">  January 13,</w:t>
      </w:r>
      <w:r w:rsidR="00131C92">
        <w:rPr>
          <w:b/>
          <w:spacing w:val="-2"/>
          <w:szCs w:val="22"/>
        </w:rPr>
        <w:t xml:space="preserve"> 20</w:t>
      </w:r>
      <w:r w:rsidR="006B76F2">
        <w:rPr>
          <w:b/>
          <w:spacing w:val="-2"/>
          <w:szCs w:val="22"/>
        </w:rPr>
        <w:t>2</w:t>
      </w:r>
      <w:r w:rsidR="00167079">
        <w:rPr>
          <w:b/>
          <w:spacing w:val="-2"/>
          <w:szCs w:val="22"/>
        </w:rPr>
        <w:t>1</w:t>
      </w:r>
      <w:r w:rsidRPr="005B6304">
        <w:rPr>
          <w:b/>
          <w:spacing w:val="-2"/>
          <w:szCs w:val="22"/>
        </w:rPr>
        <w:tab/>
      </w:r>
      <w:r w:rsidR="00546C4E">
        <w:rPr>
          <w:b/>
          <w:spacing w:val="-2"/>
          <w:szCs w:val="22"/>
        </w:rPr>
        <w:tab/>
      </w:r>
      <w:r w:rsidRPr="005B6304">
        <w:rPr>
          <w:b/>
          <w:spacing w:val="-2"/>
          <w:szCs w:val="22"/>
        </w:rPr>
        <w:t>Released:</w:t>
      </w:r>
      <w:r w:rsidR="00483983">
        <w:rPr>
          <w:b/>
          <w:spacing w:val="-2"/>
          <w:szCs w:val="22"/>
        </w:rPr>
        <w:t xml:space="preserve">  January 13</w:t>
      </w:r>
      <w:r w:rsidR="00131C92">
        <w:rPr>
          <w:b/>
          <w:spacing w:val="-2"/>
          <w:szCs w:val="22"/>
        </w:rPr>
        <w:t>, 2</w:t>
      </w:r>
      <w:r w:rsidR="00C458F6">
        <w:rPr>
          <w:b/>
          <w:spacing w:val="-2"/>
          <w:szCs w:val="22"/>
        </w:rPr>
        <w:t>0</w:t>
      </w:r>
      <w:r w:rsidR="006B76F2">
        <w:rPr>
          <w:b/>
          <w:spacing w:val="-2"/>
          <w:szCs w:val="22"/>
        </w:rPr>
        <w:t>2</w:t>
      </w:r>
      <w:r w:rsidR="00167079">
        <w:rPr>
          <w:b/>
          <w:spacing w:val="-2"/>
          <w:szCs w:val="22"/>
        </w:rPr>
        <w:t>1</w:t>
      </w:r>
      <w:r w:rsidRPr="005B6304">
        <w:rPr>
          <w:b/>
          <w:spacing w:val="-2"/>
          <w:szCs w:val="22"/>
        </w:rPr>
        <w:t xml:space="preserve"> </w:t>
      </w:r>
      <w:bookmarkStart w:id="0" w:name="_GoBack"/>
      <w:bookmarkEnd w:id="0"/>
    </w:p>
    <w:p w:rsidR="00733B58" w:rsidRPr="005B6304" w:rsidP="00733B58" w14:paraId="111AA30A" w14:textId="77777777">
      <w:pPr>
        <w:rPr>
          <w:szCs w:val="22"/>
        </w:rPr>
      </w:pPr>
    </w:p>
    <w:p w:rsidR="00733B58" w:rsidRPr="001B4B42" w:rsidP="00733B58" w14:paraId="45ED77BF" w14:textId="77777777">
      <w:pPr>
        <w:rPr>
          <w:spacing w:val="-2"/>
          <w:szCs w:val="22"/>
        </w:rPr>
      </w:pPr>
      <w:r w:rsidRPr="005B6304">
        <w:rPr>
          <w:szCs w:val="22"/>
        </w:rPr>
        <w:t>By the</w:t>
      </w:r>
      <w:r w:rsidRPr="005B6304">
        <w:rPr>
          <w:spacing w:val="-2"/>
          <w:szCs w:val="22"/>
        </w:rPr>
        <w:t xml:space="preserve"> Chief, Policy and Licensing Division, Public Safety and Homeland Security Bureau:</w:t>
      </w:r>
    </w:p>
    <w:p w:rsidR="00733B58" w:rsidRPr="001B4B42" w:rsidP="00733B58" w14:paraId="4217AE4E" w14:textId="77777777">
      <w:pPr>
        <w:rPr>
          <w:szCs w:val="22"/>
        </w:rPr>
      </w:pPr>
    </w:p>
    <w:p w:rsidR="00733B58" w:rsidRPr="00BE4E1E" w:rsidP="00733B58" w14:paraId="2186D0F6" w14:textId="77777777">
      <w:pPr>
        <w:pStyle w:val="Heading1"/>
        <w:rPr>
          <w:rFonts w:ascii="Times New Roman" w:hAnsi="Times New Roman"/>
          <w:szCs w:val="22"/>
        </w:rPr>
      </w:pPr>
      <w:r w:rsidRPr="00BE4E1E">
        <w:rPr>
          <w:rFonts w:ascii="Times New Roman" w:hAnsi="Times New Roman"/>
          <w:szCs w:val="22"/>
        </w:rPr>
        <w:t>introduction</w:t>
      </w:r>
    </w:p>
    <w:p w:rsidR="00733B58" w:rsidRPr="001B4B42" w:rsidP="00B5154B" w14:paraId="4C0B330D" w14:textId="132D0789">
      <w:pPr>
        <w:pStyle w:val="ParaNum"/>
      </w:pPr>
      <w:r w:rsidRPr="4439A411">
        <w:t xml:space="preserve">On </w:t>
      </w:r>
      <w:r w:rsidR="00546C4E">
        <w:t>April</w:t>
      </w:r>
      <w:r w:rsidRPr="4439A411">
        <w:t xml:space="preserve"> </w:t>
      </w:r>
      <w:r w:rsidR="00A346E7">
        <w:t>14</w:t>
      </w:r>
      <w:r w:rsidRPr="4439A411">
        <w:t>, 20</w:t>
      </w:r>
      <w:r w:rsidR="00546C4E">
        <w:t>20</w:t>
      </w:r>
      <w:r w:rsidRPr="4439A411">
        <w:t xml:space="preserve"> </w:t>
      </w:r>
      <w:r w:rsidR="00DB7C24">
        <w:t xml:space="preserve">the </w:t>
      </w:r>
      <w:r w:rsidR="00546C4E">
        <w:t xml:space="preserve">Florida Department of Corrections </w:t>
      </w:r>
      <w:r w:rsidR="0075660E">
        <w:t>(</w:t>
      </w:r>
      <w:r w:rsidR="00546C4E">
        <w:t>DOC</w:t>
      </w:r>
      <w:r w:rsidR="0075660E">
        <w:t xml:space="preserve">) </w:t>
      </w:r>
      <w:r w:rsidRPr="005B6304">
        <w:t xml:space="preserve">filed a Petition for Reconsideration </w:t>
      </w:r>
      <w:r w:rsidR="00CB50C8">
        <w:t xml:space="preserve">(Petition) </w:t>
      </w:r>
      <w:r w:rsidRPr="005B6304">
        <w:t xml:space="preserve">of the Commission’s </w:t>
      </w:r>
      <w:r w:rsidRPr="00E847C1" w:rsidR="00E847C1">
        <w:t>April 1, 2020</w:t>
      </w:r>
      <w:r w:rsidR="00E847C1">
        <w:t xml:space="preserve"> </w:t>
      </w:r>
      <w:r w:rsidRPr="005B6304">
        <w:t xml:space="preserve">notice </w:t>
      </w:r>
      <w:r w:rsidR="00C537DC">
        <w:t xml:space="preserve">terminating </w:t>
      </w:r>
      <w:r w:rsidR="00546C4E">
        <w:t>DOC</w:t>
      </w:r>
      <w:r w:rsidR="0075660E">
        <w:t>’</w:t>
      </w:r>
      <w:r w:rsidR="00A346E7">
        <w:t>s</w:t>
      </w:r>
      <w:r w:rsidRPr="001B4B42" w:rsidR="0075660E">
        <w:t xml:space="preserve"> </w:t>
      </w:r>
      <w:r w:rsidRPr="001B4B42">
        <w:t xml:space="preserve">license to </w:t>
      </w:r>
      <w:r w:rsidRPr="001B4B42" w:rsidR="00620AAF">
        <w:t xml:space="preserve">operate </w:t>
      </w:r>
      <w:r w:rsidRPr="001B4B42">
        <w:t xml:space="preserve">under </w:t>
      </w:r>
      <w:bookmarkStart w:id="1" w:name="_Hlk526432993"/>
      <w:r w:rsidRPr="001B4B42">
        <w:t>call sign</w:t>
      </w:r>
      <w:bookmarkEnd w:id="1"/>
      <w:r w:rsidR="00DB7C24">
        <w:t xml:space="preserve"> </w:t>
      </w:r>
      <w:r w:rsidR="00546C4E">
        <w:t>WRCY224</w:t>
      </w:r>
      <w:r w:rsidRPr="001B4B42">
        <w:t>.</w:t>
      </w:r>
      <w:r>
        <w:rPr>
          <w:rStyle w:val="FootnoteReference"/>
          <w:sz w:val="22"/>
          <w:szCs w:val="22"/>
        </w:rPr>
        <w:footnoteReference w:id="2"/>
      </w:r>
      <w:r w:rsidRPr="005B6304">
        <w:t xml:space="preserve">  </w:t>
      </w:r>
      <w:r w:rsidR="00A804C7">
        <w:t>For the reasons stated below, w</w:t>
      </w:r>
      <w:r w:rsidR="006B4C65">
        <w:t xml:space="preserve">e </w:t>
      </w:r>
      <w:r w:rsidR="00A346E7">
        <w:t>deny</w:t>
      </w:r>
      <w:r w:rsidR="007E43DB">
        <w:t xml:space="preserve"> </w:t>
      </w:r>
      <w:r w:rsidR="006B4C65">
        <w:t>the Petition.</w:t>
      </w:r>
      <w:r w:rsidRPr="001B4B42">
        <w:t xml:space="preserve"> </w:t>
      </w:r>
    </w:p>
    <w:p w:rsidR="00733B58" w:rsidRPr="00BE4E1E" w:rsidP="00733B58" w14:paraId="64B250B6" w14:textId="77777777">
      <w:pPr>
        <w:pStyle w:val="Heading1"/>
        <w:rPr>
          <w:rFonts w:ascii="Times New Roman" w:hAnsi="Times New Roman"/>
          <w:szCs w:val="22"/>
        </w:rPr>
      </w:pPr>
      <w:r w:rsidRPr="00BE4E1E">
        <w:rPr>
          <w:rFonts w:ascii="Times New Roman" w:hAnsi="Times New Roman"/>
          <w:szCs w:val="22"/>
        </w:rPr>
        <w:t>background</w:t>
      </w:r>
    </w:p>
    <w:p w:rsidR="00BE0155" w:rsidP="00BD76D6" w14:paraId="27CF51E7" w14:textId="46343022">
      <w:pPr>
        <w:pStyle w:val="ParaNum"/>
      </w:pPr>
      <w:r w:rsidRPr="4439A411">
        <w:rPr>
          <w:color w:val="212121"/>
        </w:rPr>
        <w:t xml:space="preserve">On </w:t>
      </w:r>
      <w:r w:rsidR="00546C4E">
        <w:rPr>
          <w:color w:val="212121"/>
        </w:rPr>
        <w:t>November 26</w:t>
      </w:r>
      <w:r w:rsidR="000376D8">
        <w:rPr>
          <w:color w:val="212121"/>
        </w:rPr>
        <w:t>, 2019</w:t>
      </w:r>
      <w:r w:rsidRPr="4439A411">
        <w:rPr>
          <w:color w:val="212121"/>
        </w:rPr>
        <w:t>, the</w:t>
      </w:r>
      <w:r w:rsidRPr="4439A411" w:rsidR="003146C7">
        <w:rPr>
          <w:color w:val="212121"/>
        </w:rPr>
        <w:t xml:space="preserve"> Commission’s </w:t>
      </w:r>
      <w:r w:rsidRPr="4439A411">
        <w:rPr>
          <w:color w:val="212121"/>
        </w:rPr>
        <w:t>Universal Licensing System</w:t>
      </w:r>
      <w:r w:rsidRPr="4439A411" w:rsidR="006E6CAF">
        <w:rPr>
          <w:color w:val="212121"/>
        </w:rPr>
        <w:t xml:space="preserve"> (ULS)</w:t>
      </w:r>
      <w:r w:rsidRPr="4439A411">
        <w:rPr>
          <w:color w:val="212121"/>
        </w:rPr>
        <w:t xml:space="preserve"> sent a </w:t>
      </w:r>
      <w:r w:rsidRPr="000376D8">
        <w:rPr>
          <w:color w:val="212121"/>
        </w:rPr>
        <w:t xml:space="preserve">construction reminder to </w:t>
      </w:r>
      <w:r w:rsidR="00546C4E">
        <w:t>DOC</w:t>
      </w:r>
      <w:r w:rsidR="00A346E7">
        <w:t xml:space="preserve"> </w:t>
      </w:r>
      <w:r w:rsidR="008836C6">
        <w:t>alert</w:t>
      </w:r>
      <w:r w:rsidR="008E3F4B">
        <w:t xml:space="preserve">ing it of the pending construction deadline and establishing </w:t>
      </w:r>
      <w:r w:rsidR="0096560B">
        <w:t>February</w:t>
      </w:r>
      <w:r w:rsidR="008E3F4B">
        <w:t xml:space="preserve"> </w:t>
      </w:r>
      <w:r w:rsidR="0096560B">
        <w:t>25</w:t>
      </w:r>
      <w:r w:rsidR="00E847C1">
        <w:t>, 2020</w:t>
      </w:r>
      <w:r w:rsidR="008836C6">
        <w:t xml:space="preserve"> </w:t>
      </w:r>
      <w:r w:rsidR="008E3F4B">
        <w:t>as the deadline for DOC</w:t>
      </w:r>
      <w:r w:rsidRPr="00654169" w:rsidR="008836C6">
        <w:t xml:space="preserve"> to file a Notification of Construction</w:t>
      </w:r>
      <w:r w:rsidR="008E3F4B">
        <w:t>.</w:t>
      </w:r>
      <w:r>
        <w:rPr>
          <w:rStyle w:val="FootnoteReference"/>
        </w:rPr>
        <w:footnoteReference w:id="3"/>
      </w:r>
      <w:r w:rsidR="008E3F4B">
        <w:t xml:space="preserve">  DOC </w:t>
      </w:r>
      <w:r w:rsidR="00E847C1">
        <w:t xml:space="preserve">neither </w:t>
      </w:r>
      <w:r w:rsidR="008E3F4B">
        <w:t>file</w:t>
      </w:r>
      <w:r w:rsidR="00E847C1">
        <w:t>d</w:t>
      </w:r>
      <w:r w:rsidR="008E3F4B">
        <w:t xml:space="preserve"> a construction notice nor </w:t>
      </w:r>
      <w:r w:rsidR="00E847C1">
        <w:t xml:space="preserve">requested </w:t>
      </w:r>
      <w:r w:rsidR="00E8714F">
        <w:t>an</w:t>
      </w:r>
      <w:r w:rsidRPr="00654169" w:rsidR="008836C6">
        <w:t xml:space="preserve"> exten</w:t>
      </w:r>
      <w:r w:rsidR="00E8714F">
        <w:t>sion of</w:t>
      </w:r>
      <w:r w:rsidRPr="00654169" w:rsidR="008836C6">
        <w:t xml:space="preserve"> the construction/coverage period.</w:t>
      </w:r>
      <w:r>
        <w:rPr>
          <w:rStyle w:val="FootnoteReference"/>
        </w:rPr>
        <w:footnoteReference w:id="4"/>
      </w:r>
      <w:r w:rsidRPr="4439A411" w:rsidR="00085A0A">
        <w:t xml:space="preserve">  </w:t>
      </w:r>
      <w:r w:rsidR="00E8714F">
        <w:rPr>
          <w:color w:val="212121"/>
        </w:rPr>
        <w:t>O</w:t>
      </w:r>
      <w:r w:rsidRPr="4439A411" w:rsidR="00AF46E1">
        <w:t xml:space="preserve">n </w:t>
      </w:r>
      <w:bookmarkStart w:id="2" w:name="_Hlk57990857"/>
      <w:r w:rsidR="00A346E7">
        <w:t>A</w:t>
      </w:r>
      <w:r w:rsidR="00546C4E">
        <w:t>pril 1</w:t>
      </w:r>
      <w:r w:rsidR="000376D8">
        <w:t>, 20</w:t>
      </w:r>
      <w:r w:rsidR="00546C4E">
        <w:t>20</w:t>
      </w:r>
      <w:bookmarkEnd w:id="2"/>
      <w:r w:rsidR="006B76F2">
        <w:t xml:space="preserve">, </w:t>
      </w:r>
      <w:r w:rsidRPr="4439A411" w:rsidR="00AF46E1">
        <w:t xml:space="preserve">ULS issued </w:t>
      </w:r>
      <w:r w:rsidR="00546C4E">
        <w:t>DOC</w:t>
      </w:r>
      <w:r w:rsidR="00A346E7">
        <w:t xml:space="preserve"> </w:t>
      </w:r>
      <w:r w:rsidRPr="4439A411" w:rsidR="003146C7">
        <w:t xml:space="preserve">a letter advising </w:t>
      </w:r>
      <w:r w:rsidRPr="4439A411" w:rsidR="009C365B">
        <w:t>it</w:t>
      </w:r>
      <w:r w:rsidRPr="4439A411" w:rsidR="003146C7">
        <w:t xml:space="preserve"> </w:t>
      </w:r>
      <w:r w:rsidRPr="4439A411" w:rsidR="00C537DC">
        <w:t>that the</w:t>
      </w:r>
      <w:r w:rsidR="00CB2F61">
        <w:t xml:space="preserve"> </w:t>
      </w:r>
      <w:r w:rsidR="00FF3475">
        <w:t xml:space="preserve">notification </w:t>
      </w:r>
      <w:r w:rsidRPr="4439A411" w:rsidR="00C537DC">
        <w:t>deadline</w:t>
      </w:r>
      <w:r w:rsidR="00CB2F61">
        <w:t xml:space="preserve"> </w:t>
      </w:r>
      <w:r w:rsidRPr="4439A411" w:rsidR="00C537DC">
        <w:t xml:space="preserve">had passed and </w:t>
      </w:r>
      <w:r w:rsidRPr="4439A411" w:rsidR="003146C7">
        <w:t xml:space="preserve">that </w:t>
      </w:r>
      <w:r w:rsidR="00D87938">
        <w:t>the</w:t>
      </w:r>
      <w:r w:rsidRPr="4439A411" w:rsidR="00D87938">
        <w:t xml:space="preserve"> </w:t>
      </w:r>
      <w:r w:rsidRPr="4439A411" w:rsidR="003146C7">
        <w:t>license w</w:t>
      </w:r>
      <w:r w:rsidR="001E356C">
        <w:t>as</w:t>
      </w:r>
      <w:r w:rsidRPr="4439A411" w:rsidR="003146C7">
        <w:t xml:space="preserve"> in </w:t>
      </w:r>
      <w:r w:rsidRPr="4439A411" w:rsidR="00AF46E1">
        <w:t>termination pending</w:t>
      </w:r>
      <w:r w:rsidRPr="4439A411" w:rsidR="00BD76D6">
        <w:t xml:space="preserve"> </w:t>
      </w:r>
      <w:r w:rsidRPr="4439A411" w:rsidR="00AF46E1">
        <w:t>status.</w:t>
      </w:r>
      <w:r>
        <w:rPr>
          <w:rStyle w:val="FootnoteReference"/>
          <w:sz w:val="22"/>
          <w:szCs w:val="22"/>
        </w:rPr>
        <w:footnoteReference w:id="5"/>
      </w:r>
      <w:r w:rsidRPr="4439A411" w:rsidR="00AF46E1">
        <w:t xml:space="preserve">  </w:t>
      </w:r>
      <w:r w:rsidR="00791CD9">
        <w:t>O</w:t>
      </w:r>
      <w:r w:rsidRPr="00BC2358" w:rsidR="00BD76D6">
        <w:t xml:space="preserve">n </w:t>
      </w:r>
      <w:r w:rsidR="00A346E7">
        <w:t>A</w:t>
      </w:r>
      <w:r w:rsidR="00546C4E">
        <w:t>pril</w:t>
      </w:r>
      <w:r w:rsidR="00BD76D6">
        <w:t xml:space="preserve">, </w:t>
      </w:r>
      <w:r w:rsidR="00970F8C">
        <w:t xml:space="preserve">14, </w:t>
      </w:r>
      <w:r w:rsidR="00BD76D6">
        <w:t>20</w:t>
      </w:r>
      <w:r w:rsidR="00546C4E">
        <w:t>20</w:t>
      </w:r>
      <w:r w:rsidR="00444CFC">
        <w:t>,</w:t>
      </w:r>
      <w:r w:rsidR="00970F8C">
        <w:t xml:space="preserve"> </w:t>
      </w:r>
      <w:r w:rsidR="00546C4E">
        <w:t>DOC</w:t>
      </w:r>
      <w:r w:rsidR="00A346E7">
        <w:t xml:space="preserve"> </w:t>
      </w:r>
      <w:r w:rsidR="00944497">
        <w:t xml:space="preserve">timely </w:t>
      </w:r>
      <w:r w:rsidRPr="00BC2358" w:rsidR="00BD76D6">
        <w:t>filed the instant Petition.</w:t>
      </w:r>
      <w:r>
        <w:rPr>
          <w:rStyle w:val="FootnoteReference"/>
          <w:sz w:val="22"/>
          <w:szCs w:val="22"/>
        </w:rPr>
        <w:footnoteReference w:id="6"/>
      </w:r>
      <w:r w:rsidRPr="00BC2358" w:rsidR="00BD76D6">
        <w:t xml:space="preserve">  </w:t>
      </w:r>
    </w:p>
    <w:p w:rsidR="00CB2F61" w:rsidRPr="00B83786" w:rsidP="007378F4" w14:paraId="414D75B5" w14:textId="1F776DA0">
      <w:pPr>
        <w:pStyle w:val="ParaNum"/>
      </w:pPr>
      <w:r>
        <w:t>DOC</w:t>
      </w:r>
      <w:r w:rsidR="00A346E7">
        <w:t xml:space="preserve"> </w:t>
      </w:r>
      <w:r w:rsidR="00DB2B02">
        <w:t>concedes</w:t>
      </w:r>
      <w:r w:rsidR="006B76F2">
        <w:t xml:space="preserve"> </w:t>
      </w:r>
      <w:r w:rsidR="007378F4">
        <w:t xml:space="preserve">that it has not completed construction of the new station </w:t>
      </w:r>
      <w:r w:rsidR="00DB2B02">
        <w:t xml:space="preserve">and attributes the delay to the </w:t>
      </w:r>
      <w:r w:rsidR="007378F4">
        <w:t>COVID-19 Pandemic</w:t>
      </w:r>
      <w:r w:rsidR="00DB2B02">
        <w:t xml:space="preserve">. </w:t>
      </w:r>
      <w:r w:rsidR="00292AA0">
        <w:t xml:space="preserve"> </w:t>
      </w:r>
      <w:r w:rsidR="00DB2B02">
        <w:t>It also c</w:t>
      </w:r>
      <w:r w:rsidR="00E847C1">
        <w:t xml:space="preserve">laims </w:t>
      </w:r>
      <w:r w:rsidR="007378F4">
        <w:t>it failed to file an extension request due to administrative oversight.</w:t>
      </w:r>
      <w:r>
        <w:rPr>
          <w:rStyle w:val="FootnoteReference"/>
        </w:rPr>
        <w:footnoteReference w:id="7"/>
      </w:r>
      <w:r>
        <w:t xml:space="preserve"> </w:t>
      </w:r>
    </w:p>
    <w:p w:rsidR="00733B58" w:rsidP="00BE4E1E" w14:paraId="53A97F3D" w14:textId="77777777">
      <w:pPr>
        <w:pStyle w:val="Heading1"/>
        <w:rPr>
          <w:szCs w:val="22"/>
        </w:rPr>
      </w:pPr>
      <w:r w:rsidRPr="001B4B42">
        <w:rPr>
          <w:szCs w:val="22"/>
        </w:rPr>
        <w:t>DISCUSSION</w:t>
      </w:r>
    </w:p>
    <w:p w:rsidR="00292AA0" w:rsidP="001E2FF5" w14:paraId="2234EBC6" w14:textId="77777777">
      <w:pPr>
        <w:pStyle w:val="ParaNum"/>
      </w:pPr>
      <w:r w:rsidRPr="00784FAF">
        <w:t xml:space="preserve">Section 1.106(c)(2) of the Commission’s rules provides that a petition for reconsideration </w:t>
      </w:r>
      <w:r>
        <w:t xml:space="preserve">may </w:t>
      </w:r>
      <w:r w:rsidRPr="00784FAF">
        <w:t>rel</w:t>
      </w:r>
      <w:r>
        <w:t xml:space="preserve">y </w:t>
      </w:r>
      <w:r w:rsidRPr="00784FAF">
        <w:t>on facts not previously presented if we find that “consideration of the facts relied on is required in the public interest</w:t>
      </w:r>
      <w:r w:rsidR="00550982">
        <w:t>.</w:t>
      </w:r>
      <w:r w:rsidRPr="00784FAF">
        <w:t>”</w:t>
      </w:r>
      <w:r>
        <w:rPr>
          <w:rStyle w:val="FootnoteReference"/>
        </w:rPr>
        <w:footnoteReference w:id="8"/>
      </w:r>
      <w:r w:rsidRPr="00784FAF">
        <w:t xml:space="preserve"> </w:t>
      </w:r>
      <w:r w:rsidR="00550982">
        <w:t xml:space="preserve"> </w:t>
      </w:r>
    </w:p>
    <w:p w:rsidR="00622448" w:rsidP="001E2FF5" w14:paraId="17F8B5AC" w14:textId="5726E50B">
      <w:pPr>
        <w:pStyle w:val="ParaNum"/>
      </w:pPr>
      <w:r>
        <w:t>W</w:t>
      </w:r>
      <w:r w:rsidR="00380376">
        <w:t xml:space="preserve">e find that </w:t>
      </w:r>
      <w:r w:rsidR="00546C4E">
        <w:t>DOC</w:t>
      </w:r>
      <w:r w:rsidR="00A346E7">
        <w:t xml:space="preserve"> </w:t>
      </w:r>
      <w:r w:rsidR="00380376">
        <w:t xml:space="preserve">has </w:t>
      </w:r>
      <w:r w:rsidR="00A346E7">
        <w:t xml:space="preserve">not </w:t>
      </w:r>
      <w:r w:rsidR="002D19FD">
        <w:t xml:space="preserve">provided </w:t>
      </w:r>
      <w:r w:rsidR="00380376">
        <w:t xml:space="preserve">sufficient justification for us to grant </w:t>
      </w:r>
      <w:r w:rsidR="00037D5B">
        <w:t>its</w:t>
      </w:r>
      <w:r w:rsidR="00380376">
        <w:t xml:space="preserve"> Petition.</w:t>
      </w:r>
      <w:r w:rsidR="002D19FD">
        <w:t xml:space="preserve"> </w:t>
      </w:r>
      <w:r>
        <w:t xml:space="preserve"> </w:t>
      </w:r>
      <w:r w:rsidR="007378F4">
        <w:t xml:space="preserve">While we recognize that the COVID-19 Pandemic has dramatically altered construction schedules, it would not have prevented DOC from filing a timely extension request.  Administrative oversight is </w:t>
      </w:r>
      <w:r w:rsidR="00037D5B">
        <w:t xml:space="preserve">not a </w:t>
      </w:r>
      <w:r w:rsidR="00701210">
        <w:t>unique factual circumstance</w:t>
      </w:r>
      <w:r w:rsidR="00037D5B">
        <w:t xml:space="preserve"> </w:t>
      </w:r>
      <w:r w:rsidR="000713DC">
        <w:t xml:space="preserve">justifying a waiver and </w:t>
      </w:r>
      <w:r w:rsidR="00037D5B">
        <w:t>excusing failure to comply with the Commission’s construction notification requirements.</w:t>
      </w:r>
      <w:r>
        <w:rPr>
          <w:rStyle w:val="FootnoteReference"/>
        </w:rPr>
        <w:footnoteReference w:id="9"/>
      </w:r>
      <w:r w:rsidR="00037D5B">
        <w:t xml:space="preserve"> </w:t>
      </w:r>
      <w:r>
        <w:t xml:space="preserve"> </w:t>
      </w:r>
      <w:r w:rsidR="00E847C1">
        <w:t xml:space="preserve">Because </w:t>
      </w:r>
      <w:r w:rsidR="00546C4E">
        <w:t>DOC</w:t>
      </w:r>
      <w:r w:rsidR="00037D5B">
        <w:t xml:space="preserve"> </w:t>
      </w:r>
      <w:r>
        <w:t xml:space="preserve">had not </w:t>
      </w:r>
      <w:r w:rsidR="00037D5B">
        <w:t xml:space="preserve">placed its station in operation </w:t>
      </w:r>
      <w:r>
        <w:t xml:space="preserve">as required by </w:t>
      </w:r>
      <w:r w:rsidR="00037D5B">
        <w:t>s</w:t>
      </w:r>
      <w:r w:rsidR="00380376">
        <w:t>ection</w:t>
      </w:r>
      <w:r w:rsidR="00037D5B">
        <w:t>s</w:t>
      </w:r>
      <w:r w:rsidR="00380376">
        <w:t xml:space="preserve"> </w:t>
      </w:r>
      <w:bookmarkStart w:id="4" w:name="_Hlk45811770"/>
      <w:r w:rsidRPr="008C4A55" w:rsidR="008C4A55">
        <w:t>1.9</w:t>
      </w:r>
      <w:r w:rsidR="00497596">
        <w:t>55</w:t>
      </w:r>
      <w:r w:rsidR="00844D73">
        <w:t xml:space="preserve"> and 90.155</w:t>
      </w:r>
      <w:r w:rsidR="008C4A55">
        <w:t xml:space="preserve"> </w:t>
      </w:r>
      <w:bookmarkEnd w:id="4"/>
      <w:r w:rsidR="00380376">
        <w:t xml:space="preserve">of the Commission’s </w:t>
      </w:r>
      <w:r w:rsidR="00037D5B">
        <w:t>r</w:t>
      </w:r>
      <w:r w:rsidR="00380376">
        <w:t>ule</w:t>
      </w:r>
      <w:r w:rsidR="00773DEB">
        <w:t>s</w:t>
      </w:r>
      <w:r w:rsidR="007378F4">
        <w:t>,</w:t>
      </w:r>
      <w:r>
        <w:rPr>
          <w:rStyle w:val="FootnoteReference"/>
        </w:rPr>
        <w:footnoteReference w:id="10"/>
      </w:r>
      <w:r w:rsidR="00D82EB5">
        <w:t xml:space="preserve"> </w:t>
      </w:r>
      <w:r w:rsidR="00DE7950">
        <w:t>u</w:t>
      </w:r>
      <w:r w:rsidR="007424D3">
        <w:t xml:space="preserve">nder the </w:t>
      </w:r>
      <w:r>
        <w:t xml:space="preserve">plain language of the </w:t>
      </w:r>
      <w:r w:rsidR="00DE7950">
        <w:t>rules</w:t>
      </w:r>
      <w:r>
        <w:t xml:space="preserve"> </w:t>
      </w:r>
      <w:r w:rsidR="00970F8C">
        <w:t xml:space="preserve">DOC’s license, </w:t>
      </w:r>
      <w:r w:rsidR="00DE7950">
        <w:t xml:space="preserve">call sign </w:t>
      </w:r>
      <w:r w:rsidR="00546C4E">
        <w:t>WRCY224</w:t>
      </w:r>
      <w:r w:rsidR="00970F8C">
        <w:t>,</w:t>
      </w:r>
      <w:r w:rsidR="00DE7950">
        <w:t xml:space="preserve"> </w:t>
      </w:r>
      <w:r w:rsidR="0067724A">
        <w:t>terminated automatically</w:t>
      </w:r>
      <w:r>
        <w:t xml:space="preserve">.  </w:t>
      </w:r>
      <w:r w:rsidR="00546C4E">
        <w:t>DOC</w:t>
      </w:r>
      <w:r w:rsidR="00DE7950">
        <w:t xml:space="preserve">’s Petition </w:t>
      </w:r>
      <w:r w:rsidR="00FF3475">
        <w:t xml:space="preserve">provides no justification </w:t>
      </w:r>
      <w:r w:rsidR="00DE7950">
        <w:t xml:space="preserve">for a rule waiver </w:t>
      </w:r>
      <w:r>
        <w:t xml:space="preserve">given </w:t>
      </w:r>
      <w:r w:rsidR="00546C4E">
        <w:t>DOC</w:t>
      </w:r>
      <w:r>
        <w:t xml:space="preserve">’s failure </w:t>
      </w:r>
      <w:r w:rsidR="007378F4">
        <w:t xml:space="preserve">to either </w:t>
      </w:r>
      <w:r>
        <w:t>place its station into operation</w:t>
      </w:r>
      <w:r w:rsidR="007378F4">
        <w:t xml:space="preserve"> </w:t>
      </w:r>
      <w:r w:rsidR="00444CFC">
        <w:t xml:space="preserve">by the deadline, </w:t>
      </w:r>
      <w:r w:rsidR="007378F4">
        <w:t>or to timely file an extension request</w:t>
      </w:r>
      <w:r>
        <w:t xml:space="preserve">.  </w:t>
      </w:r>
      <w:r w:rsidR="00954CBB">
        <w:t>We therefore</w:t>
      </w:r>
      <w:r w:rsidR="00DE7950">
        <w:t xml:space="preserve"> </w:t>
      </w:r>
      <w:r w:rsidR="0078362C">
        <w:t xml:space="preserve">deny </w:t>
      </w:r>
      <w:r w:rsidR="00954CBB">
        <w:t>the Petition</w:t>
      </w:r>
      <w:r w:rsidR="008F0794">
        <w:t>.</w:t>
      </w:r>
    </w:p>
    <w:p w:rsidR="0078362C" w:rsidP="007D5D41" w14:paraId="74E33107" w14:textId="33EBA50D">
      <w:pPr>
        <w:pStyle w:val="ParaNum"/>
      </w:pPr>
      <w:r>
        <w:t>DOC</w:t>
      </w:r>
      <w:r w:rsidR="00A346E7">
        <w:t xml:space="preserve"> </w:t>
      </w:r>
      <w:r w:rsidRPr="00C23EFD" w:rsidR="008F0794">
        <w:t xml:space="preserve">may file a new, properly coordinated application if it desires to use </w:t>
      </w:r>
      <w:r>
        <w:t>its</w:t>
      </w:r>
      <w:r w:rsidRPr="00C23EFD" w:rsidR="008F0794">
        <w:t xml:space="preserve"> previously licensed </w:t>
      </w:r>
      <w:r>
        <w:t>frequenc</w:t>
      </w:r>
      <w:r w:rsidR="007378F4">
        <w:t>ies</w:t>
      </w:r>
      <w:r w:rsidRPr="00C23EFD" w:rsidR="008F0794">
        <w:t xml:space="preserve">.  In addition, if </w:t>
      </w:r>
      <w:r>
        <w:t>DOC</w:t>
      </w:r>
      <w:r w:rsidR="00A346E7">
        <w:t xml:space="preserve"> </w:t>
      </w:r>
      <w:r w:rsidRPr="00C23EFD" w:rsidR="008F0794">
        <w:t>needs to operate</w:t>
      </w:r>
      <w:r w:rsidR="008F0794">
        <w:t xml:space="preserve"> while an </w:t>
      </w:r>
      <w:r w:rsidRPr="00C23EFD" w:rsidR="008F0794">
        <w:t xml:space="preserve">application is pending with the Commission, it may file a request for </w:t>
      </w:r>
      <w:r w:rsidR="008F0794">
        <w:t xml:space="preserve">special temporary authority </w:t>
      </w:r>
      <w:r w:rsidRPr="00C23EFD" w:rsidR="008F0794">
        <w:t xml:space="preserve">in </w:t>
      </w:r>
      <w:r w:rsidR="008F0794">
        <w:t xml:space="preserve">accordance with </w:t>
      </w:r>
      <w:r w:rsidR="00E33B57">
        <w:t>s</w:t>
      </w:r>
      <w:r w:rsidR="008F0794">
        <w:t>ection 1.931</w:t>
      </w:r>
      <w:r w:rsidRPr="00C23EFD" w:rsidR="008F0794">
        <w:t xml:space="preserve"> of the Commission’s rules.</w:t>
      </w:r>
      <w:r>
        <w:rPr>
          <w:rStyle w:val="FootnoteReference"/>
        </w:rPr>
        <w:footnoteReference w:id="11"/>
      </w:r>
    </w:p>
    <w:p w:rsidR="00733B58" w:rsidRPr="00BE4E1E" w:rsidP="00733B58" w14:paraId="2AFA0AAB" w14:textId="38321883">
      <w:pPr>
        <w:pStyle w:val="Heading1"/>
        <w:rPr>
          <w:rFonts w:ascii="Times New Roman" w:hAnsi="Times New Roman"/>
          <w:szCs w:val="22"/>
        </w:rPr>
      </w:pPr>
      <w:r w:rsidRPr="00BE4E1E">
        <w:rPr>
          <w:rFonts w:ascii="Times New Roman" w:hAnsi="Times New Roman"/>
          <w:szCs w:val="22"/>
        </w:rPr>
        <w:t>Ordering clause</w:t>
      </w:r>
    </w:p>
    <w:p w:rsidR="00035411" w:rsidP="00035411" w14:paraId="5578051B" w14:textId="7DECAE72">
      <w:pPr>
        <w:pStyle w:val="ParaNum"/>
        <w:tabs>
          <w:tab w:val="clear" w:pos="1440"/>
        </w:tabs>
        <w:rPr>
          <w:spacing w:val="-2"/>
        </w:rPr>
      </w:pPr>
      <w:r w:rsidRPr="4439A411">
        <w:t xml:space="preserve"> Accordingly, IT IS ORDERED, pursuant to Sections 4(</w:t>
      </w:r>
      <w:r w:rsidRPr="4439A411">
        <w:t>i</w:t>
      </w:r>
      <w:r w:rsidRPr="4439A411">
        <w:t>) and 303(c) of the Communications Act of 1934, as amended, 47 U.S.C. §§ 154(</w:t>
      </w:r>
      <w:r w:rsidRPr="4439A411">
        <w:t>i</w:t>
      </w:r>
      <w:r w:rsidRPr="4439A411">
        <w:t>), 303(c), and Sections 1.106 of t</w:t>
      </w:r>
      <w:r w:rsidRPr="4439A411" w:rsidR="00CB50C8">
        <w:t>he Commission’s rules, 47 CFR §</w:t>
      </w:r>
      <w:r w:rsidRPr="4439A411">
        <w:t xml:space="preserve"> 1.106, that the Petition for Reconsideration filed </w:t>
      </w:r>
      <w:r w:rsidR="00263216">
        <w:t>A</w:t>
      </w:r>
      <w:r w:rsidR="007378F4">
        <w:t xml:space="preserve">pril </w:t>
      </w:r>
      <w:r w:rsidR="00263216">
        <w:t>14</w:t>
      </w:r>
      <w:r w:rsidRPr="4439A411" w:rsidR="00B5154B">
        <w:t>,</w:t>
      </w:r>
      <w:r w:rsidRPr="4439A411">
        <w:t xml:space="preserve"> 20</w:t>
      </w:r>
      <w:r w:rsidR="007378F4">
        <w:t>20</w:t>
      </w:r>
      <w:r w:rsidRPr="4439A411" w:rsidR="00550982">
        <w:t>,</w:t>
      </w:r>
      <w:r w:rsidRPr="4439A411">
        <w:t xml:space="preserve"> by </w:t>
      </w:r>
      <w:r w:rsidR="008C4A55">
        <w:t xml:space="preserve">the </w:t>
      </w:r>
      <w:r w:rsidR="007378F4">
        <w:t>Florida Department of Corrections</w:t>
      </w:r>
      <w:r w:rsidR="00CA4DAD">
        <w:t xml:space="preserve">, </w:t>
      </w:r>
      <w:r w:rsidRPr="4439A411">
        <w:t xml:space="preserve">IS </w:t>
      </w:r>
      <w:r w:rsidR="0078362C">
        <w:t>DENIED</w:t>
      </w:r>
      <w:r w:rsidRPr="4439A411" w:rsidR="00BA6FBF">
        <w:t>.</w:t>
      </w:r>
    </w:p>
    <w:p w:rsidR="00733B58" w:rsidRPr="001B4B42" w:rsidP="00733B58" w14:paraId="666CF65E" w14:textId="77777777">
      <w:pPr>
        <w:pStyle w:val="ParaNum"/>
        <w:tabs>
          <w:tab w:val="clear" w:pos="1440"/>
        </w:tabs>
      </w:pPr>
      <w:r>
        <w:t xml:space="preserve">This action is taken under delegated authority pursuant to Sections 0.191 and 0.392 of the Commission’s rules, 47 CFR §§ 0.191, 0.392.  </w:t>
      </w:r>
    </w:p>
    <w:p w:rsidR="00733B58" w:rsidRPr="001B4B42" w:rsidP="00733B58" w14:paraId="7D34698F" w14:textId="77777777">
      <w:pPr>
        <w:pStyle w:val="ParaNum"/>
        <w:keepNext/>
        <w:keepLines/>
        <w:numPr>
          <w:ilvl w:val="0"/>
          <w:numId w:val="0"/>
        </w:numPr>
        <w:spacing w:after="0"/>
        <w:ind w:left="3600" w:firstLine="720"/>
        <w:rPr>
          <w:szCs w:val="22"/>
        </w:rPr>
      </w:pPr>
      <w:r w:rsidRPr="001B4B42">
        <w:rPr>
          <w:szCs w:val="22"/>
        </w:rPr>
        <w:t xml:space="preserve">FEDERAL COMMUNICATIONS COMMISSION </w:t>
      </w:r>
    </w:p>
    <w:p w:rsidR="00733B58" w:rsidRPr="001B4B42" w:rsidP="00733B58" w14:paraId="5EC284FD" w14:textId="77777777">
      <w:pPr>
        <w:pStyle w:val="ParaNum"/>
        <w:keepNext/>
        <w:keepLines/>
        <w:numPr>
          <w:ilvl w:val="0"/>
          <w:numId w:val="0"/>
        </w:numPr>
        <w:spacing w:after="0"/>
        <w:ind w:left="720"/>
        <w:rPr>
          <w:szCs w:val="22"/>
        </w:rPr>
      </w:pPr>
    </w:p>
    <w:p w:rsidR="00733B58" w:rsidRPr="001B4B42" w:rsidP="00733B58" w14:paraId="6774C96E" w14:textId="77777777">
      <w:pPr>
        <w:pStyle w:val="ParaNum"/>
        <w:keepNext/>
        <w:keepLines/>
        <w:numPr>
          <w:ilvl w:val="0"/>
          <w:numId w:val="0"/>
        </w:numPr>
        <w:spacing w:after="0"/>
        <w:ind w:left="720"/>
        <w:rPr>
          <w:szCs w:val="22"/>
        </w:rPr>
      </w:pPr>
    </w:p>
    <w:p w:rsidR="00733B58" w:rsidRPr="001B4B42" w:rsidP="00733B58" w14:paraId="066073E8" w14:textId="77777777">
      <w:pPr>
        <w:pStyle w:val="ParaNum"/>
        <w:keepNext/>
        <w:keepLines/>
        <w:numPr>
          <w:ilvl w:val="0"/>
          <w:numId w:val="0"/>
        </w:numPr>
        <w:spacing w:after="0"/>
        <w:ind w:left="720"/>
        <w:rPr>
          <w:szCs w:val="22"/>
        </w:rPr>
      </w:pPr>
    </w:p>
    <w:p w:rsidR="00733B58" w:rsidRPr="001B4B42" w:rsidP="00733B58" w14:paraId="3D4B30D2" w14:textId="77777777">
      <w:pPr>
        <w:pStyle w:val="ParaNum"/>
        <w:keepNext/>
        <w:keepLines/>
        <w:numPr>
          <w:ilvl w:val="0"/>
          <w:numId w:val="0"/>
        </w:numPr>
        <w:spacing w:after="0"/>
        <w:ind w:left="720"/>
        <w:rPr>
          <w:szCs w:val="22"/>
        </w:rPr>
      </w:pPr>
    </w:p>
    <w:p w:rsidR="00733B58" w:rsidRPr="001B4B42" w:rsidP="00733B58" w14:paraId="089CC235" w14:textId="77777777">
      <w:pPr>
        <w:pStyle w:val="ParaNum"/>
        <w:keepNext/>
        <w:keepLines/>
        <w:numPr>
          <w:ilvl w:val="0"/>
          <w:numId w:val="0"/>
        </w:numPr>
        <w:spacing w:after="0"/>
        <w:ind w:left="3600" w:firstLine="720"/>
        <w:rPr>
          <w:szCs w:val="22"/>
        </w:rPr>
      </w:pPr>
      <w:r w:rsidRPr="001B4B42">
        <w:rPr>
          <w:szCs w:val="22"/>
        </w:rPr>
        <w:t xml:space="preserve">Michael J. Wilhelm  </w:t>
      </w:r>
    </w:p>
    <w:p w:rsidR="00733B58" w:rsidRPr="001B4B42" w:rsidP="00733B58" w14:paraId="00D31D89" w14:textId="77777777">
      <w:pPr>
        <w:pStyle w:val="ParaNum"/>
        <w:keepNext/>
        <w:keepLines/>
        <w:numPr>
          <w:ilvl w:val="0"/>
          <w:numId w:val="0"/>
        </w:numPr>
        <w:spacing w:after="0"/>
        <w:ind w:left="3600" w:firstLine="720"/>
        <w:rPr>
          <w:szCs w:val="22"/>
        </w:rPr>
      </w:pPr>
      <w:r w:rsidRPr="001B4B42">
        <w:rPr>
          <w:szCs w:val="22"/>
        </w:rPr>
        <w:t xml:space="preserve">Chief, Policy and Licensing Division </w:t>
      </w:r>
    </w:p>
    <w:p w:rsidR="00733B58" w:rsidRPr="001B4B42" w:rsidP="00733B58" w14:paraId="3E20BFAD" w14:textId="77777777">
      <w:pPr>
        <w:pStyle w:val="ParaNum"/>
        <w:keepNext/>
        <w:keepLines/>
        <w:numPr>
          <w:ilvl w:val="0"/>
          <w:numId w:val="0"/>
        </w:numPr>
        <w:spacing w:after="0"/>
        <w:ind w:left="3600" w:firstLine="720"/>
        <w:rPr>
          <w:szCs w:val="22"/>
        </w:rPr>
      </w:pPr>
      <w:r w:rsidRPr="001B4B42">
        <w:rPr>
          <w:szCs w:val="22"/>
        </w:rPr>
        <w:t>Public Safety and Homeland Security Bureau</w:t>
      </w:r>
    </w:p>
    <w:p w:rsidR="00733B58" w:rsidRPr="001B4B42" w:rsidP="00733B58" w14:paraId="09661E74" w14:textId="77777777">
      <w:pPr>
        <w:rPr>
          <w:szCs w:val="22"/>
        </w:rPr>
      </w:pPr>
    </w:p>
    <w:p w:rsidR="00D641D3" w:rsidRPr="001B4B42" w:rsidP="00BE0155" w14:paraId="2DAAF579" w14:textId="77777777">
      <w:pPr>
        <w:spacing w:after="120"/>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61D97B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851FC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EAB167C" w14:textId="77777777">
    <w:pPr>
      <w:pStyle w:val="Footer"/>
      <w:framePr w:wrap="around" w:vAnchor="text" w:hAnchor="margin" w:xAlign="center" w:y="1"/>
    </w:pPr>
    <w:r>
      <w:fldChar w:fldCharType="begin"/>
    </w:r>
    <w:r>
      <w:instrText xml:space="preserve">PAGE  </w:instrText>
    </w:r>
    <w:r>
      <w:fldChar w:fldCharType="separate"/>
    </w:r>
    <w:r w:rsidR="00F93735">
      <w:rPr>
        <w:noProof/>
      </w:rPr>
      <w:t>2</w:t>
    </w:r>
    <w:r>
      <w:fldChar w:fldCharType="end"/>
    </w:r>
  </w:p>
  <w:p w:rsidR="00D25FB5" w14:paraId="348A8DB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78354D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5F77" w:rsidP="00733B58" w14:paraId="118C1094" w14:textId="77777777">
      <w:r>
        <w:separator/>
      </w:r>
    </w:p>
  </w:footnote>
  <w:footnote w:type="continuationSeparator" w:id="1">
    <w:p w:rsidR="00365F77" w:rsidP="00733B58" w14:paraId="44BF3460" w14:textId="77777777">
      <w:r>
        <w:continuationSeparator/>
      </w:r>
    </w:p>
  </w:footnote>
  <w:footnote w:id="2">
    <w:p w:rsidR="00733B58" w:rsidRPr="00CE5A4A" w:rsidP="007717E4" w14:paraId="5F0CB370" w14:textId="2838523D">
      <w:pPr>
        <w:pStyle w:val="FootnoteText"/>
        <w:rPr>
          <w:b/>
        </w:rPr>
      </w:pPr>
      <w:r w:rsidRPr="00CE5A4A">
        <w:rPr>
          <w:rStyle w:val="FootnoteReference"/>
        </w:rPr>
        <w:footnoteRef/>
      </w:r>
      <w:r w:rsidRPr="00CE5A4A">
        <w:t xml:space="preserve"> </w:t>
      </w:r>
      <w:r w:rsidRPr="00CE5A4A">
        <w:rPr>
          <w:i/>
        </w:rPr>
        <w:t>See</w:t>
      </w:r>
      <w:r w:rsidRPr="00CE5A4A">
        <w:t xml:space="preserve"> </w:t>
      </w:r>
      <w:r w:rsidR="008836C6">
        <w:t>Florida Department of Corrections</w:t>
      </w:r>
      <w:r w:rsidR="00DB7C24">
        <w:t xml:space="preserve">, </w:t>
      </w:r>
      <w:r w:rsidRPr="00CE5A4A">
        <w:t xml:space="preserve">Petition for Reconsideration, </w:t>
      </w:r>
      <w:r w:rsidRPr="00CE5A4A" w:rsidR="00085A0A">
        <w:rPr>
          <w:i/>
        </w:rPr>
        <w:t>re</w:t>
      </w:r>
      <w:r w:rsidRPr="00CE5A4A" w:rsidR="00085A0A">
        <w:t xml:space="preserve"> </w:t>
      </w:r>
      <w:r w:rsidRPr="00CE5A4A">
        <w:t>Call Sign</w:t>
      </w:r>
      <w:r w:rsidR="00DB7C24">
        <w:t xml:space="preserve"> </w:t>
      </w:r>
      <w:r w:rsidR="008836C6">
        <w:t>WRCY224</w:t>
      </w:r>
      <w:r w:rsidRPr="00CE5A4A">
        <w:t xml:space="preserve"> </w:t>
      </w:r>
      <w:r w:rsidRPr="00CE5A4A" w:rsidR="00C2593C">
        <w:t>(</w:t>
      </w:r>
      <w:r w:rsidR="00A346E7">
        <w:t>A</w:t>
      </w:r>
      <w:r w:rsidR="008836C6">
        <w:t>pril</w:t>
      </w:r>
      <w:r w:rsidR="00A346E7">
        <w:t xml:space="preserve"> 1</w:t>
      </w:r>
      <w:r w:rsidR="00DB7C24">
        <w:t>4</w:t>
      </w:r>
      <w:r w:rsidR="00465DE8">
        <w:t>, 20</w:t>
      </w:r>
      <w:r w:rsidR="008836C6">
        <w:t>20</w:t>
      </w:r>
      <w:r w:rsidRPr="00CE5A4A" w:rsidR="00C2593C">
        <w:t>)</w:t>
      </w:r>
      <w:r w:rsidR="007E43DB">
        <w:t xml:space="preserve"> </w:t>
      </w:r>
      <w:r w:rsidRPr="00CE5A4A">
        <w:t xml:space="preserve">(Petition).  </w:t>
      </w:r>
    </w:p>
  </w:footnote>
  <w:footnote w:id="3">
    <w:p w:rsidR="008836C6" w:rsidRPr="00654169" w:rsidP="008836C6" w14:paraId="629B0AD6" w14:textId="322D5EF2">
      <w:pPr>
        <w:pStyle w:val="FootnoteText"/>
      </w:pPr>
      <w:r w:rsidRPr="00654169">
        <w:rPr>
          <w:rStyle w:val="FootnoteReference"/>
        </w:rPr>
        <w:footnoteRef/>
      </w:r>
      <w:r w:rsidRPr="00654169">
        <w:t xml:space="preserve"> </w:t>
      </w:r>
      <w:r w:rsidRPr="00654169">
        <w:rPr>
          <w:i/>
        </w:rPr>
        <w:t xml:space="preserve">See </w:t>
      </w:r>
      <w:r w:rsidRPr="00654169">
        <w:t>47 CFR § 1.946(d)</w:t>
      </w:r>
      <w:r w:rsidR="00E8714F">
        <w:t>;</w:t>
      </w:r>
      <w:r w:rsidRPr="00CE5A4A" w:rsidR="00E8714F">
        <w:t xml:space="preserve"> </w:t>
      </w:r>
      <w:r w:rsidRPr="000376D8" w:rsidR="00E8714F">
        <w:t>Construction/Coverage Deadline</w:t>
      </w:r>
      <w:r w:rsidR="00FA41AB">
        <w:t xml:space="preserve"> Reminder Notice</w:t>
      </w:r>
      <w:r w:rsidRPr="000376D8" w:rsidR="00E8714F">
        <w:t>,</w:t>
      </w:r>
      <w:r w:rsidR="00FA41AB">
        <w:t xml:space="preserve"> </w:t>
      </w:r>
      <w:r w:rsidRPr="000376D8" w:rsidR="00E8714F">
        <w:t xml:space="preserve">Reference No. </w:t>
      </w:r>
      <w:r w:rsidR="00E8714F">
        <w:t>6</w:t>
      </w:r>
      <w:r w:rsidR="00FA41AB">
        <w:t>592097</w:t>
      </w:r>
      <w:r w:rsidRPr="000376D8" w:rsidR="00E8714F">
        <w:t xml:space="preserve"> (dated </w:t>
      </w:r>
      <w:r w:rsidR="00FA41AB">
        <w:t>Nov 26, 2019</w:t>
      </w:r>
      <w:r w:rsidR="00E8714F">
        <w:t>).</w:t>
      </w:r>
    </w:p>
  </w:footnote>
  <w:footnote w:id="4">
    <w:p w:rsidR="008836C6" w:rsidRPr="00654169" w:rsidP="008836C6" w14:paraId="70FBA1E2" w14:textId="77777777">
      <w:pPr>
        <w:pStyle w:val="FootnoteText"/>
      </w:pPr>
      <w:r w:rsidRPr="00654169">
        <w:rPr>
          <w:rStyle w:val="FootnoteReference"/>
        </w:rPr>
        <w:footnoteRef/>
      </w:r>
      <w:r w:rsidRPr="00654169">
        <w:t xml:space="preserve"> </w:t>
      </w:r>
      <w:r w:rsidRPr="00654169">
        <w:rPr>
          <w:i/>
        </w:rPr>
        <w:t xml:space="preserve">See </w:t>
      </w:r>
      <w:r w:rsidRPr="00654169">
        <w:t>47 CFR § 1.946(e).</w:t>
      </w:r>
    </w:p>
  </w:footnote>
  <w:footnote w:id="5">
    <w:p w:rsidR="00BE0155" w:rsidRPr="00CE5A4A" w:rsidP="00BE0155" w14:paraId="541963BA" w14:textId="43897E9E">
      <w:pPr>
        <w:pStyle w:val="FootnoteText"/>
      </w:pPr>
      <w:r w:rsidRPr="00CE5A4A">
        <w:rPr>
          <w:rStyle w:val="FootnoteReference"/>
        </w:rPr>
        <w:footnoteRef/>
      </w:r>
      <w:r w:rsidRPr="00CE5A4A">
        <w:t xml:space="preserve"> </w:t>
      </w:r>
      <w:bookmarkStart w:id="3" w:name="_Hlk57887172"/>
      <w:r w:rsidRPr="00CE5A4A">
        <w:rPr>
          <w:i/>
        </w:rPr>
        <w:t>See</w:t>
      </w:r>
      <w:r w:rsidRPr="00CE5A4A">
        <w:t xml:space="preserve"> </w:t>
      </w:r>
      <w:r w:rsidRPr="000376D8" w:rsidR="00DF690D">
        <w:t xml:space="preserve">Construction/Coverage Deadline, Notice of Termination Pending Status, Reference No. </w:t>
      </w:r>
      <w:r w:rsidR="008836C6">
        <w:t>6636359</w:t>
      </w:r>
      <w:r w:rsidRPr="000376D8" w:rsidR="00085A0A">
        <w:t xml:space="preserve"> (</w:t>
      </w:r>
      <w:r w:rsidRPr="000376D8" w:rsidR="009605FE">
        <w:t xml:space="preserve">dated </w:t>
      </w:r>
      <w:r w:rsidR="00A346E7">
        <w:t>A</w:t>
      </w:r>
      <w:r w:rsidR="008836C6">
        <w:t>pr</w:t>
      </w:r>
      <w:r w:rsidR="00A346E7">
        <w:t xml:space="preserve">. </w:t>
      </w:r>
      <w:r w:rsidR="008836C6">
        <w:t>1</w:t>
      </w:r>
      <w:r w:rsidR="000376D8">
        <w:t>, 20</w:t>
      </w:r>
      <w:r w:rsidR="008836C6">
        <w:t>20</w:t>
      </w:r>
      <w:r w:rsidR="000376D8">
        <w:t>).</w:t>
      </w:r>
      <w:bookmarkEnd w:id="3"/>
    </w:p>
  </w:footnote>
  <w:footnote w:id="6">
    <w:p w:rsidR="00BD76D6" w:rsidRPr="00944497" w:rsidP="00BD76D6" w14:paraId="6D13A671" w14:textId="5C70E76A">
      <w:pPr>
        <w:pStyle w:val="FootnoteText"/>
        <w:rPr>
          <w:i/>
        </w:rPr>
      </w:pPr>
      <w:r w:rsidRPr="00CE5A4A">
        <w:rPr>
          <w:rStyle w:val="FootnoteReference"/>
        </w:rPr>
        <w:footnoteRef/>
      </w:r>
      <w:r w:rsidRPr="00CE5A4A">
        <w:t xml:space="preserve"> </w:t>
      </w:r>
      <w:r w:rsidRPr="00CE5A4A">
        <w:rPr>
          <w:i/>
        </w:rPr>
        <w:t>See</w:t>
      </w:r>
      <w:r w:rsidRPr="00CE5A4A">
        <w:t xml:space="preserve"> Petition.</w:t>
      </w:r>
      <w:r w:rsidR="00944497">
        <w:t xml:space="preserve">  </w:t>
      </w:r>
      <w:r w:rsidRPr="00944497" w:rsidR="00944497">
        <w:t>Under the Commission’s auto-term process, if a licensee, by the end of the 30-day period for seeking reconsideration does not rebut the presumption that it did not timely meet its construction or coverage requirement, ULS will change the status of the license, location, or frequency to “Terminated,” effective on the date of the construction deadline.</w:t>
      </w:r>
      <w:r w:rsidR="00944497">
        <w:t xml:space="preserve">  </w:t>
      </w:r>
      <w:r w:rsidR="00944497">
        <w:rPr>
          <w:i/>
        </w:rPr>
        <w:t xml:space="preserve">See </w:t>
      </w:r>
      <w:r w:rsidRPr="00CE5A4A" w:rsidR="00944497">
        <w:rPr>
          <w:i/>
        </w:rPr>
        <w:t>Wireless Telecommunications Bureau Announces Deployment Of “Auto-Term,” the Automated Feature in its Universal Licensing System That Identifies Unconstructed Stations Resulting in Automatic Termination of Licenses</w:t>
      </w:r>
      <w:r w:rsidRPr="00CE5A4A" w:rsidR="00944497">
        <w:t>, Public Notice, 21 FCC Rcd 163 (WTB 2006).</w:t>
      </w:r>
      <w:r w:rsidR="00944497">
        <w:t xml:space="preserve">  </w:t>
      </w:r>
      <w:r w:rsidRPr="00944497" w:rsidR="00944497">
        <w:t xml:space="preserve">Given that ULS issued the Notices of Termination Pending Status on </w:t>
      </w:r>
      <w:r w:rsidR="008836C6">
        <w:t>April</w:t>
      </w:r>
      <w:r w:rsidR="00A346E7">
        <w:t xml:space="preserve"> </w:t>
      </w:r>
      <w:r w:rsidR="008836C6">
        <w:t>1, 2020</w:t>
      </w:r>
      <w:r w:rsidR="00944497">
        <w:t xml:space="preserve"> and </w:t>
      </w:r>
      <w:r w:rsidR="008836C6">
        <w:t>DOC</w:t>
      </w:r>
      <w:r w:rsidRPr="00944497" w:rsidR="00944497">
        <w:t xml:space="preserve"> filed its Petition on </w:t>
      </w:r>
      <w:r w:rsidR="00A346E7">
        <w:t>A</w:t>
      </w:r>
      <w:r w:rsidR="008836C6">
        <w:t>pril 14, 2020</w:t>
      </w:r>
      <w:r w:rsidR="00944497">
        <w:t>, its petition is timely</w:t>
      </w:r>
      <w:r w:rsidRPr="00944497" w:rsidR="00944497">
        <w:t xml:space="preserve">.  </w:t>
      </w:r>
    </w:p>
  </w:footnote>
  <w:footnote w:id="7">
    <w:p w:rsidR="00CB2F61" w14:paraId="05E3FBB6" w14:textId="3976FFFF">
      <w:pPr>
        <w:pStyle w:val="FootnoteText"/>
      </w:pPr>
      <w:r>
        <w:rPr>
          <w:rStyle w:val="FootnoteReference"/>
        </w:rPr>
        <w:footnoteRef/>
      </w:r>
      <w:r>
        <w:t xml:space="preserve"> </w:t>
      </w:r>
      <w:r w:rsidRPr="00CE5A4A" w:rsidR="002550D5">
        <w:rPr>
          <w:i/>
        </w:rPr>
        <w:t>Id</w:t>
      </w:r>
      <w:r w:rsidRPr="00CE5A4A" w:rsidR="002550D5">
        <w:t>.</w:t>
      </w:r>
    </w:p>
  </w:footnote>
  <w:footnote w:id="8">
    <w:p w:rsidR="00C1768D" w:rsidRPr="00CE5A4A" w:rsidP="00C1768D" w14:paraId="2C579C65" w14:textId="77777777">
      <w:pPr>
        <w:pStyle w:val="FootnoteText"/>
      </w:pPr>
      <w:r w:rsidRPr="00CE5A4A">
        <w:rPr>
          <w:rStyle w:val="FootnoteReference"/>
        </w:rPr>
        <w:footnoteRef/>
      </w:r>
      <w:r w:rsidRPr="00CE5A4A">
        <w:t xml:space="preserve"> 47 CFR § 1.106(c)(2).</w:t>
      </w:r>
    </w:p>
  </w:footnote>
  <w:footnote w:id="9">
    <w:p w:rsidR="00E33B57" w14:paraId="12D4B508" w14:textId="6285D253">
      <w:pPr>
        <w:pStyle w:val="FootnoteText"/>
      </w:pPr>
      <w:r w:rsidRPr="00E33B57">
        <w:rPr>
          <w:rStyle w:val="FootnoteReference"/>
          <w:color w:val="000000" w:themeColor="text1"/>
        </w:rPr>
        <w:footnoteRef/>
      </w:r>
      <w:r w:rsidR="00364DDD">
        <w:t xml:space="preserve"> </w:t>
      </w:r>
      <w:r w:rsidRPr="000713DC" w:rsidR="000713DC">
        <w:rPr>
          <w:i/>
          <w:iCs/>
        </w:rPr>
        <w:t>See</w:t>
      </w:r>
      <w:r w:rsidRPr="000713DC" w:rsidR="000713DC">
        <w:t xml:space="preserve"> the Commission’s waiver criteria in 47 CFR </w:t>
      </w:r>
      <w:r w:rsidRPr="00FD2745" w:rsidR="00364DDD">
        <w:t>§</w:t>
      </w:r>
      <w:r w:rsidRPr="000713DC" w:rsidR="000713DC">
        <w:t xml:space="preserve">1.925.  </w:t>
      </w:r>
      <w:r w:rsidRPr="000713DC" w:rsidR="000713DC">
        <w:rPr>
          <w:i/>
          <w:iCs/>
        </w:rPr>
        <w:t>See also WAIT Radio v. FCC</w:t>
      </w:r>
      <w:r w:rsidRPr="000713DC" w:rsidR="000713DC">
        <w:t xml:space="preserve">, 413 F.2d 1153, 1157 (D.C. Cir. 1969), </w:t>
      </w:r>
      <w:r w:rsidRPr="00364DDD" w:rsidR="000713DC">
        <w:rPr>
          <w:i/>
          <w:iCs/>
        </w:rPr>
        <w:t>aff'd</w:t>
      </w:r>
      <w:r w:rsidRPr="000713DC" w:rsidR="000713DC">
        <w:t xml:space="preserve">, 459 F.2d 1203 (1973), </w:t>
      </w:r>
      <w:r w:rsidRPr="000713DC" w:rsidR="000713DC">
        <w:rPr>
          <w:i/>
          <w:iCs/>
        </w:rPr>
        <w:t>cert. denied</w:t>
      </w:r>
      <w:r w:rsidRPr="000713DC" w:rsidR="000713DC">
        <w:t>, 409 U.S. 1027 (1972) (</w:t>
      </w:r>
      <w:r w:rsidRPr="000713DC" w:rsidR="000713DC">
        <w:rPr>
          <w:i/>
          <w:iCs/>
        </w:rPr>
        <w:t>citing</w:t>
      </w:r>
      <w:r w:rsidRPr="000713DC" w:rsidR="000713DC">
        <w:t xml:space="preserve"> </w:t>
      </w:r>
      <w:r w:rsidRPr="000713DC" w:rsidR="000713DC">
        <w:rPr>
          <w:i/>
          <w:iCs/>
        </w:rPr>
        <w:t>Rio Grande Family Radio Fellowship, Inc. v. FCC</w:t>
      </w:r>
      <w:r w:rsidRPr="000713DC" w:rsidR="000713DC">
        <w:t xml:space="preserve">, 406 F.2d 664 (D.C. Cir. 1968)); </w:t>
      </w:r>
      <w:r w:rsidRPr="000713DC" w:rsidR="000713DC">
        <w:rPr>
          <w:i/>
          <w:iCs/>
        </w:rPr>
        <w:t>Birach</w:t>
      </w:r>
      <w:r w:rsidRPr="000713DC" w:rsidR="000713DC">
        <w:rPr>
          <w:i/>
          <w:iCs/>
        </w:rPr>
        <w:t xml:space="preserve">  Broad. Corp</w:t>
      </w:r>
      <w:r w:rsidRPr="000713DC" w:rsidR="000713DC">
        <w:t>., Memorandum Opinion and Order, 18 FCC Rcd 1414, 1415 (2003)</w:t>
      </w:r>
      <w:r w:rsidR="000713DC">
        <w:t>.</w:t>
      </w:r>
    </w:p>
  </w:footnote>
  <w:footnote w:id="10">
    <w:p w:rsidR="00E33B57" w14:paraId="0A2D8505" w14:textId="75034C20">
      <w:pPr>
        <w:pStyle w:val="FootnoteText"/>
      </w:pPr>
      <w:r>
        <w:rPr>
          <w:rStyle w:val="FootnoteReference"/>
        </w:rPr>
        <w:footnoteRef/>
      </w:r>
      <w:r>
        <w:t xml:space="preserve"> 47 CFR </w:t>
      </w:r>
      <w:r w:rsidRPr="00FD2745">
        <w:t>§§</w:t>
      </w:r>
      <w:r>
        <w:t xml:space="preserve"> </w:t>
      </w:r>
      <w:r w:rsidRPr="00E33B57">
        <w:t>1.955</w:t>
      </w:r>
      <w:r>
        <w:t xml:space="preserve">, </w:t>
      </w:r>
      <w:r w:rsidRPr="00E33B57">
        <w:t>90.155</w:t>
      </w:r>
      <w:r w:rsidR="00364DDD">
        <w:t>.</w:t>
      </w:r>
    </w:p>
  </w:footnote>
  <w:footnote w:id="11">
    <w:p w:rsidR="008F0794" w:rsidP="008F0794" w14:paraId="688B5E55" w14:textId="77777777">
      <w:pPr>
        <w:pStyle w:val="FootnoteText"/>
      </w:pPr>
      <w:r w:rsidRPr="00CE5A4A">
        <w:rPr>
          <w:rStyle w:val="FootnoteReference"/>
        </w:rPr>
        <w:footnoteRef/>
      </w:r>
      <w:r w:rsidRPr="00CE5A4A">
        <w:t xml:space="preserve"> </w:t>
      </w:r>
      <w:r w:rsidRPr="00CE5A4A">
        <w:rPr>
          <w:i/>
        </w:rPr>
        <w:t>See</w:t>
      </w:r>
      <w:r w:rsidRPr="00CE5A4A">
        <w:t xml:space="preserve"> 47 CFR § 1.931.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18EB6A2" w14:textId="7503A401">
    <w:pPr>
      <w:pStyle w:val="Header"/>
      <w:rPr>
        <w:b w:val="0"/>
      </w:rPr>
    </w:pPr>
    <w:r>
      <w:tab/>
      <w:t>Federal Communications Commission</w:t>
    </w:r>
    <w:r>
      <w:tab/>
      <w:t xml:space="preserve">DA </w:t>
    </w:r>
    <w:r w:rsidR="0093646F">
      <w:t>2</w:t>
    </w:r>
    <w:r w:rsidR="00483983">
      <w:t>1</w:t>
    </w:r>
    <w:r>
      <w:t>-</w:t>
    </w:r>
    <w:r w:rsidR="00483983">
      <w:t>46</w:t>
    </w:r>
  </w:p>
  <w:p w:rsidR="00D25FB5" w14:paraId="2B01251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5F7CA3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1C0AE16" w14:textId="0595615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93646F">
      <w:rPr>
        <w:spacing w:val="-2"/>
      </w:rPr>
      <w:t>2</w:t>
    </w:r>
    <w:r w:rsidR="00167079">
      <w:rPr>
        <w:spacing w:val="-2"/>
      </w:rPr>
      <w:t>1</w:t>
    </w:r>
    <w:r>
      <w:rPr>
        <w:spacing w:val="-2"/>
      </w:rPr>
      <w:t>-</w:t>
    </w:r>
    <w:r w:rsidR="00483983">
      <w:rPr>
        <w:spacing w:val="-2"/>
      </w:rPr>
      <w:t>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5B285004"/>
    <w:multiLevelType w:val="hybridMultilevel"/>
    <w:tmpl w:val="EE70E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1182925"/>
    <w:multiLevelType w:val="singleLevel"/>
    <w:tmpl w:val="FA3A3462"/>
    <w:lvl w:ilvl="0">
      <w:start w:val="1"/>
      <w:numFmt w:val="decimal"/>
      <w:pStyle w:val="ParaNum"/>
      <w:lvlText w:val="%1."/>
      <w:lvlJc w:val="left"/>
      <w:pPr>
        <w:tabs>
          <w:tab w:val="num" w:pos="1080"/>
        </w:tabs>
        <w:ind w:left="0" w:firstLine="720"/>
      </w:pPr>
      <w:rPr>
        <w:b w:val="0"/>
      </w:rPr>
    </w:lvl>
  </w:abstractNum>
  <w:abstractNum w:abstractNumId="3">
    <w:nsid w:val="7BB809F3"/>
    <w:multiLevelType w:val="hybridMultilevel"/>
    <w:tmpl w:val="D646BE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B58"/>
    <w:rsid w:val="000006C7"/>
    <w:rsid w:val="00004AA9"/>
    <w:rsid w:val="000062FF"/>
    <w:rsid w:val="00015FAC"/>
    <w:rsid w:val="00016372"/>
    <w:rsid w:val="00017FE3"/>
    <w:rsid w:val="00023DF1"/>
    <w:rsid w:val="0002507A"/>
    <w:rsid w:val="00026913"/>
    <w:rsid w:val="00032266"/>
    <w:rsid w:val="00035411"/>
    <w:rsid w:val="000376D8"/>
    <w:rsid w:val="00037D5B"/>
    <w:rsid w:val="000431C6"/>
    <w:rsid w:val="0005031D"/>
    <w:rsid w:val="00054D75"/>
    <w:rsid w:val="000713DC"/>
    <w:rsid w:val="00071AD9"/>
    <w:rsid w:val="00071B5A"/>
    <w:rsid w:val="00073C5B"/>
    <w:rsid w:val="00085A0A"/>
    <w:rsid w:val="000D0117"/>
    <w:rsid w:val="000D2817"/>
    <w:rsid w:val="000D3DAC"/>
    <w:rsid w:val="000D41E4"/>
    <w:rsid w:val="000E2871"/>
    <w:rsid w:val="000E4BAC"/>
    <w:rsid w:val="000E7788"/>
    <w:rsid w:val="001066CE"/>
    <w:rsid w:val="00112EF4"/>
    <w:rsid w:val="0011455A"/>
    <w:rsid w:val="0012401D"/>
    <w:rsid w:val="00125E99"/>
    <w:rsid w:val="001310E3"/>
    <w:rsid w:val="00131C92"/>
    <w:rsid w:val="001352B3"/>
    <w:rsid w:val="001409C0"/>
    <w:rsid w:val="00144213"/>
    <w:rsid w:val="00145BEA"/>
    <w:rsid w:val="00147C41"/>
    <w:rsid w:val="001503E6"/>
    <w:rsid w:val="0015509B"/>
    <w:rsid w:val="00167079"/>
    <w:rsid w:val="00170486"/>
    <w:rsid w:val="00173F92"/>
    <w:rsid w:val="00174146"/>
    <w:rsid w:val="00177913"/>
    <w:rsid w:val="00187D46"/>
    <w:rsid w:val="001A0629"/>
    <w:rsid w:val="001A1A4C"/>
    <w:rsid w:val="001A226A"/>
    <w:rsid w:val="001A7BC7"/>
    <w:rsid w:val="001A7BC8"/>
    <w:rsid w:val="001B3996"/>
    <w:rsid w:val="001B3A00"/>
    <w:rsid w:val="001B4B42"/>
    <w:rsid w:val="001B7C18"/>
    <w:rsid w:val="001C0A01"/>
    <w:rsid w:val="001E0EB5"/>
    <w:rsid w:val="001E2FF5"/>
    <w:rsid w:val="001E356C"/>
    <w:rsid w:val="001F17C7"/>
    <w:rsid w:val="00202DAB"/>
    <w:rsid w:val="00230A13"/>
    <w:rsid w:val="002550D5"/>
    <w:rsid w:val="00261288"/>
    <w:rsid w:val="00263216"/>
    <w:rsid w:val="00265049"/>
    <w:rsid w:val="00274428"/>
    <w:rsid w:val="00282941"/>
    <w:rsid w:val="0029269D"/>
    <w:rsid w:val="00292AA0"/>
    <w:rsid w:val="002A0365"/>
    <w:rsid w:val="002A7EE6"/>
    <w:rsid w:val="002C00F8"/>
    <w:rsid w:val="002D05AF"/>
    <w:rsid w:val="002D19FD"/>
    <w:rsid w:val="002F420C"/>
    <w:rsid w:val="003146C7"/>
    <w:rsid w:val="00320C3F"/>
    <w:rsid w:val="00340649"/>
    <w:rsid w:val="0034505C"/>
    <w:rsid w:val="00355994"/>
    <w:rsid w:val="00360696"/>
    <w:rsid w:val="00364DDD"/>
    <w:rsid w:val="00365599"/>
    <w:rsid w:val="00365F77"/>
    <w:rsid w:val="00380376"/>
    <w:rsid w:val="003B1C49"/>
    <w:rsid w:val="003B4E3A"/>
    <w:rsid w:val="003B5825"/>
    <w:rsid w:val="003C5745"/>
    <w:rsid w:val="003D51A8"/>
    <w:rsid w:val="003E4412"/>
    <w:rsid w:val="003E79CD"/>
    <w:rsid w:val="003F0F8B"/>
    <w:rsid w:val="00410127"/>
    <w:rsid w:val="00412A75"/>
    <w:rsid w:val="004278FC"/>
    <w:rsid w:val="00432AD8"/>
    <w:rsid w:val="00444CFC"/>
    <w:rsid w:val="00451C3E"/>
    <w:rsid w:val="00455798"/>
    <w:rsid w:val="00465DE8"/>
    <w:rsid w:val="0046679D"/>
    <w:rsid w:val="00470875"/>
    <w:rsid w:val="004828C5"/>
    <w:rsid w:val="00483983"/>
    <w:rsid w:val="00487638"/>
    <w:rsid w:val="0048765C"/>
    <w:rsid w:val="00490025"/>
    <w:rsid w:val="00490471"/>
    <w:rsid w:val="00497596"/>
    <w:rsid w:val="00497C83"/>
    <w:rsid w:val="004A7412"/>
    <w:rsid w:val="004C04EF"/>
    <w:rsid w:val="004C0EB7"/>
    <w:rsid w:val="004C7BD5"/>
    <w:rsid w:val="004E1277"/>
    <w:rsid w:val="00500438"/>
    <w:rsid w:val="00504E7E"/>
    <w:rsid w:val="005267E3"/>
    <w:rsid w:val="005273E0"/>
    <w:rsid w:val="00536A6D"/>
    <w:rsid w:val="00541F93"/>
    <w:rsid w:val="00546C4E"/>
    <w:rsid w:val="00550982"/>
    <w:rsid w:val="005533E1"/>
    <w:rsid w:val="00555C6F"/>
    <w:rsid w:val="0055614C"/>
    <w:rsid w:val="00556527"/>
    <w:rsid w:val="00565E93"/>
    <w:rsid w:val="00583E4E"/>
    <w:rsid w:val="0059798F"/>
    <w:rsid w:val="005B3E3D"/>
    <w:rsid w:val="005B6304"/>
    <w:rsid w:val="005B63E9"/>
    <w:rsid w:val="005B7681"/>
    <w:rsid w:val="005C48E8"/>
    <w:rsid w:val="005C7258"/>
    <w:rsid w:val="005D1F42"/>
    <w:rsid w:val="00614220"/>
    <w:rsid w:val="006144F9"/>
    <w:rsid w:val="00620AAF"/>
    <w:rsid w:val="00622448"/>
    <w:rsid w:val="00630074"/>
    <w:rsid w:val="0064471E"/>
    <w:rsid w:val="00644A58"/>
    <w:rsid w:val="00654169"/>
    <w:rsid w:val="00655447"/>
    <w:rsid w:val="00664EF6"/>
    <w:rsid w:val="006717C4"/>
    <w:rsid w:val="0067724A"/>
    <w:rsid w:val="006A3FE8"/>
    <w:rsid w:val="006B4C65"/>
    <w:rsid w:val="006B76F2"/>
    <w:rsid w:val="006C7C20"/>
    <w:rsid w:val="006E6CAF"/>
    <w:rsid w:val="006E760B"/>
    <w:rsid w:val="006F5C6F"/>
    <w:rsid w:val="006F7E28"/>
    <w:rsid w:val="00701210"/>
    <w:rsid w:val="00703D9A"/>
    <w:rsid w:val="007060C1"/>
    <w:rsid w:val="007132A7"/>
    <w:rsid w:val="00721FCC"/>
    <w:rsid w:val="007267A6"/>
    <w:rsid w:val="00733B58"/>
    <w:rsid w:val="0073591F"/>
    <w:rsid w:val="007378F4"/>
    <w:rsid w:val="007424D3"/>
    <w:rsid w:val="00750C73"/>
    <w:rsid w:val="00750EE1"/>
    <w:rsid w:val="0075660E"/>
    <w:rsid w:val="007717E4"/>
    <w:rsid w:val="00773DEB"/>
    <w:rsid w:val="00777FBE"/>
    <w:rsid w:val="0078362C"/>
    <w:rsid w:val="00784FAF"/>
    <w:rsid w:val="00791CD9"/>
    <w:rsid w:val="00793D07"/>
    <w:rsid w:val="00796FA2"/>
    <w:rsid w:val="007A1E13"/>
    <w:rsid w:val="007B1D50"/>
    <w:rsid w:val="007B474F"/>
    <w:rsid w:val="007B4974"/>
    <w:rsid w:val="007C33B4"/>
    <w:rsid w:val="007C7110"/>
    <w:rsid w:val="007D5D41"/>
    <w:rsid w:val="007D7BC7"/>
    <w:rsid w:val="007E43DB"/>
    <w:rsid w:val="007F0B1B"/>
    <w:rsid w:val="007F495A"/>
    <w:rsid w:val="008030CC"/>
    <w:rsid w:val="00810B6F"/>
    <w:rsid w:val="0081363C"/>
    <w:rsid w:val="00826C1A"/>
    <w:rsid w:val="00832EE9"/>
    <w:rsid w:val="00834CDE"/>
    <w:rsid w:val="00843F7F"/>
    <w:rsid w:val="00844D73"/>
    <w:rsid w:val="0085760C"/>
    <w:rsid w:val="00863CF8"/>
    <w:rsid w:val="00880CB9"/>
    <w:rsid w:val="008819A3"/>
    <w:rsid w:val="008836C6"/>
    <w:rsid w:val="008971AC"/>
    <w:rsid w:val="008A11C2"/>
    <w:rsid w:val="008A12B2"/>
    <w:rsid w:val="008B4A1B"/>
    <w:rsid w:val="008B6AFD"/>
    <w:rsid w:val="008B6EEC"/>
    <w:rsid w:val="008B76A2"/>
    <w:rsid w:val="008C42E8"/>
    <w:rsid w:val="008C4A55"/>
    <w:rsid w:val="008C7BF3"/>
    <w:rsid w:val="008D3E8D"/>
    <w:rsid w:val="008E0E60"/>
    <w:rsid w:val="008E3F4B"/>
    <w:rsid w:val="008F0794"/>
    <w:rsid w:val="009000C3"/>
    <w:rsid w:val="009157FF"/>
    <w:rsid w:val="00917377"/>
    <w:rsid w:val="00927BBF"/>
    <w:rsid w:val="00931490"/>
    <w:rsid w:val="0093646F"/>
    <w:rsid w:val="00944314"/>
    <w:rsid w:val="00944497"/>
    <w:rsid w:val="00954CBB"/>
    <w:rsid w:val="009605FE"/>
    <w:rsid w:val="009607DA"/>
    <w:rsid w:val="00965011"/>
    <w:rsid w:val="0096560B"/>
    <w:rsid w:val="00970F8C"/>
    <w:rsid w:val="009A21BE"/>
    <w:rsid w:val="009A2D97"/>
    <w:rsid w:val="009A6689"/>
    <w:rsid w:val="009B3F39"/>
    <w:rsid w:val="009C365B"/>
    <w:rsid w:val="009D750B"/>
    <w:rsid w:val="009F7D09"/>
    <w:rsid w:val="00A00390"/>
    <w:rsid w:val="00A03FE4"/>
    <w:rsid w:val="00A1739D"/>
    <w:rsid w:val="00A17DB5"/>
    <w:rsid w:val="00A229D3"/>
    <w:rsid w:val="00A25A8B"/>
    <w:rsid w:val="00A26232"/>
    <w:rsid w:val="00A26BB0"/>
    <w:rsid w:val="00A26BBC"/>
    <w:rsid w:val="00A31557"/>
    <w:rsid w:val="00A32118"/>
    <w:rsid w:val="00A346E7"/>
    <w:rsid w:val="00A4697F"/>
    <w:rsid w:val="00A47EBD"/>
    <w:rsid w:val="00A6049E"/>
    <w:rsid w:val="00A804C7"/>
    <w:rsid w:val="00A930EE"/>
    <w:rsid w:val="00A93F40"/>
    <w:rsid w:val="00AA2147"/>
    <w:rsid w:val="00AA3D92"/>
    <w:rsid w:val="00AA5886"/>
    <w:rsid w:val="00AE23E5"/>
    <w:rsid w:val="00AE5F10"/>
    <w:rsid w:val="00AF46E1"/>
    <w:rsid w:val="00B00F5C"/>
    <w:rsid w:val="00B036F7"/>
    <w:rsid w:val="00B168B2"/>
    <w:rsid w:val="00B27870"/>
    <w:rsid w:val="00B332C9"/>
    <w:rsid w:val="00B37031"/>
    <w:rsid w:val="00B50D20"/>
    <w:rsid w:val="00B5154B"/>
    <w:rsid w:val="00B546A7"/>
    <w:rsid w:val="00B5649C"/>
    <w:rsid w:val="00B73266"/>
    <w:rsid w:val="00B754AC"/>
    <w:rsid w:val="00B764CA"/>
    <w:rsid w:val="00B83786"/>
    <w:rsid w:val="00B87212"/>
    <w:rsid w:val="00BA2F95"/>
    <w:rsid w:val="00BA498D"/>
    <w:rsid w:val="00BA65E4"/>
    <w:rsid w:val="00BA6FBF"/>
    <w:rsid w:val="00BC11A8"/>
    <w:rsid w:val="00BC2358"/>
    <w:rsid w:val="00BC4319"/>
    <w:rsid w:val="00BC4DA3"/>
    <w:rsid w:val="00BD4946"/>
    <w:rsid w:val="00BD4C8D"/>
    <w:rsid w:val="00BD683A"/>
    <w:rsid w:val="00BD76D6"/>
    <w:rsid w:val="00BE0155"/>
    <w:rsid w:val="00BE4E1E"/>
    <w:rsid w:val="00BF0F53"/>
    <w:rsid w:val="00BF2D35"/>
    <w:rsid w:val="00BF6AC2"/>
    <w:rsid w:val="00C15B9B"/>
    <w:rsid w:val="00C1654B"/>
    <w:rsid w:val="00C1768D"/>
    <w:rsid w:val="00C23EFD"/>
    <w:rsid w:val="00C2593C"/>
    <w:rsid w:val="00C32155"/>
    <w:rsid w:val="00C35349"/>
    <w:rsid w:val="00C458F6"/>
    <w:rsid w:val="00C537DC"/>
    <w:rsid w:val="00C7197B"/>
    <w:rsid w:val="00C84E79"/>
    <w:rsid w:val="00C8745D"/>
    <w:rsid w:val="00CA4DAD"/>
    <w:rsid w:val="00CB2235"/>
    <w:rsid w:val="00CB2F61"/>
    <w:rsid w:val="00CB50C8"/>
    <w:rsid w:val="00CB71D1"/>
    <w:rsid w:val="00CC02B3"/>
    <w:rsid w:val="00CD3B6A"/>
    <w:rsid w:val="00CE021F"/>
    <w:rsid w:val="00CE4BC6"/>
    <w:rsid w:val="00CE5A4A"/>
    <w:rsid w:val="00CF5DE7"/>
    <w:rsid w:val="00D05049"/>
    <w:rsid w:val="00D07FE4"/>
    <w:rsid w:val="00D113A8"/>
    <w:rsid w:val="00D25FB5"/>
    <w:rsid w:val="00D26E2C"/>
    <w:rsid w:val="00D366AD"/>
    <w:rsid w:val="00D5610F"/>
    <w:rsid w:val="00D60396"/>
    <w:rsid w:val="00D641D3"/>
    <w:rsid w:val="00D71F6E"/>
    <w:rsid w:val="00D74307"/>
    <w:rsid w:val="00D77805"/>
    <w:rsid w:val="00D82EB5"/>
    <w:rsid w:val="00D87938"/>
    <w:rsid w:val="00D97717"/>
    <w:rsid w:val="00DB1E16"/>
    <w:rsid w:val="00DB2B02"/>
    <w:rsid w:val="00DB7C24"/>
    <w:rsid w:val="00DC1E35"/>
    <w:rsid w:val="00DC66CE"/>
    <w:rsid w:val="00DD0CA8"/>
    <w:rsid w:val="00DD45A0"/>
    <w:rsid w:val="00DD4D5F"/>
    <w:rsid w:val="00DE7950"/>
    <w:rsid w:val="00DF690D"/>
    <w:rsid w:val="00E00835"/>
    <w:rsid w:val="00E0748A"/>
    <w:rsid w:val="00E1206B"/>
    <w:rsid w:val="00E31799"/>
    <w:rsid w:val="00E33B57"/>
    <w:rsid w:val="00E34018"/>
    <w:rsid w:val="00E400DA"/>
    <w:rsid w:val="00E415D5"/>
    <w:rsid w:val="00E42EE1"/>
    <w:rsid w:val="00E46441"/>
    <w:rsid w:val="00E57D24"/>
    <w:rsid w:val="00E62F7B"/>
    <w:rsid w:val="00E67683"/>
    <w:rsid w:val="00E735D1"/>
    <w:rsid w:val="00E81D9E"/>
    <w:rsid w:val="00E847C1"/>
    <w:rsid w:val="00E8714F"/>
    <w:rsid w:val="00E876A6"/>
    <w:rsid w:val="00E90AF0"/>
    <w:rsid w:val="00EA1A59"/>
    <w:rsid w:val="00EA54F8"/>
    <w:rsid w:val="00EB02AE"/>
    <w:rsid w:val="00EC014E"/>
    <w:rsid w:val="00EC4AFB"/>
    <w:rsid w:val="00ED2B03"/>
    <w:rsid w:val="00ED7FCC"/>
    <w:rsid w:val="00EE02AC"/>
    <w:rsid w:val="00EF7312"/>
    <w:rsid w:val="00F0676C"/>
    <w:rsid w:val="00F22511"/>
    <w:rsid w:val="00F30ED5"/>
    <w:rsid w:val="00F37126"/>
    <w:rsid w:val="00F40199"/>
    <w:rsid w:val="00F64CAF"/>
    <w:rsid w:val="00F82BE0"/>
    <w:rsid w:val="00F85056"/>
    <w:rsid w:val="00F872AB"/>
    <w:rsid w:val="00F93735"/>
    <w:rsid w:val="00F971E6"/>
    <w:rsid w:val="00FA0BA2"/>
    <w:rsid w:val="00FA41AB"/>
    <w:rsid w:val="00FA4D25"/>
    <w:rsid w:val="00FA6B51"/>
    <w:rsid w:val="00FB669E"/>
    <w:rsid w:val="00FC7821"/>
    <w:rsid w:val="00FD2745"/>
    <w:rsid w:val="00FE23A4"/>
    <w:rsid w:val="00FF1C64"/>
    <w:rsid w:val="00FF3475"/>
    <w:rsid w:val="4439A4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265A526-A3F8-4512-AA1D-C701653F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B58"/>
    <w:pPr>
      <w:spacing w:after="0" w:line="240" w:lineRule="auto"/>
    </w:pPr>
    <w:rPr>
      <w:rFonts w:ascii="Times New Roman" w:eastAsia="Times New Roman" w:hAnsi="Times New Roman" w:cs="Times New Roman"/>
      <w:szCs w:val="20"/>
    </w:rPr>
  </w:style>
  <w:style w:type="paragraph" w:styleId="Heading1">
    <w:name w:val="heading 1"/>
    <w:basedOn w:val="Normal"/>
    <w:next w:val="ParaNum"/>
    <w:link w:val="Heading1Char"/>
    <w:qFormat/>
    <w:rsid w:val="00733B5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33B58"/>
    <w:pPr>
      <w:keepNext/>
      <w:numPr>
        <w:ilvl w:val="1"/>
        <w:numId w:val="3"/>
      </w:numPr>
      <w:spacing w:after="120"/>
      <w:outlineLvl w:val="1"/>
    </w:pPr>
    <w:rPr>
      <w:b/>
    </w:rPr>
  </w:style>
  <w:style w:type="paragraph" w:styleId="Heading3">
    <w:name w:val="heading 3"/>
    <w:basedOn w:val="Normal"/>
    <w:next w:val="ParaNum"/>
    <w:link w:val="Heading3Char"/>
    <w:qFormat/>
    <w:rsid w:val="00733B5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733B5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733B5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733B5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733B5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733B5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33B5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B58"/>
    <w:rPr>
      <w:rFonts w:ascii="Times New Roman Bold" w:eastAsia="Times New Roman" w:hAnsi="Times New Roman Bold" w:cs="Times New Roman"/>
      <w:b/>
      <w:caps/>
      <w:szCs w:val="20"/>
    </w:rPr>
  </w:style>
  <w:style w:type="character" w:customStyle="1" w:styleId="Heading2Char">
    <w:name w:val="Heading 2 Char"/>
    <w:basedOn w:val="DefaultParagraphFont"/>
    <w:link w:val="Heading2"/>
    <w:rsid w:val="00733B58"/>
    <w:rPr>
      <w:rFonts w:ascii="Times New Roman" w:eastAsia="Times New Roman" w:hAnsi="Times New Roman" w:cs="Times New Roman"/>
      <w:b/>
      <w:szCs w:val="20"/>
    </w:rPr>
  </w:style>
  <w:style w:type="character" w:customStyle="1" w:styleId="Heading3Char">
    <w:name w:val="Heading 3 Char"/>
    <w:basedOn w:val="DefaultParagraphFont"/>
    <w:link w:val="Heading3"/>
    <w:rsid w:val="00733B58"/>
    <w:rPr>
      <w:rFonts w:ascii="Times New Roman" w:eastAsia="Times New Roman" w:hAnsi="Times New Roman" w:cs="Times New Roman"/>
      <w:b/>
      <w:szCs w:val="20"/>
    </w:rPr>
  </w:style>
  <w:style w:type="character" w:customStyle="1" w:styleId="Heading4Char">
    <w:name w:val="Heading 4 Char"/>
    <w:basedOn w:val="DefaultParagraphFont"/>
    <w:link w:val="Heading4"/>
    <w:rsid w:val="00733B58"/>
    <w:rPr>
      <w:rFonts w:ascii="Times New Roman" w:eastAsia="Times New Roman" w:hAnsi="Times New Roman" w:cs="Times New Roman"/>
      <w:b/>
      <w:szCs w:val="20"/>
    </w:rPr>
  </w:style>
  <w:style w:type="character" w:customStyle="1" w:styleId="Heading5Char">
    <w:name w:val="Heading 5 Char"/>
    <w:basedOn w:val="DefaultParagraphFont"/>
    <w:link w:val="Heading5"/>
    <w:rsid w:val="00733B58"/>
    <w:rPr>
      <w:rFonts w:ascii="Times New Roman" w:eastAsia="Times New Roman" w:hAnsi="Times New Roman" w:cs="Times New Roman"/>
      <w:b/>
      <w:szCs w:val="20"/>
    </w:rPr>
  </w:style>
  <w:style w:type="character" w:customStyle="1" w:styleId="Heading6Char">
    <w:name w:val="Heading 6 Char"/>
    <w:basedOn w:val="DefaultParagraphFont"/>
    <w:link w:val="Heading6"/>
    <w:rsid w:val="00733B58"/>
    <w:rPr>
      <w:rFonts w:ascii="Times New Roman" w:eastAsia="Times New Roman" w:hAnsi="Times New Roman" w:cs="Times New Roman"/>
      <w:b/>
      <w:szCs w:val="20"/>
    </w:rPr>
  </w:style>
  <w:style w:type="character" w:customStyle="1" w:styleId="Heading7Char">
    <w:name w:val="Heading 7 Char"/>
    <w:basedOn w:val="DefaultParagraphFont"/>
    <w:link w:val="Heading7"/>
    <w:rsid w:val="00733B58"/>
    <w:rPr>
      <w:rFonts w:ascii="Times New Roman" w:eastAsia="Times New Roman" w:hAnsi="Times New Roman" w:cs="Times New Roman"/>
      <w:b/>
      <w:szCs w:val="20"/>
    </w:rPr>
  </w:style>
  <w:style w:type="character" w:customStyle="1" w:styleId="Heading8Char">
    <w:name w:val="Heading 8 Char"/>
    <w:basedOn w:val="DefaultParagraphFont"/>
    <w:link w:val="Heading8"/>
    <w:rsid w:val="00733B58"/>
    <w:rPr>
      <w:rFonts w:ascii="Times New Roman" w:eastAsia="Times New Roman" w:hAnsi="Times New Roman" w:cs="Times New Roman"/>
      <w:b/>
      <w:szCs w:val="20"/>
    </w:rPr>
  </w:style>
  <w:style w:type="character" w:customStyle="1" w:styleId="Heading9Char">
    <w:name w:val="Heading 9 Char"/>
    <w:basedOn w:val="DefaultParagraphFont"/>
    <w:link w:val="Heading9"/>
    <w:rsid w:val="00733B58"/>
    <w:rPr>
      <w:rFonts w:ascii="Times New Roman" w:eastAsia="Times New Roman" w:hAnsi="Times New Roman" w:cs="Times New Roman"/>
      <w:b/>
      <w:szCs w:val="20"/>
    </w:rPr>
  </w:style>
  <w:style w:type="paragraph" w:customStyle="1" w:styleId="ParaNum">
    <w:name w:val="ParaNum"/>
    <w:basedOn w:val="Normal"/>
    <w:link w:val="ParaNumChar"/>
    <w:uiPriority w:val="99"/>
    <w:rsid w:val="00733B58"/>
    <w:pPr>
      <w:numPr>
        <w:numId w:val="2"/>
      </w:numPr>
      <w:tabs>
        <w:tab w:val="clear" w:pos="1080"/>
        <w:tab w:val="num" w:pos="1440"/>
      </w:tabs>
      <w:spacing w:after="120"/>
    </w:p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733B5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basedOn w:val="DefaultParagraphFont"/>
    <w:link w:val="FootnoteText"/>
    <w:rsid w:val="00733B58"/>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Style 124,Style 13,Style 3,fr,o"/>
    <w:rsid w:val="00733B58"/>
    <w:rPr>
      <w:rFonts w:ascii="Times New Roman" w:hAnsi="Times New Roman"/>
      <w:dstrike w:val="0"/>
      <w:color w:val="auto"/>
      <w:sz w:val="20"/>
      <w:vertAlign w:val="superscript"/>
    </w:rPr>
  </w:style>
  <w:style w:type="paragraph" w:styleId="TOAHeading">
    <w:name w:val="toa heading"/>
    <w:basedOn w:val="Normal"/>
    <w:next w:val="Normal"/>
    <w:semiHidden/>
    <w:rsid w:val="00733B58"/>
    <w:pPr>
      <w:tabs>
        <w:tab w:val="right" w:pos="9360"/>
      </w:tabs>
      <w:suppressAutoHyphens/>
    </w:pPr>
  </w:style>
  <w:style w:type="paragraph" w:styleId="Header">
    <w:name w:val="header"/>
    <w:basedOn w:val="Normal"/>
    <w:link w:val="HeaderChar"/>
    <w:autoRedefine/>
    <w:rsid w:val="00733B58"/>
    <w:pPr>
      <w:tabs>
        <w:tab w:val="center" w:pos="4680"/>
        <w:tab w:val="right" w:pos="9360"/>
      </w:tabs>
    </w:pPr>
    <w:rPr>
      <w:b/>
    </w:rPr>
  </w:style>
  <w:style w:type="character" w:customStyle="1" w:styleId="HeaderChar">
    <w:name w:val="Header Char"/>
    <w:basedOn w:val="DefaultParagraphFont"/>
    <w:link w:val="Header"/>
    <w:rsid w:val="00733B58"/>
    <w:rPr>
      <w:rFonts w:ascii="Times New Roman" w:eastAsia="Times New Roman" w:hAnsi="Times New Roman" w:cs="Times New Roman"/>
      <w:b/>
      <w:szCs w:val="20"/>
    </w:rPr>
  </w:style>
  <w:style w:type="paragraph" w:styleId="Footer">
    <w:name w:val="footer"/>
    <w:basedOn w:val="Normal"/>
    <w:link w:val="FooterChar"/>
    <w:rsid w:val="00733B58"/>
    <w:pPr>
      <w:tabs>
        <w:tab w:val="center" w:pos="4320"/>
        <w:tab w:val="right" w:pos="8640"/>
      </w:tabs>
    </w:pPr>
  </w:style>
  <w:style w:type="character" w:customStyle="1" w:styleId="FooterChar">
    <w:name w:val="Footer Char"/>
    <w:basedOn w:val="DefaultParagraphFont"/>
    <w:link w:val="Footer"/>
    <w:rsid w:val="00733B58"/>
    <w:rPr>
      <w:rFonts w:ascii="Times New Roman" w:eastAsia="Times New Roman" w:hAnsi="Times New Roman" w:cs="Times New Roman"/>
      <w:szCs w:val="20"/>
    </w:rPr>
  </w:style>
  <w:style w:type="paragraph" w:customStyle="1" w:styleId="StyleBoldCentered">
    <w:name w:val="Style Bold Centered"/>
    <w:basedOn w:val="Normal"/>
    <w:rsid w:val="00733B58"/>
    <w:pPr>
      <w:jc w:val="center"/>
    </w:pPr>
    <w:rPr>
      <w:rFonts w:ascii="Times New Roman Bold" w:hAnsi="Times New Roman Bold"/>
      <w:b/>
      <w:bCs/>
      <w:caps/>
      <w:szCs w:val="22"/>
    </w:rPr>
  </w:style>
  <w:style w:type="paragraph" w:styleId="BalloonText">
    <w:name w:val="Balloon Text"/>
    <w:basedOn w:val="Normal"/>
    <w:link w:val="BalloonTextChar"/>
    <w:uiPriority w:val="99"/>
    <w:semiHidden/>
    <w:unhideWhenUsed/>
    <w:rsid w:val="00451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C3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74307"/>
    <w:rPr>
      <w:sz w:val="16"/>
      <w:szCs w:val="16"/>
    </w:rPr>
  </w:style>
  <w:style w:type="paragraph" w:styleId="CommentText">
    <w:name w:val="annotation text"/>
    <w:basedOn w:val="Normal"/>
    <w:link w:val="CommentTextChar"/>
    <w:uiPriority w:val="99"/>
    <w:semiHidden/>
    <w:unhideWhenUsed/>
    <w:rsid w:val="00D74307"/>
    <w:rPr>
      <w:sz w:val="20"/>
    </w:rPr>
  </w:style>
  <w:style w:type="character" w:customStyle="1" w:styleId="CommentTextChar">
    <w:name w:val="Comment Text Char"/>
    <w:basedOn w:val="DefaultParagraphFont"/>
    <w:link w:val="CommentText"/>
    <w:uiPriority w:val="99"/>
    <w:semiHidden/>
    <w:rsid w:val="00D743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307"/>
    <w:rPr>
      <w:b/>
      <w:bCs/>
    </w:rPr>
  </w:style>
  <w:style w:type="character" w:customStyle="1" w:styleId="CommentSubjectChar">
    <w:name w:val="Comment Subject Char"/>
    <w:basedOn w:val="CommentTextChar"/>
    <w:link w:val="CommentSubject"/>
    <w:uiPriority w:val="99"/>
    <w:semiHidden/>
    <w:rsid w:val="00D74307"/>
    <w:rPr>
      <w:rFonts w:ascii="Times New Roman" w:eastAsia="Times New Roman" w:hAnsi="Times New Roman" w:cs="Times New Roman"/>
      <w:b/>
      <w:bCs/>
      <w:sz w:val="20"/>
      <w:szCs w:val="20"/>
    </w:rPr>
  </w:style>
  <w:style w:type="paragraph" w:styleId="ListParagraph">
    <w:name w:val="List Paragraph"/>
    <w:basedOn w:val="Normal"/>
    <w:uiPriority w:val="34"/>
    <w:qFormat/>
    <w:rsid w:val="004E1277"/>
    <w:pPr>
      <w:ind w:left="720"/>
      <w:contextualSpacing/>
    </w:pPr>
  </w:style>
  <w:style w:type="paragraph" w:styleId="Revision">
    <w:name w:val="Revision"/>
    <w:hidden/>
    <w:uiPriority w:val="99"/>
    <w:semiHidden/>
    <w:rsid w:val="001B4B42"/>
    <w:pPr>
      <w:spacing w:after="0" w:line="240" w:lineRule="auto"/>
    </w:pPr>
    <w:rPr>
      <w:rFonts w:ascii="Times New Roman" w:eastAsia="Times New Roman" w:hAnsi="Times New Roman" w:cs="Times New Roman"/>
      <w:szCs w:val="20"/>
    </w:rPr>
  </w:style>
  <w:style w:type="character" w:customStyle="1" w:styleId="ParaNumChar">
    <w:name w:val="ParaNum Char"/>
    <w:basedOn w:val="DefaultParagraphFont"/>
    <w:link w:val="ParaNum"/>
    <w:uiPriority w:val="99"/>
    <w:locked/>
    <w:rsid w:val="00BE0155"/>
    <w:rPr>
      <w:rFonts w:ascii="Times New Roman" w:eastAsia="Times New Roman" w:hAnsi="Times New Roman" w:cs="Times New Roman"/>
      <w:szCs w:val="20"/>
    </w:rPr>
  </w:style>
  <w:style w:type="character" w:styleId="Hyperlink">
    <w:name w:val="Hyperlink"/>
    <w:basedOn w:val="DefaultParagraphFont"/>
    <w:uiPriority w:val="99"/>
    <w:unhideWhenUsed/>
    <w:rsid w:val="0085760C"/>
    <w:rPr>
      <w:color w:val="0563C1" w:themeColor="hyperlink"/>
      <w:u w:val="single"/>
    </w:rPr>
  </w:style>
  <w:style w:type="character" w:customStyle="1" w:styleId="UnresolvedMention1">
    <w:name w:val="Unresolved Mention1"/>
    <w:basedOn w:val="DefaultParagraphFont"/>
    <w:uiPriority w:val="99"/>
    <w:semiHidden/>
    <w:unhideWhenUsed/>
    <w:rsid w:val="0085760C"/>
    <w:rPr>
      <w:color w:val="605E5C"/>
      <w:shd w:val="clear" w:color="auto" w:fill="E1DFDD"/>
    </w:rPr>
  </w:style>
  <w:style w:type="character" w:customStyle="1" w:styleId="UnresolvedMention2">
    <w:name w:val="Unresolved Mention2"/>
    <w:basedOn w:val="DefaultParagraphFont"/>
    <w:uiPriority w:val="99"/>
    <w:semiHidden/>
    <w:unhideWhenUsed/>
    <w:rsid w:val="008C4A55"/>
    <w:rPr>
      <w:color w:val="605E5C"/>
      <w:shd w:val="clear" w:color="auto" w:fill="E1DFDD"/>
    </w:rPr>
  </w:style>
  <w:style w:type="character" w:customStyle="1" w:styleId="UnresolvedMention">
    <w:name w:val="Unresolved Mention"/>
    <w:basedOn w:val="DefaultParagraphFont"/>
    <w:uiPriority w:val="99"/>
    <w:semiHidden/>
    <w:unhideWhenUsed/>
    <w:rsid w:val="00E33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