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9D5346" w:rsidRPr="009D5346" w:rsidP="009D5346" w14:paraId="0200DEB8" w14:textId="77777777">
      <w:pPr>
        <w:widowControl w:val="0"/>
        <w:jc w:val="right"/>
        <w:rPr>
          <w:snapToGrid w:val="0"/>
          <w:kern w:val="28"/>
          <w:sz w:val="24"/>
        </w:rPr>
      </w:pPr>
    </w:p>
    <w:p w:rsidR="009D5346" w:rsidRPr="009D5346" w:rsidP="009D5346" w14:paraId="766CF07A" w14:textId="655D91B8">
      <w:pPr>
        <w:widowControl w:val="0"/>
        <w:jc w:val="right"/>
        <w:rPr>
          <w:b/>
          <w:snapToGrid w:val="0"/>
          <w:kern w:val="28"/>
          <w:sz w:val="24"/>
        </w:rPr>
      </w:pPr>
      <w:r>
        <w:rPr>
          <w:b/>
          <w:snapToGrid w:val="0"/>
          <w:kern w:val="28"/>
          <w:sz w:val="24"/>
        </w:rPr>
        <w:t>DA 21-</w:t>
      </w:r>
      <w:r w:rsidR="00BA4E11">
        <w:rPr>
          <w:b/>
          <w:snapToGrid w:val="0"/>
          <w:kern w:val="28"/>
          <w:sz w:val="24"/>
        </w:rPr>
        <w:t>478</w:t>
      </w:r>
    </w:p>
    <w:p w:rsidR="009D5346" w:rsidRPr="009D5346" w:rsidP="009D5346" w14:paraId="4C526049" w14:textId="3E8D1FF3">
      <w:pPr>
        <w:widowControl w:val="0"/>
        <w:spacing w:before="60"/>
        <w:jc w:val="right"/>
        <w:rPr>
          <w:b/>
          <w:snapToGrid w:val="0"/>
          <w:kern w:val="28"/>
          <w:sz w:val="24"/>
        </w:rPr>
      </w:pPr>
      <w:r>
        <w:rPr>
          <w:b/>
          <w:snapToGrid w:val="0"/>
          <w:kern w:val="28"/>
          <w:sz w:val="24"/>
        </w:rPr>
        <w:t>April 26, 2021</w:t>
      </w:r>
    </w:p>
    <w:p w:rsidR="009D5346" w:rsidRPr="009D5346" w:rsidP="009D5346" w14:paraId="0F44AF4F" w14:textId="77777777">
      <w:pPr>
        <w:widowControl w:val="0"/>
        <w:jc w:val="right"/>
        <w:rPr>
          <w:snapToGrid w:val="0"/>
          <w:kern w:val="28"/>
          <w:sz w:val="24"/>
        </w:rPr>
      </w:pPr>
    </w:p>
    <w:p w:rsidR="009D5346" w:rsidRPr="009D5346" w:rsidP="009D5346" w14:paraId="5906148F" w14:textId="77777777">
      <w:pPr>
        <w:jc w:val="center"/>
        <w:rPr>
          <w:b/>
          <w:color w:val="000000"/>
          <w:szCs w:val="22"/>
        </w:rPr>
      </w:pPr>
      <w:r w:rsidRPr="009D5346">
        <w:rPr>
          <w:b/>
          <w:color w:val="000000"/>
          <w:szCs w:val="22"/>
        </w:rPr>
        <w:t xml:space="preserve">NOTICE OF DOMESTIC SECTION 214 AUTHORIZATION GRANTED </w:t>
      </w:r>
    </w:p>
    <w:p w:rsidR="009D5346" w:rsidRPr="009D5346" w:rsidP="009D5346" w14:paraId="594F87E4" w14:textId="77777777">
      <w:pPr>
        <w:jc w:val="right"/>
        <w:rPr>
          <w:b/>
          <w:color w:val="000000"/>
          <w:szCs w:val="22"/>
        </w:rPr>
      </w:pPr>
    </w:p>
    <w:p w:rsidR="009D5346" w:rsidRPr="009D5346" w:rsidP="009D5346" w14:paraId="5B1D1CC7" w14:textId="77777777">
      <w:pPr>
        <w:widowControl w:val="0"/>
        <w:jc w:val="center"/>
        <w:rPr>
          <w:b/>
          <w:szCs w:val="22"/>
        </w:rPr>
      </w:pPr>
      <w:r w:rsidRPr="009D5346">
        <w:rPr>
          <w:b/>
          <w:color w:val="000000"/>
          <w:szCs w:val="22"/>
        </w:rPr>
        <w:t xml:space="preserve">WC Docket No. </w:t>
      </w:r>
      <w:r w:rsidRPr="009D5346">
        <w:rPr>
          <w:b/>
          <w:szCs w:val="22"/>
        </w:rPr>
        <w:t>21-96</w:t>
      </w:r>
    </w:p>
    <w:p w:rsidR="009D5346" w:rsidRPr="009D5346" w:rsidP="009D5346" w14:paraId="06E5EE2A" w14:textId="77777777">
      <w:pPr>
        <w:widowControl w:val="0"/>
        <w:jc w:val="center"/>
        <w:rPr>
          <w:b/>
          <w:szCs w:val="22"/>
        </w:rPr>
      </w:pPr>
    </w:p>
    <w:p w:rsidR="009D5346" w:rsidRPr="009D5346" w:rsidP="009D5346" w14:paraId="3DEE7C01" w14:textId="77777777">
      <w:pPr>
        <w:ind w:firstLine="720"/>
        <w:rPr>
          <w:rFonts w:eastAsia="MS Mincho"/>
        </w:rPr>
      </w:pPr>
      <w:r w:rsidRPr="009D5346">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9D5346">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9D5346">
        <w:rPr>
          <w:rFonts w:eastAsia="MS Mincho"/>
          <w:color w:val="4F81BD"/>
        </w:rPr>
        <w:t xml:space="preserve">  </w:t>
      </w:r>
      <w:r w:rsidRPr="009D5346">
        <w:rPr>
          <w:rFonts w:eastAsia="MS Mincho"/>
        </w:rPr>
        <w:t>Should no petition for reconsideration, application for review, or petition for judicial review be timely filed, the proceeding listed in this Public Notice shall be terminated, and the docket will be closed.</w:t>
      </w:r>
    </w:p>
    <w:p w:rsidR="009D5346" w:rsidRPr="009D5346" w:rsidP="009D5346" w14:paraId="0117F56E" w14:textId="77777777">
      <w:pPr>
        <w:rPr>
          <w:rFonts w:eastAsia="MS Mincho"/>
        </w:rPr>
      </w:pPr>
    </w:p>
    <w:p w:rsidR="009D5346" w:rsidRPr="009D5346" w:rsidP="009D5346" w14:paraId="0F2F1FE1" w14:textId="77777777">
      <w:pPr>
        <w:ind w:left="720"/>
        <w:rPr>
          <w:szCs w:val="22"/>
        </w:rPr>
      </w:pPr>
      <w:r w:rsidRPr="009D5346">
        <w:rPr>
          <w:szCs w:val="22"/>
        </w:rPr>
        <w:t xml:space="preserve">Domestic Section 214 Application Filed for the Transfer of Control of </w:t>
      </w:r>
    </w:p>
    <w:p w:rsidR="009D5346" w:rsidRPr="009D5346" w:rsidP="009D5346" w14:paraId="1DE6C6F2" w14:textId="77777777">
      <w:pPr>
        <w:ind w:left="720"/>
        <w:rPr>
          <w:szCs w:val="22"/>
        </w:rPr>
      </w:pPr>
      <w:r w:rsidRPr="009D5346">
        <w:rPr>
          <w:szCs w:val="22"/>
        </w:rPr>
        <w:t xml:space="preserve">Alliance Global Networks, LLC to Velocity, A Managed Services Company, Inc.,  </w:t>
      </w:r>
    </w:p>
    <w:p w:rsidR="009D5346" w:rsidRPr="009D5346" w:rsidP="009D5346" w14:paraId="396AE67A" w14:textId="77777777">
      <w:pPr>
        <w:ind w:left="720"/>
        <w:rPr>
          <w:szCs w:val="22"/>
        </w:rPr>
      </w:pPr>
      <w:r w:rsidRPr="009D5346">
        <w:rPr>
          <w:szCs w:val="22"/>
        </w:rPr>
        <w:t>WC Docket No. 21-96, Public Notice, DA 21-350 (WCB 2021).</w:t>
      </w:r>
    </w:p>
    <w:p w:rsidR="009D5346" w:rsidRPr="009D5346" w:rsidP="009D5346" w14:paraId="5518AD20" w14:textId="77777777">
      <w:pPr>
        <w:rPr>
          <w:szCs w:val="22"/>
        </w:rPr>
      </w:pPr>
      <w:r w:rsidRPr="009D5346">
        <w:rPr>
          <w:szCs w:val="22"/>
        </w:rPr>
        <w:t xml:space="preserve"> </w:t>
      </w:r>
    </w:p>
    <w:p w:rsidR="009D5346" w:rsidRPr="009D5346" w:rsidP="009D5346" w14:paraId="2EB67BD8" w14:textId="77777777">
      <w:pPr>
        <w:widowControl w:val="0"/>
        <w:autoSpaceDE w:val="0"/>
        <w:autoSpaceDN w:val="0"/>
        <w:adjustRightInd w:val="0"/>
        <w:rPr>
          <w:bCs/>
          <w:szCs w:val="22"/>
        </w:rPr>
      </w:pPr>
      <w:r w:rsidRPr="009D5346">
        <w:rPr>
          <w:b/>
          <w:bCs/>
          <w:color w:val="000000"/>
          <w:szCs w:val="22"/>
          <w:lang w:eastAsia="ja-JP"/>
        </w:rPr>
        <w:t>Effective Grant Date: April 25, 2021</w:t>
      </w:r>
    </w:p>
    <w:p w:rsidR="009D5346" w:rsidRPr="009D5346" w:rsidP="009D5346" w14:paraId="29B9D16E" w14:textId="77777777">
      <w:pPr>
        <w:ind w:firstLine="720"/>
      </w:pPr>
    </w:p>
    <w:p w:rsidR="009D5346" w:rsidRPr="009D5346" w:rsidP="009D5346" w14:paraId="58A43922" w14:textId="77777777">
      <w:pPr>
        <w:ind w:firstLine="720"/>
      </w:pPr>
      <w:r w:rsidRPr="009D5346">
        <w:t>For further information, please contact Tracey Wilson at (202) 418-1394 or Gregory Kwan at (202) 418-1191, Competition Policy Division, Wireline Competition Bureau.</w:t>
      </w:r>
    </w:p>
    <w:p w:rsidR="009D5346" w:rsidRPr="009D5346" w:rsidP="009D5346" w14:paraId="2F30B4D4" w14:textId="77777777">
      <w:pPr>
        <w:widowControl w:val="0"/>
        <w:rPr>
          <w:b/>
          <w:snapToGrid w:val="0"/>
          <w:kern w:val="28"/>
          <w:sz w:val="24"/>
        </w:rPr>
      </w:pPr>
    </w:p>
    <w:p w:rsidR="009D5346" w:rsidRPr="009D5346" w:rsidP="009D5346" w14:paraId="7A95FCEF" w14:textId="77777777">
      <w:pPr>
        <w:widowControl w:val="0"/>
        <w:rPr>
          <w:bCs/>
          <w:snapToGrid w:val="0"/>
          <w:kern w:val="28"/>
          <w:sz w:val="24"/>
        </w:rPr>
      </w:pPr>
    </w:p>
    <w:p w:rsidR="00E7033D" w:rsidP="00376464" w14:paraId="35BCFE9A" w14:textId="77777777">
      <w:pPr>
        <w:jc w:val="right"/>
        <w:rPr>
          <w:color w:val="000000"/>
          <w:szCs w:val="22"/>
        </w:rPr>
      </w:pPr>
    </w:p>
    <w:sectPr w:rsidSect="009D5346">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4AA" w14:paraId="5BF454F9" w14:textId="77777777">
    <w:pPr>
      <w:pStyle w:val="Footer"/>
      <w:framePr w:wrap="around" w:vAnchor="text" w:hAnchor="margin" w:xAlign="center" w:y="1"/>
    </w:pPr>
    <w:r>
      <w:fldChar w:fldCharType="begin"/>
    </w:r>
    <w:r>
      <w:instrText>P</w:instrText>
    </w:r>
    <w:r>
      <w:instrText xml:space="preserve">AGE  </w:instrText>
    </w:r>
    <w:r>
      <w:fldChar w:fldCharType="separate"/>
    </w:r>
    <w:r>
      <w:fldChar w:fldCharType="end"/>
    </w:r>
  </w:p>
  <w:p w:rsidR="005214AA" w14:paraId="476CC5F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4AA" w14:paraId="4C7637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4AA" w14:paraId="2743CB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29D" w14:paraId="5668255B" w14:textId="77777777">
      <w:r>
        <w:separator/>
      </w:r>
    </w:p>
  </w:footnote>
  <w:footnote w:type="continuationSeparator" w:id="1">
    <w:p w:rsidR="0026129D" w14:paraId="383E02E0" w14:textId="77777777">
      <w:r>
        <w:continuationSeparator/>
      </w:r>
    </w:p>
  </w:footnote>
  <w:footnote w:type="continuationNotice" w:id="2">
    <w:p w:rsidR="0026129D" w14:paraId="4A45DFF3" w14:textId="77777777"/>
  </w:footnote>
  <w:footnote w:id="3">
    <w:p w:rsidR="009D5346" w:rsidRPr="009D5346" w:rsidP="009D5346" w14:paraId="67154772" w14:textId="77777777">
      <w:pPr>
        <w:pStyle w:val="FootnoteText"/>
        <w:rPr>
          <w:color w:val="000000"/>
          <w:sz w:val="20"/>
        </w:rPr>
      </w:pPr>
      <w:r w:rsidRPr="00CC1FB2">
        <w:rPr>
          <w:rStyle w:val="FootnoteReference"/>
          <w:color w:val="000000"/>
        </w:rPr>
        <w:footnoteRef/>
      </w:r>
      <w:r w:rsidRPr="00CC1FB2">
        <w:rPr>
          <w:color w:val="000000"/>
        </w:rPr>
        <w:t xml:space="preserve">  </w:t>
      </w:r>
      <w:r w:rsidRPr="009D5346">
        <w:rPr>
          <w:i/>
          <w:color w:val="000000"/>
          <w:sz w:val="20"/>
        </w:rPr>
        <w:t>Implementation of Further Streamlining Measures for Domestic Section 214 Authorizations</w:t>
      </w:r>
      <w:r w:rsidRPr="009D5346">
        <w:rPr>
          <w:iCs/>
          <w:color w:val="000000"/>
          <w:sz w:val="20"/>
        </w:rPr>
        <w:t>,</w:t>
      </w:r>
      <w:r w:rsidRPr="009D5346">
        <w:rPr>
          <w:color w:val="000000"/>
          <w:sz w:val="20"/>
        </w:rPr>
        <w:t xml:space="preserve"> </w:t>
      </w:r>
      <w:r w:rsidRPr="009D5346">
        <w:rPr>
          <w:iCs/>
          <w:color w:val="000000"/>
          <w:sz w:val="20"/>
        </w:rPr>
        <w:t xml:space="preserve">Report and Order, </w:t>
      </w:r>
      <w:r w:rsidRPr="009D5346">
        <w:rPr>
          <w:color w:val="000000"/>
          <w:sz w:val="20"/>
        </w:rPr>
        <w:t>17 FCC Rcd 5517, 5529, para. 22 (2002).  </w:t>
      </w:r>
      <w:r w:rsidRPr="009D5346">
        <w:rPr>
          <w:sz w:val="20"/>
        </w:rPr>
        <w:t xml:space="preserve">Alliance Global Networks, LLC and Velocity, A Managed Services Company, Inc. f/k/a Velocity The Greatest Phone Company Ever, Inc. (together, Applicants) seek approval for the transfer of control that occurred on January 1, 2020, when Alliance was transferred to Velocity without prior authorization from the Commission.  </w:t>
      </w:r>
      <w:r w:rsidRPr="009D5346">
        <w:rPr>
          <w:color w:val="000000"/>
          <w:sz w:val="20"/>
        </w:rPr>
        <w:t xml:space="preserve">On March 24, 2021, the Bureau granted Applicants’ request for special temporary authority for a period of 60 days to allow Velocity to provide uninterrupted service to customers during the pendency of this application.  Letter from Lance Steinhart, Counsel to Applicants, to Marlene H. Dortch, Secretary, FCC, WC Docket No. 21-96 (filed Mar. 22, 2021) (on file in WCB Docket No. 21-96).  </w:t>
      </w:r>
      <w:r w:rsidRPr="009D5346">
        <w:rPr>
          <w:color w:val="000000"/>
          <w:sz w:val="20"/>
          <w:shd w:val="clear" w:color="auto" w:fill="FFFFFF"/>
        </w:rPr>
        <w:t xml:space="preserve">A grant of the domestic section 214 application is </w:t>
      </w:r>
      <w:r w:rsidRPr="009D5346">
        <w:rPr>
          <w:color w:val="000000"/>
          <w:sz w:val="20"/>
          <w:bdr w:val="none" w:sz="0" w:space="0" w:color="auto" w:frame="1"/>
        </w:rPr>
        <w:t>without</w:t>
      </w:r>
      <w:r w:rsidRPr="009D5346">
        <w:rPr>
          <w:color w:val="000000"/>
          <w:sz w:val="20"/>
          <w:bdr w:val="none" w:sz="0" w:space="0" w:color="auto" w:frame="1"/>
          <w:shd w:val="clear" w:color="auto" w:fill="FFFFFF"/>
        </w:rPr>
        <w:t xml:space="preserve"> </w:t>
      </w:r>
      <w:r w:rsidRPr="009D5346">
        <w:rPr>
          <w:color w:val="000000"/>
          <w:sz w:val="20"/>
          <w:bdr w:val="none" w:sz="0" w:space="0" w:color="auto" w:frame="1"/>
        </w:rPr>
        <w:t>prejudice</w:t>
      </w:r>
      <w:r w:rsidRPr="009D5346">
        <w:rPr>
          <w:color w:val="000000"/>
          <w:sz w:val="20"/>
          <w:shd w:val="clear" w:color="auto" w:fill="FFFFFF"/>
        </w:rPr>
        <w:t xml:space="preserve"> to any </w:t>
      </w:r>
      <w:r w:rsidRPr="009D5346">
        <w:rPr>
          <w:color w:val="000000"/>
          <w:sz w:val="20"/>
          <w:bdr w:val="none" w:sz="0" w:space="0" w:color="auto" w:frame="1"/>
        </w:rPr>
        <w:t>enforcement</w:t>
      </w:r>
      <w:r w:rsidRPr="009D5346">
        <w:rPr>
          <w:color w:val="000000"/>
          <w:sz w:val="20"/>
          <w:shd w:val="clear" w:color="auto" w:fill="FFFFFF"/>
        </w:rPr>
        <w:t xml:space="preserve"> action by the Commission for non-compliance with the Act or the Commission's rules.</w:t>
      </w:r>
    </w:p>
  </w:footnote>
  <w:footnote w:id="4">
    <w:p w:rsidR="009D5346" w:rsidRPr="009D5346" w:rsidP="009D5346" w14:paraId="3662CC89" w14:textId="77777777">
      <w:pPr>
        <w:pStyle w:val="FootnoteText"/>
        <w:rPr>
          <w:sz w:val="20"/>
        </w:rPr>
      </w:pPr>
      <w:r w:rsidRPr="00CC1FB2">
        <w:rPr>
          <w:rStyle w:val="FootnoteReference"/>
          <w:color w:val="000000"/>
        </w:rPr>
        <w:footnoteRef/>
      </w:r>
      <w:r w:rsidRPr="00CC1FB2">
        <w:rPr>
          <w:color w:val="000000"/>
        </w:rPr>
        <w:t xml:space="preserve">  </w:t>
      </w:r>
      <w:r w:rsidRPr="009D5346">
        <w:rPr>
          <w:i/>
          <w:color w:val="000000"/>
          <w:sz w:val="20"/>
        </w:rPr>
        <w:t>Id.</w:t>
      </w:r>
      <w:r w:rsidRPr="009D5346">
        <w:rPr>
          <w:color w:val="000000"/>
          <w:sz w:val="20"/>
        </w:rPr>
        <w:t>;</w:t>
      </w:r>
      <w:r w:rsidRPr="009D5346">
        <w:rPr>
          <w:i/>
          <w:color w:val="000000"/>
          <w:sz w:val="20"/>
        </w:rPr>
        <w:t xml:space="preserve"> see</w:t>
      </w:r>
      <w:r w:rsidRPr="009D5346">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4AA" w14:paraId="3BED1858"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5214AA" w14:paraId="11CBCACD" w14:textId="77777777">
    <w:pPr>
      <w:tabs>
        <w:tab w:val="left" w:pos="-720"/>
      </w:tabs>
      <w:suppressAutoHyphens/>
      <w:spacing w:line="19" w:lineRule="exact"/>
      <w:rPr>
        <w:spacing w:val="-2"/>
      </w:rPr>
    </w:pPr>
    <w:r>
      <w:rPr>
        <w:noProof/>
        <w:snapToGrid w:val="0"/>
      </w:rPr>
      <w:pict>
        <v:rect id="Rectangle 15" o:spid="_x0000_s2053" style="width:468pt;height:0.95pt;margin-top:0;margin-left:0;mso-position-horizontal-relative:margin;position:absolute;visibility:visible;z-index:-251654144" o:allowincell="f" fillcolor="black" stroked="f" strokeweight="0.05pt">
          <w10:wrap anchorx="margin"/>
        </v:rect>
      </w:pict>
    </w:r>
  </w:p>
  <w:p w:rsidR="005214AA" w14:paraId="522FE45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4AA" w14:paraId="68390758" w14:textId="77777777">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4" type="#_x0000_t75" style="width:517.5pt;height:111pt;visibility:visible">
          <v:imagedata r:id="rId1" o:title=""/>
        </v:shape>
      </w:pict>
    </w:r>
  </w:p>
  <w:p w:rsidR="005214AA" w14:paraId="6EDBB7D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021F4"/>
    <w:rsid w:val="0001135F"/>
    <w:rsid w:val="000113A2"/>
    <w:rsid w:val="0001280D"/>
    <w:rsid w:val="00017A3A"/>
    <w:rsid w:val="00040610"/>
    <w:rsid w:val="00041C01"/>
    <w:rsid w:val="000534AC"/>
    <w:rsid w:val="00066D12"/>
    <w:rsid w:val="00070D65"/>
    <w:rsid w:val="000735C8"/>
    <w:rsid w:val="0008381D"/>
    <w:rsid w:val="00087205"/>
    <w:rsid w:val="000B4EDD"/>
    <w:rsid w:val="000E1082"/>
    <w:rsid w:val="000F02F7"/>
    <w:rsid w:val="00101D0B"/>
    <w:rsid w:val="0013405D"/>
    <w:rsid w:val="00141388"/>
    <w:rsid w:val="0015217F"/>
    <w:rsid w:val="001A3813"/>
    <w:rsid w:val="001A3B17"/>
    <w:rsid w:val="001B33FB"/>
    <w:rsid w:val="001B69F9"/>
    <w:rsid w:val="001C4E34"/>
    <w:rsid w:val="001F1E04"/>
    <w:rsid w:val="001F6762"/>
    <w:rsid w:val="0022449B"/>
    <w:rsid w:val="00253247"/>
    <w:rsid w:val="0026129D"/>
    <w:rsid w:val="00262E65"/>
    <w:rsid w:val="00285612"/>
    <w:rsid w:val="002B16FA"/>
    <w:rsid w:val="002C203E"/>
    <w:rsid w:val="002C22F3"/>
    <w:rsid w:val="002C27F4"/>
    <w:rsid w:val="002C47F7"/>
    <w:rsid w:val="002D09E2"/>
    <w:rsid w:val="002D136F"/>
    <w:rsid w:val="002D5651"/>
    <w:rsid w:val="002D6F61"/>
    <w:rsid w:val="002F6E56"/>
    <w:rsid w:val="0030157A"/>
    <w:rsid w:val="0030742E"/>
    <w:rsid w:val="00353CB5"/>
    <w:rsid w:val="00365194"/>
    <w:rsid w:val="00376464"/>
    <w:rsid w:val="00380A9F"/>
    <w:rsid w:val="003855A0"/>
    <w:rsid w:val="003921C1"/>
    <w:rsid w:val="003945C4"/>
    <w:rsid w:val="00395A7A"/>
    <w:rsid w:val="003A18A0"/>
    <w:rsid w:val="003A443A"/>
    <w:rsid w:val="003B5CEE"/>
    <w:rsid w:val="003F0ECD"/>
    <w:rsid w:val="004077D0"/>
    <w:rsid w:val="00412DA6"/>
    <w:rsid w:val="004138D9"/>
    <w:rsid w:val="004175D7"/>
    <w:rsid w:val="004331D7"/>
    <w:rsid w:val="00433D8C"/>
    <w:rsid w:val="00434C96"/>
    <w:rsid w:val="00460914"/>
    <w:rsid w:val="004609A4"/>
    <w:rsid w:val="00464E8A"/>
    <w:rsid w:val="004808FC"/>
    <w:rsid w:val="00482EB0"/>
    <w:rsid w:val="004913FF"/>
    <w:rsid w:val="004951AE"/>
    <w:rsid w:val="004A554E"/>
    <w:rsid w:val="004C5C4F"/>
    <w:rsid w:val="004C712F"/>
    <w:rsid w:val="004F3603"/>
    <w:rsid w:val="004F6F64"/>
    <w:rsid w:val="00511202"/>
    <w:rsid w:val="005214AA"/>
    <w:rsid w:val="0052334B"/>
    <w:rsid w:val="005243E7"/>
    <w:rsid w:val="005320B5"/>
    <w:rsid w:val="0056058F"/>
    <w:rsid w:val="005932BA"/>
    <w:rsid w:val="005A13D0"/>
    <w:rsid w:val="005A64A7"/>
    <w:rsid w:val="005C403A"/>
    <w:rsid w:val="005D5FD1"/>
    <w:rsid w:val="005D7355"/>
    <w:rsid w:val="0060105E"/>
    <w:rsid w:val="0060106A"/>
    <w:rsid w:val="00604A3C"/>
    <w:rsid w:val="00604CFF"/>
    <w:rsid w:val="0061137C"/>
    <w:rsid w:val="00616221"/>
    <w:rsid w:val="006768CC"/>
    <w:rsid w:val="00691832"/>
    <w:rsid w:val="006A4127"/>
    <w:rsid w:val="006B5C06"/>
    <w:rsid w:val="006B6893"/>
    <w:rsid w:val="006C32C8"/>
    <w:rsid w:val="006C591C"/>
    <w:rsid w:val="006E155C"/>
    <w:rsid w:val="006E3E11"/>
    <w:rsid w:val="006E61ED"/>
    <w:rsid w:val="006E7452"/>
    <w:rsid w:val="006F4D60"/>
    <w:rsid w:val="00706D49"/>
    <w:rsid w:val="0071041E"/>
    <w:rsid w:val="00724722"/>
    <w:rsid w:val="00731E92"/>
    <w:rsid w:val="00733B9B"/>
    <w:rsid w:val="007569C5"/>
    <w:rsid w:val="00760269"/>
    <w:rsid w:val="00762360"/>
    <w:rsid w:val="00780F55"/>
    <w:rsid w:val="007942ED"/>
    <w:rsid w:val="007B2C2E"/>
    <w:rsid w:val="007B47A9"/>
    <w:rsid w:val="007C263F"/>
    <w:rsid w:val="007C30DA"/>
    <w:rsid w:val="007E5753"/>
    <w:rsid w:val="007E5FC3"/>
    <w:rsid w:val="008042EC"/>
    <w:rsid w:val="00811ECF"/>
    <w:rsid w:val="00813C6D"/>
    <w:rsid w:val="00821491"/>
    <w:rsid w:val="00824765"/>
    <w:rsid w:val="0083340A"/>
    <w:rsid w:val="0084778A"/>
    <w:rsid w:val="00853114"/>
    <w:rsid w:val="0085579D"/>
    <w:rsid w:val="00862B38"/>
    <w:rsid w:val="00864397"/>
    <w:rsid w:val="0086691C"/>
    <w:rsid w:val="008675C7"/>
    <w:rsid w:val="0087554B"/>
    <w:rsid w:val="00877D35"/>
    <w:rsid w:val="00881DC6"/>
    <w:rsid w:val="008850E4"/>
    <w:rsid w:val="00895C4A"/>
    <w:rsid w:val="008C294A"/>
    <w:rsid w:val="008D2804"/>
    <w:rsid w:val="008E27B4"/>
    <w:rsid w:val="008F6981"/>
    <w:rsid w:val="00903154"/>
    <w:rsid w:val="00903DE0"/>
    <w:rsid w:val="009075DA"/>
    <w:rsid w:val="009101A4"/>
    <w:rsid w:val="00950639"/>
    <w:rsid w:val="00967409"/>
    <w:rsid w:val="009779A2"/>
    <w:rsid w:val="0098015F"/>
    <w:rsid w:val="00992D8E"/>
    <w:rsid w:val="009A0D7F"/>
    <w:rsid w:val="009A124E"/>
    <w:rsid w:val="009A2284"/>
    <w:rsid w:val="009B0128"/>
    <w:rsid w:val="009B6797"/>
    <w:rsid w:val="009C3EC2"/>
    <w:rsid w:val="009D5346"/>
    <w:rsid w:val="009E6916"/>
    <w:rsid w:val="00A11865"/>
    <w:rsid w:val="00A15248"/>
    <w:rsid w:val="00A2021A"/>
    <w:rsid w:val="00A233A3"/>
    <w:rsid w:val="00A25C41"/>
    <w:rsid w:val="00A26ADD"/>
    <w:rsid w:val="00A34A3D"/>
    <w:rsid w:val="00A47815"/>
    <w:rsid w:val="00A55F2F"/>
    <w:rsid w:val="00A569E4"/>
    <w:rsid w:val="00A61D2B"/>
    <w:rsid w:val="00A64040"/>
    <w:rsid w:val="00A66122"/>
    <w:rsid w:val="00A9279F"/>
    <w:rsid w:val="00A92C9E"/>
    <w:rsid w:val="00AB7DD7"/>
    <w:rsid w:val="00AC4928"/>
    <w:rsid w:val="00AD0360"/>
    <w:rsid w:val="00AE4EB4"/>
    <w:rsid w:val="00B00CBF"/>
    <w:rsid w:val="00B02CE4"/>
    <w:rsid w:val="00B335D6"/>
    <w:rsid w:val="00B55A93"/>
    <w:rsid w:val="00B73AED"/>
    <w:rsid w:val="00B908C9"/>
    <w:rsid w:val="00B958E7"/>
    <w:rsid w:val="00BA4E11"/>
    <w:rsid w:val="00BB417E"/>
    <w:rsid w:val="00BC7555"/>
    <w:rsid w:val="00BE67F0"/>
    <w:rsid w:val="00BF0B00"/>
    <w:rsid w:val="00C117C2"/>
    <w:rsid w:val="00C612FD"/>
    <w:rsid w:val="00C749BC"/>
    <w:rsid w:val="00C75DF3"/>
    <w:rsid w:val="00C82D34"/>
    <w:rsid w:val="00C9350A"/>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E3E77"/>
    <w:rsid w:val="00DF1AD9"/>
    <w:rsid w:val="00E21C64"/>
    <w:rsid w:val="00E34444"/>
    <w:rsid w:val="00E54722"/>
    <w:rsid w:val="00E55A96"/>
    <w:rsid w:val="00E7033D"/>
    <w:rsid w:val="00E714D1"/>
    <w:rsid w:val="00E90A56"/>
    <w:rsid w:val="00EA268B"/>
    <w:rsid w:val="00EB2E3F"/>
    <w:rsid w:val="00EC0FDA"/>
    <w:rsid w:val="00EC3BF9"/>
    <w:rsid w:val="00EC3CCE"/>
    <w:rsid w:val="00ED3837"/>
    <w:rsid w:val="00ED40B2"/>
    <w:rsid w:val="00EE37C8"/>
    <w:rsid w:val="00F04273"/>
    <w:rsid w:val="00F05755"/>
    <w:rsid w:val="00F107E6"/>
    <w:rsid w:val="00F21B45"/>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EEAD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