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0E5884" w:rsidP="00C82B6B" w14:paraId="53EE9443" w14:textId="77777777">
      <w:pPr>
        <w:jc w:val="right"/>
        <w:rPr>
          <w:sz w:val="24"/>
        </w:rPr>
      </w:pPr>
    </w:p>
    <w:p w:rsidR="004E2696" w:rsidP="00013A8B" w14:paraId="02BAAAF5" w14:textId="19ED2335">
      <w:pPr>
        <w:jc w:val="right"/>
        <w:rPr>
          <w:b/>
          <w:sz w:val="24"/>
        </w:rPr>
      </w:pPr>
      <w:r>
        <w:rPr>
          <w:b/>
          <w:sz w:val="24"/>
        </w:rPr>
        <w:t>DA 2</w:t>
      </w:r>
      <w:r w:rsidR="00523BA1">
        <w:rPr>
          <w:b/>
          <w:sz w:val="24"/>
        </w:rPr>
        <w:t>1</w:t>
      </w:r>
      <w:r>
        <w:rPr>
          <w:b/>
          <w:sz w:val="24"/>
        </w:rPr>
        <w:t>-</w:t>
      </w:r>
      <w:r w:rsidR="00A64926">
        <w:rPr>
          <w:b/>
          <w:sz w:val="24"/>
        </w:rPr>
        <w:t>482</w:t>
      </w:r>
    </w:p>
    <w:p w:rsidR="00013A8B" w:rsidRPr="00B20363" w:rsidP="00013A8B" w14:paraId="4E3D1999" w14:textId="0F71EACE">
      <w:pPr>
        <w:spacing w:before="60"/>
        <w:jc w:val="right"/>
        <w:rPr>
          <w:b/>
          <w:sz w:val="24"/>
        </w:rPr>
      </w:pPr>
      <w:r>
        <w:rPr>
          <w:b/>
          <w:sz w:val="24"/>
        </w:rPr>
        <w:t xml:space="preserve">Released:  </w:t>
      </w:r>
      <w:r w:rsidR="00BA7EAE">
        <w:rPr>
          <w:b/>
          <w:sz w:val="24"/>
        </w:rPr>
        <w:t>April</w:t>
      </w:r>
      <w:r w:rsidR="00523BA1">
        <w:rPr>
          <w:b/>
          <w:sz w:val="24"/>
        </w:rPr>
        <w:t xml:space="preserve"> </w:t>
      </w:r>
      <w:r w:rsidR="00A64926">
        <w:rPr>
          <w:b/>
          <w:sz w:val="24"/>
        </w:rPr>
        <w:t>26</w:t>
      </w:r>
      <w:r w:rsidR="000A2830">
        <w:rPr>
          <w:b/>
          <w:sz w:val="24"/>
        </w:rPr>
        <w:t>, 202</w:t>
      </w:r>
      <w:r w:rsidR="007136E5">
        <w:rPr>
          <w:b/>
          <w:sz w:val="24"/>
        </w:rPr>
        <w:t>1</w:t>
      </w:r>
    </w:p>
    <w:p w:rsidR="00013A8B" w:rsidP="00013A8B" w14:paraId="190BDCF3" w14:textId="77777777">
      <w:pPr>
        <w:jc w:val="right"/>
        <w:rPr>
          <w:sz w:val="24"/>
        </w:rPr>
      </w:pPr>
    </w:p>
    <w:p w:rsidR="00EF73D4" w:rsidP="00EF73D4" w14:paraId="2B93632A" w14:textId="4C6D8E20">
      <w:pPr>
        <w:jc w:val="center"/>
        <w:rPr>
          <w:b/>
          <w:sz w:val="24"/>
        </w:rPr>
      </w:pPr>
      <w:r>
        <w:rPr>
          <w:b/>
          <w:sz w:val="24"/>
        </w:rPr>
        <w:t xml:space="preserve">THE OFFICE OF ENGINEERING &amp; TECHNOLOGY </w:t>
      </w:r>
      <w:r w:rsidR="00BA7EAE">
        <w:rPr>
          <w:b/>
          <w:sz w:val="24"/>
        </w:rPr>
        <w:t>AND</w:t>
      </w:r>
    </w:p>
    <w:p w:rsidR="00EF73D4" w:rsidP="00EF73D4" w14:paraId="3742D5F7" w14:textId="3542AB78">
      <w:pPr>
        <w:jc w:val="center"/>
        <w:rPr>
          <w:rFonts w:ascii="Times New Roman Bold" w:hAnsi="Times New Roman Bold"/>
          <w:b/>
          <w:caps/>
          <w:sz w:val="24"/>
        </w:rPr>
      </w:pPr>
      <w:r>
        <w:rPr>
          <w:b/>
          <w:sz w:val="24"/>
        </w:rPr>
        <w:t xml:space="preserve">THE </w:t>
      </w:r>
      <w:r w:rsidR="00BA7EAE">
        <w:rPr>
          <w:b/>
          <w:sz w:val="24"/>
        </w:rPr>
        <w:t>WIRELESS TELECOMMUNIC</w:t>
      </w:r>
      <w:r>
        <w:rPr>
          <w:b/>
          <w:sz w:val="24"/>
        </w:rPr>
        <w:t>A</w:t>
      </w:r>
      <w:r w:rsidR="00BA7EAE">
        <w:rPr>
          <w:b/>
          <w:sz w:val="24"/>
        </w:rPr>
        <w:t xml:space="preserve">TIONS BUREAU </w:t>
      </w:r>
      <w:r w:rsidRPr="008D4D54" w:rsidR="00641F92">
        <w:rPr>
          <w:rFonts w:ascii="Times New Roman Bold" w:hAnsi="Times New Roman Bold"/>
          <w:b/>
          <w:caps/>
          <w:sz w:val="24"/>
        </w:rPr>
        <w:t>Seek</w:t>
      </w:r>
    </w:p>
    <w:p w:rsidR="0090770A" w:rsidP="0090770A" w14:paraId="77282300" w14:textId="2644267C">
      <w:pPr>
        <w:spacing w:after="240"/>
        <w:jc w:val="center"/>
        <w:rPr>
          <w:b/>
          <w:sz w:val="24"/>
        </w:rPr>
      </w:pPr>
      <w:r>
        <w:rPr>
          <w:rFonts w:ascii="Times New Roman Bold" w:hAnsi="Times New Roman Bold"/>
          <w:b/>
          <w:caps/>
          <w:sz w:val="24"/>
        </w:rPr>
        <w:t xml:space="preserve">COMMENT ON EMISSION LIMITS FOR </w:t>
      </w:r>
      <w:r w:rsidR="00EF73D4">
        <w:rPr>
          <w:rFonts w:ascii="Times New Roman Bold" w:hAnsi="Times New Roman Bold"/>
          <w:b/>
          <w:caps/>
          <w:sz w:val="24"/>
        </w:rPr>
        <w:t>the 24.25-27</w:t>
      </w:r>
      <w:r w:rsidR="00F63519">
        <w:rPr>
          <w:rFonts w:ascii="Times New Roman Bold" w:hAnsi="Times New Roman Bold"/>
          <w:b/>
          <w:caps/>
          <w:sz w:val="24"/>
        </w:rPr>
        <w:t>.5</w:t>
      </w:r>
      <w:r w:rsidR="00EF73D4">
        <w:rPr>
          <w:rFonts w:ascii="Times New Roman Bold" w:hAnsi="Times New Roman Bold"/>
          <w:b/>
          <w:caps/>
          <w:sz w:val="24"/>
        </w:rPr>
        <w:t xml:space="preserve"> GHz Band</w:t>
      </w:r>
    </w:p>
    <w:p w:rsidR="0090770A" w:rsidP="0090770A" w14:paraId="59D3B733" w14:textId="7285BDDA">
      <w:pPr>
        <w:jc w:val="center"/>
        <w:rPr>
          <w:b/>
          <w:szCs w:val="22"/>
        </w:rPr>
      </w:pPr>
    </w:p>
    <w:p w:rsidR="00CE391B" w:rsidP="0090770A" w14:paraId="0FD15BD2" w14:textId="7217CCAC">
      <w:pPr>
        <w:jc w:val="center"/>
        <w:rPr>
          <w:b/>
          <w:szCs w:val="22"/>
        </w:rPr>
      </w:pPr>
      <w:r>
        <w:rPr>
          <w:b/>
          <w:szCs w:val="22"/>
        </w:rPr>
        <w:t>ET Docket No. 21-</w:t>
      </w:r>
      <w:r w:rsidR="004E5E87">
        <w:rPr>
          <w:b/>
          <w:szCs w:val="22"/>
        </w:rPr>
        <w:t>186</w:t>
      </w:r>
      <w:r w:rsidR="001C427E">
        <w:rPr>
          <w:b/>
          <w:szCs w:val="22"/>
        </w:rPr>
        <w:t>; GN Docket No. 14-177</w:t>
      </w:r>
    </w:p>
    <w:p w:rsidR="0090770A" w:rsidP="0090770A" w14:paraId="2A2817A4" w14:textId="77777777">
      <w:pPr>
        <w:jc w:val="center"/>
        <w:rPr>
          <w:b/>
          <w:szCs w:val="22"/>
        </w:rPr>
      </w:pPr>
    </w:p>
    <w:p w:rsidR="0090770A" w:rsidP="0090770A" w14:paraId="5F1FA892" w14:textId="77777777">
      <w:pPr>
        <w:rPr>
          <w:b/>
          <w:szCs w:val="22"/>
        </w:rPr>
      </w:pPr>
      <w:r>
        <w:rPr>
          <w:b/>
          <w:szCs w:val="22"/>
        </w:rPr>
        <w:t>Comment Date: [30 days after date of publication in the Federal Register]</w:t>
      </w:r>
    </w:p>
    <w:p w:rsidR="0090770A" w:rsidP="0090770A" w14:paraId="5C92D981" w14:textId="77777777">
      <w:pPr>
        <w:rPr>
          <w:b/>
          <w:szCs w:val="22"/>
        </w:rPr>
      </w:pPr>
      <w:r>
        <w:rPr>
          <w:b/>
          <w:szCs w:val="22"/>
        </w:rPr>
        <w:t>Reply Comment Date: [</w:t>
      </w:r>
      <w:r w:rsidR="00CB04B5">
        <w:rPr>
          <w:b/>
          <w:szCs w:val="22"/>
        </w:rPr>
        <w:t>60</w:t>
      </w:r>
      <w:r>
        <w:rPr>
          <w:b/>
          <w:szCs w:val="22"/>
        </w:rPr>
        <w:t xml:space="preserve"> days after date of publications in the Federal Register</w:t>
      </w:r>
      <w:r w:rsidRPr="008D4D54">
        <w:rPr>
          <w:b/>
          <w:szCs w:val="22"/>
        </w:rPr>
        <w:t>]</w:t>
      </w:r>
    </w:p>
    <w:p w:rsidR="00013A8B" w:rsidP="00013A8B" w14:paraId="08AF1C5B" w14:textId="77777777">
      <w:pPr>
        <w:spacing w:after="240"/>
        <w:jc w:val="center"/>
        <w:rPr>
          <w:rFonts w:ascii="Times New Roman Bold" w:hAnsi="Times New Roman Bold"/>
          <w:b/>
          <w:caps/>
          <w:sz w:val="24"/>
        </w:rPr>
      </w:pPr>
    </w:p>
    <w:p w:rsidR="003D3014" w:rsidP="003C3198" w14:paraId="5315F756" w14:textId="0AFB0493">
      <w:pPr>
        <w:spacing w:after="120"/>
        <w:ind w:firstLine="720"/>
        <w:rPr>
          <w:szCs w:val="22"/>
        </w:rPr>
      </w:pPr>
      <w:bookmarkStart w:id="0" w:name="_Hlk60735510"/>
      <w:bookmarkStart w:id="1" w:name="TOChere"/>
      <w:r>
        <w:rPr>
          <w:szCs w:val="22"/>
        </w:rPr>
        <w:t xml:space="preserve">By this Public Notice, we seek comment on </w:t>
      </w:r>
      <w:r w:rsidR="003B32D2">
        <w:rPr>
          <w:szCs w:val="22"/>
        </w:rPr>
        <w:t>implementing</w:t>
      </w:r>
      <w:r w:rsidR="001B4BC8">
        <w:rPr>
          <w:szCs w:val="22"/>
        </w:rPr>
        <w:t xml:space="preserve"> certain of</w:t>
      </w:r>
      <w:r>
        <w:rPr>
          <w:szCs w:val="22"/>
        </w:rPr>
        <w:t xml:space="preserve"> the decisions of the</w:t>
      </w:r>
      <w:r w:rsidR="005D2E55">
        <w:rPr>
          <w:szCs w:val="22"/>
        </w:rPr>
        <w:t xml:space="preserve"> </w:t>
      </w:r>
      <w:r>
        <w:rPr>
          <w:szCs w:val="22"/>
        </w:rPr>
        <w:t xml:space="preserve">World Radiocommunication Conference held </w:t>
      </w:r>
      <w:r w:rsidR="005D2E55">
        <w:rPr>
          <w:szCs w:val="22"/>
        </w:rPr>
        <w:t xml:space="preserve">by the International Telecommunication Union (ITU) </w:t>
      </w:r>
      <w:r>
        <w:rPr>
          <w:szCs w:val="22"/>
        </w:rPr>
        <w:t>in 2019</w:t>
      </w:r>
      <w:r w:rsidR="001B4BC8">
        <w:rPr>
          <w:szCs w:val="22"/>
        </w:rPr>
        <w:t xml:space="preserve"> (WRC-19)</w:t>
      </w:r>
      <w:r>
        <w:rPr>
          <w:szCs w:val="22"/>
        </w:rPr>
        <w:t xml:space="preserve"> regarding the 24.25-27.5 GHz band.  Specifically, we seek comment on </w:t>
      </w:r>
      <w:r w:rsidR="001B4BC8">
        <w:rPr>
          <w:szCs w:val="22"/>
        </w:rPr>
        <w:t xml:space="preserve">aligning </w:t>
      </w:r>
      <w:r>
        <w:rPr>
          <w:szCs w:val="22"/>
        </w:rPr>
        <w:t xml:space="preserve">Parts 2 and 30 of the </w:t>
      </w:r>
      <w:r w:rsidR="00B618C7">
        <w:rPr>
          <w:szCs w:val="22"/>
        </w:rPr>
        <w:t xml:space="preserve">FCC’s rules with the </w:t>
      </w:r>
      <w:r w:rsidR="00093556">
        <w:rPr>
          <w:szCs w:val="22"/>
        </w:rPr>
        <w:t>unwanted</w:t>
      </w:r>
      <w:r w:rsidR="00B618C7">
        <w:rPr>
          <w:szCs w:val="22"/>
        </w:rPr>
        <w:t xml:space="preserve"> emissions limits into the passive 23.6-24.0 GHz band </w:t>
      </w:r>
      <w:r w:rsidR="003B32D2">
        <w:rPr>
          <w:szCs w:val="22"/>
        </w:rPr>
        <w:t xml:space="preserve">that were </w:t>
      </w:r>
      <w:r w:rsidR="00B618C7">
        <w:rPr>
          <w:szCs w:val="22"/>
        </w:rPr>
        <w:t>adopted at WRC-19.</w:t>
      </w:r>
    </w:p>
    <w:p w:rsidR="00D06729" w:rsidP="003C3198" w14:paraId="5A54E273" w14:textId="03C139F9">
      <w:pPr>
        <w:spacing w:after="120"/>
        <w:ind w:firstLine="720"/>
        <w:rPr>
          <w:szCs w:val="22"/>
        </w:rPr>
      </w:pPr>
      <w:r w:rsidRPr="00B618C7">
        <w:rPr>
          <w:i/>
          <w:iCs/>
          <w:szCs w:val="22"/>
        </w:rPr>
        <w:t>Background</w:t>
      </w:r>
      <w:r>
        <w:rPr>
          <w:szCs w:val="22"/>
        </w:rPr>
        <w:t xml:space="preserve">.  </w:t>
      </w:r>
      <w:r>
        <w:rPr>
          <w:szCs w:val="22"/>
        </w:rPr>
        <w:t>The 23.6-24</w:t>
      </w:r>
      <w:r w:rsidR="00CC2EF7">
        <w:rPr>
          <w:szCs w:val="22"/>
        </w:rPr>
        <w:t>.0</w:t>
      </w:r>
      <w:r>
        <w:rPr>
          <w:szCs w:val="22"/>
        </w:rPr>
        <w:t xml:space="preserve"> GHz band is allocated for the </w:t>
      </w:r>
      <w:r w:rsidR="00D53910">
        <w:rPr>
          <w:szCs w:val="22"/>
        </w:rPr>
        <w:t>Earth Exploration Satellite Service (passive), Space Research Service (passive), and Radio Astronomy Service on a primary basis</w:t>
      </w:r>
      <w:r w:rsidR="00733E60">
        <w:rPr>
          <w:szCs w:val="22"/>
        </w:rPr>
        <w:t>.</w:t>
      </w:r>
      <w:r>
        <w:rPr>
          <w:rStyle w:val="FootnoteReference"/>
          <w:szCs w:val="22"/>
        </w:rPr>
        <w:footnoteReference w:id="3"/>
      </w:r>
      <w:r w:rsidR="00733E60">
        <w:rPr>
          <w:szCs w:val="22"/>
        </w:rPr>
        <w:t xml:space="preserve">  </w:t>
      </w:r>
      <w:r w:rsidR="00CC5780">
        <w:rPr>
          <w:szCs w:val="22"/>
        </w:rPr>
        <w:t>P</w:t>
      </w:r>
      <w:r w:rsidR="008243BB">
        <w:rPr>
          <w:szCs w:val="22"/>
        </w:rPr>
        <w:t xml:space="preserve">assive sensors </w:t>
      </w:r>
      <w:r w:rsidR="00A43E24">
        <w:rPr>
          <w:szCs w:val="22"/>
        </w:rPr>
        <w:t xml:space="preserve">located </w:t>
      </w:r>
      <w:r w:rsidR="00A85923">
        <w:rPr>
          <w:szCs w:val="22"/>
        </w:rPr>
        <w:t xml:space="preserve">on satellites </w:t>
      </w:r>
      <w:r w:rsidR="009C25BF">
        <w:rPr>
          <w:szCs w:val="22"/>
        </w:rPr>
        <w:t>are used to take measurements in this band of</w:t>
      </w:r>
      <w:r w:rsidR="0076330E">
        <w:rPr>
          <w:szCs w:val="22"/>
        </w:rPr>
        <w:t xml:space="preserve"> water vapor and cloud liquid water </w:t>
      </w:r>
      <w:r w:rsidR="008243BB">
        <w:rPr>
          <w:szCs w:val="22"/>
        </w:rPr>
        <w:t>that are used in weather fore</w:t>
      </w:r>
      <w:r w:rsidR="00A85923">
        <w:rPr>
          <w:szCs w:val="22"/>
        </w:rPr>
        <w:t>casting.</w:t>
      </w:r>
      <w:r>
        <w:rPr>
          <w:rStyle w:val="FootnoteReference"/>
          <w:szCs w:val="22"/>
        </w:rPr>
        <w:footnoteReference w:id="4"/>
      </w:r>
      <w:r w:rsidR="00A85923">
        <w:rPr>
          <w:szCs w:val="22"/>
        </w:rPr>
        <w:t xml:space="preserve"> </w:t>
      </w:r>
      <w:r w:rsidR="005F4A65">
        <w:rPr>
          <w:szCs w:val="22"/>
        </w:rPr>
        <w:t xml:space="preserve"> </w:t>
      </w:r>
      <w:r w:rsidR="00CC5780">
        <w:t>These p</w:t>
      </w:r>
      <w:r w:rsidR="00F87EB4">
        <w:t>assive sensors are designed to receive and measure natural emissions produced by the Earth’s surface and its atmosphere</w:t>
      </w:r>
      <w:r w:rsidR="005F4A65">
        <w:t>.</w:t>
      </w:r>
      <w:r>
        <w:rPr>
          <w:rStyle w:val="FootnoteReference"/>
        </w:rPr>
        <w:footnoteReference w:id="5"/>
      </w:r>
      <w:r w:rsidR="00E948F1">
        <w:t xml:space="preserve">  </w:t>
      </w:r>
      <w:r w:rsidR="00CC5780">
        <w:t>As t</w:t>
      </w:r>
      <w:r w:rsidR="00E948F1">
        <w:t xml:space="preserve">hese sensors receive all </w:t>
      </w:r>
      <w:r w:rsidR="00226CAB">
        <w:t>natural and man-made emissio</w:t>
      </w:r>
      <w:r w:rsidR="00CC5780">
        <w:t xml:space="preserve">ns </w:t>
      </w:r>
      <w:r w:rsidR="00226CAB">
        <w:t xml:space="preserve">in general, </w:t>
      </w:r>
      <w:r w:rsidR="00304B5B">
        <w:t xml:space="preserve">passive sensors </w:t>
      </w:r>
      <w:r w:rsidR="00D503CB">
        <w:t xml:space="preserve">may </w:t>
      </w:r>
      <w:r w:rsidR="00304B5B">
        <w:t xml:space="preserve">not be </w:t>
      </w:r>
      <w:r w:rsidR="00DE72C0">
        <w:t>able</w:t>
      </w:r>
      <w:r w:rsidR="00D503CB">
        <w:t xml:space="preserve"> to </w:t>
      </w:r>
      <w:r w:rsidR="00FA4E60">
        <w:t xml:space="preserve">differentiate these two </w:t>
      </w:r>
      <w:r w:rsidR="00D503CB">
        <w:t xml:space="preserve">sources </w:t>
      </w:r>
      <w:r w:rsidR="00FA4E60">
        <w:t>of signals.</w:t>
      </w:r>
    </w:p>
    <w:p w:rsidR="00F569F7" w:rsidP="00F569F7" w14:paraId="49B935BC" w14:textId="339EED4F">
      <w:pPr>
        <w:spacing w:after="120"/>
        <w:ind w:firstLine="720"/>
        <w:rPr>
          <w:szCs w:val="22"/>
        </w:rPr>
      </w:pPr>
      <w:r>
        <w:rPr>
          <w:szCs w:val="22"/>
        </w:rPr>
        <w:t xml:space="preserve">Within the 24.25-27.5 GHz band, the 24.25-24.45 GHz and </w:t>
      </w:r>
      <w:r w:rsidRPr="00A32C46">
        <w:rPr>
          <w:szCs w:val="22"/>
        </w:rPr>
        <w:t>24.75-25.25 GHz</w:t>
      </w:r>
      <w:r>
        <w:rPr>
          <w:szCs w:val="22"/>
        </w:rPr>
        <w:t xml:space="preserve"> bands are allocated to the Mobile Service for non-Federal use and the 25.25-27.5 GHz band is allocated to the Mobile Service for Federal use.</w:t>
      </w:r>
      <w:r>
        <w:rPr>
          <w:rStyle w:val="FootnoteReference"/>
          <w:szCs w:val="22"/>
        </w:rPr>
        <w:footnoteReference w:id="6"/>
      </w:r>
      <w:r>
        <w:rPr>
          <w:szCs w:val="22"/>
        </w:rPr>
        <w:t xml:space="preserve">  </w:t>
      </w:r>
      <w:r>
        <w:t>In 2017, the Commission established service rules for fixed and mobile operation in the 24.25-24.45 GHz and 24.75-25.25 GHz bands (collectively, 24 GHz band) under the Upper Microwave Flexible Use Service (UMFUS).</w:t>
      </w:r>
      <w:r>
        <w:rPr>
          <w:rStyle w:val="FootnoteReference"/>
        </w:rPr>
        <w:footnoteReference w:id="7"/>
      </w:r>
      <w:r>
        <w:t xml:space="preserve"> </w:t>
      </w:r>
      <w:r>
        <w:rPr>
          <w:szCs w:val="22"/>
        </w:rPr>
        <w:t xml:space="preserve"> The Commission applied the UMFUS rules, including the technical </w:t>
      </w:r>
      <w:r>
        <w:rPr>
          <w:szCs w:val="22"/>
        </w:rPr>
        <w:t>rules, to the 24 GHz band.</w:t>
      </w:r>
      <w:r>
        <w:rPr>
          <w:rStyle w:val="FootnoteReference"/>
          <w:szCs w:val="22"/>
        </w:rPr>
        <w:footnoteReference w:id="8"/>
      </w:r>
      <w:r>
        <w:rPr>
          <w:szCs w:val="22"/>
        </w:rPr>
        <w:t xml:space="preserve">  The UMFUS rules specify that emissions outside of a licensee’s assigned frequency block must be limited to –13 dBm/</w:t>
      </w:r>
      <w:r>
        <w:rPr>
          <w:szCs w:val="22"/>
        </w:rPr>
        <w:t>MHz.</w:t>
      </w:r>
      <w:r>
        <w:rPr>
          <w:rStyle w:val="FootnoteReference"/>
          <w:szCs w:val="22"/>
        </w:rPr>
        <w:footnoteReference w:id="9"/>
      </w:r>
      <w:r>
        <w:rPr>
          <w:szCs w:val="22"/>
        </w:rPr>
        <w:t xml:space="preserve">  With respect to the passive systems operating in the 23.6-24 GHz band, the Commission </w:t>
      </w:r>
      <w:r>
        <w:t xml:space="preserve">noted </w:t>
      </w:r>
      <w:r w:rsidRPr="008A6225">
        <w:t>that ongoing international studies include analyses to determine</w:t>
      </w:r>
      <w:r w:rsidRPr="00C53F0E" w:rsidR="00C53F0E">
        <w:rPr>
          <w:szCs w:val="22"/>
        </w:rPr>
        <w:t xml:space="preserve"> </w:t>
      </w:r>
      <w:r w:rsidR="00C53F0E">
        <w:rPr>
          <w:szCs w:val="22"/>
        </w:rPr>
        <w:t>International Mobile Telecommunications (IMT)</w:t>
      </w:r>
      <w:r>
        <w:rPr>
          <w:rStyle w:val="FootnoteReference"/>
          <w:szCs w:val="22"/>
        </w:rPr>
        <w:footnoteReference w:id="10"/>
      </w:r>
      <w:r w:rsidRPr="008A6225">
        <w:t xml:space="preserve"> out-of-band emission limits necessary to protect passive sensors onboard weather satellites in </w:t>
      </w:r>
      <w:r>
        <w:t>that</w:t>
      </w:r>
      <w:r w:rsidRPr="008A6225">
        <w:t xml:space="preserve"> band</w:t>
      </w:r>
      <w:r>
        <w:t>, and it acknowledged that the Commission’s UMFUS rules might be revisited o</w:t>
      </w:r>
      <w:r w:rsidRPr="008A6225">
        <w:t>nce the</w:t>
      </w:r>
      <w:r>
        <w:t>se</w:t>
      </w:r>
      <w:r w:rsidRPr="008A6225">
        <w:t xml:space="preserve"> international studies have been completed.</w:t>
      </w:r>
      <w:r>
        <w:rPr>
          <w:rStyle w:val="FootnoteReference"/>
        </w:rPr>
        <w:footnoteReference w:id="11"/>
      </w:r>
    </w:p>
    <w:p w:rsidR="00B478E0" w:rsidP="000D00FF" w14:paraId="2DBB307D" w14:textId="1FE804E0">
      <w:pPr>
        <w:spacing w:after="120"/>
        <w:ind w:firstLine="720"/>
        <w:rPr>
          <w:szCs w:val="22"/>
        </w:rPr>
      </w:pPr>
      <w:r>
        <w:rPr>
          <w:szCs w:val="22"/>
        </w:rPr>
        <w:t>WRC-19</w:t>
      </w:r>
      <w:r w:rsidRPr="00BA7EAE" w:rsidR="00BA7EAE">
        <w:rPr>
          <w:szCs w:val="22"/>
        </w:rPr>
        <w:t xml:space="preserve"> </w:t>
      </w:r>
      <w:r w:rsidRPr="000D00FF" w:rsidR="000D00FF">
        <w:rPr>
          <w:szCs w:val="22"/>
        </w:rPr>
        <w:t>allocate</w:t>
      </w:r>
      <w:r w:rsidR="000D00FF">
        <w:rPr>
          <w:szCs w:val="22"/>
        </w:rPr>
        <w:t>d</w:t>
      </w:r>
      <w:r w:rsidRPr="000D00FF" w:rsidR="000D00FF">
        <w:rPr>
          <w:szCs w:val="22"/>
        </w:rPr>
        <w:t xml:space="preserve"> 24.25-25.25 GHz to mobile</w:t>
      </w:r>
      <w:r w:rsidR="00815EC5">
        <w:rPr>
          <w:szCs w:val="22"/>
        </w:rPr>
        <w:t xml:space="preserve"> (except aeronautical)</w:t>
      </w:r>
      <w:r w:rsidRPr="000D00FF" w:rsidR="000D00FF">
        <w:rPr>
          <w:szCs w:val="22"/>
        </w:rPr>
        <w:t xml:space="preserve"> on a primary</w:t>
      </w:r>
      <w:r w:rsidR="000D00FF">
        <w:rPr>
          <w:szCs w:val="22"/>
        </w:rPr>
        <w:t xml:space="preserve"> </w:t>
      </w:r>
      <w:r w:rsidRPr="000D00FF" w:rsidR="000D00FF">
        <w:rPr>
          <w:szCs w:val="22"/>
        </w:rPr>
        <w:t>basis in Regions 1 and 2</w:t>
      </w:r>
      <w:r w:rsidR="00C4423E">
        <w:rPr>
          <w:rStyle w:val="CommentReference"/>
        </w:rPr>
        <w:t xml:space="preserve">, </w:t>
      </w:r>
      <w:r w:rsidR="00815EC5">
        <w:rPr>
          <w:szCs w:val="22"/>
        </w:rPr>
        <w:t>globally identified the</w:t>
      </w:r>
      <w:r w:rsidRPr="000D00FF" w:rsidR="000D00FF">
        <w:rPr>
          <w:szCs w:val="22"/>
        </w:rPr>
        <w:t xml:space="preserve"> 24.25-27.5 GHz </w:t>
      </w:r>
      <w:r w:rsidR="00C53F0E">
        <w:rPr>
          <w:szCs w:val="22"/>
        </w:rPr>
        <w:t xml:space="preserve">band for </w:t>
      </w:r>
      <w:r w:rsidR="00C4423E">
        <w:rPr>
          <w:szCs w:val="22"/>
        </w:rPr>
        <w:t>IMT, and</w:t>
      </w:r>
      <w:r w:rsidR="000D00FF">
        <w:rPr>
          <w:szCs w:val="22"/>
        </w:rPr>
        <w:t xml:space="preserve"> </w:t>
      </w:r>
      <w:r w:rsidRPr="00BA7EAE" w:rsidR="00BA7EAE">
        <w:rPr>
          <w:szCs w:val="22"/>
        </w:rPr>
        <w:t>established</w:t>
      </w:r>
      <w:r w:rsidR="000C1729">
        <w:rPr>
          <w:szCs w:val="22"/>
        </w:rPr>
        <w:t xml:space="preserve"> limits of unwanted emissions</w:t>
      </w:r>
      <w:r w:rsidRPr="00BA7EAE" w:rsidR="00BA7EAE">
        <w:rPr>
          <w:szCs w:val="22"/>
        </w:rPr>
        <w:t xml:space="preserve"> </w:t>
      </w:r>
      <w:r w:rsidR="006D483C">
        <w:rPr>
          <w:szCs w:val="22"/>
        </w:rPr>
        <w:t>that apply</w:t>
      </w:r>
      <w:r w:rsidRPr="00BA7EAE" w:rsidR="00BA7EAE">
        <w:rPr>
          <w:szCs w:val="22"/>
        </w:rPr>
        <w:t xml:space="preserve"> </w:t>
      </w:r>
      <w:r w:rsidR="006D483C">
        <w:rPr>
          <w:szCs w:val="22"/>
        </w:rPr>
        <w:t xml:space="preserve">to </w:t>
      </w:r>
      <w:r w:rsidR="00C4423E">
        <w:rPr>
          <w:szCs w:val="22"/>
        </w:rPr>
        <w:t xml:space="preserve">IMT </w:t>
      </w:r>
      <w:r w:rsidR="006D483C">
        <w:rPr>
          <w:szCs w:val="22"/>
        </w:rPr>
        <w:t xml:space="preserve">in the 24.25-27.5 GHz band to protect </w:t>
      </w:r>
      <w:r w:rsidRPr="00BA7EAE" w:rsidR="00BA7EAE">
        <w:rPr>
          <w:szCs w:val="22"/>
        </w:rPr>
        <w:t xml:space="preserve">Earth Exploration-Satellite Service (EESS) passive systems </w:t>
      </w:r>
      <w:r w:rsidR="006D483C">
        <w:rPr>
          <w:szCs w:val="22"/>
        </w:rPr>
        <w:t>in the 23.6-24</w:t>
      </w:r>
      <w:r w:rsidR="007A2332">
        <w:rPr>
          <w:szCs w:val="22"/>
        </w:rPr>
        <w:t>.0</w:t>
      </w:r>
      <w:r w:rsidR="006D483C">
        <w:rPr>
          <w:szCs w:val="22"/>
        </w:rPr>
        <w:t xml:space="preserve"> GHz band from harmful interference.</w:t>
      </w:r>
      <w:r>
        <w:rPr>
          <w:rStyle w:val="FootnoteReference"/>
          <w:szCs w:val="22"/>
        </w:rPr>
        <w:footnoteReference w:id="12"/>
      </w:r>
      <w:r w:rsidR="006D483C">
        <w:rPr>
          <w:szCs w:val="22"/>
        </w:rPr>
        <w:t xml:space="preserve">  </w:t>
      </w:r>
      <w:r w:rsidR="00C4423E">
        <w:rPr>
          <w:szCs w:val="22"/>
        </w:rPr>
        <w:t xml:space="preserve">To protect EESS passive systems, </w:t>
      </w:r>
      <w:r w:rsidR="00953C3D">
        <w:t xml:space="preserve">WRC-19 modified a footnote to the International Table of Allocations to </w:t>
      </w:r>
      <w:r w:rsidR="00897D4F">
        <w:t>specify</w:t>
      </w:r>
      <w:r w:rsidR="00953C3D">
        <w:t xml:space="preserve"> that Resolution 750 </w:t>
      </w:r>
      <w:r w:rsidR="00FB6BE7">
        <w:t xml:space="preserve">(Rev. WRC-19) </w:t>
      </w:r>
      <w:r w:rsidR="00953C3D">
        <w:t>appl</w:t>
      </w:r>
      <w:r w:rsidR="00C916DE">
        <w:t>ies</w:t>
      </w:r>
      <w:r w:rsidR="00953C3D">
        <w:t xml:space="preserve"> to the 2</w:t>
      </w:r>
      <w:r w:rsidR="00F569F7">
        <w:t>4</w:t>
      </w:r>
      <w:r w:rsidR="00953C3D">
        <w:t>.25-27.5 GHz band.</w:t>
      </w:r>
      <w:r>
        <w:rPr>
          <w:rStyle w:val="FootnoteReference"/>
        </w:rPr>
        <w:footnoteReference w:id="13"/>
      </w:r>
      <w:r w:rsidR="00953C3D">
        <w:t xml:space="preserve">  </w:t>
      </w:r>
      <w:r w:rsidR="004C6082">
        <w:rPr>
          <w:szCs w:val="22"/>
        </w:rPr>
        <w:t>Resolution</w:t>
      </w:r>
      <w:r w:rsidR="007309F8">
        <w:rPr>
          <w:szCs w:val="22"/>
        </w:rPr>
        <w:t xml:space="preserve"> </w:t>
      </w:r>
      <w:r w:rsidR="000274DC">
        <w:rPr>
          <w:szCs w:val="22"/>
        </w:rPr>
        <w:t>750</w:t>
      </w:r>
      <w:r w:rsidR="00833D3F">
        <w:rPr>
          <w:szCs w:val="22"/>
        </w:rPr>
        <w:t xml:space="preserve"> </w:t>
      </w:r>
      <w:r w:rsidR="006529A3">
        <w:rPr>
          <w:szCs w:val="22"/>
        </w:rPr>
        <w:t xml:space="preserve">specifies unwanted emission limits </w:t>
      </w:r>
      <w:r w:rsidR="00833D3F">
        <w:rPr>
          <w:szCs w:val="22"/>
        </w:rPr>
        <w:t xml:space="preserve">as the amount of power that may be </w:t>
      </w:r>
      <w:r w:rsidR="00AD2DD0">
        <w:rPr>
          <w:szCs w:val="22"/>
        </w:rPr>
        <w:t>radiated into any 200 megahertz of the 23.6-24.0 GHz passive band</w:t>
      </w:r>
      <w:r w:rsidR="00703C1A">
        <w:rPr>
          <w:szCs w:val="22"/>
        </w:rPr>
        <w:t xml:space="preserve"> by</w:t>
      </w:r>
      <w:r w:rsidR="00E7505C">
        <w:rPr>
          <w:szCs w:val="22"/>
        </w:rPr>
        <w:t xml:space="preserve"> </w:t>
      </w:r>
      <w:r w:rsidR="00B96855">
        <w:rPr>
          <w:szCs w:val="22"/>
        </w:rPr>
        <w:t xml:space="preserve">IMT base stations and </w:t>
      </w:r>
      <w:r w:rsidR="00F31E7B">
        <w:rPr>
          <w:szCs w:val="22"/>
        </w:rPr>
        <w:t xml:space="preserve">IMT </w:t>
      </w:r>
      <w:r w:rsidR="00B96855">
        <w:rPr>
          <w:szCs w:val="22"/>
        </w:rPr>
        <w:t>mobile stations</w:t>
      </w:r>
      <w:r w:rsidR="00F31E7B">
        <w:rPr>
          <w:szCs w:val="22"/>
        </w:rPr>
        <w:t xml:space="preserve"> operating in the 24.25-27.5 GHz band.  </w:t>
      </w:r>
      <w:r w:rsidR="007309F8">
        <w:t>Resolution 750 specifies</w:t>
      </w:r>
      <w:r w:rsidR="003C7A44">
        <w:t xml:space="preserve"> unwanted emission limits </w:t>
      </w:r>
      <w:r w:rsidR="006870C6">
        <w:t>in terms of Total Radiated Power (TRP)</w:t>
      </w:r>
      <w:r>
        <w:rPr>
          <w:rStyle w:val="FootnoteReference"/>
        </w:rPr>
        <w:footnoteReference w:id="14"/>
      </w:r>
      <w:r w:rsidR="00F44FA6">
        <w:t xml:space="preserve"> </w:t>
      </w:r>
      <w:r w:rsidR="003C7A44">
        <w:t xml:space="preserve">that currently apply </w:t>
      </w:r>
      <w:r w:rsidR="000708B1">
        <w:t xml:space="preserve">to IMT stations </w:t>
      </w:r>
      <w:r w:rsidR="003C7A44">
        <w:t xml:space="preserve">and stricter </w:t>
      </w:r>
      <w:r w:rsidR="00A30278">
        <w:t xml:space="preserve">emission </w:t>
      </w:r>
      <w:r w:rsidR="003C7A44">
        <w:t xml:space="preserve">limits that </w:t>
      </w:r>
      <w:r w:rsidR="00596547">
        <w:t xml:space="preserve">are effective </w:t>
      </w:r>
      <w:r w:rsidR="00FB5E82">
        <w:t xml:space="preserve">for </w:t>
      </w:r>
      <w:r w:rsidR="00D97A06">
        <w:t xml:space="preserve">IMT </w:t>
      </w:r>
      <w:r w:rsidR="00FB5E82">
        <w:t>station</w:t>
      </w:r>
      <w:r w:rsidR="00DA0FA9">
        <w:t>s</w:t>
      </w:r>
      <w:r w:rsidR="00FB5E82">
        <w:t xml:space="preserve"> brought into use after September</w:t>
      </w:r>
      <w:r w:rsidR="00DA0FA9">
        <w:t xml:space="preserve"> 1,</w:t>
      </w:r>
      <w:r w:rsidR="003C7A44">
        <w:t xml:space="preserve"> 20</w:t>
      </w:r>
      <w:r w:rsidR="000708B1">
        <w:t>2</w:t>
      </w:r>
      <w:r w:rsidR="003C7A44">
        <w:t>7.</w:t>
      </w:r>
      <w:r>
        <w:rPr>
          <w:rStyle w:val="FootnoteReference"/>
        </w:rPr>
        <w:footnoteReference w:id="15"/>
      </w:r>
      <w:r w:rsidR="003C7A44">
        <w:t xml:space="preserve">  </w:t>
      </w:r>
      <w:r w:rsidR="00967FD2">
        <w:rPr>
          <w:szCs w:val="22"/>
        </w:rPr>
        <w:t>Th</w:t>
      </w:r>
      <w:r w:rsidR="00D7095B">
        <w:rPr>
          <w:szCs w:val="22"/>
        </w:rPr>
        <w:t>ese unwanted emission limits are shown in Table</w:t>
      </w:r>
      <w:r>
        <w:rPr>
          <w:szCs w:val="22"/>
        </w:rPr>
        <w:t xml:space="preserve"> 1. </w:t>
      </w:r>
    </w:p>
    <w:p w:rsidR="00F05E0E" w:rsidP="000D00FF" w14:paraId="595BCBE9" w14:textId="31AA7DDD">
      <w:pPr>
        <w:spacing w:after="120"/>
        <w:ind w:firstLine="720"/>
        <w:rPr>
          <w:szCs w:val="22"/>
        </w:rPr>
      </w:pPr>
    </w:p>
    <w:p w:rsidR="00F05E0E" w:rsidP="000D00FF" w14:paraId="74AB676A" w14:textId="6EAB4F6E">
      <w:pPr>
        <w:spacing w:after="120"/>
        <w:ind w:firstLine="720"/>
        <w:rPr>
          <w:szCs w:val="22"/>
        </w:rPr>
      </w:pPr>
    </w:p>
    <w:p w:rsidR="00F05E0E" w:rsidP="000D00FF" w14:paraId="3D132DF7" w14:textId="77777777">
      <w:pPr>
        <w:spacing w:after="120"/>
        <w:ind w:firstLine="720"/>
        <w:rPr>
          <w:szCs w:val="22"/>
        </w:rPr>
      </w:pPr>
    </w:p>
    <w:p w:rsidR="001056BE" w:rsidP="000D00FF" w14:paraId="5054490E" w14:textId="77777777">
      <w:pPr>
        <w:spacing w:after="120"/>
        <w:ind w:firstLine="720"/>
        <w:rPr>
          <w:szCs w:val="22"/>
        </w:rPr>
      </w:pPr>
    </w:p>
    <w:tbl>
      <w:tblPr>
        <w:tblStyle w:val="TableGrid"/>
        <w:tblW w:w="0" w:type="auto"/>
        <w:tblLook w:val="04A0"/>
      </w:tblPr>
      <w:tblGrid>
        <w:gridCol w:w="3116"/>
        <w:gridCol w:w="3117"/>
        <w:gridCol w:w="3117"/>
      </w:tblGrid>
      <w:tr w14:paraId="70938984" w14:textId="77777777" w:rsidTr="00DA09E5">
        <w:tblPrEx>
          <w:tblW w:w="0" w:type="auto"/>
          <w:tblLook w:val="04A0"/>
        </w:tblPrEx>
        <w:tc>
          <w:tcPr>
            <w:tcW w:w="9350" w:type="dxa"/>
            <w:gridSpan w:val="3"/>
          </w:tcPr>
          <w:p w:rsidR="002C2D98" w:rsidP="005031C5" w14:paraId="11D9EE31" w14:textId="3B9FF915">
            <w:pPr>
              <w:spacing w:after="120"/>
              <w:jc w:val="center"/>
              <w:rPr>
                <w:szCs w:val="22"/>
              </w:rPr>
            </w:pPr>
            <w:r>
              <w:rPr>
                <w:szCs w:val="22"/>
              </w:rPr>
              <w:t xml:space="preserve">Table 1: </w:t>
            </w:r>
            <w:r w:rsidR="00B12235">
              <w:rPr>
                <w:szCs w:val="22"/>
              </w:rPr>
              <w:t xml:space="preserve">WRC-19 Resolution 750 </w:t>
            </w:r>
            <w:r w:rsidR="005031C5">
              <w:rPr>
                <w:szCs w:val="22"/>
              </w:rPr>
              <w:t xml:space="preserve">Unwanted emissions </w:t>
            </w:r>
            <w:r w:rsidR="00B618CB">
              <w:rPr>
                <w:szCs w:val="22"/>
              </w:rPr>
              <w:t xml:space="preserve">permitted </w:t>
            </w:r>
            <w:r w:rsidR="005031C5">
              <w:rPr>
                <w:szCs w:val="22"/>
              </w:rPr>
              <w:t>within any 200 megahertz in the 23.6-24 GHz passive band</w:t>
            </w:r>
          </w:p>
        </w:tc>
      </w:tr>
      <w:tr w14:paraId="2F40F541" w14:textId="77777777" w:rsidTr="0089273F">
        <w:tblPrEx>
          <w:tblW w:w="0" w:type="auto"/>
          <w:tblLook w:val="04A0"/>
        </w:tblPrEx>
        <w:tc>
          <w:tcPr>
            <w:tcW w:w="3116" w:type="dxa"/>
            <w:tcBorders>
              <w:bottom w:val="double" w:sz="4" w:space="0" w:color="auto"/>
              <w:right w:val="double" w:sz="4" w:space="0" w:color="auto"/>
            </w:tcBorders>
          </w:tcPr>
          <w:p w:rsidR="00DA3678" w:rsidP="00A46F9B" w14:paraId="670F843D" w14:textId="0E407BA9">
            <w:pPr>
              <w:spacing w:after="120"/>
              <w:jc w:val="center"/>
              <w:rPr>
                <w:szCs w:val="22"/>
              </w:rPr>
            </w:pPr>
            <w:r>
              <w:rPr>
                <w:szCs w:val="22"/>
              </w:rPr>
              <w:t>Type of Station</w:t>
            </w:r>
          </w:p>
        </w:tc>
        <w:tc>
          <w:tcPr>
            <w:tcW w:w="3117" w:type="dxa"/>
            <w:tcBorders>
              <w:left w:val="double" w:sz="4" w:space="0" w:color="auto"/>
              <w:bottom w:val="double" w:sz="4" w:space="0" w:color="auto"/>
            </w:tcBorders>
          </w:tcPr>
          <w:p w:rsidR="00DA3678" w:rsidP="00886B76" w14:paraId="5950F897" w14:textId="207358AC">
            <w:pPr>
              <w:spacing w:after="120"/>
              <w:jc w:val="center"/>
              <w:rPr>
                <w:szCs w:val="22"/>
              </w:rPr>
            </w:pPr>
            <w:r>
              <w:rPr>
                <w:szCs w:val="22"/>
              </w:rPr>
              <w:t xml:space="preserve">Current </w:t>
            </w:r>
            <w:r w:rsidR="006870C6">
              <w:rPr>
                <w:szCs w:val="22"/>
              </w:rPr>
              <w:t xml:space="preserve">TRP </w:t>
            </w:r>
            <w:r>
              <w:rPr>
                <w:szCs w:val="22"/>
              </w:rPr>
              <w:t>Limits</w:t>
            </w:r>
          </w:p>
        </w:tc>
        <w:tc>
          <w:tcPr>
            <w:tcW w:w="3117" w:type="dxa"/>
            <w:tcBorders>
              <w:bottom w:val="double" w:sz="4" w:space="0" w:color="auto"/>
            </w:tcBorders>
          </w:tcPr>
          <w:p w:rsidR="00DA3678" w:rsidP="00886B76" w14:paraId="125DB04B" w14:textId="3574A158">
            <w:pPr>
              <w:spacing w:after="120"/>
              <w:jc w:val="center"/>
              <w:rPr>
                <w:szCs w:val="22"/>
              </w:rPr>
            </w:pPr>
            <w:r>
              <w:rPr>
                <w:szCs w:val="22"/>
              </w:rPr>
              <w:t xml:space="preserve">TRP Limits </w:t>
            </w:r>
            <w:r w:rsidR="00AE5D50">
              <w:rPr>
                <w:szCs w:val="22"/>
              </w:rPr>
              <w:t>After</w:t>
            </w:r>
            <w:r w:rsidR="00886B76">
              <w:rPr>
                <w:szCs w:val="22"/>
              </w:rPr>
              <w:t xml:space="preserve"> </w:t>
            </w:r>
            <w:r w:rsidR="003F651C">
              <w:rPr>
                <w:szCs w:val="22"/>
              </w:rPr>
              <w:t xml:space="preserve">Sept. 1, </w:t>
            </w:r>
            <w:r w:rsidR="00886B76">
              <w:rPr>
                <w:szCs w:val="22"/>
              </w:rPr>
              <w:t>2027</w:t>
            </w:r>
          </w:p>
        </w:tc>
      </w:tr>
      <w:tr w14:paraId="327CB7D7" w14:textId="77777777" w:rsidTr="0089273F">
        <w:tblPrEx>
          <w:tblW w:w="0" w:type="auto"/>
          <w:tblLook w:val="04A0"/>
        </w:tblPrEx>
        <w:tc>
          <w:tcPr>
            <w:tcW w:w="3116" w:type="dxa"/>
            <w:tcBorders>
              <w:top w:val="double" w:sz="4" w:space="0" w:color="auto"/>
              <w:right w:val="double" w:sz="4" w:space="0" w:color="auto"/>
            </w:tcBorders>
          </w:tcPr>
          <w:p w:rsidR="00DA3678" w:rsidP="00886B76" w14:paraId="6A0D8771" w14:textId="08AF2D3A">
            <w:pPr>
              <w:spacing w:after="120"/>
              <w:jc w:val="center"/>
              <w:rPr>
                <w:szCs w:val="22"/>
              </w:rPr>
            </w:pPr>
            <w:r>
              <w:rPr>
                <w:szCs w:val="22"/>
              </w:rPr>
              <w:t>IMT Base Stations</w:t>
            </w:r>
          </w:p>
        </w:tc>
        <w:tc>
          <w:tcPr>
            <w:tcW w:w="3117" w:type="dxa"/>
            <w:tcBorders>
              <w:top w:val="double" w:sz="4" w:space="0" w:color="auto"/>
              <w:left w:val="double" w:sz="4" w:space="0" w:color="auto"/>
            </w:tcBorders>
          </w:tcPr>
          <w:p w:rsidR="00DA3678" w:rsidP="00A46F9B" w14:paraId="2411E92C" w14:textId="222B1A75">
            <w:pPr>
              <w:spacing w:after="120"/>
              <w:jc w:val="center"/>
              <w:rPr>
                <w:szCs w:val="22"/>
              </w:rPr>
            </w:pPr>
            <w:r>
              <w:rPr>
                <w:szCs w:val="22"/>
              </w:rPr>
              <w:t>–</w:t>
            </w:r>
            <w:r w:rsidR="006753AB">
              <w:rPr>
                <w:szCs w:val="22"/>
              </w:rPr>
              <w:t>33 dB</w:t>
            </w:r>
            <w:r w:rsidR="003539C6">
              <w:rPr>
                <w:szCs w:val="22"/>
              </w:rPr>
              <w:t>W</w:t>
            </w:r>
          </w:p>
        </w:tc>
        <w:tc>
          <w:tcPr>
            <w:tcW w:w="3117" w:type="dxa"/>
            <w:tcBorders>
              <w:top w:val="double" w:sz="4" w:space="0" w:color="auto"/>
            </w:tcBorders>
          </w:tcPr>
          <w:p w:rsidR="00DA3678" w:rsidP="00A46F9B" w14:paraId="5E2AFEC5" w14:textId="3E458280">
            <w:pPr>
              <w:spacing w:after="120"/>
              <w:jc w:val="center"/>
              <w:rPr>
                <w:szCs w:val="22"/>
              </w:rPr>
            </w:pPr>
            <w:r>
              <w:rPr>
                <w:szCs w:val="22"/>
              </w:rPr>
              <w:t>–</w:t>
            </w:r>
            <w:r w:rsidR="00DA0FA9">
              <w:rPr>
                <w:szCs w:val="22"/>
              </w:rPr>
              <w:t>39 dBW</w:t>
            </w:r>
          </w:p>
        </w:tc>
      </w:tr>
      <w:tr w14:paraId="7E36053F" w14:textId="77777777" w:rsidTr="00783DF5">
        <w:tblPrEx>
          <w:tblW w:w="0" w:type="auto"/>
          <w:tblLook w:val="04A0"/>
        </w:tblPrEx>
        <w:tc>
          <w:tcPr>
            <w:tcW w:w="3116" w:type="dxa"/>
            <w:tcBorders>
              <w:right w:val="double" w:sz="4" w:space="0" w:color="auto"/>
            </w:tcBorders>
          </w:tcPr>
          <w:p w:rsidR="00DA3678" w:rsidP="00886B76" w14:paraId="75A578A3" w14:textId="00CF2AB7">
            <w:pPr>
              <w:spacing w:after="120"/>
              <w:jc w:val="center"/>
              <w:rPr>
                <w:szCs w:val="22"/>
              </w:rPr>
            </w:pPr>
            <w:r>
              <w:rPr>
                <w:szCs w:val="22"/>
              </w:rPr>
              <w:t>IMT Mobile Stations</w:t>
            </w:r>
          </w:p>
        </w:tc>
        <w:tc>
          <w:tcPr>
            <w:tcW w:w="3117" w:type="dxa"/>
            <w:tcBorders>
              <w:left w:val="double" w:sz="4" w:space="0" w:color="auto"/>
            </w:tcBorders>
          </w:tcPr>
          <w:p w:rsidR="00DA3678" w:rsidP="00A46F9B" w14:paraId="6811F4A2" w14:textId="7E77C229">
            <w:pPr>
              <w:spacing w:after="120"/>
              <w:jc w:val="center"/>
              <w:rPr>
                <w:szCs w:val="22"/>
              </w:rPr>
            </w:pPr>
            <w:r>
              <w:rPr>
                <w:szCs w:val="22"/>
              </w:rPr>
              <w:t>–</w:t>
            </w:r>
            <w:r w:rsidR="003539C6">
              <w:rPr>
                <w:szCs w:val="22"/>
              </w:rPr>
              <w:t>29</w:t>
            </w:r>
            <w:r w:rsidR="00A06C4F">
              <w:rPr>
                <w:szCs w:val="22"/>
              </w:rPr>
              <w:t xml:space="preserve"> </w:t>
            </w:r>
            <w:r w:rsidR="003539C6">
              <w:rPr>
                <w:szCs w:val="22"/>
              </w:rPr>
              <w:t>dBW</w:t>
            </w:r>
          </w:p>
        </w:tc>
        <w:tc>
          <w:tcPr>
            <w:tcW w:w="3117" w:type="dxa"/>
          </w:tcPr>
          <w:p w:rsidR="00DA3678" w:rsidP="00A46F9B" w14:paraId="13E2C897" w14:textId="692F4426">
            <w:pPr>
              <w:spacing w:after="120"/>
              <w:jc w:val="center"/>
              <w:rPr>
                <w:szCs w:val="22"/>
              </w:rPr>
            </w:pPr>
            <w:r>
              <w:rPr>
                <w:szCs w:val="22"/>
              </w:rPr>
              <w:t>–</w:t>
            </w:r>
            <w:r w:rsidR="00DA0FA9">
              <w:rPr>
                <w:szCs w:val="22"/>
              </w:rPr>
              <w:t>35 dBW</w:t>
            </w:r>
          </w:p>
        </w:tc>
      </w:tr>
    </w:tbl>
    <w:p w:rsidR="00DA3678" w:rsidP="003C3198" w14:paraId="7266596B" w14:textId="77777777">
      <w:pPr>
        <w:spacing w:after="120"/>
        <w:ind w:firstLine="720"/>
        <w:rPr>
          <w:szCs w:val="22"/>
        </w:rPr>
      </w:pPr>
    </w:p>
    <w:p w:rsidR="00127A86" w:rsidRPr="003B32D2" w:rsidP="00C73F1B" w14:paraId="112A182D" w14:textId="5AEB4043">
      <w:pPr>
        <w:spacing w:after="120"/>
        <w:ind w:firstLine="720"/>
        <w:rPr>
          <w:szCs w:val="22"/>
        </w:rPr>
      </w:pPr>
      <w:r>
        <w:rPr>
          <w:szCs w:val="22"/>
        </w:rPr>
        <w:t>The</w:t>
      </w:r>
      <w:r w:rsidRPr="00127A86">
        <w:rPr>
          <w:szCs w:val="22"/>
        </w:rPr>
        <w:t xml:space="preserve"> WRC-19</w:t>
      </w:r>
      <w:r>
        <w:rPr>
          <w:szCs w:val="22"/>
        </w:rPr>
        <w:t xml:space="preserve"> Final Acts </w:t>
      </w:r>
      <w:r w:rsidRPr="00127A86">
        <w:rPr>
          <w:szCs w:val="22"/>
        </w:rPr>
        <w:t>update</w:t>
      </w:r>
      <w:r w:rsidR="003147EF">
        <w:rPr>
          <w:szCs w:val="22"/>
        </w:rPr>
        <w:t>d</w:t>
      </w:r>
      <w:r w:rsidRPr="00127A86">
        <w:rPr>
          <w:szCs w:val="22"/>
        </w:rPr>
        <w:t xml:space="preserve"> </w:t>
      </w:r>
      <w:r>
        <w:rPr>
          <w:szCs w:val="22"/>
        </w:rPr>
        <w:t>the</w:t>
      </w:r>
      <w:r w:rsidRPr="00127A86">
        <w:rPr>
          <w:szCs w:val="22"/>
        </w:rPr>
        <w:t xml:space="preserve"> </w:t>
      </w:r>
      <w:r w:rsidR="003B32D2">
        <w:rPr>
          <w:szCs w:val="22"/>
        </w:rPr>
        <w:t xml:space="preserve">ITU </w:t>
      </w:r>
      <w:r w:rsidRPr="00127A86">
        <w:rPr>
          <w:szCs w:val="22"/>
        </w:rPr>
        <w:t>Radio Regulations</w:t>
      </w:r>
      <w:r>
        <w:rPr>
          <w:szCs w:val="22"/>
        </w:rPr>
        <w:t>,</w:t>
      </w:r>
      <w:r w:rsidRPr="00127A86">
        <w:rPr>
          <w:szCs w:val="22"/>
        </w:rPr>
        <w:t xml:space="preserve"> includ</w:t>
      </w:r>
      <w:r>
        <w:rPr>
          <w:szCs w:val="22"/>
        </w:rPr>
        <w:t>ing</w:t>
      </w:r>
      <w:r w:rsidRPr="00127A86">
        <w:rPr>
          <w:szCs w:val="22"/>
        </w:rPr>
        <w:t xml:space="preserve"> Resolution 750.</w:t>
      </w:r>
      <w:r>
        <w:rPr>
          <w:rStyle w:val="FootnoteReference"/>
          <w:szCs w:val="22"/>
        </w:rPr>
        <w:footnoteReference w:id="16"/>
      </w:r>
      <w:r>
        <w:rPr>
          <w:szCs w:val="22"/>
        </w:rPr>
        <w:t xml:space="preserve"> </w:t>
      </w:r>
      <w:r w:rsidRPr="00127A86">
        <w:rPr>
          <w:szCs w:val="22"/>
        </w:rPr>
        <w:t xml:space="preserve"> NTIA, FCC, and the Department of State share responsibility for implementing the </w:t>
      </w:r>
      <w:r w:rsidR="00DE11A7">
        <w:rPr>
          <w:szCs w:val="22"/>
        </w:rPr>
        <w:t xml:space="preserve">WRC </w:t>
      </w:r>
      <w:r w:rsidRPr="00127A86">
        <w:rPr>
          <w:szCs w:val="22"/>
        </w:rPr>
        <w:t>Final Acts in the United States</w:t>
      </w:r>
      <w:r w:rsidR="003147EF">
        <w:rPr>
          <w:szCs w:val="22"/>
        </w:rPr>
        <w:t xml:space="preserve">.  The </w:t>
      </w:r>
      <w:r w:rsidRPr="00127A86">
        <w:rPr>
          <w:szCs w:val="22"/>
        </w:rPr>
        <w:t xml:space="preserve">Commission </w:t>
      </w:r>
      <w:r w:rsidR="003147EF">
        <w:rPr>
          <w:szCs w:val="22"/>
        </w:rPr>
        <w:t xml:space="preserve">has authority to </w:t>
      </w:r>
      <w:r w:rsidRPr="00127A86">
        <w:rPr>
          <w:szCs w:val="22"/>
        </w:rPr>
        <w:t xml:space="preserve">implement </w:t>
      </w:r>
      <w:r w:rsidR="003147EF">
        <w:rPr>
          <w:szCs w:val="22"/>
        </w:rPr>
        <w:t xml:space="preserve">the changes to the Radio Regulations through its </w:t>
      </w:r>
      <w:r>
        <w:rPr>
          <w:szCs w:val="22"/>
        </w:rPr>
        <w:t>rulemaking proceeding</w:t>
      </w:r>
      <w:r w:rsidR="003B32D2">
        <w:rPr>
          <w:szCs w:val="22"/>
        </w:rPr>
        <w:t>s</w:t>
      </w:r>
      <w:r w:rsidRPr="00127A86">
        <w:rPr>
          <w:szCs w:val="22"/>
        </w:rPr>
        <w:t>.</w:t>
      </w:r>
      <w:r>
        <w:rPr>
          <w:szCs w:val="22"/>
        </w:rPr>
        <w:t xml:space="preserve"> </w:t>
      </w:r>
      <w:r w:rsidRPr="00127A86">
        <w:rPr>
          <w:szCs w:val="22"/>
        </w:rPr>
        <w:t xml:space="preserve"> Given the importance of </w:t>
      </w:r>
      <w:r w:rsidR="00DE11A7">
        <w:rPr>
          <w:szCs w:val="22"/>
        </w:rPr>
        <w:t xml:space="preserve">limiting </w:t>
      </w:r>
      <w:r w:rsidR="005D32D6">
        <w:rPr>
          <w:szCs w:val="22"/>
        </w:rPr>
        <w:t xml:space="preserve">unwanted </w:t>
      </w:r>
      <w:r w:rsidRPr="00127A86">
        <w:rPr>
          <w:szCs w:val="22"/>
        </w:rPr>
        <w:t xml:space="preserve">emissions into the passive 23.6-24.0 GHz band, we seek to develop a record on </w:t>
      </w:r>
      <w:r w:rsidR="003147EF">
        <w:rPr>
          <w:szCs w:val="22"/>
        </w:rPr>
        <w:t>implementing</w:t>
      </w:r>
      <w:r w:rsidRPr="00127A86">
        <w:rPr>
          <w:szCs w:val="22"/>
        </w:rPr>
        <w:t xml:space="preserve"> </w:t>
      </w:r>
      <w:r w:rsidR="003147EF">
        <w:rPr>
          <w:szCs w:val="22"/>
        </w:rPr>
        <w:t>the changes to the emission limit in Resolution 750 applicable to active services in the 24 GHz band</w:t>
      </w:r>
      <w:r w:rsidRPr="00127A86">
        <w:rPr>
          <w:szCs w:val="22"/>
        </w:rPr>
        <w:t>.</w:t>
      </w:r>
    </w:p>
    <w:p w:rsidR="00516CC6" w:rsidP="00516CC6" w14:paraId="742A78E1" w14:textId="5A1E3999">
      <w:pPr>
        <w:spacing w:after="120"/>
        <w:ind w:firstLine="720"/>
        <w:rPr>
          <w:szCs w:val="22"/>
        </w:rPr>
      </w:pPr>
      <w:r w:rsidRPr="00C5703B">
        <w:rPr>
          <w:i/>
          <w:iCs/>
          <w:szCs w:val="22"/>
        </w:rPr>
        <w:t>Discussion</w:t>
      </w:r>
      <w:r>
        <w:rPr>
          <w:szCs w:val="22"/>
        </w:rPr>
        <w:t xml:space="preserve">.  </w:t>
      </w:r>
      <w:r>
        <w:rPr>
          <w:szCs w:val="22"/>
        </w:rPr>
        <w:t>The Office of Engineering and Technology and the Wireless Telecommunications Bureau</w:t>
      </w:r>
      <w:r w:rsidRPr="004E05FD">
        <w:rPr>
          <w:szCs w:val="22"/>
        </w:rPr>
        <w:t xml:space="preserve"> seek </w:t>
      </w:r>
      <w:r>
        <w:rPr>
          <w:szCs w:val="22"/>
        </w:rPr>
        <w:t xml:space="preserve">comment broadly on </w:t>
      </w:r>
      <w:r w:rsidR="00C73F1B">
        <w:rPr>
          <w:szCs w:val="22"/>
        </w:rPr>
        <w:t xml:space="preserve">implementing </w:t>
      </w:r>
      <w:r w:rsidR="007930C0">
        <w:rPr>
          <w:szCs w:val="22"/>
        </w:rPr>
        <w:t xml:space="preserve">certain of </w:t>
      </w:r>
      <w:r w:rsidR="003F7AD1">
        <w:rPr>
          <w:szCs w:val="22"/>
        </w:rPr>
        <w:t xml:space="preserve">the WRC-19 outcomes with respect to the 24.25-27.5 GHz band.  Noting that the United States is a signatory to the treaty text of the </w:t>
      </w:r>
      <w:r w:rsidRPr="00C73F1B" w:rsidR="003F7AD1">
        <w:rPr>
          <w:szCs w:val="22"/>
        </w:rPr>
        <w:t>Radio Regulations</w:t>
      </w:r>
      <w:r w:rsidR="003F7AD1">
        <w:rPr>
          <w:szCs w:val="22"/>
        </w:rPr>
        <w:t xml:space="preserve">, we seek comment on modifying </w:t>
      </w:r>
      <w:r>
        <w:rPr>
          <w:szCs w:val="22"/>
        </w:rPr>
        <w:t xml:space="preserve">the Commission’s rules </w:t>
      </w:r>
      <w:r w:rsidR="00DC2F58">
        <w:rPr>
          <w:szCs w:val="22"/>
        </w:rPr>
        <w:t>in response to</w:t>
      </w:r>
      <w:r>
        <w:rPr>
          <w:szCs w:val="22"/>
        </w:rPr>
        <w:t xml:space="preserve"> the </w:t>
      </w:r>
      <w:r w:rsidR="007930C0">
        <w:rPr>
          <w:szCs w:val="22"/>
        </w:rPr>
        <w:t xml:space="preserve">unwanted </w:t>
      </w:r>
      <w:r>
        <w:rPr>
          <w:szCs w:val="22"/>
        </w:rPr>
        <w:t xml:space="preserve">emission limits and international allocation table footnotes adopted for the 24.25-27.5 GHz band at the WRC-19.  These rule changes could include, for example, adding footnotes to the United States Table of Frequency Allocations or </w:t>
      </w:r>
      <w:r w:rsidR="003F7AD1">
        <w:rPr>
          <w:szCs w:val="22"/>
        </w:rPr>
        <w:t>aligning</w:t>
      </w:r>
      <w:r>
        <w:rPr>
          <w:szCs w:val="22"/>
        </w:rPr>
        <w:t xml:space="preserve"> the </w:t>
      </w:r>
      <w:r w:rsidR="006F4A00">
        <w:rPr>
          <w:szCs w:val="22"/>
        </w:rPr>
        <w:t>Commission’s</w:t>
      </w:r>
      <w:r>
        <w:rPr>
          <w:szCs w:val="22"/>
        </w:rPr>
        <w:t xml:space="preserve"> technical rules.</w:t>
      </w:r>
      <w:r>
        <w:rPr>
          <w:rStyle w:val="FootnoteReference"/>
          <w:szCs w:val="22"/>
        </w:rPr>
        <w:footnoteReference w:id="17"/>
      </w:r>
      <w:r>
        <w:rPr>
          <w:szCs w:val="22"/>
        </w:rPr>
        <w:t xml:space="preserve">  </w:t>
      </w:r>
    </w:p>
    <w:p w:rsidR="005B722C" w:rsidP="003C3198" w14:paraId="01163F4C" w14:textId="5B3FDD13">
      <w:pPr>
        <w:spacing w:after="120"/>
        <w:ind w:firstLine="720"/>
        <w:rPr>
          <w:szCs w:val="22"/>
        </w:rPr>
      </w:pPr>
      <w:r>
        <w:rPr>
          <w:szCs w:val="22"/>
        </w:rPr>
        <w:t xml:space="preserve">Appropriate out-of-band emission limits in the 24.25-27.5 GHz band are important to protect passive sensing operations in the 23.6-24.0 GHz band.  </w:t>
      </w:r>
      <w:r w:rsidR="004B47B8">
        <w:rPr>
          <w:szCs w:val="22"/>
        </w:rPr>
        <w:t>The</w:t>
      </w:r>
      <w:r w:rsidR="005D32D6">
        <w:rPr>
          <w:szCs w:val="22"/>
        </w:rPr>
        <w:t xml:space="preserve"> </w:t>
      </w:r>
      <w:r w:rsidR="004B47B8">
        <w:rPr>
          <w:szCs w:val="22"/>
        </w:rPr>
        <w:t xml:space="preserve">limits adopted at WRC-19 </w:t>
      </w:r>
      <w:r w:rsidR="001C4B13">
        <w:rPr>
          <w:szCs w:val="22"/>
        </w:rPr>
        <w:t>are to be measured within a 200</w:t>
      </w:r>
      <w:r w:rsidR="00C73F1B">
        <w:rPr>
          <w:szCs w:val="22"/>
        </w:rPr>
        <w:t>-</w:t>
      </w:r>
      <w:r w:rsidR="001C4B13">
        <w:rPr>
          <w:szCs w:val="22"/>
        </w:rPr>
        <w:t>megahertz bandwidth within the 400</w:t>
      </w:r>
      <w:r w:rsidR="00C73F1B">
        <w:rPr>
          <w:szCs w:val="22"/>
        </w:rPr>
        <w:t>-</w:t>
      </w:r>
      <w:r w:rsidR="001C4B13">
        <w:rPr>
          <w:szCs w:val="22"/>
        </w:rPr>
        <w:t>megahertz 23.6-24 GHz passive band.</w:t>
      </w:r>
      <w:r w:rsidR="004B47B8">
        <w:rPr>
          <w:szCs w:val="22"/>
        </w:rPr>
        <w:t xml:space="preserve">  </w:t>
      </w:r>
      <w:r w:rsidR="00DA4378">
        <w:rPr>
          <w:szCs w:val="22"/>
        </w:rPr>
        <w:t xml:space="preserve">For comparison with the </w:t>
      </w:r>
      <w:r w:rsidR="00A8177D">
        <w:rPr>
          <w:szCs w:val="22"/>
        </w:rPr>
        <w:t>Resolution 750 unwanted emission limit,</w:t>
      </w:r>
      <w:r w:rsidR="00AA183C">
        <w:rPr>
          <w:szCs w:val="22"/>
        </w:rPr>
        <w:t xml:space="preserve"> a </w:t>
      </w:r>
      <w:r w:rsidR="00F2280F">
        <w:rPr>
          <w:szCs w:val="22"/>
        </w:rPr>
        <w:t xml:space="preserve">signal at </w:t>
      </w:r>
      <w:r w:rsidR="00C447BB">
        <w:rPr>
          <w:szCs w:val="22"/>
        </w:rPr>
        <w:t>–</w:t>
      </w:r>
      <w:r w:rsidR="00AA183C">
        <w:rPr>
          <w:szCs w:val="22"/>
        </w:rPr>
        <w:t>13 dBm/MHz</w:t>
      </w:r>
      <w:r w:rsidR="00237612">
        <w:rPr>
          <w:szCs w:val="22"/>
        </w:rPr>
        <w:t xml:space="preserve"> (conductive or TRP)</w:t>
      </w:r>
      <w:r>
        <w:rPr>
          <w:rStyle w:val="FootnoteReference"/>
          <w:szCs w:val="22"/>
        </w:rPr>
        <w:footnoteReference w:id="18"/>
      </w:r>
      <w:r w:rsidR="00AA183C">
        <w:rPr>
          <w:szCs w:val="22"/>
        </w:rPr>
        <w:t xml:space="preserve"> would result in </w:t>
      </w:r>
      <w:r w:rsidR="00C447BB">
        <w:rPr>
          <w:szCs w:val="22"/>
        </w:rPr>
        <w:t>–20 dBW within a 200</w:t>
      </w:r>
      <w:r w:rsidR="00C73F1B">
        <w:rPr>
          <w:szCs w:val="22"/>
        </w:rPr>
        <w:t>-</w:t>
      </w:r>
      <w:r w:rsidR="004E3B20">
        <w:rPr>
          <w:szCs w:val="22"/>
        </w:rPr>
        <w:t xml:space="preserve">megahertz bandwidth.  However, </w:t>
      </w:r>
      <w:r w:rsidR="00356F5B">
        <w:rPr>
          <w:szCs w:val="22"/>
        </w:rPr>
        <w:t>we</w:t>
      </w:r>
      <w:r w:rsidR="004E3B20">
        <w:rPr>
          <w:szCs w:val="22"/>
        </w:rPr>
        <w:t xml:space="preserve"> note that the</w:t>
      </w:r>
      <w:r w:rsidR="004F55E5">
        <w:rPr>
          <w:szCs w:val="22"/>
        </w:rPr>
        <w:t xml:space="preserve"> –13 dBm/MHz </w:t>
      </w:r>
      <w:r w:rsidR="00F2280F">
        <w:rPr>
          <w:szCs w:val="22"/>
        </w:rPr>
        <w:t xml:space="preserve">emission </w:t>
      </w:r>
      <w:r w:rsidR="004F55E5">
        <w:rPr>
          <w:szCs w:val="22"/>
        </w:rPr>
        <w:t>limit applies at the edge of the UMFUS band—</w:t>
      </w:r>
      <w:r w:rsidRPr="00C73F1B" w:rsidR="004F55E5">
        <w:rPr>
          <w:i/>
          <w:iCs/>
          <w:szCs w:val="22"/>
        </w:rPr>
        <w:t>i.e</w:t>
      </w:r>
      <w:r w:rsidR="004F55E5">
        <w:rPr>
          <w:szCs w:val="22"/>
        </w:rPr>
        <w:t xml:space="preserve">. </w:t>
      </w:r>
      <w:r w:rsidR="009E387E">
        <w:rPr>
          <w:szCs w:val="22"/>
        </w:rPr>
        <w:t>24.25 GHz.</w:t>
      </w:r>
      <w:r>
        <w:rPr>
          <w:rStyle w:val="FootnoteReference"/>
          <w:szCs w:val="22"/>
        </w:rPr>
        <w:footnoteReference w:id="19"/>
      </w:r>
      <w:r w:rsidR="009E387E">
        <w:rPr>
          <w:szCs w:val="22"/>
        </w:rPr>
        <w:t xml:space="preserve">  </w:t>
      </w:r>
      <w:r w:rsidR="00356F5B">
        <w:rPr>
          <w:szCs w:val="22"/>
        </w:rPr>
        <w:t>Given this, we seek to</w:t>
      </w:r>
      <w:r w:rsidR="004B47B8">
        <w:rPr>
          <w:szCs w:val="22"/>
        </w:rPr>
        <w:t xml:space="preserve"> </w:t>
      </w:r>
      <w:r w:rsidR="00356F5B">
        <w:rPr>
          <w:szCs w:val="22"/>
        </w:rPr>
        <w:t xml:space="preserve">understand </w:t>
      </w:r>
      <w:r w:rsidR="001C4B13">
        <w:rPr>
          <w:szCs w:val="22"/>
        </w:rPr>
        <w:t>what level of emissions can be expected</w:t>
      </w:r>
      <w:r w:rsidR="00F64F89">
        <w:rPr>
          <w:szCs w:val="22"/>
        </w:rPr>
        <w:t xml:space="preserve"> </w:t>
      </w:r>
      <w:r w:rsidR="001C4B13">
        <w:rPr>
          <w:szCs w:val="22"/>
        </w:rPr>
        <w:t>within the 23.6-24 GHz band</w:t>
      </w:r>
      <w:r w:rsidR="00F64F89">
        <w:rPr>
          <w:szCs w:val="22"/>
        </w:rPr>
        <w:t xml:space="preserve"> from UMFUS transmitters</w:t>
      </w:r>
      <w:r w:rsidR="00F05E0E">
        <w:rPr>
          <w:szCs w:val="22"/>
        </w:rPr>
        <w:t>,</w:t>
      </w:r>
      <w:r w:rsidR="00F64F89">
        <w:rPr>
          <w:szCs w:val="22"/>
        </w:rPr>
        <w:t xml:space="preserve"> and </w:t>
      </w:r>
      <w:r w:rsidR="00356F5B">
        <w:rPr>
          <w:szCs w:val="22"/>
        </w:rPr>
        <w:t xml:space="preserve">whether and to what extent harmful interference to passive systems operating in the 23.6-24.0 GHz band is expected to occur from new 5G deployments at the current UMFUS limit.  </w:t>
      </w:r>
    </w:p>
    <w:p w:rsidR="00356F5B" w:rsidP="003C3198" w14:paraId="4F46FDD2" w14:textId="1D750F1D">
      <w:pPr>
        <w:spacing w:after="120"/>
        <w:ind w:firstLine="720"/>
        <w:rPr>
          <w:szCs w:val="22"/>
        </w:rPr>
      </w:pPr>
      <w:r>
        <w:rPr>
          <w:szCs w:val="22"/>
        </w:rPr>
        <w:t>Recognizing that t</w:t>
      </w:r>
      <w:r w:rsidR="00AA3CD3">
        <w:rPr>
          <w:szCs w:val="22"/>
        </w:rPr>
        <w:t xml:space="preserve">he unwanted emission limits in Resolution 750 </w:t>
      </w:r>
      <w:r>
        <w:rPr>
          <w:szCs w:val="22"/>
        </w:rPr>
        <w:t>and</w:t>
      </w:r>
      <w:r w:rsidR="00AA3CD3">
        <w:rPr>
          <w:szCs w:val="22"/>
        </w:rPr>
        <w:t xml:space="preserve"> the current</w:t>
      </w:r>
      <w:r w:rsidR="009E327C">
        <w:rPr>
          <w:szCs w:val="22"/>
        </w:rPr>
        <w:t xml:space="preserve"> out-of-band emission limits in the UMFUS rules</w:t>
      </w:r>
      <w:r>
        <w:rPr>
          <w:szCs w:val="22"/>
        </w:rPr>
        <w:t xml:space="preserve"> are specified differently,</w:t>
      </w:r>
      <w:r w:rsidR="009E327C">
        <w:rPr>
          <w:szCs w:val="22"/>
        </w:rPr>
        <w:t xml:space="preserve"> </w:t>
      </w:r>
      <w:r>
        <w:rPr>
          <w:szCs w:val="22"/>
        </w:rPr>
        <w:t xml:space="preserve">and further recognizing the </w:t>
      </w:r>
      <w:r w:rsidR="001C4B13">
        <w:rPr>
          <w:szCs w:val="22"/>
        </w:rPr>
        <w:t>two-phased</w:t>
      </w:r>
      <w:r>
        <w:rPr>
          <w:szCs w:val="22"/>
        </w:rPr>
        <w:t xml:space="preserve"> approach for the </w:t>
      </w:r>
      <w:r w:rsidR="00977640">
        <w:rPr>
          <w:szCs w:val="22"/>
        </w:rPr>
        <w:t xml:space="preserve">unwanted emissions </w:t>
      </w:r>
      <w:r>
        <w:rPr>
          <w:szCs w:val="22"/>
        </w:rPr>
        <w:t xml:space="preserve">limits that were adopted in WRC-19, </w:t>
      </w:r>
      <w:r>
        <w:rPr>
          <w:szCs w:val="22"/>
        </w:rPr>
        <w:t>w</w:t>
      </w:r>
      <w:r w:rsidR="00D4750D">
        <w:rPr>
          <w:szCs w:val="22"/>
        </w:rPr>
        <w:t xml:space="preserve">e seek </w:t>
      </w:r>
      <w:r>
        <w:rPr>
          <w:szCs w:val="22"/>
        </w:rPr>
        <w:t>information</w:t>
      </w:r>
      <w:r w:rsidR="00D4750D">
        <w:rPr>
          <w:szCs w:val="22"/>
        </w:rPr>
        <w:t xml:space="preserve"> on whether </w:t>
      </w:r>
      <w:r w:rsidR="004B47B8">
        <w:rPr>
          <w:szCs w:val="22"/>
        </w:rPr>
        <w:t xml:space="preserve">and </w:t>
      </w:r>
      <w:r>
        <w:rPr>
          <w:szCs w:val="22"/>
        </w:rPr>
        <w:t xml:space="preserve">how </w:t>
      </w:r>
      <w:r w:rsidR="00D4750D">
        <w:rPr>
          <w:szCs w:val="22"/>
        </w:rPr>
        <w:t>equipment</w:t>
      </w:r>
      <w:r w:rsidR="00010AEC">
        <w:rPr>
          <w:szCs w:val="22"/>
        </w:rPr>
        <w:t xml:space="preserve"> </w:t>
      </w:r>
      <w:r w:rsidR="000A28BE">
        <w:rPr>
          <w:szCs w:val="22"/>
        </w:rPr>
        <w:t>intended</w:t>
      </w:r>
      <w:r w:rsidR="00010AEC">
        <w:rPr>
          <w:szCs w:val="22"/>
        </w:rPr>
        <w:t xml:space="preserve"> for use under the UMFUS rules </w:t>
      </w:r>
      <w:r w:rsidR="00437519">
        <w:rPr>
          <w:szCs w:val="22"/>
        </w:rPr>
        <w:t xml:space="preserve">in the 24.25-24.45 GHz and </w:t>
      </w:r>
      <w:r w:rsidRPr="00A32C46" w:rsidR="00437519">
        <w:rPr>
          <w:szCs w:val="22"/>
        </w:rPr>
        <w:t>24.75-25.25 GHz</w:t>
      </w:r>
      <w:r w:rsidR="00437519">
        <w:rPr>
          <w:szCs w:val="22"/>
        </w:rPr>
        <w:t xml:space="preserve"> bands </w:t>
      </w:r>
      <w:r w:rsidR="00010AEC">
        <w:rPr>
          <w:szCs w:val="22"/>
        </w:rPr>
        <w:t xml:space="preserve">can be designed to conform </w:t>
      </w:r>
      <w:r w:rsidR="000A28BE">
        <w:rPr>
          <w:szCs w:val="22"/>
        </w:rPr>
        <w:t xml:space="preserve">to </w:t>
      </w:r>
      <w:r w:rsidR="00010AEC">
        <w:rPr>
          <w:szCs w:val="22"/>
        </w:rPr>
        <w:t>the Resolution 750 lim</w:t>
      </w:r>
      <w:r w:rsidR="00DF5E2C">
        <w:rPr>
          <w:szCs w:val="22"/>
        </w:rPr>
        <w:t>i</w:t>
      </w:r>
      <w:r w:rsidR="00010AEC">
        <w:rPr>
          <w:szCs w:val="22"/>
        </w:rPr>
        <w:t xml:space="preserve">ts—both the current limits and the </w:t>
      </w:r>
      <w:r w:rsidR="00E408B3">
        <w:rPr>
          <w:szCs w:val="22"/>
        </w:rPr>
        <w:t>more restricti</w:t>
      </w:r>
      <w:r w:rsidR="00E14218">
        <w:rPr>
          <w:szCs w:val="22"/>
        </w:rPr>
        <w:t>ve</w:t>
      </w:r>
      <w:r w:rsidR="00010AEC">
        <w:rPr>
          <w:szCs w:val="22"/>
        </w:rPr>
        <w:t xml:space="preserve"> limits that </w:t>
      </w:r>
      <w:r w:rsidR="00D54128">
        <w:rPr>
          <w:szCs w:val="22"/>
        </w:rPr>
        <w:t>apply</w:t>
      </w:r>
      <w:r w:rsidR="00010AEC">
        <w:rPr>
          <w:szCs w:val="22"/>
        </w:rPr>
        <w:t xml:space="preserve"> to new equipment </w:t>
      </w:r>
      <w:r w:rsidR="006B2970">
        <w:rPr>
          <w:szCs w:val="22"/>
        </w:rPr>
        <w:t xml:space="preserve">brought into use </w:t>
      </w:r>
      <w:r w:rsidR="00010AEC">
        <w:rPr>
          <w:szCs w:val="22"/>
        </w:rPr>
        <w:t>after September 1, 2027.</w:t>
      </w:r>
      <w:r>
        <w:rPr>
          <w:szCs w:val="22"/>
        </w:rPr>
        <w:t xml:space="preserve">  </w:t>
      </w:r>
      <w:r w:rsidR="007930C0">
        <w:rPr>
          <w:szCs w:val="22"/>
        </w:rPr>
        <w:t xml:space="preserve">Can licensees meet the WRC-19 TRP limits by the relevant deadlines?  </w:t>
      </w:r>
      <w:r>
        <w:rPr>
          <w:szCs w:val="22"/>
        </w:rPr>
        <w:t xml:space="preserve">Is it possible that licensees can meet the </w:t>
      </w:r>
      <w:r w:rsidR="0068580C">
        <w:rPr>
          <w:szCs w:val="22"/>
        </w:rPr>
        <w:t>–</w:t>
      </w:r>
      <w:r>
        <w:rPr>
          <w:szCs w:val="22"/>
        </w:rPr>
        <w:t xml:space="preserve">39 dBW limit for IMT base stations and the </w:t>
      </w:r>
      <w:r w:rsidR="0068580C">
        <w:rPr>
          <w:szCs w:val="22"/>
        </w:rPr>
        <w:t>–</w:t>
      </w:r>
      <w:r>
        <w:rPr>
          <w:szCs w:val="22"/>
        </w:rPr>
        <w:t xml:space="preserve">35 dBW limit for IMT </w:t>
      </w:r>
      <w:r w:rsidR="00F05E0E">
        <w:rPr>
          <w:szCs w:val="22"/>
        </w:rPr>
        <w:t>m</w:t>
      </w:r>
      <w:r>
        <w:rPr>
          <w:szCs w:val="22"/>
        </w:rPr>
        <w:t xml:space="preserve">obile </w:t>
      </w:r>
      <w:r w:rsidR="00F05E0E">
        <w:rPr>
          <w:szCs w:val="22"/>
        </w:rPr>
        <w:t>s</w:t>
      </w:r>
      <w:r>
        <w:rPr>
          <w:szCs w:val="22"/>
        </w:rPr>
        <w:t xml:space="preserve">tations prior to 2027?  </w:t>
      </w:r>
      <w:r>
        <w:rPr>
          <w:szCs w:val="22"/>
        </w:rPr>
        <w:t>What steps</w:t>
      </w:r>
      <w:r w:rsidR="00C5703B">
        <w:rPr>
          <w:szCs w:val="22"/>
        </w:rPr>
        <w:t>, if any,</w:t>
      </w:r>
      <w:r>
        <w:rPr>
          <w:szCs w:val="22"/>
        </w:rPr>
        <w:t xml:space="preserve"> can the Commission take </w:t>
      </w:r>
      <w:r w:rsidR="004B47B8">
        <w:rPr>
          <w:szCs w:val="22"/>
        </w:rPr>
        <w:t xml:space="preserve">to help accelerate development and deployment of equipment that complies with the post-2027 limits?  </w:t>
      </w:r>
    </w:p>
    <w:p w:rsidR="0008492D" w:rsidP="003C3198" w14:paraId="27BF20E3" w14:textId="0B3F6A68">
      <w:pPr>
        <w:spacing w:after="120"/>
        <w:ind w:firstLine="720"/>
        <w:rPr>
          <w:szCs w:val="22"/>
        </w:rPr>
      </w:pPr>
      <w:r>
        <w:rPr>
          <w:szCs w:val="22"/>
        </w:rPr>
        <w:t xml:space="preserve"> </w:t>
      </w:r>
      <w:r w:rsidR="00F44FA6">
        <w:rPr>
          <w:szCs w:val="22"/>
        </w:rPr>
        <w:t xml:space="preserve"> </w:t>
      </w:r>
      <w:r w:rsidR="007930C0">
        <w:rPr>
          <w:szCs w:val="22"/>
        </w:rPr>
        <w:t xml:space="preserve">We note that </w:t>
      </w:r>
      <w:r>
        <w:rPr>
          <w:szCs w:val="22"/>
        </w:rPr>
        <w:t>Resolution 750 specifies TRP as the only means of meeting the required emission limit</w:t>
      </w:r>
      <w:r w:rsidR="00F44FA6">
        <w:rPr>
          <w:szCs w:val="22"/>
        </w:rPr>
        <w:t>s</w:t>
      </w:r>
      <w:r>
        <w:rPr>
          <w:szCs w:val="22"/>
        </w:rPr>
        <w:t xml:space="preserve">.  </w:t>
      </w:r>
      <w:r w:rsidR="0068580C">
        <w:rPr>
          <w:szCs w:val="22"/>
        </w:rPr>
        <w:t xml:space="preserve">Are there any difficulties in performing over the air TRP measurements at such low signal levels in the 24.25-24.45 GHz and </w:t>
      </w:r>
      <w:r w:rsidRPr="00A32C46" w:rsidR="0068580C">
        <w:rPr>
          <w:szCs w:val="22"/>
        </w:rPr>
        <w:t>24.75-25.25 GHz</w:t>
      </w:r>
      <w:r w:rsidR="0068580C">
        <w:rPr>
          <w:szCs w:val="22"/>
        </w:rPr>
        <w:t xml:space="preserve"> bands?  </w:t>
      </w:r>
      <w:r>
        <w:rPr>
          <w:szCs w:val="22"/>
        </w:rPr>
        <w:t xml:space="preserve">Consistent with the current UMFUS rules, should </w:t>
      </w:r>
      <w:r w:rsidR="0034283B">
        <w:rPr>
          <w:szCs w:val="22"/>
        </w:rPr>
        <w:t xml:space="preserve">a </w:t>
      </w:r>
      <w:r>
        <w:rPr>
          <w:szCs w:val="22"/>
        </w:rPr>
        <w:t>conductive power methodology also be included as a</w:t>
      </w:r>
      <w:r w:rsidR="0034283B">
        <w:rPr>
          <w:szCs w:val="22"/>
        </w:rPr>
        <w:t>n a</w:t>
      </w:r>
      <w:r>
        <w:rPr>
          <w:szCs w:val="22"/>
        </w:rPr>
        <w:t>lternative means for equipment certification?</w:t>
      </w:r>
      <w:r w:rsidR="00F44FA6">
        <w:rPr>
          <w:szCs w:val="22"/>
        </w:rPr>
        <w:t xml:space="preserve"> </w:t>
      </w:r>
      <w:r>
        <w:rPr>
          <w:szCs w:val="22"/>
        </w:rPr>
        <w:t xml:space="preserve"> </w:t>
      </w:r>
    </w:p>
    <w:p w:rsidR="00BA7EAE" w:rsidP="003F25DA" w14:paraId="39B9B470" w14:textId="602C7D41">
      <w:pPr>
        <w:spacing w:after="120"/>
        <w:ind w:firstLine="720"/>
        <w:rPr>
          <w:szCs w:val="22"/>
        </w:rPr>
      </w:pPr>
      <w:r>
        <w:rPr>
          <w:szCs w:val="22"/>
        </w:rPr>
        <w:t xml:space="preserve">The UMFUS rules allow licensees flexibility as to the services they will deploy and the architecture of their networks.  </w:t>
      </w:r>
      <w:r w:rsidR="00E2114B">
        <w:rPr>
          <w:szCs w:val="22"/>
        </w:rPr>
        <w:t>Under these rules licensees will be</w:t>
      </w:r>
      <w:r w:rsidR="004028A4">
        <w:rPr>
          <w:szCs w:val="22"/>
        </w:rPr>
        <w:t xml:space="preserve"> </w:t>
      </w:r>
      <w:r w:rsidR="004B6D83">
        <w:rPr>
          <w:szCs w:val="22"/>
        </w:rPr>
        <w:t xml:space="preserve">able to </w:t>
      </w:r>
      <w:r w:rsidR="00FB3E6E">
        <w:rPr>
          <w:szCs w:val="22"/>
        </w:rPr>
        <w:t>deploy mobile services</w:t>
      </w:r>
      <w:r w:rsidR="000D7917">
        <w:rPr>
          <w:szCs w:val="22"/>
        </w:rPr>
        <w:t>.</w:t>
      </w:r>
      <w:r>
        <w:rPr>
          <w:rStyle w:val="FootnoteReference"/>
          <w:szCs w:val="22"/>
        </w:rPr>
        <w:footnoteReference w:id="20"/>
      </w:r>
      <w:r w:rsidR="000D7917">
        <w:rPr>
          <w:szCs w:val="22"/>
        </w:rPr>
        <w:t xml:space="preserve">  </w:t>
      </w:r>
      <w:r w:rsidR="009C60DF">
        <w:rPr>
          <w:szCs w:val="22"/>
        </w:rPr>
        <w:t>Licensees</w:t>
      </w:r>
      <w:r w:rsidR="000D7917">
        <w:rPr>
          <w:szCs w:val="22"/>
        </w:rPr>
        <w:t xml:space="preserve"> will also have the freedom to implement point-to-point and point-to-multipoint</w:t>
      </w:r>
      <w:r w:rsidR="00E571B8">
        <w:rPr>
          <w:szCs w:val="22"/>
        </w:rPr>
        <w:t xml:space="preserve"> systems</w:t>
      </w:r>
      <w:r w:rsidR="00921C3F">
        <w:rPr>
          <w:szCs w:val="22"/>
        </w:rPr>
        <w:t>.</w:t>
      </w:r>
      <w:r>
        <w:rPr>
          <w:rStyle w:val="FootnoteReference"/>
          <w:szCs w:val="22"/>
        </w:rPr>
        <w:footnoteReference w:id="21"/>
      </w:r>
      <w:r w:rsidR="00257CF3">
        <w:rPr>
          <w:szCs w:val="22"/>
        </w:rPr>
        <w:t xml:space="preserve">  The unwanted emission limits of Resolution 750 apply only to IMT base stations and mobile stations.  The Commission’s rules do not define IMT</w:t>
      </w:r>
      <w:r w:rsidR="00A44551">
        <w:rPr>
          <w:szCs w:val="22"/>
        </w:rPr>
        <w:t xml:space="preserve"> and do not </w:t>
      </w:r>
      <w:r w:rsidR="008A1620">
        <w:rPr>
          <w:szCs w:val="22"/>
        </w:rPr>
        <w:t xml:space="preserve">require that equipment complying </w:t>
      </w:r>
      <w:r w:rsidR="00EA1352">
        <w:rPr>
          <w:szCs w:val="22"/>
        </w:rPr>
        <w:t>with a particular technical standard be used in a band licensed under the UMFUS rules.  If the Commission were to adopt the emission limits</w:t>
      </w:r>
      <w:r w:rsidR="00CA40A2">
        <w:rPr>
          <w:szCs w:val="22"/>
        </w:rPr>
        <w:t xml:space="preserve"> in Resolution 750 for the 24.25-27.5 GHz band, how should it determine to what stations these limits will apply?  </w:t>
      </w:r>
      <w:r w:rsidR="00F73BF2">
        <w:rPr>
          <w:szCs w:val="22"/>
        </w:rPr>
        <w:t xml:space="preserve">Should they only apply to systems that meet the definition of </w:t>
      </w:r>
      <w:r w:rsidR="00F2068B">
        <w:t>IMT</w:t>
      </w:r>
      <w:r w:rsidR="00F73BF2">
        <w:rPr>
          <w:szCs w:val="22"/>
        </w:rPr>
        <w:t xml:space="preserve"> as specified by the ITU?</w:t>
      </w:r>
      <w:r w:rsidR="00F45EA5">
        <w:rPr>
          <w:szCs w:val="22"/>
        </w:rPr>
        <w:t xml:space="preserve">  Should </w:t>
      </w:r>
      <w:r w:rsidR="00F569F7">
        <w:rPr>
          <w:szCs w:val="22"/>
        </w:rPr>
        <w:t xml:space="preserve">the rules apply to </w:t>
      </w:r>
      <w:r w:rsidR="00F45EA5">
        <w:rPr>
          <w:szCs w:val="22"/>
        </w:rPr>
        <w:t xml:space="preserve">point-to-point and point-to-multipoint equipment </w:t>
      </w:r>
      <w:r w:rsidR="00894917">
        <w:rPr>
          <w:szCs w:val="22"/>
        </w:rPr>
        <w:t>licensed under the UMFUS</w:t>
      </w:r>
      <w:r w:rsidR="00F45EA5">
        <w:rPr>
          <w:szCs w:val="22"/>
        </w:rPr>
        <w:t>?</w:t>
      </w:r>
      <w:r>
        <w:rPr>
          <w:rStyle w:val="FootnoteReference"/>
          <w:szCs w:val="22"/>
        </w:rPr>
        <w:footnoteReference w:id="22"/>
      </w:r>
      <w:r w:rsidR="00894917">
        <w:rPr>
          <w:szCs w:val="22"/>
        </w:rPr>
        <w:t xml:space="preserve">  Should any mobile UMFUS equipment be required to comply </w:t>
      </w:r>
      <w:r w:rsidR="0077030D">
        <w:rPr>
          <w:szCs w:val="22"/>
        </w:rPr>
        <w:t>with these unwanted emission limits regardless of the technology used, the application,</w:t>
      </w:r>
      <w:r w:rsidR="003F25DA">
        <w:rPr>
          <w:szCs w:val="22"/>
        </w:rPr>
        <w:t xml:space="preserve"> and the density of deployment?</w:t>
      </w:r>
      <w:r w:rsidR="00F45EA5">
        <w:rPr>
          <w:szCs w:val="22"/>
        </w:rPr>
        <w:t xml:space="preserve">  </w:t>
      </w:r>
      <w:r w:rsidR="00921C3F">
        <w:rPr>
          <w:szCs w:val="22"/>
        </w:rPr>
        <w:t xml:space="preserve">  </w:t>
      </w:r>
      <w:r w:rsidR="00613CB4">
        <w:rPr>
          <w:szCs w:val="22"/>
        </w:rPr>
        <w:t xml:space="preserve"> </w:t>
      </w:r>
      <w:r w:rsidR="00FD1A5F">
        <w:rPr>
          <w:szCs w:val="22"/>
        </w:rPr>
        <w:t xml:space="preserve"> </w:t>
      </w:r>
      <w:r w:rsidR="007A2332">
        <w:rPr>
          <w:szCs w:val="22"/>
        </w:rPr>
        <w:t xml:space="preserve"> </w:t>
      </w:r>
    </w:p>
    <w:bookmarkEnd w:id="0"/>
    <w:p w:rsidR="004E05FD" w:rsidRPr="004E05FD" w:rsidP="004E05FD" w14:paraId="379542E0" w14:textId="77777777">
      <w:pPr>
        <w:spacing w:after="120"/>
        <w:jc w:val="center"/>
        <w:rPr>
          <w:szCs w:val="22"/>
        </w:rPr>
      </w:pPr>
      <w:r w:rsidRPr="004E05FD">
        <w:rPr>
          <w:szCs w:val="22"/>
        </w:rPr>
        <w:t>* * *</w:t>
      </w:r>
    </w:p>
    <w:p w:rsidR="004E05FD" w:rsidP="004E05FD" w14:paraId="74334C1C" w14:textId="392E4749">
      <w:pPr>
        <w:widowControl/>
        <w:snapToGrid w:val="0"/>
        <w:spacing w:after="120"/>
        <w:ind w:firstLine="720"/>
        <w:rPr>
          <w:szCs w:val="22"/>
        </w:rPr>
      </w:pPr>
      <w:r>
        <w:rPr>
          <w:szCs w:val="22"/>
        </w:rPr>
        <w:t>I</w:t>
      </w:r>
      <w:r w:rsidRPr="004E05FD">
        <w:rPr>
          <w:szCs w:val="22"/>
        </w:rPr>
        <w:t xml:space="preserve">nterested parties may file comments and reply comments on or before the dates indicated on the first page of this document.  Comments may be filed using the Commission’s Electronic Comment Filing System (ECFS).  </w:t>
      </w:r>
      <w:r w:rsidRPr="004E05FD">
        <w:rPr>
          <w:i/>
          <w:szCs w:val="22"/>
        </w:rPr>
        <w:t>See Electronic Filing of Documents in Rulemaking Proceedings</w:t>
      </w:r>
      <w:r w:rsidRPr="004E05FD">
        <w:rPr>
          <w:szCs w:val="22"/>
        </w:rPr>
        <w:t>, 63 FR 24121 (1998).</w:t>
      </w:r>
    </w:p>
    <w:p w:rsidR="001E2716" w:rsidRPr="00B236B0" w:rsidP="001E2716" w14:paraId="0011E36A" w14:textId="77777777">
      <w:pPr>
        <w:pStyle w:val="ParaNum"/>
        <w:widowControl/>
        <w:numPr>
          <w:ilvl w:val="0"/>
          <w:numId w:val="33"/>
        </w:numPr>
      </w:pPr>
      <w:r w:rsidRPr="00B236B0">
        <w:t xml:space="preserve">Electronic Filers:  Comments may be filed electronically using the Internet by accessing the ECFS:  </w:t>
      </w:r>
      <w:hyperlink r:id="rId5" w:history="1">
        <w:r w:rsidRPr="00B236B0">
          <w:rPr>
            <w:rStyle w:val="Hyperlink"/>
          </w:rPr>
          <w:t>http://fjallfoss.fcc.gov/ecfs2/</w:t>
        </w:r>
      </w:hyperlink>
      <w:r w:rsidRPr="00B236B0">
        <w:t>.</w:t>
      </w:r>
    </w:p>
    <w:p w:rsidR="001E2716" w:rsidRPr="00B236B0" w:rsidP="001E2716" w14:paraId="494DFF59" w14:textId="77777777">
      <w:pPr>
        <w:pStyle w:val="ParaNum"/>
        <w:widowControl/>
        <w:numPr>
          <w:ilvl w:val="0"/>
          <w:numId w:val="33"/>
        </w:numPr>
      </w:pPr>
      <w:r w:rsidRPr="00B236B0">
        <w:t>Paper Filers:  Parties that choose to file by paper must file an original and one copy of each filing.  If more than one docket or rulemaking number appears in the caption of this proceeding, filers must submit two additional copies for each additional docket or rulemaking number.</w:t>
      </w:r>
    </w:p>
    <w:p w:rsidR="001E2716" w:rsidRPr="00B236B0" w:rsidP="001E2716" w14:paraId="5049C8C2" w14:textId="77777777">
      <w:pPr>
        <w:pStyle w:val="ParaNum"/>
        <w:widowControl/>
        <w:numPr>
          <w:ilvl w:val="0"/>
          <w:numId w:val="33"/>
        </w:numPr>
      </w:pPr>
      <w:r w:rsidRPr="00B236B0">
        <w:t>Filings can be sent by hand or messenger delivery, by commercial overnight courier, or by first-class or overnight U.S. Postal Service mail.  All filings must be addressed to the Commission’s Secretary, Office of the Secretary, Federal Communications Commission.</w:t>
      </w:r>
    </w:p>
    <w:p w:rsidR="001E2716" w:rsidRPr="00B236B0" w:rsidP="001E2716" w14:paraId="39A79045" w14:textId="77777777">
      <w:pPr>
        <w:pStyle w:val="ParaNum"/>
        <w:widowControl/>
        <w:numPr>
          <w:ilvl w:val="0"/>
          <w:numId w:val="32"/>
        </w:numPr>
      </w:pPr>
      <w:r w:rsidRPr="00B236B0">
        <w:t xml:space="preserve">Commercial overnight mail (other than U.S. Postal Service Express Mail and Priority Mail) must be sent to 9050 Junction Drive, Annapolis Junction, MD 20701 </w:t>
      </w:r>
    </w:p>
    <w:p w:rsidR="001E2716" w:rsidRPr="00B236B0" w:rsidP="001E2716" w14:paraId="6C568014" w14:textId="77777777">
      <w:pPr>
        <w:pStyle w:val="ParaNum"/>
        <w:widowControl/>
        <w:numPr>
          <w:ilvl w:val="0"/>
          <w:numId w:val="32"/>
        </w:numPr>
      </w:pPr>
      <w:r w:rsidRPr="00B236B0">
        <w:t>Postal Service first-class, Express, and Priority mail must be addressed to 45 L Street, NE, Washington DC 20554</w:t>
      </w:r>
    </w:p>
    <w:p w:rsidR="001E2716" w:rsidRPr="00B236B0" w:rsidP="001E2716" w14:paraId="4D7C7760" w14:textId="77777777">
      <w:pPr>
        <w:pStyle w:val="ParaNum"/>
        <w:widowControl/>
        <w:numPr>
          <w:ilvl w:val="0"/>
          <w:numId w:val="34"/>
        </w:numPr>
      </w:pPr>
      <w:r w:rsidRPr="00B236B0">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p>
    <w:p w:rsidR="001E2716" w:rsidRPr="00B236B0" w:rsidP="001E2716" w14:paraId="3AFC7E4F" w14:textId="77777777">
      <w:pPr>
        <w:pStyle w:val="ParaNum"/>
        <w:widowControl/>
        <w:numPr>
          <w:ilvl w:val="0"/>
          <w:numId w:val="34"/>
        </w:numPr>
      </w:pPr>
      <w:r w:rsidRPr="00B236B0">
        <w:t xml:space="preserve">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 </w:t>
      </w:r>
    </w:p>
    <w:p w:rsidR="004E05FD" w:rsidRPr="004E05FD" w:rsidP="004E05FD" w14:paraId="1AF418BD" w14:textId="77777777">
      <w:pPr>
        <w:widowControl/>
        <w:spacing w:after="120"/>
        <w:ind w:firstLine="720"/>
        <w:rPr>
          <w:szCs w:val="22"/>
        </w:rPr>
      </w:pPr>
      <w:r w:rsidRPr="004E05FD">
        <w:rPr>
          <w:i/>
          <w:szCs w:val="22"/>
        </w:rPr>
        <w:t>People with Disabilities</w:t>
      </w:r>
      <w:r w:rsidRPr="004E05FD">
        <w:rPr>
          <w:szCs w:val="22"/>
        </w:rPr>
        <w:t xml:space="preserve">.  To request materials in accessible formats for people with disabilities (Braille, large print, electronic files, audio format), send an e-mail to </w:t>
      </w:r>
      <w:r w:rsidRPr="004E05FD">
        <w:rPr>
          <w:color w:val="0000FF"/>
          <w:szCs w:val="22"/>
          <w:u w:val="single"/>
        </w:rPr>
        <w:t>fcc504@fcc.gov</w:t>
      </w:r>
      <w:r w:rsidRPr="004E05FD">
        <w:rPr>
          <w:szCs w:val="22"/>
        </w:rPr>
        <w:t xml:space="preserve"> or call the Consumer and Governmental Affairs Bureau at 202-418-0530 (voice), 202-418-0432 (</w:t>
      </w:r>
      <w:r w:rsidRPr="004E05FD">
        <w:rPr>
          <w:szCs w:val="22"/>
        </w:rPr>
        <w:t>tty</w:t>
      </w:r>
      <w:r w:rsidRPr="004E05FD">
        <w:rPr>
          <w:szCs w:val="22"/>
        </w:rPr>
        <w:t>).</w:t>
      </w:r>
    </w:p>
    <w:p w:rsidR="004E05FD" w:rsidRPr="004E05FD" w:rsidP="004E05FD" w14:paraId="607AA2DF" w14:textId="6005B600">
      <w:pPr>
        <w:spacing w:after="120"/>
        <w:ind w:firstLine="720"/>
        <w:rPr>
          <w:szCs w:val="22"/>
        </w:rPr>
      </w:pPr>
      <w:r w:rsidRPr="004E05FD">
        <w:rPr>
          <w:i/>
          <w:szCs w:val="22"/>
        </w:rPr>
        <w:t>Additional Information.</w:t>
      </w:r>
      <w:r w:rsidRPr="004E05FD">
        <w:rPr>
          <w:szCs w:val="22"/>
        </w:rPr>
        <w:t xml:space="preserve">  For further information, contact Nicolas Oros of the Office of Engineering &amp; Technology, at (202) 418-0636, or </w:t>
      </w:r>
      <w:hyperlink r:id="rId6" w:history="1">
        <w:r w:rsidRPr="00411168" w:rsidR="0040469C">
          <w:rPr>
            <w:rStyle w:val="Hyperlink"/>
            <w:szCs w:val="22"/>
          </w:rPr>
          <w:t>Nicholas.Oros@fcc.gov</w:t>
        </w:r>
      </w:hyperlink>
      <w:r w:rsidR="0040469C">
        <w:rPr>
          <w:szCs w:val="22"/>
        </w:rPr>
        <w:t xml:space="preserve">, or John Schauble of the Wireless Telecommunications Bureau, at (202) 418-0797, or </w:t>
      </w:r>
      <w:hyperlink r:id="rId7" w:history="1">
        <w:r w:rsidRPr="00BF0293" w:rsidR="001C51FC">
          <w:rPr>
            <w:rStyle w:val="Hyperlink"/>
            <w:szCs w:val="22"/>
          </w:rPr>
          <w:t>John.Schauble@fcc.gov</w:t>
        </w:r>
      </w:hyperlink>
      <w:r w:rsidRPr="004E05FD">
        <w:rPr>
          <w:szCs w:val="22"/>
        </w:rPr>
        <w:t>.</w:t>
      </w:r>
      <w:r w:rsidRPr="004E05FD">
        <w:rPr>
          <w:szCs w:val="22"/>
        </w:rPr>
        <w:tab/>
      </w:r>
    </w:p>
    <w:p w:rsidR="004E05FD" w:rsidRPr="004E05FD" w:rsidP="004E05FD" w14:paraId="5BC72299" w14:textId="77777777">
      <w:pPr>
        <w:widowControl/>
        <w:spacing w:after="120"/>
        <w:jc w:val="center"/>
        <w:rPr>
          <w:b/>
          <w:snapToGrid/>
          <w:kern w:val="0"/>
          <w:szCs w:val="22"/>
        </w:rPr>
      </w:pPr>
      <w:r w:rsidRPr="004E05FD">
        <w:rPr>
          <w:b/>
          <w:snapToGrid/>
          <w:kern w:val="0"/>
          <w:szCs w:val="22"/>
        </w:rPr>
        <w:t>–FCC–</w:t>
      </w:r>
      <w:bookmarkEnd w:id="1"/>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7B04370"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017FD7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F2D0F27" w14:textId="77777777">
    <w:pPr>
      <w:pStyle w:val="Footer"/>
      <w:jc w:val="center"/>
    </w:pPr>
    <w:r>
      <w:fldChar w:fldCharType="begin"/>
    </w:r>
    <w:r>
      <w:instrText xml:space="preserve"> PAGE   \* MERGEFORMAT </w:instrText>
    </w:r>
    <w:r>
      <w:fldChar w:fldCharType="separate"/>
    </w:r>
    <w:r w:rsidR="006C76C3">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A343DF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658E3" w14:paraId="5321832F" w14:textId="77777777">
      <w:r>
        <w:separator/>
      </w:r>
    </w:p>
  </w:footnote>
  <w:footnote w:type="continuationSeparator" w:id="1">
    <w:p w:rsidR="00D658E3" w14:paraId="28594E60" w14:textId="77777777">
      <w:pPr>
        <w:rPr>
          <w:sz w:val="20"/>
        </w:rPr>
      </w:pPr>
      <w:r>
        <w:rPr>
          <w:sz w:val="20"/>
        </w:rPr>
        <w:t xml:space="preserve">(Continued from previous page)  </w:t>
      </w:r>
      <w:r>
        <w:rPr>
          <w:sz w:val="20"/>
        </w:rPr>
        <w:separator/>
      </w:r>
    </w:p>
  </w:footnote>
  <w:footnote w:type="continuationNotice" w:id="2">
    <w:p w:rsidR="00D658E3" w:rsidP="00910F12" w14:paraId="4BB7FE86" w14:textId="77777777">
      <w:pPr>
        <w:jc w:val="right"/>
        <w:rPr>
          <w:sz w:val="20"/>
        </w:rPr>
      </w:pPr>
      <w:r>
        <w:rPr>
          <w:sz w:val="20"/>
        </w:rPr>
        <w:t>(continued….)</w:t>
      </w:r>
    </w:p>
  </w:footnote>
  <w:footnote w:id="3">
    <w:p w:rsidR="00733E60" w14:paraId="3BE398CB" w14:textId="33F60491">
      <w:pPr>
        <w:pStyle w:val="FootnoteText"/>
      </w:pPr>
      <w:r>
        <w:rPr>
          <w:rStyle w:val="FootnoteReference"/>
        </w:rPr>
        <w:footnoteRef/>
      </w:r>
      <w:r>
        <w:t xml:space="preserve"> 47 CFR § 2.106.</w:t>
      </w:r>
    </w:p>
  </w:footnote>
  <w:footnote w:id="4">
    <w:p w:rsidR="0076330E" w:rsidP="00FD4796" w14:paraId="6DDAA8BC" w14:textId="1CE27E64">
      <w:pPr>
        <w:pStyle w:val="FootnoteText"/>
      </w:pPr>
      <w:r>
        <w:rPr>
          <w:rStyle w:val="FootnoteReference"/>
        </w:rPr>
        <w:footnoteRef/>
      </w:r>
      <w:r>
        <w:t xml:space="preserve"> </w:t>
      </w:r>
      <w:r w:rsidRPr="009B3FC8" w:rsidR="00FD4796">
        <w:rPr>
          <w:i/>
          <w:iCs/>
        </w:rPr>
        <w:t>Handbook on Use of Radio Spectrum for Meteorology: Weather, Water and Climate Monitoring and</w:t>
      </w:r>
      <w:r w:rsidRPr="009B3FC8" w:rsidR="00342318">
        <w:rPr>
          <w:i/>
          <w:iCs/>
        </w:rPr>
        <w:t xml:space="preserve"> </w:t>
      </w:r>
      <w:r w:rsidRPr="009B3FC8" w:rsidR="00FD4796">
        <w:rPr>
          <w:i/>
          <w:iCs/>
        </w:rPr>
        <w:t>Prediction</w:t>
      </w:r>
      <w:r w:rsidR="00342318">
        <w:t xml:space="preserve">, ITU </w:t>
      </w:r>
      <w:r w:rsidR="009B3FC8">
        <w:t>Radiocommunications</w:t>
      </w:r>
      <w:r w:rsidR="00342318">
        <w:t xml:space="preserve"> Burea</w:t>
      </w:r>
      <w:r w:rsidR="009B3FC8">
        <w:t xml:space="preserve">u, at </w:t>
      </w:r>
      <w:r w:rsidR="00090C24">
        <w:t>75</w:t>
      </w:r>
      <w:r w:rsidR="008559B6">
        <w:t>, 78</w:t>
      </w:r>
      <w:r w:rsidR="00492309">
        <w:t xml:space="preserve"> </w:t>
      </w:r>
      <w:r w:rsidR="009B3FC8">
        <w:t xml:space="preserve">(2017) </w:t>
      </w:r>
      <w:hyperlink r:id="rId1" w:history="1">
        <w:r w:rsidRPr="008859F3" w:rsidR="009B3FC8">
          <w:rPr>
            <w:rStyle w:val="Hyperlink"/>
          </w:rPr>
          <w:t>https://library.wmo.int/doc_num.php?explnum_id=3793</w:t>
        </w:r>
      </w:hyperlink>
      <w:r w:rsidR="00090C24">
        <w:t xml:space="preserve">. </w:t>
      </w:r>
    </w:p>
  </w:footnote>
  <w:footnote w:id="5">
    <w:p w:rsidR="005F4A65" w14:paraId="460172FF" w14:textId="2F4F889F">
      <w:pPr>
        <w:pStyle w:val="FootnoteText"/>
      </w:pPr>
      <w:r>
        <w:rPr>
          <w:rStyle w:val="FootnoteReference"/>
        </w:rPr>
        <w:footnoteRef/>
      </w:r>
      <w:r>
        <w:t xml:space="preserve"> </w:t>
      </w:r>
      <w:r w:rsidRPr="00CA36A0" w:rsidR="009B3FC8">
        <w:rPr>
          <w:i/>
          <w:iCs/>
        </w:rPr>
        <w:t>Id</w:t>
      </w:r>
      <w:r w:rsidR="009B3FC8">
        <w:t xml:space="preserve">. at </w:t>
      </w:r>
      <w:r>
        <w:t xml:space="preserve">73.  </w:t>
      </w:r>
    </w:p>
  </w:footnote>
  <w:footnote w:id="6">
    <w:p w:rsidR="00F569F7" w:rsidRPr="008E0B34" w:rsidP="00F569F7" w14:paraId="614F3DFE" w14:textId="56364DCB">
      <w:pPr>
        <w:pStyle w:val="FootnoteText"/>
      </w:pPr>
      <w:r>
        <w:rPr>
          <w:rStyle w:val="FootnoteReference"/>
        </w:rPr>
        <w:footnoteRef/>
      </w:r>
      <w:r>
        <w:t xml:space="preserve"> 47 CFR § 2.106.</w:t>
      </w:r>
    </w:p>
  </w:footnote>
  <w:footnote w:id="7">
    <w:p w:rsidR="00F569F7" w:rsidRPr="00886563" w:rsidP="00F569F7" w14:paraId="380A2B2A" w14:textId="2AF4D4E0">
      <w:pPr>
        <w:pStyle w:val="FootnoteText"/>
      </w:pPr>
      <w:r>
        <w:rPr>
          <w:rStyle w:val="FootnoteReference"/>
        </w:rPr>
        <w:footnoteRef/>
      </w:r>
      <w:r>
        <w:t xml:space="preserve"> </w:t>
      </w:r>
      <w:r w:rsidRPr="00C95A28">
        <w:rPr>
          <w:i/>
          <w:iCs/>
        </w:rPr>
        <w:t>Use of Spectrum Bands Above 24 GHz For Mobile Radio Services, et al.</w:t>
      </w:r>
      <w:r>
        <w:t xml:space="preserve">, </w:t>
      </w:r>
      <w:r w:rsidRPr="00C95A28">
        <w:t>Second Report and Order, Second Further Notice of Proposed Rulemaking, Order on Reconsideration, and Memorandum Opinion and Order</w:t>
      </w:r>
      <w:r>
        <w:t xml:space="preserve">, 32 FCC </w:t>
      </w:r>
      <w:r>
        <w:t>Rcd</w:t>
      </w:r>
      <w:r>
        <w:t xml:space="preserve"> 10988, 10994-11002, paras. 15-42 (2017) (</w:t>
      </w:r>
      <w:r>
        <w:rPr>
          <w:i/>
          <w:iCs/>
        </w:rPr>
        <w:t>Spectrum Frontiers Second R&amp;O</w:t>
      </w:r>
      <w:r>
        <w:t xml:space="preserve">).  The Commission auctioned the 24 GHz UMFUS licenses in 2019.  </w:t>
      </w:r>
      <w:r>
        <w:rPr>
          <w:i/>
          <w:iCs/>
        </w:rPr>
        <w:t>See</w:t>
      </w:r>
      <w:r>
        <w:t xml:space="preserve"> </w:t>
      </w:r>
      <w:r>
        <w:rPr>
          <w:i/>
          <w:iCs/>
        </w:rPr>
        <w:t>Auction of 24 GHz Upper Microwave Flexible Use Service Licenses Closes; Winning Bidders Announced for Auction 102</w:t>
      </w:r>
      <w:r>
        <w:t xml:space="preserve">, Public Notice, 34 FCC </w:t>
      </w:r>
      <w:r>
        <w:t>Rcd</w:t>
      </w:r>
      <w:r>
        <w:t xml:space="preserve"> 4294 (OEA/WTB 2019). </w:t>
      </w:r>
      <w:r w:rsidR="002F53DA">
        <w:t xml:space="preserve"> </w:t>
      </w:r>
      <w:r>
        <w:t xml:space="preserve">The Commission granted a total of 2,904 24 GHz UMFUS licenses to 29 applicants.  </w:t>
      </w:r>
      <w:r>
        <w:rPr>
          <w:i/>
          <w:iCs/>
        </w:rPr>
        <w:t>See</w:t>
      </w:r>
      <w:r>
        <w:t xml:space="preserve"> </w:t>
      </w:r>
      <w:r>
        <w:rPr>
          <w:i/>
          <w:iCs/>
          <w:snapToGrid w:val="0"/>
        </w:rPr>
        <w:t>Wireless Telecommunications Bureau Grants 24 GHz Band Upper Microwave Flexible Use Service Licenses</w:t>
      </w:r>
      <w:r>
        <w:rPr>
          <w:snapToGrid w:val="0"/>
        </w:rPr>
        <w:t xml:space="preserve">, Public Notice, 34 FCC </w:t>
      </w:r>
      <w:r>
        <w:rPr>
          <w:snapToGrid w:val="0"/>
        </w:rPr>
        <w:t>Rcd</w:t>
      </w:r>
      <w:r>
        <w:rPr>
          <w:snapToGrid w:val="0"/>
        </w:rPr>
        <w:t xml:space="preserve"> 12079 (WTB 2019); </w:t>
      </w:r>
      <w:bookmarkStart w:id="2" w:name="_Hlk69289387"/>
      <w:r>
        <w:rPr>
          <w:i/>
          <w:iCs/>
          <w:snapToGrid w:val="0"/>
        </w:rPr>
        <w:t>Wireless Telecommunications Bureau Grants 24 GHz Band Upper Microwave Flexible Use Service Licenses</w:t>
      </w:r>
      <w:r>
        <w:rPr>
          <w:snapToGrid w:val="0"/>
        </w:rPr>
        <w:t xml:space="preserve">, Public Notice, 35 FCC </w:t>
      </w:r>
      <w:r>
        <w:rPr>
          <w:snapToGrid w:val="0"/>
        </w:rPr>
        <w:t>Rcd</w:t>
      </w:r>
      <w:r>
        <w:rPr>
          <w:snapToGrid w:val="0"/>
        </w:rPr>
        <w:t xml:space="preserve"> 614 (WTB 2020)</w:t>
      </w:r>
      <w:bookmarkEnd w:id="2"/>
      <w:r>
        <w:rPr>
          <w:snapToGrid w:val="0"/>
        </w:rPr>
        <w:t>;</w:t>
      </w:r>
      <w:r>
        <w:rPr>
          <w:i/>
          <w:iCs/>
          <w:snapToGrid w:val="0"/>
        </w:rPr>
        <w:t xml:space="preserve"> Wireless Telecommunications Bureau Grants 24 GHz Band Upper Microwave Flexible Use Service Licenses</w:t>
      </w:r>
      <w:r>
        <w:rPr>
          <w:snapToGrid w:val="0"/>
        </w:rPr>
        <w:t xml:space="preserve">, Public Notice, 35 FCC </w:t>
      </w:r>
      <w:r>
        <w:rPr>
          <w:snapToGrid w:val="0"/>
        </w:rPr>
        <w:t>Rcd</w:t>
      </w:r>
      <w:r>
        <w:rPr>
          <w:snapToGrid w:val="0"/>
        </w:rPr>
        <w:t xml:space="preserve"> 8821 (WTB 2020).</w:t>
      </w:r>
    </w:p>
  </w:footnote>
  <w:footnote w:id="8">
    <w:p w:rsidR="00F569F7" w:rsidRPr="00FA66CE" w:rsidP="00F569F7" w14:paraId="7926C7B1" w14:textId="77777777">
      <w:pPr>
        <w:pStyle w:val="FootnoteText"/>
      </w:pPr>
      <w:r>
        <w:rPr>
          <w:rStyle w:val="FootnoteReference"/>
        </w:rPr>
        <w:footnoteRef/>
      </w:r>
      <w:r>
        <w:t xml:space="preserve"> </w:t>
      </w:r>
      <w:r>
        <w:rPr>
          <w:i/>
          <w:iCs/>
        </w:rPr>
        <w:t>See</w:t>
      </w:r>
      <w:r>
        <w:t xml:space="preserve"> 47 CFR Part 30, Subpart C.</w:t>
      </w:r>
    </w:p>
  </w:footnote>
  <w:footnote w:id="9">
    <w:p w:rsidR="00F569F7" w:rsidP="00F569F7" w14:paraId="5FC7BE8B" w14:textId="77777777">
      <w:pPr>
        <w:pStyle w:val="FootnoteText"/>
      </w:pPr>
      <w:r>
        <w:rPr>
          <w:rStyle w:val="FootnoteReference"/>
        </w:rPr>
        <w:footnoteRef/>
      </w:r>
      <w:r>
        <w:t xml:space="preserve"> 47 CFR § 30.203(a).  In</w:t>
      </w:r>
      <w:r w:rsidRPr="00DD499C">
        <w:t xml:space="preserve"> the bands immediately outside and adjacent to the licensee's frequency block, having a bandwidth equal to 10 percent of the channel bandwidth, the conductive power or the total radiated power of any emission shall be −5 dBm/MHz or lower</w:t>
      </w:r>
      <w:r>
        <w:t xml:space="preserve">.  As the 23.6-24 GHz passive band is 250 megahertz away from the UMFUS bands, the </w:t>
      </w:r>
      <w:r w:rsidRPr="00DD499C">
        <w:t>−</w:t>
      </w:r>
      <w:r>
        <w:t xml:space="preserve">5 dBm/MHz will not apply within that passive band for UMFUS licensees.  </w:t>
      </w:r>
    </w:p>
  </w:footnote>
  <w:footnote w:id="10">
    <w:p w:rsidR="00C53F0E" w:rsidP="00C53F0E" w14:paraId="4215382B" w14:textId="77777777">
      <w:pPr>
        <w:pStyle w:val="FootnoteText"/>
      </w:pPr>
      <w:r>
        <w:rPr>
          <w:rStyle w:val="FootnoteReference"/>
        </w:rPr>
        <w:footnoteRef/>
      </w:r>
      <w:r>
        <w:t xml:space="preserve"> </w:t>
      </w:r>
      <w:r w:rsidRPr="00C4423E">
        <w:t>IMT is the generic term used by the ITU to designate broadband mobile systems and encompasses IMT-2000, IMT- Advanced and IMT-2020</w:t>
      </w:r>
      <w:r w:rsidRPr="000D00FF">
        <w:t xml:space="preserve">.  </w:t>
      </w:r>
      <w:r w:rsidRPr="000D00FF">
        <w:rPr>
          <w:i/>
          <w:iCs/>
        </w:rPr>
        <w:t>See</w:t>
      </w:r>
      <w:r w:rsidRPr="000D00FF">
        <w:t xml:space="preserve"> </w:t>
      </w:r>
      <w:hyperlink r:id="rId2" w:history="1">
        <w:r w:rsidRPr="000D00FF">
          <w:rPr>
            <w:rStyle w:val="Hyperlink"/>
          </w:rPr>
          <w:t>https://www.itu.int/en/ITU-R/Documents/ITU-R-FAQ-IMT.pdf</w:t>
        </w:r>
      </w:hyperlink>
      <w:r w:rsidRPr="000D00FF">
        <w:t xml:space="preserve"> (last visited March 2, 2021).</w:t>
      </w:r>
    </w:p>
  </w:footnote>
  <w:footnote w:id="11">
    <w:p w:rsidR="00F569F7" w:rsidRPr="00CB1230" w:rsidP="00F569F7" w14:paraId="0CE5D468" w14:textId="77777777">
      <w:pPr>
        <w:pStyle w:val="FootnoteText"/>
      </w:pPr>
      <w:r>
        <w:rPr>
          <w:rStyle w:val="FootnoteReference"/>
        </w:rPr>
        <w:footnoteRef/>
      </w:r>
      <w:r>
        <w:t xml:space="preserve"> </w:t>
      </w:r>
      <w:r>
        <w:rPr>
          <w:i/>
          <w:iCs/>
        </w:rPr>
        <w:t>Spectrum Frontiers 2nd R&amp;O</w:t>
      </w:r>
      <w:r>
        <w:t xml:space="preserve">, 32 FCC </w:t>
      </w:r>
      <w:r>
        <w:t>Rcd</w:t>
      </w:r>
      <w:r>
        <w:t xml:space="preserve"> at 10997, para. 22.  </w:t>
      </w:r>
      <w:r>
        <w:rPr>
          <w:i/>
          <w:iCs/>
        </w:rPr>
        <w:t>See also</w:t>
      </w:r>
      <w:r>
        <w:t xml:space="preserve"> </w:t>
      </w:r>
      <w:r w:rsidRPr="00C95A28">
        <w:rPr>
          <w:i/>
          <w:iCs/>
        </w:rPr>
        <w:t>Use of Spectrum Bands Above 24 GHz For Mobile Radio Services, et al.</w:t>
      </w:r>
      <w:r>
        <w:t xml:space="preserve">, Third Report and Order, Memorandum Opinion and Order, and Third Further Notice of Proposed Rulemaking, </w:t>
      </w:r>
      <w:r w:rsidRPr="00AA5C51">
        <w:t xml:space="preserve">33 FCC </w:t>
      </w:r>
      <w:r w:rsidRPr="00AA5C51">
        <w:t>Rcd</w:t>
      </w:r>
      <w:r w:rsidRPr="00AA5C51">
        <w:t xml:space="preserve"> 5576</w:t>
      </w:r>
      <w:r>
        <w:t>, 5581-62, para. 15 (2018).</w:t>
      </w:r>
    </w:p>
  </w:footnote>
  <w:footnote w:id="12">
    <w:p w:rsidR="006D483C" w14:paraId="32BF65F4" w14:textId="351DE21A">
      <w:pPr>
        <w:pStyle w:val="FootnoteText"/>
      </w:pPr>
      <w:r>
        <w:rPr>
          <w:rStyle w:val="FootnoteReference"/>
        </w:rPr>
        <w:footnoteRef/>
      </w:r>
      <w:r>
        <w:t xml:space="preserve"> </w:t>
      </w:r>
      <w:bookmarkStart w:id="3" w:name="_Hlk69197912"/>
      <w:r w:rsidR="00125D20">
        <w:t>ITU Radio Regulations (2020)</w:t>
      </w:r>
      <w:hyperlink w:history="1"/>
      <w:r w:rsidRPr="006D483C">
        <w:t>, Resolution 750 (Rev.WRC-19), Table 1</w:t>
      </w:r>
      <w:r w:rsidR="005613E5">
        <w:t>, Vol. 3</w:t>
      </w:r>
      <w:r w:rsidRPr="006D483C">
        <w:t xml:space="preserve"> </w:t>
      </w:r>
      <w:r w:rsidR="00E942DF">
        <w:t>at</w:t>
      </w:r>
      <w:r w:rsidRPr="006D483C">
        <w:t xml:space="preserve"> </w:t>
      </w:r>
      <w:r w:rsidR="005613E5">
        <w:t>519</w:t>
      </w:r>
      <w:r w:rsidR="009B4E0F">
        <w:t xml:space="preserve">, </w:t>
      </w:r>
      <w:hyperlink r:id="rId3" w:history="1">
        <w:r w:rsidRPr="000E08B0" w:rsidR="009B4E0F">
          <w:rPr>
            <w:rStyle w:val="Hyperlink"/>
          </w:rPr>
          <w:t>https://www.itu.int/en/myitu/Publications/2020/09/02/14/23/Radio-Regulations-2020</w:t>
        </w:r>
      </w:hyperlink>
      <w:r w:rsidRPr="006D483C">
        <w:t xml:space="preserve">. </w:t>
      </w:r>
      <w:bookmarkEnd w:id="3"/>
      <w:r w:rsidR="00E20973">
        <w:t xml:space="preserve"> </w:t>
      </w:r>
      <w:r w:rsidRPr="000D00FF" w:rsidR="000D00FF">
        <w:t xml:space="preserve">Resolution 750 specifies limits of unwanted emission power for IMT base stations and mobile stations.  </w:t>
      </w:r>
    </w:p>
  </w:footnote>
  <w:footnote w:id="13">
    <w:p w:rsidR="00953C3D" w14:paraId="0C203221" w14:textId="7653CDC6">
      <w:pPr>
        <w:pStyle w:val="FootnoteText"/>
      </w:pPr>
      <w:r>
        <w:rPr>
          <w:rStyle w:val="FootnoteReference"/>
        </w:rPr>
        <w:footnoteRef/>
      </w:r>
      <w:r>
        <w:t xml:space="preserve"> </w:t>
      </w:r>
      <w:r w:rsidR="007345A4">
        <w:t>ITU Radio Regulations (2020)</w:t>
      </w:r>
      <w:r w:rsidRPr="006D483C" w:rsidR="009D0F99">
        <w:t>,</w:t>
      </w:r>
      <w:r w:rsidR="009D0F99">
        <w:t xml:space="preserve"> footnote 5.338A</w:t>
      </w:r>
      <w:r w:rsidR="004C70C6">
        <w:t>, Vol. 1 at 100</w:t>
      </w:r>
      <w:r w:rsidR="00737A7E">
        <w:t>.</w:t>
      </w:r>
    </w:p>
  </w:footnote>
  <w:footnote w:id="14">
    <w:p w:rsidR="006870C6" w14:paraId="0DBE0FF1" w14:textId="50447D7F">
      <w:pPr>
        <w:pStyle w:val="FootnoteText"/>
      </w:pPr>
      <w:r>
        <w:rPr>
          <w:rStyle w:val="FootnoteReference"/>
        </w:rPr>
        <w:footnoteRef/>
      </w:r>
      <w:r>
        <w:t xml:space="preserve"> </w:t>
      </w:r>
      <w:r w:rsidR="005613E5">
        <w:t>ITU Radio Regulations (2020)</w:t>
      </w:r>
      <w:hyperlink w:history="1"/>
      <w:r w:rsidRPr="006D483C" w:rsidR="005613E5">
        <w:t xml:space="preserve">, Resolution 750 (Rev.WRC-19), </w:t>
      </w:r>
      <w:r w:rsidR="005613E5">
        <w:t>Note 5, Vol. 3</w:t>
      </w:r>
      <w:r w:rsidRPr="006D483C" w:rsidR="005613E5">
        <w:t xml:space="preserve"> </w:t>
      </w:r>
      <w:r w:rsidR="005613E5">
        <w:t>at</w:t>
      </w:r>
      <w:r w:rsidRPr="006D483C" w:rsidR="005613E5">
        <w:t xml:space="preserve"> </w:t>
      </w:r>
      <w:r w:rsidR="005613E5">
        <w:t>522</w:t>
      </w:r>
      <w:hyperlink w:history="1"/>
      <w:r w:rsidRPr="006870C6">
        <w:t>.</w:t>
      </w:r>
    </w:p>
  </w:footnote>
  <w:footnote w:id="15">
    <w:p w:rsidR="00D936D8" w14:paraId="4AAC821D" w14:textId="261C9595">
      <w:pPr>
        <w:pStyle w:val="FootnoteText"/>
      </w:pPr>
      <w:r>
        <w:rPr>
          <w:rStyle w:val="FootnoteReference"/>
        </w:rPr>
        <w:footnoteRef/>
      </w:r>
      <w:r>
        <w:t xml:space="preserve"> For IMT base stations and mobile stations brought into use prior to September 1, 2027</w:t>
      </w:r>
      <w:r w:rsidR="00C72EC4">
        <w:t>,</w:t>
      </w:r>
      <w:r>
        <w:t xml:space="preserve"> the more relaxed unwanted emission limits will continue to apply.</w:t>
      </w:r>
      <w:r w:rsidR="00067D3A">
        <w:t xml:space="preserve"> </w:t>
      </w:r>
      <w:r>
        <w:t xml:space="preserve"> </w:t>
      </w:r>
      <w:r w:rsidR="005613E5">
        <w:t>ITU Radio Regulations (2020)</w:t>
      </w:r>
      <w:hyperlink w:history="1"/>
      <w:r w:rsidRPr="006D483C" w:rsidR="005613E5">
        <w:t>, Resolution 750 (Rev.WRC-19), Table 1</w:t>
      </w:r>
      <w:r w:rsidR="005613E5">
        <w:t>, Vol. 3</w:t>
      </w:r>
      <w:r w:rsidRPr="006D483C" w:rsidR="005613E5">
        <w:t xml:space="preserve"> </w:t>
      </w:r>
      <w:r w:rsidR="005613E5">
        <w:t>at</w:t>
      </w:r>
      <w:r w:rsidRPr="006D483C" w:rsidR="005613E5">
        <w:t xml:space="preserve"> </w:t>
      </w:r>
      <w:r w:rsidR="005613E5">
        <w:t>519, 522.</w:t>
      </w:r>
    </w:p>
  </w:footnote>
  <w:footnote w:id="16">
    <w:p w:rsidR="00127A86" w14:paraId="24ADC832" w14:textId="4E861262">
      <w:pPr>
        <w:pStyle w:val="FootnoteText"/>
      </w:pPr>
      <w:r>
        <w:rPr>
          <w:rStyle w:val="FootnoteReference"/>
        </w:rPr>
        <w:footnoteRef/>
      </w:r>
      <w:r>
        <w:t xml:space="preserve"> </w:t>
      </w:r>
      <w:r w:rsidRPr="00127A86">
        <w:t>The Preamble of the WRC-19 Final Acts states that “</w:t>
      </w:r>
      <w:r>
        <w:t>[t]</w:t>
      </w:r>
      <w:r w:rsidRPr="00127A86">
        <w:t>he majority of the provisions revised by WRC-19, as contained in the revision of the Radio Regulations referred to in this Preamble, shall enter into force as from 1 January 2021; the remaining provisions shall apply as from the dates indicated in the Resolutions listed in Article 59 of the revised Radio Regulations.</w:t>
      </w:r>
      <w:r>
        <w:t>”</w:t>
      </w:r>
      <w:r w:rsidRPr="00127A86">
        <w:t xml:space="preserve"> The revision of the Radio Regulations contained in the Final Acts is subject to approval by</w:t>
      </w:r>
      <w:r>
        <w:t xml:space="preserve"> </w:t>
      </w:r>
      <w:r w:rsidRPr="00127A86">
        <w:t>competent authorities</w:t>
      </w:r>
      <w:r>
        <w:t xml:space="preserve"> of </w:t>
      </w:r>
      <w:r w:rsidR="00460AA5">
        <w:t>m</w:t>
      </w:r>
      <w:r>
        <w:t xml:space="preserve">ember </w:t>
      </w:r>
      <w:r w:rsidR="00460AA5">
        <w:t>s</w:t>
      </w:r>
      <w:r>
        <w:t xml:space="preserve">tates. </w:t>
      </w:r>
      <w:r w:rsidRPr="00127A86">
        <w:t xml:space="preserve"> </w:t>
      </w:r>
      <w:r w:rsidRPr="00127A86">
        <w:rPr>
          <w:i/>
          <w:iCs/>
        </w:rPr>
        <w:t xml:space="preserve">See </w:t>
      </w:r>
      <w:r w:rsidRPr="00127A86">
        <w:t> </w:t>
      </w:r>
      <w:hyperlink r:id="rId4" w:history="1">
        <w:r w:rsidRPr="00127A86">
          <w:rPr>
            <w:rStyle w:val="Hyperlink"/>
          </w:rPr>
          <w:t>https://www.itu.int/dms_pub/itu-r/opb/act/R-ACT-WRC.14-2019-PDF-E.pdf</w:t>
        </w:r>
      </w:hyperlink>
      <w:r w:rsidRPr="00127A86">
        <w:t>.</w:t>
      </w:r>
      <w:r>
        <w:t xml:space="preserve">  </w:t>
      </w:r>
    </w:p>
  </w:footnote>
  <w:footnote w:id="17">
    <w:p w:rsidR="00516CC6" w:rsidP="00516CC6" w14:paraId="1C6C362B" w14:textId="77777777">
      <w:pPr>
        <w:pStyle w:val="FootnoteText"/>
      </w:pPr>
      <w:r>
        <w:rPr>
          <w:rStyle w:val="FootnoteReference"/>
        </w:rPr>
        <w:footnoteRef/>
      </w:r>
      <w:r>
        <w:t xml:space="preserve"> 47 CFR § 2.106; 47 CFR Part 30.</w:t>
      </w:r>
    </w:p>
  </w:footnote>
  <w:footnote w:id="18">
    <w:p w:rsidR="00D51821" w14:paraId="7D80C409" w14:textId="31E6049B">
      <w:pPr>
        <w:pStyle w:val="FootnoteText"/>
      </w:pPr>
      <w:r>
        <w:rPr>
          <w:rStyle w:val="FootnoteReference"/>
        </w:rPr>
        <w:footnoteRef/>
      </w:r>
      <w:r>
        <w:t xml:space="preserve"> 47 CFR § 30.203(a). </w:t>
      </w:r>
    </w:p>
  </w:footnote>
  <w:footnote w:id="19">
    <w:p w:rsidR="001B3FCD" w14:paraId="7F3CE415" w14:textId="629C16A8">
      <w:pPr>
        <w:pStyle w:val="FootnoteText"/>
      </w:pPr>
      <w:r>
        <w:rPr>
          <w:rStyle w:val="FootnoteReference"/>
        </w:rPr>
        <w:footnoteRef/>
      </w:r>
      <w:r>
        <w:t xml:space="preserve"> </w:t>
      </w:r>
      <w:r w:rsidRPr="001B3FCD">
        <w:t xml:space="preserve">Consequently, the unwanted emission would naturally decrease from the –13 dBm/MHz </w:t>
      </w:r>
      <w:r w:rsidR="001C51FC">
        <w:t>limit</w:t>
      </w:r>
      <w:r w:rsidRPr="001B3FCD">
        <w:t xml:space="preserve"> as the frequency of the emission is </w:t>
      </w:r>
      <w:r>
        <w:t xml:space="preserve">further </w:t>
      </w:r>
      <w:r w:rsidRPr="001B3FCD">
        <w:t>separated from the 24.25 GHz edge of the UMFUS band.</w:t>
      </w:r>
    </w:p>
  </w:footnote>
  <w:footnote w:id="20">
    <w:p w:rsidR="00237EB4" w14:paraId="1AFD43E4" w14:textId="3DBABEE4">
      <w:pPr>
        <w:pStyle w:val="FootnoteText"/>
      </w:pPr>
      <w:r>
        <w:rPr>
          <w:rStyle w:val="FootnoteReference"/>
        </w:rPr>
        <w:footnoteRef/>
      </w:r>
      <w:r>
        <w:t xml:space="preserve"> </w:t>
      </w:r>
      <w:r w:rsidR="00F82190">
        <w:t>47 CFR §</w:t>
      </w:r>
      <w:r w:rsidR="00310470">
        <w:t>§</w:t>
      </w:r>
      <w:r w:rsidR="00F82190">
        <w:t xml:space="preserve"> 30.</w:t>
      </w:r>
      <w:r w:rsidR="00C2790B">
        <w:t xml:space="preserve">6(a), </w:t>
      </w:r>
      <w:r w:rsidR="00310470">
        <w:t>30.202(a).</w:t>
      </w:r>
    </w:p>
  </w:footnote>
  <w:footnote w:id="21">
    <w:p w:rsidR="00921C3F" w14:paraId="4EE405D9" w14:textId="61A97241">
      <w:pPr>
        <w:pStyle w:val="FootnoteText"/>
      </w:pPr>
      <w:r>
        <w:rPr>
          <w:rStyle w:val="FootnoteReference"/>
        </w:rPr>
        <w:footnoteRef/>
      </w:r>
      <w:r>
        <w:t xml:space="preserve"> </w:t>
      </w:r>
      <w:r w:rsidR="00082D6B">
        <w:t>47 CFR Part 30 Subpart E.</w:t>
      </w:r>
      <w:r w:rsidR="00F36E35">
        <w:t xml:space="preserve">  </w:t>
      </w:r>
    </w:p>
  </w:footnote>
  <w:footnote w:id="22">
    <w:p w:rsidR="00F569F7" w:rsidP="00F569F7" w14:paraId="79F22007" w14:textId="77F1DF64">
      <w:pPr>
        <w:pStyle w:val="FootnoteText"/>
      </w:pPr>
      <w:r>
        <w:rPr>
          <w:rStyle w:val="FootnoteReference"/>
        </w:rPr>
        <w:footnoteRef/>
      </w:r>
      <w:r>
        <w:t xml:space="preserve"> </w:t>
      </w:r>
      <w:r w:rsidR="0012148C">
        <w:t xml:space="preserve">Commission licensees and Federal agencies have deployed </w:t>
      </w:r>
      <w:r w:rsidR="002A5FCB">
        <w:t>nearly 40,000</w:t>
      </w:r>
      <w:r>
        <w:t xml:space="preserve"> point-to-point</w:t>
      </w:r>
      <w:r w:rsidR="0012148C">
        <w:t xml:space="preserve"> microwave</w:t>
      </w:r>
      <w:r>
        <w:t xml:space="preserve"> links</w:t>
      </w:r>
      <w:bookmarkStart w:id="4" w:name="_Hlk69912621"/>
      <w:r w:rsidR="0012148C">
        <w:t xml:space="preserve"> in</w:t>
      </w:r>
      <w:r>
        <w:t xml:space="preserve"> the 2</w:t>
      </w:r>
      <w:r w:rsidR="0012148C">
        <w:t>1</w:t>
      </w:r>
      <w:r>
        <w:t>.</w:t>
      </w:r>
      <w:r w:rsidR="0012148C">
        <w:t>2</w:t>
      </w:r>
      <w:r>
        <w:t>-23.6 GHz band immediately adjacent to the 23.6-24 GHz passive band</w:t>
      </w:r>
      <w:r w:rsidR="0012148C">
        <w:t xml:space="preserve"> that operate with the same unwanted emission limits that apply under the UMFUS rules</w:t>
      </w:r>
      <w:r>
        <w:t>.  There is no indication these point-to-point links have caused harmful interference to passive sensors in 23.6-24 GHz</w:t>
      </w:r>
      <w:bookmarkEnd w:id="4"/>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3BB92FEB" w14:textId="5494900D">
    <w:pPr>
      <w:tabs>
        <w:tab w:val="center" w:pos="4680"/>
        <w:tab w:val="right" w:pos="9360"/>
      </w:tabs>
    </w:pPr>
    <w:r w:rsidRPr="009838BC">
      <w:rPr>
        <w:b/>
      </w:rPr>
      <w:tab/>
      <w:t>Federal Communications Commission</w:t>
    </w:r>
    <w:r w:rsidRPr="009838BC">
      <w:rPr>
        <w:b/>
      </w:rPr>
      <w:tab/>
    </w:r>
    <w:r w:rsidR="00002F6C">
      <w:rPr>
        <w:b/>
      </w:rPr>
      <w:t>DA</w:t>
    </w:r>
    <w:r w:rsidR="008C4577">
      <w:rPr>
        <w:b/>
      </w:rPr>
      <w:t xml:space="preserve"> 21-</w:t>
    </w:r>
    <w:r w:rsidR="00A64926">
      <w:rPr>
        <w:b/>
      </w:rPr>
      <w:t>482</w:t>
    </w:r>
    <w:r w:rsidR="00002F6C">
      <w:rPr>
        <w:b/>
      </w:rPr>
      <w:t xml:space="preserve"> </w:t>
    </w:r>
  </w:p>
  <w:p w:rsidR="009838BC" w:rsidRPr="009838BC" w:rsidP="009838BC" w14:paraId="4A701380"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48A8FA21"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33F575C"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77BEE965" w14:textId="77777777">
                    <w:pPr>
                      <w:rPr>
                        <w:rFonts w:ascii="Arial" w:hAnsi="Arial"/>
                        <w:b/>
                      </w:rPr>
                    </w:pPr>
                    <w:r>
                      <w:rPr>
                        <w:rFonts w:ascii="Arial" w:hAnsi="Arial"/>
                        <w:b/>
                      </w:rPr>
                      <w:t>Federal Communications Commission</w:t>
                    </w:r>
                  </w:p>
                  <w:p w:rsidR="009838BC" w:rsidP="009838BC" w14:paraId="720CB828"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6D01C918"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2007454E"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44068A54" w14:textId="77777777">
                    <w:pPr>
                      <w:spacing w:before="40"/>
                      <w:jc w:val="right"/>
                      <w:rPr>
                        <w:rFonts w:ascii="Arial" w:hAnsi="Arial"/>
                        <w:b/>
                        <w:sz w:val="16"/>
                      </w:rPr>
                    </w:pPr>
                    <w:r>
                      <w:rPr>
                        <w:rFonts w:ascii="Arial" w:hAnsi="Arial"/>
                        <w:b/>
                        <w:sz w:val="16"/>
                      </w:rPr>
                      <w:t>News Media Information 202 / 418-0500</w:t>
                    </w:r>
                  </w:p>
                  <w:p w:rsidR="009838BC" w:rsidP="009838BC" w14:paraId="49F59234"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paraId="6CF6BEFD" w14:textId="77777777">
                    <w:pPr>
                      <w:jc w:val="right"/>
                    </w:pPr>
                    <w:r>
                      <w:rPr>
                        <w:rFonts w:ascii="Arial" w:hAnsi="Arial"/>
                        <w:b/>
                        <w:sz w:val="16"/>
                      </w:rPr>
                      <w:t>TTY: 1-888-835-5322</w:t>
                    </w:r>
                  </w:p>
                </w:txbxContent>
              </v:textbox>
            </v:shape>
          </w:pict>
        </mc:Fallback>
      </mc:AlternateContent>
    </w:r>
  </w:p>
  <w:p w:rsidR="006F7393" w:rsidRPr="009838BC" w:rsidP="009838BC" w14:paraId="51FA95DB"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26AAAE0C"/>
    <w:lvl w:ilvl="0">
      <w:start w:val="1"/>
      <w:numFmt w:val="bullet"/>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73B0217"/>
    <w:multiLevelType w:val="hybridMultilevel"/>
    <w:tmpl w:val="90381A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980281F"/>
    <w:multiLevelType w:val="hybridMultilevel"/>
    <w:tmpl w:val="C88C5E66"/>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3021140F"/>
    <w:multiLevelType w:val="hybridMultilevel"/>
    <w:tmpl w:val="6CBCCE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2">
    <w:nsid w:val="47D747E5"/>
    <w:multiLevelType w:val="hybridMultilevel"/>
    <w:tmpl w:val="A462C2B2"/>
    <w:lvl w:ilvl="0">
      <w:start w:val="1"/>
      <w:numFmt w:val="bullet"/>
      <w:lvlText w:val=""/>
      <w:lvlJc w:val="left"/>
      <w:pPr>
        <w:tabs>
          <w:tab w:val="num" w:pos="720"/>
        </w:tabs>
        <w:ind w:left="720" w:hanging="360"/>
      </w:pPr>
      <w:rPr>
        <w:rFonts w:ascii="Symbol" w:hAnsi="Symbol" w:hint="default"/>
      </w:rPr>
    </w:lvl>
    <w:lvl w:ilvl="1">
      <w:start w:val="92"/>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3">
    <w:nsid w:val="4B1537FD"/>
    <w:multiLevelType w:val="hybridMultilevel"/>
    <w:tmpl w:val="64E0549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4BC16AB0"/>
    <w:multiLevelType w:val="hybridMultilevel"/>
    <w:tmpl w:val="6BDC46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4E6251B4"/>
    <w:multiLevelType w:val="hybridMultilevel"/>
    <w:tmpl w:val="37C4C7E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8">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9">
    <w:nsid w:val="59BA0F8A"/>
    <w:multiLevelType w:val="singleLevel"/>
    <w:tmpl w:val="C03E86D2"/>
    <w:lvl w:ilvl="0">
      <w:start w:val="1"/>
      <w:numFmt w:val="bullet"/>
      <w:lvlText w:val=""/>
      <w:lvlJc w:val="left"/>
      <w:pPr>
        <w:tabs>
          <w:tab w:val="num" w:pos="2520"/>
        </w:tabs>
        <w:ind w:left="2520" w:hanging="360"/>
      </w:pPr>
      <w:rPr>
        <w:rFonts w:ascii="Symbol" w:hAnsi="Symbol" w:hint="default"/>
      </w:rPr>
    </w:lvl>
  </w:abstractNum>
  <w:abstractNum w:abstractNumId="2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1">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22">
    <w:nsid w:val="6AF57E0D"/>
    <w:multiLevelType w:val="hybridMultilevel"/>
    <w:tmpl w:val="0A6891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E2D7C72"/>
    <w:multiLevelType w:val="hybridMultilevel"/>
    <w:tmpl w:val="D3BEDDAC"/>
    <w:lvl w:ilvl="0">
      <w:start w:val="1"/>
      <w:numFmt w:val="bullet"/>
      <w:lvlText w:val="•"/>
      <w:lvlJc w:val="left"/>
      <w:pPr>
        <w:tabs>
          <w:tab w:val="num" w:pos="720"/>
        </w:tabs>
        <w:ind w:left="720" w:hanging="360"/>
      </w:pPr>
      <w:rPr>
        <w:rFonts w:ascii="Arial" w:hAnsi="Arial" w:hint="default"/>
      </w:rPr>
    </w:lvl>
    <w:lvl w:ilvl="1">
      <w:start w:val="45"/>
      <w:numFmt w:val="bullet"/>
      <w:lvlText w:val="•"/>
      <w:lvlJc w:val="left"/>
      <w:pPr>
        <w:tabs>
          <w:tab w:val="num" w:pos="1440"/>
        </w:tabs>
        <w:ind w:left="1440" w:hanging="360"/>
      </w:pPr>
      <w:rPr>
        <w:rFonts w:ascii="Arial" w:hAnsi="Arial" w:hint="default"/>
      </w:rPr>
    </w:lvl>
    <w:lvl w:ilvl="2">
      <w:start w:val="45"/>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24">
    <w:nsid w:val="777103A8"/>
    <w:multiLevelType w:val="hybridMultilevel"/>
    <w:tmpl w:val="EF48509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79F33F3B"/>
    <w:multiLevelType w:val="hybridMultilevel"/>
    <w:tmpl w:val="F8BAB6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A9F7113"/>
    <w:multiLevelType w:val="hybridMultilevel"/>
    <w:tmpl w:val="1D9C6B76"/>
    <w:lvl w:ilvl="0">
      <w:start w:val="4"/>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5"/>
  </w:num>
  <w:num w:numId="2">
    <w:abstractNumId w:val="21"/>
  </w:num>
  <w:num w:numId="3">
    <w:abstractNumId w:val="7"/>
  </w:num>
  <w:num w:numId="4">
    <w:abstractNumId w:val="15"/>
  </w:num>
  <w:num w:numId="5">
    <w:abstractNumId w:val="6"/>
  </w:num>
  <w:num w:numId="6">
    <w:abstractNumId w:val="3"/>
  </w:num>
  <w:num w:numId="7">
    <w:abstractNumId w:val="19"/>
  </w:num>
  <w:num w:numId="8">
    <w:abstractNumId w:val="18"/>
  </w:num>
  <w:num w:numId="9">
    <w:abstractNumId w:val="20"/>
  </w:num>
  <w:num w:numId="10">
    <w:abstractNumId w:val="8"/>
  </w:num>
  <w:num w:numId="11">
    <w:abstractNumId w:val="17"/>
  </w:num>
  <w:num w:numId="12">
    <w:abstractNumId w:val="11"/>
  </w:num>
  <w:num w:numId="13">
    <w:abstractNumId w:val="1"/>
  </w:num>
  <w:num w:numId="14">
    <w:abstractNumId w:val="27"/>
  </w:num>
  <w:num w:numId="15">
    <w:abstractNumId w:val="10"/>
  </w:num>
  <w:num w:numId="16">
    <w:abstractNumId w:val="0"/>
  </w:num>
  <w:num w:numId="17">
    <w:abstractNumId w:val="23"/>
  </w:num>
  <w:num w:numId="18">
    <w:abstractNumId w:val="2"/>
  </w:num>
  <w:num w:numId="19">
    <w:abstractNumId w:val="12"/>
  </w:num>
  <w:num w:numId="20">
    <w:abstractNumId w:val="25"/>
  </w:num>
  <w:num w:numId="21">
    <w:abstractNumId w:val="14"/>
  </w:num>
  <w:num w:numId="22">
    <w:abstractNumId w:val="11"/>
    <w:lvlOverride w:ilvl="0">
      <w:startOverride w:val="1"/>
    </w:lvlOverride>
  </w:num>
  <w:num w:numId="23">
    <w:abstractNumId w:val="11"/>
    <w:lvlOverride w:ilvl="0">
      <w:startOverride w:val="1"/>
    </w:lvlOverride>
  </w:num>
  <w:num w:numId="24">
    <w:abstractNumId w:val="11"/>
    <w:lvlOverride w:ilvl="0">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num>
  <w:num w:numId="28">
    <w:abstractNumId w:val="11"/>
    <w:lvlOverride w:ilvl="0">
      <w:startOverride w:val="1"/>
    </w:lvlOverride>
  </w:num>
  <w:num w:numId="29">
    <w:abstractNumId w:val="22"/>
  </w:num>
  <w:num w:numId="30">
    <w:abstractNumId w:val="24"/>
  </w:num>
  <w:num w:numId="31">
    <w:abstractNumId w:val="26"/>
  </w:num>
  <w:num w:numId="32">
    <w:abstractNumId w:val="4"/>
  </w:num>
  <w:num w:numId="33">
    <w:abstractNumId w:val="13"/>
  </w:num>
  <w:num w:numId="34">
    <w:abstractNumId w:val="16"/>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2FA"/>
    <w:rsid w:val="00002F6C"/>
    <w:rsid w:val="000072CE"/>
    <w:rsid w:val="00010AEC"/>
    <w:rsid w:val="00013A8B"/>
    <w:rsid w:val="00013DF7"/>
    <w:rsid w:val="00014407"/>
    <w:rsid w:val="00021445"/>
    <w:rsid w:val="00022569"/>
    <w:rsid w:val="00022C4B"/>
    <w:rsid w:val="000249AA"/>
    <w:rsid w:val="000257D7"/>
    <w:rsid w:val="000274DC"/>
    <w:rsid w:val="00036039"/>
    <w:rsid w:val="00037F90"/>
    <w:rsid w:val="0004251B"/>
    <w:rsid w:val="00042E15"/>
    <w:rsid w:val="00043F2F"/>
    <w:rsid w:val="0004627F"/>
    <w:rsid w:val="00046A50"/>
    <w:rsid w:val="00046CD2"/>
    <w:rsid w:val="00050B5A"/>
    <w:rsid w:val="000534E5"/>
    <w:rsid w:val="00064D61"/>
    <w:rsid w:val="00066C23"/>
    <w:rsid w:val="00067D3A"/>
    <w:rsid w:val="000708B1"/>
    <w:rsid w:val="00074024"/>
    <w:rsid w:val="00082D6B"/>
    <w:rsid w:val="00082DBB"/>
    <w:rsid w:val="0008492D"/>
    <w:rsid w:val="00084AA0"/>
    <w:rsid w:val="00086257"/>
    <w:rsid w:val="000875BF"/>
    <w:rsid w:val="00090C24"/>
    <w:rsid w:val="0009239E"/>
    <w:rsid w:val="00092C2D"/>
    <w:rsid w:val="00093556"/>
    <w:rsid w:val="00096D8C"/>
    <w:rsid w:val="000A2830"/>
    <w:rsid w:val="000A28BE"/>
    <w:rsid w:val="000B0BFA"/>
    <w:rsid w:val="000B2B4B"/>
    <w:rsid w:val="000B3889"/>
    <w:rsid w:val="000B463E"/>
    <w:rsid w:val="000B4EE8"/>
    <w:rsid w:val="000B57D9"/>
    <w:rsid w:val="000C0B65"/>
    <w:rsid w:val="000C0F0D"/>
    <w:rsid w:val="000C1729"/>
    <w:rsid w:val="000D00FF"/>
    <w:rsid w:val="000D317F"/>
    <w:rsid w:val="000D67AC"/>
    <w:rsid w:val="000D6980"/>
    <w:rsid w:val="000D7917"/>
    <w:rsid w:val="000E08B0"/>
    <w:rsid w:val="000E3D42"/>
    <w:rsid w:val="000E4625"/>
    <w:rsid w:val="000E5884"/>
    <w:rsid w:val="000E6F09"/>
    <w:rsid w:val="000F3177"/>
    <w:rsid w:val="000F52C8"/>
    <w:rsid w:val="000F66BE"/>
    <w:rsid w:val="00103B60"/>
    <w:rsid w:val="00104847"/>
    <w:rsid w:val="00104BE5"/>
    <w:rsid w:val="001056BE"/>
    <w:rsid w:val="00113A9D"/>
    <w:rsid w:val="00120200"/>
    <w:rsid w:val="0012148C"/>
    <w:rsid w:val="00122BD5"/>
    <w:rsid w:val="00125D20"/>
    <w:rsid w:val="00127A86"/>
    <w:rsid w:val="00133691"/>
    <w:rsid w:val="001364BA"/>
    <w:rsid w:val="00152258"/>
    <w:rsid w:val="001522EB"/>
    <w:rsid w:val="0015350A"/>
    <w:rsid w:val="00160E2D"/>
    <w:rsid w:val="00163C00"/>
    <w:rsid w:val="001658C7"/>
    <w:rsid w:val="00172715"/>
    <w:rsid w:val="00177272"/>
    <w:rsid w:val="00187788"/>
    <w:rsid w:val="00193FA1"/>
    <w:rsid w:val="001979D9"/>
    <w:rsid w:val="001A06E3"/>
    <w:rsid w:val="001A1A3A"/>
    <w:rsid w:val="001A4202"/>
    <w:rsid w:val="001A4EB0"/>
    <w:rsid w:val="001B2E9F"/>
    <w:rsid w:val="001B3FCD"/>
    <w:rsid w:val="001B4BC8"/>
    <w:rsid w:val="001C3E1E"/>
    <w:rsid w:val="001C427E"/>
    <w:rsid w:val="001C4B13"/>
    <w:rsid w:val="001C51FC"/>
    <w:rsid w:val="001C67D3"/>
    <w:rsid w:val="001C7F4B"/>
    <w:rsid w:val="001D20EC"/>
    <w:rsid w:val="001D6BCF"/>
    <w:rsid w:val="001D7ACA"/>
    <w:rsid w:val="001E01CA"/>
    <w:rsid w:val="001E126C"/>
    <w:rsid w:val="001E2716"/>
    <w:rsid w:val="001E6614"/>
    <w:rsid w:val="001E7190"/>
    <w:rsid w:val="001F0E02"/>
    <w:rsid w:val="001F20E5"/>
    <w:rsid w:val="001F477A"/>
    <w:rsid w:val="001F6155"/>
    <w:rsid w:val="001F6EA8"/>
    <w:rsid w:val="00203C73"/>
    <w:rsid w:val="00205646"/>
    <w:rsid w:val="002060D9"/>
    <w:rsid w:val="00212936"/>
    <w:rsid w:val="00213420"/>
    <w:rsid w:val="002135D1"/>
    <w:rsid w:val="00216879"/>
    <w:rsid w:val="00217BA6"/>
    <w:rsid w:val="0022198D"/>
    <w:rsid w:val="00226822"/>
    <w:rsid w:val="00226CAB"/>
    <w:rsid w:val="0022714A"/>
    <w:rsid w:val="00231091"/>
    <w:rsid w:val="002357C3"/>
    <w:rsid w:val="00237612"/>
    <w:rsid w:val="00237EB4"/>
    <w:rsid w:val="00244B2E"/>
    <w:rsid w:val="0025430C"/>
    <w:rsid w:val="002560A5"/>
    <w:rsid w:val="002578A4"/>
    <w:rsid w:val="0025798E"/>
    <w:rsid w:val="00257CF3"/>
    <w:rsid w:val="00260594"/>
    <w:rsid w:val="00262888"/>
    <w:rsid w:val="00262B2A"/>
    <w:rsid w:val="00264BA2"/>
    <w:rsid w:val="002672D6"/>
    <w:rsid w:val="00270A6D"/>
    <w:rsid w:val="00271F92"/>
    <w:rsid w:val="00285017"/>
    <w:rsid w:val="00286E68"/>
    <w:rsid w:val="00287400"/>
    <w:rsid w:val="00287750"/>
    <w:rsid w:val="00291B6F"/>
    <w:rsid w:val="00292BB7"/>
    <w:rsid w:val="00294CAE"/>
    <w:rsid w:val="002952F5"/>
    <w:rsid w:val="002A09FC"/>
    <w:rsid w:val="002A13E4"/>
    <w:rsid w:val="002A2D2E"/>
    <w:rsid w:val="002A5FCB"/>
    <w:rsid w:val="002B7202"/>
    <w:rsid w:val="002B757B"/>
    <w:rsid w:val="002C043F"/>
    <w:rsid w:val="002C0999"/>
    <w:rsid w:val="002C2D98"/>
    <w:rsid w:val="002D11A1"/>
    <w:rsid w:val="002D4368"/>
    <w:rsid w:val="002D629F"/>
    <w:rsid w:val="002E7FD0"/>
    <w:rsid w:val="002F076A"/>
    <w:rsid w:val="002F07DB"/>
    <w:rsid w:val="002F53DA"/>
    <w:rsid w:val="002F570D"/>
    <w:rsid w:val="002F611C"/>
    <w:rsid w:val="002F788B"/>
    <w:rsid w:val="00301017"/>
    <w:rsid w:val="00304B5B"/>
    <w:rsid w:val="00310470"/>
    <w:rsid w:val="003117D2"/>
    <w:rsid w:val="003147EF"/>
    <w:rsid w:val="00322287"/>
    <w:rsid w:val="003252A0"/>
    <w:rsid w:val="00325A81"/>
    <w:rsid w:val="0033779D"/>
    <w:rsid w:val="00342318"/>
    <w:rsid w:val="0034283B"/>
    <w:rsid w:val="00343749"/>
    <w:rsid w:val="00347C26"/>
    <w:rsid w:val="003539C6"/>
    <w:rsid w:val="00356F5B"/>
    <w:rsid w:val="00357D50"/>
    <w:rsid w:val="00371F41"/>
    <w:rsid w:val="00372202"/>
    <w:rsid w:val="00375B2A"/>
    <w:rsid w:val="003808E9"/>
    <w:rsid w:val="00383693"/>
    <w:rsid w:val="003905FC"/>
    <w:rsid w:val="003925DC"/>
    <w:rsid w:val="0039438B"/>
    <w:rsid w:val="003A2EF5"/>
    <w:rsid w:val="003A3D1C"/>
    <w:rsid w:val="003A3F89"/>
    <w:rsid w:val="003B0550"/>
    <w:rsid w:val="003B32D2"/>
    <w:rsid w:val="003B694F"/>
    <w:rsid w:val="003B6DD8"/>
    <w:rsid w:val="003C1657"/>
    <w:rsid w:val="003C3083"/>
    <w:rsid w:val="003C3198"/>
    <w:rsid w:val="003C42ED"/>
    <w:rsid w:val="003C7A44"/>
    <w:rsid w:val="003D0F2E"/>
    <w:rsid w:val="003D1587"/>
    <w:rsid w:val="003D1A59"/>
    <w:rsid w:val="003D1E48"/>
    <w:rsid w:val="003D3014"/>
    <w:rsid w:val="003D4359"/>
    <w:rsid w:val="003D69E6"/>
    <w:rsid w:val="003D7247"/>
    <w:rsid w:val="003D774C"/>
    <w:rsid w:val="003D7D4C"/>
    <w:rsid w:val="003E1418"/>
    <w:rsid w:val="003E1C04"/>
    <w:rsid w:val="003E24EB"/>
    <w:rsid w:val="003F171C"/>
    <w:rsid w:val="003F25DA"/>
    <w:rsid w:val="003F4390"/>
    <w:rsid w:val="003F651C"/>
    <w:rsid w:val="003F7AD1"/>
    <w:rsid w:val="004028A4"/>
    <w:rsid w:val="00402B2D"/>
    <w:rsid w:val="0040469C"/>
    <w:rsid w:val="0040590B"/>
    <w:rsid w:val="004107BE"/>
    <w:rsid w:val="00411168"/>
    <w:rsid w:val="0041193F"/>
    <w:rsid w:val="00412560"/>
    <w:rsid w:val="00412FC5"/>
    <w:rsid w:val="004144BE"/>
    <w:rsid w:val="00414BE3"/>
    <w:rsid w:val="00417DF5"/>
    <w:rsid w:val="00421AFD"/>
    <w:rsid w:val="00422276"/>
    <w:rsid w:val="00422763"/>
    <w:rsid w:val="004242F1"/>
    <w:rsid w:val="00430A96"/>
    <w:rsid w:val="004352FC"/>
    <w:rsid w:val="00437519"/>
    <w:rsid w:val="004376CD"/>
    <w:rsid w:val="00442448"/>
    <w:rsid w:val="00445A00"/>
    <w:rsid w:val="00450D3D"/>
    <w:rsid w:val="00451B0F"/>
    <w:rsid w:val="00453A6E"/>
    <w:rsid w:val="00457F28"/>
    <w:rsid w:val="00460AA5"/>
    <w:rsid w:val="0046125F"/>
    <w:rsid w:val="0046463A"/>
    <w:rsid w:val="004668DF"/>
    <w:rsid w:val="00466B42"/>
    <w:rsid w:val="0046784F"/>
    <w:rsid w:val="00470611"/>
    <w:rsid w:val="00472DA1"/>
    <w:rsid w:val="00485FD7"/>
    <w:rsid w:val="00487524"/>
    <w:rsid w:val="00487A52"/>
    <w:rsid w:val="00490431"/>
    <w:rsid w:val="00492309"/>
    <w:rsid w:val="00496106"/>
    <w:rsid w:val="004A48F8"/>
    <w:rsid w:val="004A7580"/>
    <w:rsid w:val="004B21EB"/>
    <w:rsid w:val="004B285B"/>
    <w:rsid w:val="004B47B8"/>
    <w:rsid w:val="004B4823"/>
    <w:rsid w:val="004B6D83"/>
    <w:rsid w:val="004B761C"/>
    <w:rsid w:val="004C008F"/>
    <w:rsid w:val="004C12D0"/>
    <w:rsid w:val="004C2EE3"/>
    <w:rsid w:val="004C555C"/>
    <w:rsid w:val="004C5EF6"/>
    <w:rsid w:val="004C6082"/>
    <w:rsid w:val="004C70C6"/>
    <w:rsid w:val="004D3BA1"/>
    <w:rsid w:val="004D3CEB"/>
    <w:rsid w:val="004D5C6B"/>
    <w:rsid w:val="004D6357"/>
    <w:rsid w:val="004D7168"/>
    <w:rsid w:val="004D7CD0"/>
    <w:rsid w:val="004E0004"/>
    <w:rsid w:val="004E05FD"/>
    <w:rsid w:val="004E2696"/>
    <w:rsid w:val="004E3B20"/>
    <w:rsid w:val="004E4A22"/>
    <w:rsid w:val="004E5E87"/>
    <w:rsid w:val="004E7F2F"/>
    <w:rsid w:val="004F55E5"/>
    <w:rsid w:val="00500056"/>
    <w:rsid w:val="005031C5"/>
    <w:rsid w:val="0050687F"/>
    <w:rsid w:val="00507724"/>
    <w:rsid w:val="00511968"/>
    <w:rsid w:val="005153BD"/>
    <w:rsid w:val="00516C0F"/>
    <w:rsid w:val="00516CC6"/>
    <w:rsid w:val="00521C11"/>
    <w:rsid w:val="00523BA1"/>
    <w:rsid w:val="00526533"/>
    <w:rsid w:val="00536A3E"/>
    <w:rsid w:val="0053760A"/>
    <w:rsid w:val="0054358A"/>
    <w:rsid w:val="005465C6"/>
    <w:rsid w:val="005519F9"/>
    <w:rsid w:val="00552EBB"/>
    <w:rsid w:val="00555DD5"/>
    <w:rsid w:val="0055614C"/>
    <w:rsid w:val="005613E5"/>
    <w:rsid w:val="00571E35"/>
    <w:rsid w:val="00577965"/>
    <w:rsid w:val="00577CF9"/>
    <w:rsid w:val="00582B94"/>
    <w:rsid w:val="00582E12"/>
    <w:rsid w:val="00583F25"/>
    <w:rsid w:val="00584EF8"/>
    <w:rsid w:val="0059008D"/>
    <w:rsid w:val="005949D1"/>
    <w:rsid w:val="00596547"/>
    <w:rsid w:val="005A5DF7"/>
    <w:rsid w:val="005B04BA"/>
    <w:rsid w:val="005B0AB6"/>
    <w:rsid w:val="005B3764"/>
    <w:rsid w:val="005B5770"/>
    <w:rsid w:val="005B722C"/>
    <w:rsid w:val="005C0891"/>
    <w:rsid w:val="005C1E48"/>
    <w:rsid w:val="005D1120"/>
    <w:rsid w:val="005D2861"/>
    <w:rsid w:val="005D2E55"/>
    <w:rsid w:val="005D32D6"/>
    <w:rsid w:val="005E1E7C"/>
    <w:rsid w:val="005E3B0B"/>
    <w:rsid w:val="005F30ED"/>
    <w:rsid w:val="005F3F29"/>
    <w:rsid w:val="005F3F99"/>
    <w:rsid w:val="005F4A65"/>
    <w:rsid w:val="005F4EE1"/>
    <w:rsid w:val="005F57C8"/>
    <w:rsid w:val="00604E77"/>
    <w:rsid w:val="00607BA5"/>
    <w:rsid w:val="00613CB4"/>
    <w:rsid w:val="00614454"/>
    <w:rsid w:val="00614A6F"/>
    <w:rsid w:val="0061661A"/>
    <w:rsid w:val="006216E9"/>
    <w:rsid w:val="00626EB6"/>
    <w:rsid w:val="006310FF"/>
    <w:rsid w:val="006311DA"/>
    <w:rsid w:val="00631FC0"/>
    <w:rsid w:val="0063254D"/>
    <w:rsid w:val="006353A3"/>
    <w:rsid w:val="006410CA"/>
    <w:rsid w:val="00641F7A"/>
    <w:rsid w:val="00641F92"/>
    <w:rsid w:val="00642D83"/>
    <w:rsid w:val="00643C26"/>
    <w:rsid w:val="006529A3"/>
    <w:rsid w:val="00654913"/>
    <w:rsid w:val="00655D03"/>
    <w:rsid w:val="00656954"/>
    <w:rsid w:val="00661F6C"/>
    <w:rsid w:val="0066302C"/>
    <w:rsid w:val="00665F6E"/>
    <w:rsid w:val="00671AD3"/>
    <w:rsid w:val="00672E5B"/>
    <w:rsid w:val="006753AB"/>
    <w:rsid w:val="00675917"/>
    <w:rsid w:val="006771EE"/>
    <w:rsid w:val="00677BC0"/>
    <w:rsid w:val="00683F84"/>
    <w:rsid w:val="0068580C"/>
    <w:rsid w:val="006870C6"/>
    <w:rsid w:val="006874C9"/>
    <w:rsid w:val="006968A3"/>
    <w:rsid w:val="006A0E27"/>
    <w:rsid w:val="006A0E6A"/>
    <w:rsid w:val="006A2E05"/>
    <w:rsid w:val="006A3328"/>
    <w:rsid w:val="006A34EF"/>
    <w:rsid w:val="006A3EF7"/>
    <w:rsid w:val="006A615E"/>
    <w:rsid w:val="006A64E7"/>
    <w:rsid w:val="006A6A81"/>
    <w:rsid w:val="006B2970"/>
    <w:rsid w:val="006B3976"/>
    <w:rsid w:val="006B5348"/>
    <w:rsid w:val="006B6219"/>
    <w:rsid w:val="006C12CD"/>
    <w:rsid w:val="006C496A"/>
    <w:rsid w:val="006C76C3"/>
    <w:rsid w:val="006C7BA3"/>
    <w:rsid w:val="006D483C"/>
    <w:rsid w:val="006D609E"/>
    <w:rsid w:val="006D7B27"/>
    <w:rsid w:val="006E0453"/>
    <w:rsid w:val="006E26AF"/>
    <w:rsid w:val="006F3A8C"/>
    <w:rsid w:val="006F43CB"/>
    <w:rsid w:val="006F4A00"/>
    <w:rsid w:val="006F4F07"/>
    <w:rsid w:val="006F71F8"/>
    <w:rsid w:val="006F7393"/>
    <w:rsid w:val="007002D9"/>
    <w:rsid w:val="0070224F"/>
    <w:rsid w:val="007024B6"/>
    <w:rsid w:val="00703C1A"/>
    <w:rsid w:val="00705AEF"/>
    <w:rsid w:val="00706985"/>
    <w:rsid w:val="007115F7"/>
    <w:rsid w:val="007136E5"/>
    <w:rsid w:val="0072578E"/>
    <w:rsid w:val="0072666B"/>
    <w:rsid w:val="007309F8"/>
    <w:rsid w:val="0073239B"/>
    <w:rsid w:val="00733E60"/>
    <w:rsid w:val="007345A4"/>
    <w:rsid w:val="00735412"/>
    <w:rsid w:val="00736B84"/>
    <w:rsid w:val="00737A7E"/>
    <w:rsid w:val="00742490"/>
    <w:rsid w:val="007440AD"/>
    <w:rsid w:val="00750986"/>
    <w:rsid w:val="00753E60"/>
    <w:rsid w:val="0076330E"/>
    <w:rsid w:val="00764902"/>
    <w:rsid w:val="0076793F"/>
    <w:rsid w:val="0077030D"/>
    <w:rsid w:val="00777ACD"/>
    <w:rsid w:val="00782262"/>
    <w:rsid w:val="00783050"/>
    <w:rsid w:val="00783DF5"/>
    <w:rsid w:val="00785689"/>
    <w:rsid w:val="00786C5F"/>
    <w:rsid w:val="007930C0"/>
    <w:rsid w:val="0079405E"/>
    <w:rsid w:val="0079529F"/>
    <w:rsid w:val="00796284"/>
    <w:rsid w:val="00796658"/>
    <w:rsid w:val="0079754B"/>
    <w:rsid w:val="007A0185"/>
    <w:rsid w:val="007A0AF2"/>
    <w:rsid w:val="007A0EE6"/>
    <w:rsid w:val="007A1E6D"/>
    <w:rsid w:val="007A2332"/>
    <w:rsid w:val="007A764B"/>
    <w:rsid w:val="007A7F85"/>
    <w:rsid w:val="007B1DA5"/>
    <w:rsid w:val="007B48B8"/>
    <w:rsid w:val="007C105F"/>
    <w:rsid w:val="007C63BD"/>
    <w:rsid w:val="007D4080"/>
    <w:rsid w:val="007D471F"/>
    <w:rsid w:val="007D6B1B"/>
    <w:rsid w:val="007E5454"/>
    <w:rsid w:val="007E55E7"/>
    <w:rsid w:val="007F22D3"/>
    <w:rsid w:val="007F2CBA"/>
    <w:rsid w:val="007F4970"/>
    <w:rsid w:val="008127D7"/>
    <w:rsid w:val="00815EC5"/>
    <w:rsid w:val="00822CE0"/>
    <w:rsid w:val="008243BB"/>
    <w:rsid w:val="008257B1"/>
    <w:rsid w:val="00833A19"/>
    <w:rsid w:val="00833D3F"/>
    <w:rsid w:val="008362BA"/>
    <w:rsid w:val="00837C62"/>
    <w:rsid w:val="00840D77"/>
    <w:rsid w:val="00841AB1"/>
    <w:rsid w:val="00846A43"/>
    <w:rsid w:val="00847A53"/>
    <w:rsid w:val="008559B6"/>
    <w:rsid w:val="00864EEF"/>
    <w:rsid w:val="00865462"/>
    <w:rsid w:val="0087432F"/>
    <w:rsid w:val="008758AA"/>
    <w:rsid w:val="00876864"/>
    <w:rsid w:val="0088163F"/>
    <w:rsid w:val="008859F3"/>
    <w:rsid w:val="00885B6C"/>
    <w:rsid w:val="00886563"/>
    <w:rsid w:val="00886B76"/>
    <w:rsid w:val="00887C66"/>
    <w:rsid w:val="0089273F"/>
    <w:rsid w:val="00894917"/>
    <w:rsid w:val="00895551"/>
    <w:rsid w:val="00897D4F"/>
    <w:rsid w:val="00897F54"/>
    <w:rsid w:val="008A1620"/>
    <w:rsid w:val="008A2CF7"/>
    <w:rsid w:val="008A438B"/>
    <w:rsid w:val="008A6225"/>
    <w:rsid w:val="008C22FD"/>
    <w:rsid w:val="008C4469"/>
    <w:rsid w:val="008C4577"/>
    <w:rsid w:val="008D1148"/>
    <w:rsid w:val="008D4D54"/>
    <w:rsid w:val="008E0B34"/>
    <w:rsid w:val="008E23DD"/>
    <w:rsid w:val="008E2AE2"/>
    <w:rsid w:val="008E3E23"/>
    <w:rsid w:val="008E5097"/>
    <w:rsid w:val="008E5207"/>
    <w:rsid w:val="008E7087"/>
    <w:rsid w:val="008F620C"/>
    <w:rsid w:val="009004CE"/>
    <w:rsid w:val="00901878"/>
    <w:rsid w:val="00903587"/>
    <w:rsid w:val="00904D28"/>
    <w:rsid w:val="00906621"/>
    <w:rsid w:val="0090770A"/>
    <w:rsid w:val="00910F12"/>
    <w:rsid w:val="009130E1"/>
    <w:rsid w:val="00914FB0"/>
    <w:rsid w:val="00915470"/>
    <w:rsid w:val="00916D12"/>
    <w:rsid w:val="00917B5C"/>
    <w:rsid w:val="00921C3F"/>
    <w:rsid w:val="00922181"/>
    <w:rsid w:val="0092233D"/>
    <w:rsid w:val="00926503"/>
    <w:rsid w:val="00930ECF"/>
    <w:rsid w:val="00942468"/>
    <w:rsid w:val="009456CB"/>
    <w:rsid w:val="009516F9"/>
    <w:rsid w:val="00953C3D"/>
    <w:rsid w:val="009547EE"/>
    <w:rsid w:val="00956487"/>
    <w:rsid w:val="00967FD2"/>
    <w:rsid w:val="0097443D"/>
    <w:rsid w:val="009747FC"/>
    <w:rsid w:val="009754B9"/>
    <w:rsid w:val="00976C8F"/>
    <w:rsid w:val="00977052"/>
    <w:rsid w:val="00977640"/>
    <w:rsid w:val="00980DB3"/>
    <w:rsid w:val="009838BC"/>
    <w:rsid w:val="0098449B"/>
    <w:rsid w:val="00986F49"/>
    <w:rsid w:val="0099441A"/>
    <w:rsid w:val="009A057E"/>
    <w:rsid w:val="009A7032"/>
    <w:rsid w:val="009B0B5B"/>
    <w:rsid w:val="009B3FC8"/>
    <w:rsid w:val="009B4C14"/>
    <w:rsid w:val="009B4E0F"/>
    <w:rsid w:val="009B5743"/>
    <w:rsid w:val="009C25BF"/>
    <w:rsid w:val="009C4A87"/>
    <w:rsid w:val="009C60DF"/>
    <w:rsid w:val="009C703B"/>
    <w:rsid w:val="009C78B4"/>
    <w:rsid w:val="009C7CE5"/>
    <w:rsid w:val="009D0F99"/>
    <w:rsid w:val="009D3E5F"/>
    <w:rsid w:val="009D5FF9"/>
    <w:rsid w:val="009E2ECD"/>
    <w:rsid w:val="009E31DC"/>
    <w:rsid w:val="009E327C"/>
    <w:rsid w:val="009E387E"/>
    <w:rsid w:val="009E472C"/>
    <w:rsid w:val="009E792C"/>
    <w:rsid w:val="009E7BB8"/>
    <w:rsid w:val="009F3F6F"/>
    <w:rsid w:val="009F6721"/>
    <w:rsid w:val="00A022C7"/>
    <w:rsid w:val="00A02DFD"/>
    <w:rsid w:val="00A04A90"/>
    <w:rsid w:val="00A05A25"/>
    <w:rsid w:val="00A06C4F"/>
    <w:rsid w:val="00A13AF4"/>
    <w:rsid w:val="00A30278"/>
    <w:rsid w:val="00A31614"/>
    <w:rsid w:val="00A32C46"/>
    <w:rsid w:val="00A34DD6"/>
    <w:rsid w:val="00A3632D"/>
    <w:rsid w:val="00A4197C"/>
    <w:rsid w:val="00A43D34"/>
    <w:rsid w:val="00A43E24"/>
    <w:rsid w:val="00A44551"/>
    <w:rsid w:val="00A45F4F"/>
    <w:rsid w:val="00A464D5"/>
    <w:rsid w:val="00A46F9B"/>
    <w:rsid w:val="00A50169"/>
    <w:rsid w:val="00A5064D"/>
    <w:rsid w:val="00A50C89"/>
    <w:rsid w:val="00A544B5"/>
    <w:rsid w:val="00A600A9"/>
    <w:rsid w:val="00A61320"/>
    <w:rsid w:val="00A631C4"/>
    <w:rsid w:val="00A6414B"/>
    <w:rsid w:val="00A64926"/>
    <w:rsid w:val="00A65C58"/>
    <w:rsid w:val="00A719D3"/>
    <w:rsid w:val="00A71FC4"/>
    <w:rsid w:val="00A748E1"/>
    <w:rsid w:val="00A80A20"/>
    <w:rsid w:val="00A80B42"/>
    <w:rsid w:val="00A8177D"/>
    <w:rsid w:val="00A82018"/>
    <w:rsid w:val="00A85923"/>
    <w:rsid w:val="00A866AC"/>
    <w:rsid w:val="00A938CD"/>
    <w:rsid w:val="00A942BC"/>
    <w:rsid w:val="00A95DB4"/>
    <w:rsid w:val="00A96F2F"/>
    <w:rsid w:val="00AA183C"/>
    <w:rsid w:val="00AA26AB"/>
    <w:rsid w:val="00AA3CD3"/>
    <w:rsid w:val="00AA55B7"/>
    <w:rsid w:val="00AA5B9E"/>
    <w:rsid w:val="00AA5C51"/>
    <w:rsid w:val="00AA639C"/>
    <w:rsid w:val="00AB0C8A"/>
    <w:rsid w:val="00AB2407"/>
    <w:rsid w:val="00AB2B99"/>
    <w:rsid w:val="00AB53DF"/>
    <w:rsid w:val="00AC09A6"/>
    <w:rsid w:val="00AC25D4"/>
    <w:rsid w:val="00AC543C"/>
    <w:rsid w:val="00AC5C56"/>
    <w:rsid w:val="00AD2DD0"/>
    <w:rsid w:val="00AD7601"/>
    <w:rsid w:val="00AE5D50"/>
    <w:rsid w:val="00AF113F"/>
    <w:rsid w:val="00AF3081"/>
    <w:rsid w:val="00AF3154"/>
    <w:rsid w:val="00AF46B0"/>
    <w:rsid w:val="00AF54E4"/>
    <w:rsid w:val="00AF777E"/>
    <w:rsid w:val="00B0234F"/>
    <w:rsid w:val="00B02671"/>
    <w:rsid w:val="00B0560F"/>
    <w:rsid w:val="00B07E5C"/>
    <w:rsid w:val="00B12235"/>
    <w:rsid w:val="00B12A1C"/>
    <w:rsid w:val="00B1767E"/>
    <w:rsid w:val="00B20363"/>
    <w:rsid w:val="00B219E7"/>
    <w:rsid w:val="00B236B0"/>
    <w:rsid w:val="00B23F6D"/>
    <w:rsid w:val="00B326E3"/>
    <w:rsid w:val="00B345E2"/>
    <w:rsid w:val="00B35791"/>
    <w:rsid w:val="00B4118E"/>
    <w:rsid w:val="00B417E9"/>
    <w:rsid w:val="00B42DBF"/>
    <w:rsid w:val="00B478E0"/>
    <w:rsid w:val="00B47D87"/>
    <w:rsid w:val="00B5422F"/>
    <w:rsid w:val="00B55965"/>
    <w:rsid w:val="00B618C7"/>
    <w:rsid w:val="00B618CB"/>
    <w:rsid w:val="00B62DBF"/>
    <w:rsid w:val="00B63264"/>
    <w:rsid w:val="00B703C0"/>
    <w:rsid w:val="00B72AD2"/>
    <w:rsid w:val="00B811F7"/>
    <w:rsid w:val="00B81EE0"/>
    <w:rsid w:val="00B83BC6"/>
    <w:rsid w:val="00B868BE"/>
    <w:rsid w:val="00B93F53"/>
    <w:rsid w:val="00B95720"/>
    <w:rsid w:val="00B9675E"/>
    <w:rsid w:val="00B96855"/>
    <w:rsid w:val="00B96912"/>
    <w:rsid w:val="00BA0A30"/>
    <w:rsid w:val="00BA39FC"/>
    <w:rsid w:val="00BA5DC6"/>
    <w:rsid w:val="00BA6196"/>
    <w:rsid w:val="00BA6486"/>
    <w:rsid w:val="00BA7E13"/>
    <w:rsid w:val="00BA7EAE"/>
    <w:rsid w:val="00BB6476"/>
    <w:rsid w:val="00BC2344"/>
    <w:rsid w:val="00BC36D5"/>
    <w:rsid w:val="00BC6D8C"/>
    <w:rsid w:val="00BD11C7"/>
    <w:rsid w:val="00BD1A16"/>
    <w:rsid w:val="00BD1B6B"/>
    <w:rsid w:val="00BD6EE8"/>
    <w:rsid w:val="00BD7B85"/>
    <w:rsid w:val="00BE1744"/>
    <w:rsid w:val="00BE19D2"/>
    <w:rsid w:val="00BE4B32"/>
    <w:rsid w:val="00BF0176"/>
    <w:rsid w:val="00BF0293"/>
    <w:rsid w:val="00BF0C67"/>
    <w:rsid w:val="00BF4352"/>
    <w:rsid w:val="00C0111D"/>
    <w:rsid w:val="00C05200"/>
    <w:rsid w:val="00C065B9"/>
    <w:rsid w:val="00C06AA8"/>
    <w:rsid w:val="00C075EE"/>
    <w:rsid w:val="00C11058"/>
    <w:rsid w:val="00C119D8"/>
    <w:rsid w:val="00C16AF2"/>
    <w:rsid w:val="00C24543"/>
    <w:rsid w:val="00C24D0D"/>
    <w:rsid w:val="00C2544E"/>
    <w:rsid w:val="00C2790B"/>
    <w:rsid w:val="00C27F6D"/>
    <w:rsid w:val="00C312A0"/>
    <w:rsid w:val="00C337F5"/>
    <w:rsid w:val="00C34006"/>
    <w:rsid w:val="00C350E0"/>
    <w:rsid w:val="00C36A17"/>
    <w:rsid w:val="00C37ADE"/>
    <w:rsid w:val="00C426B1"/>
    <w:rsid w:val="00C43DA7"/>
    <w:rsid w:val="00C4423E"/>
    <w:rsid w:val="00C447BB"/>
    <w:rsid w:val="00C507E5"/>
    <w:rsid w:val="00C53F0E"/>
    <w:rsid w:val="00C55DC4"/>
    <w:rsid w:val="00C56D25"/>
    <w:rsid w:val="00C5703B"/>
    <w:rsid w:val="00C5745E"/>
    <w:rsid w:val="00C6792A"/>
    <w:rsid w:val="00C67BB4"/>
    <w:rsid w:val="00C70088"/>
    <w:rsid w:val="00C72EC4"/>
    <w:rsid w:val="00C736DD"/>
    <w:rsid w:val="00C73F1B"/>
    <w:rsid w:val="00C74C80"/>
    <w:rsid w:val="00C752C8"/>
    <w:rsid w:val="00C77A07"/>
    <w:rsid w:val="00C82B6B"/>
    <w:rsid w:val="00C90D6A"/>
    <w:rsid w:val="00C916DE"/>
    <w:rsid w:val="00C93BE0"/>
    <w:rsid w:val="00C94AEA"/>
    <w:rsid w:val="00C95A28"/>
    <w:rsid w:val="00CA11F5"/>
    <w:rsid w:val="00CA23B7"/>
    <w:rsid w:val="00CA36A0"/>
    <w:rsid w:val="00CA40A2"/>
    <w:rsid w:val="00CB04B5"/>
    <w:rsid w:val="00CB1230"/>
    <w:rsid w:val="00CB4D0D"/>
    <w:rsid w:val="00CB63BF"/>
    <w:rsid w:val="00CB6929"/>
    <w:rsid w:val="00CC2EF7"/>
    <w:rsid w:val="00CC5780"/>
    <w:rsid w:val="00CC72B6"/>
    <w:rsid w:val="00CD11C9"/>
    <w:rsid w:val="00CD3C93"/>
    <w:rsid w:val="00CD680F"/>
    <w:rsid w:val="00CE2698"/>
    <w:rsid w:val="00CE391B"/>
    <w:rsid w:val="00D000AA"/>
    <w:rsid w:val="00D0218D"/>
    <w:rsid w:val="00D05ED8"/>
    <w:rsid w:val="00D06729"/>
    <w:rsid w:val="00D07F32"/>
    <w:rsid w:val="00D131ED"/>
    <w:rsid w:val="00D16835"/>
    <w:rsid w:val="00D216CD"/>
    <w:rsid w:val="00D30CCD"/>
    <w:rsid w:val="00D30E60"/>
    <w:rsid w:val="00D3714D"/>
    <w:rsid w:val="00D4750D"/>
    <w:rsid w:val="00D47F71"/>
    <w:rsid w:val="00D503CB"/>
    <w:rsid w:val="00D51821"/>
    <w:rsid w:val="00D53910"/>
    <w:rsid w:val="00D54128"/>
    <w:rsid w:val="00D658E3"/>
    <w:rsid w:val="00D7095B"/>
    <w:rsid w:val="00D71633"/>
    <w:rsid w:val="00D77A41"/>
    <w:rsid w:val="00D80979"/>
    <w:rsid w:val="00D816CE"/>
    <w:rsid w:val="00D84304"/>
    <w:rsid w:val="00D85083"/>
    <w:rsid w:val="00D92D82"/>
    <w:rsid w:val="00D9350A"/>
    <w:rsid w:val="00D936D8"/>
    <w:rsid w:val="00D9582A"/>
    <w:rsid w:val="00D97A06"/>
    <w:rsid w:val="00DA09E5"/>
    <w:rsid w:val="00DA0FA9"/>
    <w:rsid w:val="00DA155A"/>
    <w:rsid w:val="00DA23E2"/>
    <w:rsid w:val="00DA2529"/>
    <w:rsid w:val="00DA3490"/>
    <w:rsid w:val="00DA3678"/>
    <w:rsid w:val="00DA4378"/>
    <w:rsid w:val="00DB130A"/>
    <w:rsid w:val="00DB54DB"/>
    <w:rsid w:val="00DC10A1"/>
    <w:rsid w:val="00DC2F58"/>
    <w:rsid w:val="00DC49CD"/>
    <w:rsid w:val="00DC655F"/>
    <w:rsid w:val="00DD026C"/>
    <w:rsid w:val="00DD2EC2"/>
    <w:rsid w:val="00DD499C"/>
    <w:rsid w:val="00DD7EBD"/>
    <w:rsid w:val="00DE11A7"/>
    <w:rsid w:val="00DE4BE8"/>
    <w:rsid w:val="00DE72C0"/>
    <w:rsid w:val="00DF1E19"/>
    <w:rsid w:val="00DF5E2C"/>
    <w:rsid w:val="00DF62B6"/>
    <w:rsid w:val="00E03163"/>
    <w:rsid w:val="00E06BE9"/>
    <w:rsid w:val="00E06C01"/>
    <w:rsid w:val="00E07225"/>
    <w:rsid w:val="00E14218"/>
    <w:rsid w:val="00E14917"/>
    <w:rsid w:val="00E155B7"/>
    <w:rsid w:val="00E20973"/>
    <w:rsid w:val="00E2114B"/>
    <w:rsid w:val="00E22134"/>
    <w:rsid w:val="00E221DE"/>
    <w:rsid w:val="00E26643"/>
    <w:rsid w:val="00E31F72"/>
    <w:rsid w:val="00E3234E"/>
    <w:rsid w:val="00E37E9C"/>
    <w:rsid w:val="00E408B3"/>
    <w:rsid w:val="00E4181B"/>
    <w:rsid w:val="00E46945"/>
    <w:rsid w:val="00E47740"/>
    <w:rsid w:val="00E51821"/>
    <w:rsid w:val="00E52A59"/>
    <w:rsid w:val="00E5409F"/>
    <w:rsid w:val="00E56DE0"/>
    <w:rsid w:val="00E571B8"/>
    <w:rsid w:val="00E608E6"/>
    <w:rsid w:val="00E660F4"/>
    <w:rsid w:val="00E66E7C"/>
    <w:rsid w:val="00E71397"/>
    <w:rsid w:val="00E7505C"/>
    <w:rsid w:val="00E76725"/>
    <w:rsid w:val="00E844F2"/>
    <w:rsid w:val="00E86769"/>
    <w:rsid w:val="00E942DF"/>
    <w:rsid w:val="00E948F1"/>
    <w:rsid w:val="00EA1352"/>
    <w:rsid w:val="00EA3C5B"/>
    <w:rsid w:val="00EA5F90"/>
    <w:rsid w:val="00EB6F28"/>
    <w:rsid w:val="00EB7CB1"/>
    <w:rsid w:val="00EC0185"/>
    <w:rsid w:val="00EC0904"/>
    <w:rsid w:val="00EC13E3"/>
    <w:rsid w:val="00EC257B"/>
    <w:rsid w:val="00EC4E49"/>
    <w:rsid w:val="00ED0C40"/>
    <w:rsid w:val="00ED18AE"/>
    <w:rsid w:val="00ED77AA"/>
    <w:rsid w:val="00EE0EFD"/>
    <w:rsid w:val="00EE451B"/>
    <w:rsid w:val="00EF0378"/>
    <w:rsid w:val="00EF3EA6"/>
    <w:rsid w:val="00EF73D4"/>
    <w:rsid w:val="00F016B0"/>
    <w:rsid w:val="00F021FA"/>
    <w:rsid w:val="00F05E0E"/>
    <w:rsid w:val="00F15767"/>
    <w:rsid w:val="00F16D18"/>
    <w:rsid w:val="00F16E86"/>
    <w:rsid w:val="00F2068B"/>
    <w:rsid w:val="00F2280F"/>
    <w:rsid w:val="00F22814"/>
    <w:rsid w:val="00F30ED9"/>
    <w:rsid w:val="00F31E7B"/>
    <w:rsid w:val="00F32561"/>
    <w:rsid w:val="00F36E35"/>
    <w:rsid w:val="00F36FF8"/>
    <w:rsid w:val="00F40D69"/>
    <w:rsid w:val="00F41BA8"/>
    <w:rsid w:val="00F43515"/>
    <w:rsid w:val="00F44524"/>
    <w:rsid w:val="00F44FA6"/>
    <w:rsid w:val="00F45EA5"/>
    <w:rsid w:val="00F460B1"/>
    <w:rsid w:val="00F523C5"/>
    <w:rsid w:val="00F54924"/>
    <w:rsid w:val="00F56368"/>
    <w:rsid w:val="00F569F7"/>
    <w:rsid w:val="00F57ACA"/>
    <w:rsid w:val="00F629BC"/>
    <w:rsid w:val="00F62E97"/>
    <w:rsid w:val="00F63519"/>
    <w:rsid w:val="00F64209"/>
    <w:rsid w:val="00F64D42"/>
    <w:rsid w:val="00F64F89"/>
    <w:rsid w:val="00F729D9"/>
    <w:rsid w:val="00F73BF2"/>
    <w:rsid w:val="00F74487"/>
    <w:rsid w:val="00F807F2"/>
    <w:rsid w:val="00F82190"/>
    <w:rsid w:val="00F85CAF"/>
    <w:rsid w:val="00F87EB4"/>
    <w:rsid w:val="00F93BF5"/>
    <w:rsid w:val="00F96F63"/>
    <w:rsid w:val="00FA0AA6"/>
    <w:rsid w:val="00FA4C06"/>
    <w:rsid w:val="00FA4E60"/>
    <w:rsid w:val="00FA66CE"/>
    <w:rsid w:val="00FA7659"/>
    <w:rsid w:val="00FB3E6E"/>
    <w:rsid w:val="00FB5D74"/>
    <w:rsid w:val="00FB5E82"/>
    <w:rsid w:val="00FB5F37"/>
    <w:rsid w:val="00FB64E9"/>
    <w:rsid w:val="00FB6BE7"/>
    <w:rsid w:val="00FB6BEF"/>
    <w:rsid w:val="00FC0834"/>
    <w:rsid w:val="00FC12FA"/>
    <w:rsid w:val="00FC67CB"/>
    <w:rsid w:val="00FD1A5F"/>
    <w:rsid w:val="00FD4796"/>
    <w:rsid w:val="00FE0076"/>
    <w:rsid w:val="00FE075C"/>
    <w:rsid w:val="00FE111F"/>
    <w:rsid w:val="00FE21CF"/>
    <w:rsid w:val="00FE233E"/>
    <w:rsid w:val="00FE49D8"/>
    <w:rsid w:val="00FF36D1"/>
    <w:rsid w:val="00FF41F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F832B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link w:val="EndnoteTextChar"/>
    <w:rPr>
      <w:sz w:val="20"/>
    </w:rPr>
  </w:style>
  <w:style w:type="character" w:styleId="EndnoteReference">
    <w:name w:val="endnote reference"/>
    <w:rPr>
      <w:vertAlign w:val="superscript"/>
    </w:rPr>
  </w:style>
  <w:style w:type="paragraph" w:styleId="FootnoteText">
    <w:name w:val="footnote text"/>
    <w:aliases w:val="Char Char Char,Foo,Footnote Text Char Char2 Char,Footnote Text Char Char2 Char Char Char,Footnote Text Char1,Footnote Text Char1 Char2,Footnote Text Char1 Char2 Char Char,Footnote Text Char1 Char2 Char Char Char Char,f,fn,footnote text"/>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pPr>
      <w:tabs>
        <w:tab w:val="left" w:pos="1440"/>
        <w:tab w:val="right" w:leader="dot" w:pos="9360"/>
      </w:tabs>
      <w:suppressAutoHyphens/>
      <w:ind w:left="1440" w:right="720" w:hanging="360"/>
    </w:pPr>
    <w:rPr>
      <w:noProof/>
    </w:rPr>
  </w:style>
  <w:style w:type="paragraph" w:styleId="TOC5">
    <w:name w:val="toc 5"/>
    <w:basedOn w:val="Normal"/>
    <w:next w:val="Normal"/>
    <w:autoRedefine/>
    <w:pPr>
      <w:tabs>
        <w:tab w:val="left" w:pos="1800"/>
        <w:tab w:val="right" w:leader="dot" w:pos="9360"/>
      </w:tabs>
      <w:suppressAutoHyphens/>
      <w:ind w:left="1800" w:right="720" w:hanging="360"/>
    </w:pPr>
    <w:rPr>
      <w:noProof/>
    </w:rPr>
  </w:style>
  <w:style w:type="paragraph" w:styleId="TOC6">
    <w:name w:val="toc 6"/>
    <w:basedOn w:val="Normal"/>
    <w:next w:val="Normal"/>
    <w:autoRedefine/>
    <w:pPr>
      <w:tabs>
        <w:tab w:val="left" w:pos="2160"/>
        <w:tab w:val="right" w:leader="dot" w:pos="9360"/>
      </w:tabs>
      <w:suppressAutoHyphens/>
      <w:ind w:left="2160" w:hanging="360"/>
    </w:pPr>
    <w:rPr>
      <w:noProof/>
    </w:rPr>
  </w:style>
  <w:style w:type="paragraph" w:styleId="TOC7">
    <w:name w:val="toc 7"/>
    <w:basedOn w:val="Normal"/>
    <w:next w:val="Normal"/>
    <w:autoRedefine/>
    <w:pPr>
      <w:tabs>
        <w:tab w:val="left" w:pos="2520"/>
        <w:tab w:val="right" w:leader="dot" w:pos="9360"/>
      </w:tabs>
      <w:suppressAutoHyphens/>
      <w:ind w:left="2520" w:hanging="360"/>
    </w:pPr>
    <w:rPr>
      <w:noProof/>
    </w:rPr>
  </w:style>
  <w:style w:type="paragraph" w:styleId="TOC8">
    <w:name w:val="toc 8"/>
    <w:basedOn w:val="Normal"/>
    <w:next w:val="Normal"/>
    <w:autoRedefine/>
    <w:pPr>
      <w:tabs>
        <w:tab w:val="left" w:pos="2880"/>
        <w:tab w:val="right" w:leader="dot" w:pos="9360"/>
      </w:tabs>
      <w:suppressAutoHyphens/>
      <w:ind w:left="2880" w:hanging="360"/>
    </w:pPr>
    <w:rPr>
      <w:noProof/>
    </w:rPr>
  </w:style>
  <w:style w:type="paragraph" w:styleId="TOC9">
    <w:name w:val="toc 9"/>
    <w:basedOn w:val="Normal"/>
    <w:next w:val="Normal"/>
    <w:autoRedefine/>
    <w:pPr>
      <w:tabs>
        <w:tab w:val="left" w:pos="3240"/>
        <w:tab w:val="right" w:leader="dot" w:pos="9360"/>
      </w:tabs>
      <w:suppressAutoHyphens/>
      <w:ind w:left="3240" w:hanging="360"/>
    </w:pPr>
    <w:rPr>
      <w:noProof/>
    </w:rPr>
  </w:style>
  <w:style w:type="paragraph" w:styleId="TOAHeading">
    <w:name w:val="toa heading"/>
    <w:basedOn w:val="Normal"/>
    <w:next w:val="Normal"/>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nhideWhenUsed/>
    <w:rsid w:val="008C4469"/>
    <w:rPr>
      <w:rFonts w:ascii="Segoe UI" w:hAnsi="Segoe UI" w:cs="Segoe UI"/>
      <w:sz w:val="18"/>
      <w:szCs w:val="18"/>
    </w:rPr>
  </w:style>
  <w:style w:type="character" w:customStyle="1" w:styleId="BalloonTextChar">
    <w:name w:val="Balloon Text Char"/>
    <w:basedOn w:val="DefaultParagraphFont"/>
    <w:link w:val="BalloonText"/>
    <w:rsid w:val="008C4469"/>
    <w:rPr>
      <w:rFonts w:ascii="Segoe UI" w:hAnsi="Segoe UI" w:cs="Segoe UI"/>
      <w:snapToGrid w:val="0"/>
      <w:kern w:val="28"/>
      <w:sz w:val="18"/>
      <w:szCs w:val="18"/>
    </w:rPr>
  </w:style>
  <w:style w:type="character" w:customStyle="1" w:styleId="Heading1Char">
    <w:name w:val="Heading 1 Char"/>
    <w:link w:val="Heading1"/>
    <w:locked/>
    <w:rsid w:val="004E05FD"/>
    <w:rPr>
      <w:rFonts w:ascii="Times New Roman Bold" w:hAnsi="Times New Roman Bold"/>
      <w:b/>
      <w:caps/>
      <w:snapToGrid w:val="0"/>
      <w:kern w:val="28"/>
      <w:sz w:val="22"/>
    </w:rPr>
  </w:style>
  <w:style w:type="character" w:customStyle="1" w:styleId="Heading2Char">
    <w:name w:val="Heading 2 Char"/>
    <w:link w:val="Heading2"/>
    <w:locked/>
    <w:rsid w:val="004E05FD"/>
    <w:rPr>
      <w:b/>
      <w:snapToGrid w:val="0"/>
      <w:kern w:val="28"/>
      <w:sz w:val="22"/>
    </w:rPr>
  </w:style>
  <w:style w:type="character" w:customStyle="1" w:styleId="Heading3Char">
    <w:name w:val="Heading 3 Char"/>
    <w:link w:val="Heading3"/>
    <w:locked/>
    <w:rsid w:val="004E05FD"/>
    <w:rPr>
      <w:b/>
      <w:snapToGrid w:val="0"/>
      <w:kern w:val="28"/>
      <w:sz w:val="22"/>
    </w:rPr>
  </w:style>
  <w:style w:type="character" w:customStyle="1" w:styleId="Heading4Char">
    <w:name w:val="Heading 4 Char"/>
    <w:link w:val="Heading4"/>
    <w:locked/>
    <w:rsid w:val="004E05FD"/>
    <w:rPr>
      <w:b/>
      <w:snapToGrid w:val="0"/>
      <w:kern w:val="28"/>
      <w:sz w:val="22"/>
    </w:rPr>
  </w:style>
  <w:style w:type="character" w:customStyle="1" w:styleId="Heading5Char">
    <w:name w:val="Heading 5 Char"/>
    <w:link w:val="Heading5"/>
    <w:locked/>
    <w:rsid w:val="004E05FD"/>
    <w:rPr>
      <w:b/>
      <w:snapToGrid w:val="0"/>
      <w:kern w:val="28"/>
      <w:sz w:val="22"/>
    </w:rPr>
  </w:style>
  <w:style w:type="character" w:customStyle="1" w:styleId="Heading6Char">
    <w:name w:val="Heading 6 Char"/>
    <w:link w:val="Heading6"/>
    <w:locked/>
    <w:rsid w:val="004E05FD"/>
    <w:rPr>
      <w:b/>
      <w:snapToGrid w:val="0"/>
      <w:kern w:val="28"/>
      <w:sz w:val="22"/>
    </w:rPr>
  </w:style>
  <w:style w:type="character" w:customStyle="1" w:styleId="Heading7Char">
    <w:name w:val="Heading 7 Char"/>
    <w:link w:val="Heading7"/>
    <w:locked/>
    <w:rsid w:val="004E05FD"/>
    <w:rPr>
      <w:b/>
      <w:snapToGrid w:val="0"/>
      <w:kern w:val="28"/>
      <w:sz w:val="22"/>
    </w:rPr>
  </w:style>
  <w:style w:type="character" w:customStyle="1" w:styleId="Heading8Char">
    <w:name w:val="Heading 8 Char"/>
    <w:link w:val="Heading8"/>
    <w:locked/>
    <w:rsid w:val="004E05FD"/>
    <w:rPr>
      <w:b/>
      <w:snapToGrid w:val="0"/>
      <w:kern w:val="28"/>
      <w:sz w:val="22"/>
    </w:rPr>
  </w:style>
  <w:style w:type="character" w:customStyle="1" w:styleId="Heading9Char">
    <w:name w:val="Heading 9 Char"/>
    <w:link w:val="Heading9"/>
    <w:locked/>
    <w:rsid w:val="004E05FD"/>
    <w:rPr>
      <w:b/>
      <w:snapToGrid w:val="0"/>
      <w:kern w:val="28"/>
      <w:sz w:val="22"/>
    </w:rPr>
  </w:style>
  <w:style w:type="character" w:customStyle="1" w:styleId="HeaderChar">
    <w:name w:val="Header Char"/>
    <w:link w:val="Header"/>
    <w:locked/>
    <w:rsid w:val="004E05FD"/>
    <w:rPr>
      <w:rFonts w:ascii="Arial" w:hAnsi="Arial" w:cs="Arial"/>
      <w:b/>
      <w:snapToGrid w:val="0"/>
      <w:kern w:val="28"/>
      <w:sz w:val="96"/>
      <w:szCs w:val="96"/>
    </w:rPr>
  </w:style>
  <w:style w:type="paragraph" w:styleId="Caption">
    <w:name w:val="caption"/>
    <w:basedOn w:val="Normal"/>
    <w:next w:val="Normal"/>
    <w:qFormat/>
    <w:rsid w:val="004E05FD"/>
    <w:pPr>
      <w:spacing w:before="120" w:after="120"/>
    </w:pPr>
    <w:rPr>
      <w:b/>
    </w:rPr>
  </w:style>
  <w:style w:type="character" w:customStyle="1" w:styleId="FootnoteTextChar">
    <w:name w:val="Footnote Text Char"/>
    <w:aliases w:val="Char Char Char Char,Foo Char,Footnote Text Char Char2 Char Char Char Char1,Footnote Text Char Char2 Char Char1,Footnote Text Char1 Char,Footnote Text Char1 Char2 Char Char Char1,Footnote Text Char1 Char2 Char1,f Char1,fn Char"/>
    <w:link w:val="FootnoteText"/>
    <w:locked/>
    <w:rsid w:val="004E05FD"/>
  </w:style>
  <w:style w:type="paragraph" w:customStyle="1" w:styleId="NumberedList">
    <w:name w:val="Numbered List"/>
    <w:basedOn w:val="Normal"/>
    <w:rsid w:val="004E05FD"/>
    <w:pPr>
      <w:numPr>
        <w:numId w:val="11"/>
      </w:numPr>
      <w:tabs>
        <w:tab w:val="clear" w:pos="1080"/>
      </w:tabs>
      <w:spacing w:after="220"/>
      <w:ind w:firstLine="0"/>
    </w:pPr>
  </w:style>
  <w:style w:type="paragraph" w:customStyle="1" w:styleId="Paranum0">
    <w:name w:val="Paranum"/>
    <w:basedOn w:val="Normal"/>
    <w:rsid w:val="004E05FD"/>
    <w:pPr>
      <w:numPr>
        <w:numId w:val="12"/>
      </w:numPr>
      <w:tabs>
        <w:tab w:val="clear" w:pos="1080"/>
      </w:tabs>
      <w:spacing w:after="220"/>
      <w:jc w:val="both"/>
    </w:pPr>
  </w:style>
  <w:style w:type="paragraph" w:customStyle="1" w:styleId="TableFormat0">
    <w:name w:val="Table Format"/>
    <w:basedOn w:val="Normal"/>
    <w:rsid w:val="004E05FD"/>
    <w:pPr>
      <w:tabs>
        <w:tab w:val="left" w:pos="5040"/>
      </w:tabs>
      <w:spacing w:after="220"/>
      <w:ind w:left="5040" w:hanging="3600"/>
      <w:jc w:val="both"/>
    </w:pPr>
  </w:style>
  <w:style w:type="character" w:styleId="FollowedHyperlink">
    <w:name w:val="FollowedHyperlink"/>
    <w:rsid w:val="004E05FD"/>
    <w:rPr>
      <w:color w:val="800080"/>
      <w:u w:val="single"/>
    </w:rPr>
  </w:style>
  <w:style w:type="character" w:styleId="CommentReference">
    <w:name w:val="annotation reference"/>
    <w:rsid w:val="004E05FD"/>
    <w:rPr>
      <w:rFonts w:cs="Times New Roman"/>
      <w:sz w:val="16"/>
    </w:rPr>
  </w:style>
  <w:style w:type="paragraph" w:styleId="CommentText">
    <w:name w:val="annotation text"/>
    <w:basedOn w:val="Normal"/>
    <w:link w:val="CommentTextChar"/>
    <w:rsid w:val="004E05FD"/>
    <w:rPr>
      <w:sz w:val="20"/>
    </w:rPr>
  </w:style>
  <w:style w:type="character" w:customStyle="1" w:styleId="CommentTextChar">
    <w:name w:val="Comment Text Char"/>
    <w:basedOn w:val="DefaultParagraphFont"/>
    <w:link w:val="CommentText"/>
    <w:rsid w:val="004E05FD"/>
    <w:rPr>
      <w:snapToGrid w:val="0"/>
      <w:kern w:val="28"/>
    </w:rPr>
  </w:style>
  <w:style w:type="paragraph" w:styleId="CommentSubject">
    <w:name w:val="annotation subject"/>
    <w:basedOn w:val="CommentText"/>
    <w:next w:val="CommentText"/>
    <w:link w:val="CommentSubjectChar"/>
    <w:rsid w:val="004E05FD"/>
    <w:rPr>
      <w:b/>
      <w:bCs/>
    </w:rPr>
  </w:style>
  <w:style w:type="character" w:customStyle="1" w:styleId="CommentSubjectChar">
    <w:name w:val="Comment Subject Char"/>
    <w:basedOn w:val="CommentTextChar"/>
    <w:link w:val="CommentSubject"/>
    <w:rsid w:val="004E05FD"/>
    <w:rPr>
      <w:b/>
      <w:bCs/>
      <w:snapToGrid w:val="0"/>
      <w:kern w:val="28"/>
    </w:rPr>
  </w:style>
  <w:style w:type="paragraph" w:customStyle="1" w:styleId="LightGrid-Accent31">
    <w:name w:val="Light Grid - Accent 31"/>
    <w:basedOn w:val="Normal"/>
    <w:uiPriority w:val="34"/>
    <w:qFormat/>
    <w:rsid w:val="004E05FD"/>
    <w:pPr>
      <w:ind w:left="720"/>
      <w:contextualSpacing/>
    </w:pPr>
    <w:rPr>
      <w:sz w:val="24"/>
      <w:szCs w:val="24"/>
    </w:rPr>
  </w:style>
  <w:style w:type="character" w:customStyle="1" w:styleId="FootnoteTextChar2">
    <w:name w:val="Footnote Text Char2"/>
    <w:aliases w:val="Footnote Text Char Char,Footnote Text Char Char2 Char Char,Footnote Text Char Char2 Char Char Char Char,Footnote Text Char1 Char2 Char,Footnote Text Char1 Char2 Char Char Char,Footnote Text Char1 Char2 Char Char Char Char Char,f Char"/>
    <w:locked/>
    <w:rsid w:val="004E05FD"/>
  </w:style>
  <w:style w:type="character" w:customStyle="1" w:styleId="ParaNumChar">
    <w:name w:val="ParaNum Char"/>
    <w:link w:val="ParaNum"/>
    <w:rsid w:val="004E05FD"/>
    <w:rPr>
      <w:snapToGrid w:val="0"/>
      <w:kern w:val="28"/>
      <w:sz w:val="22"/>
    </w:rPr>
  </w:style>
  <w:style w:type="table" w:styleId="TableGrid">
    <w:name w:val="Table Grid"/>
    <w:basedOn w:val="TableNormal"/>
    <w:rsid w:val="004E0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31">
    <w:name w:val="Light List - Accent 31"/>
    <w:hidden/>
    <w:uiPriority w:val="99"/>
    <w:semiHidden/>
    <w:rsid w:val="004E05FD"/>
    <w:rPr>
      <w:sz w:val="22"/>
    </w:rPr>
  </w:style>
  <w:style w:type="character" w:customStyle="1" w:styleId="EndnoteTextChar">
    <w:name w:val="Endnote Text Char"/>
    <w:link w:val="EndnoteText"/>
    <w:rsid w:val="004E05FD"/>
    <w:rPr>
      <w:snapToGrid w:val="0"/>
      <w:kern w:val="28"/>
    </w:rPr>
  </w:style>
  <w:style w:type="character" w:customStyle="1" w:styleId="ParaNumChar1">
    <w:name w:val="ParaNum Char1"/>
    <w:rsid w:val="004E05FD"/>
    <w:rPr>
      <w:snapToGrid w:val="0"/>
      <w:kern w:val="28"/>
      <w:sz w:val="22"/>
    </w:rPr>
  </w:style>
  <w:style w:type="paragraph" w:customStyle="1" w:styleId="MediumList2-Accent21">
    <w:name w:val="Medium List 2 - Accent 21"/>
    <w:hidden/>
    <w:uiPriority w:val="71"/>
    <w:unhideWhenUsed/>
    <w:rsid w:val="004E05FD"/>
    <w:rPr>
      <w:snapToGrid w:val="0"/>
      <w:kern w:val="28"/>
      <w:sz w:val="22"/>
    </w:rPr>
  </w:style>
  <w:style w:type="character" w:customStyle="1" w:styleId="UnresolvedMention1">
    <w:name w:val="Unresolved Mention1"/>
    <w:uiPriority w:val="99"/>
    <w:semiHidden/>
    <w:unhideWhenUsed/>
    <w:rsid w:val="004E05FD"/>
    <w:rPr>
      <w:color w:val="605E5C"/>
      <w:shd w:val="clear" w:color="auto" w:fill="E1DFDD"/>
    </w:rPr>
  </w:style>
  <w:style w:type="paragraph" w:styleId="Revision">
    <w:name w:val="Revision"/>
    <w:hidden/>
    <w:uiPriority w:val="99"/>
    <w:semiHidden/>
    <w:rsid w:val="00F41BA8"/>
    <w:rPr>
      <w:snapToGrid w:val="0"/>
      <w:kern w:val="28"/>
      <w:sz w:val="22"/>
    </w:rPr>
  </w:style>
  <w:style w:type="character" w:customStyle="1" w:styleId="UnresolvedMention">
    <w:name w:val="Unresolved Mention"/>
    <w:basedOn w:val="DefaultParagraphFont"/>
    <w:uiPriority w:val="99"/>
    <w:rsid w:val="004923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fjallfoss.fcc.gov/ecfs2/" TargetMode="External" /><Relationship Id="rId6" Type="http://schemas.openxmlformats.org/officeDocument/2006/relationships/hyperlink" Target="mailto:Nicholas.Oros@fcc.gov" TargetMode="External" /><Relationship Id="rId7" Type="http://schemas.openxmlformats.org/officeDocument/2006/relationships/hyperlink" Target="mailto:John.Schauble@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library.wmo.int/doc_num.php?explnum_id=3793" TargetMode="External" /><Relationship Id="rId2" Type="http://schemas.openxmlformats.org/officeDocument/2006/relationships/hyperlink" Target="https://www.itu.int/en/ITU-R/Documents/ITU-R-FAQ-IMT.pdf" TargetMode="External" /><Relationship Id="rId3" Type="http://schemas.openxmlformats.org/officeDocument/2006/relationships/hyperlink" Target="https://www.itu.int/en/myitu/Publications/2020/09/02/14/23/Radio-Regulations-2020" TargetMode="External" /><Relationship Id="rId4" Type="http://schemas.openxmlformats.org/officeDocument/2006/relationships/hyperlink" Target="https://www.itu.int/dms_pub/itu-r/opb/act/R-ACT-WRC.14-2019-PDF-E.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