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RPr="00B02A93" w:rsidP="75796D0F" w14:paraId="5DDE5F84" w14:textId="77777777">
      <w:pPr>
        <w:jc w:val="right"/>
        <w:rPr>
          <w:sz w:val="24"/>
          <w:szCs w:val="24"/>
        </w:rPr>
      </w:pPr>
      <w:r w:rsidRPr="00B02A93">
        <w:rPr>
          <w:sz w:val="24"/>
          <w:szCs w:val="24"/>
        </w:rPr>
        <w:t xml:space="preserve"> </w:t>
      </w:r>
    </w:p>
    <w:p w:rsidR="005614FA" w:rsidRPr="00B02A93" w:rsidP="005614FA" w14:paraId="37033B0C" w14:textId="7E20318C">
      <w:pPr>
        <w:widowControl/>
        <w:suppressAutoHyphens/>
        <w:jc w:val="right"/>
        <w:rPr>
          <w:b/>
        </w:rPr>
      </w:pPr>
      <w:r w:rsidRPr="00B02A93">
        <w:rPr>
          <w:b/>
        </w:rPr>
        <w:t>DA 2</w:t>
      </w:r>
      <w:r w:rsidRPr="00B02A93" w:rsidR="001E397D">
        <w:rPr>
          <w:b/>
        </w:rPr>
        <w:t>1-</w:t>
      </w:r>
      <w:r w:rsidR="00A1615A">
        <w:rPr>
          <w:b/>
        </w:rPr>
        <w:t>502</w:t>
      </w:r>
    </w:p>
    <w:p w:rsidR="005614FA" w:rsidRPr="00B02A93" w:rsidP="005614FA" w14:paraId="11FD0B03" w14:textId="769A6663">
      <w:pPr>
        <w:widowControl/>
        <w:suppressAutoHyphens/>
        <w:spacing w:after="240"/>
        <w:jc w:val="right"/>
        <w:rPr>
          <w:b/>
        </w:rPr>
      </w:pPr>
      <w:r w:rsidRPr="00B02A93">
        <w:rPr>
          <w:b/>
        </w:rPr>
        <w:t xml:space="preserve">Released:  </w:t>
      </w:r>
      <w:r w:rsidR="006D0FAA">
        <w:rPr>
          <w:b/>
        </w:rPr>
        <w:t>April</w:t>
      </w:r>
      <w:r w:rsidRPr="00B02A93" w:rsidR="001E397D">
        <w:rPr>
          <w:b/>
        </w:rPr>
        <w:t xml:space="preserve"> </w:t>
      </w:r>
      <w:r w:rsidR="002D2146">
        <w:rPr>
          <w:b/>
        </w:rPr>
        <w:t>30</w:t>
      </w:r>
      <w:r w:rsidRPr="00B02A93">
        <w:rPr>
          <w:b/>
        </w:rPr>
        <w:t>, 202</w:t>
      </w:r>
      <w:r w:rsidRPr="00B02A93" w:rsidR="001E397D">
        <w:rPr>
          <w:b/>
        </w:rPr>
        <w:t>1</w:t>
      </w:r>
    </w:p>
    <w:p w:rsidR="00242F44" w:rsidRPr="00B02A93" w:rsidP="005614FA" w14:paraId="339C28CA" w14:textId="77777777">
      <w:pPr>
        <w:autoSpaceDE w:val="0"/>
        <w:autoSpaceDN w:val="0"/>
        <w:adjustRightInd w:val="0"/>
        <w:jc w:val="center"/>
        <w:rPr>
          <w:b/>
          <w:szCs w:val="22"/>
        </w:rPr>
      </w:pPr>
      <w:r w:rsidRPr="00B02A93">
        <w:rPr>
          <w:b/>
          <w:szCs w:val="22"/>
        </w:rPr>
        <w:t xml:space="preserve">DOMESTIC 214 </w:t>
      </w:r>
      <w:r w:rsidRPr="00B02A93" w:rsidR="00C31891">
        <w:rPr>
          <w:b/>
          <w:szCs w:val="22"/>
        </w:rPr>
        <w:t>APPLICATION</w:t>
      </w:r>
      <w:r w:rsidRPr="00B02A93" w:rsidR="0054043D">
        <w:rPr>
          <w:b/>
          <w:szCs w:val="22"/>
        </w:rPr>
        <w:t xml:space="preserve"> G</w:t>
      </w:r>
      <w:r w:rsidRPr="00B02A93" w:rsidR="00C31891">
        <w:rPr>
          <w:b/>
          <w:szCs w:val="22"/>
        </w:rPr>
        <w:t xml:space="preserve">RANTED FOR </w:t>
      </w:r>
    </w:p>
    <w:p w:rsidR="008774D9" w:rsidRPr="00B02A93" w:rsidP="001E397D" w14:paraId="08D597CA" w14:textId="77777777">
      <w:pPr>
        <w:autoSpaceDE w:val="0"/>
        <w:autoSpaceDN w:val="0"/>
        <w:adjustRightInd w:val="0"/>
        <w:jc w:val="center"/>
        <w:rPr>
          <w:b/>
          <w:bCs/>
          <w:szCs w:val="22"/>
        </w:rPr>
      </w:pPr>
      <w:r w:rsidRPr="00B02A93">
        <w:rPr>
          <w:b/>
          <w:szCs w:val="22"/>
        </w:rPr>
        <w:t xml:space="preserve">THE TRANSFER OF CONTROL OF </w:t>
      </w:r>
      <w:r w:rsidRPr="00B02A93">
        <w:rPr>
          <w:b/>
          <w:bCs/>
          <w:szCs w:val="22"/>
        </w:rPr>
        <w:t xml:space="preserve">HARGRAY ACQUISITION HOLDINGS, LLC </w:t>
      </w:r>
    </w:p>
    <w:p w:rsidR="001E397D" w:rsidRPr="00B02A93" w:rsidP="001E397D" w14:paraId="052CE206" w14:textId="77777777">
      <w:pPr>
        <w:autoSpaceDE w:val="0"/>
        <w:autoSpaceDN w:val="0"/>
        <w:adjustRightInd w:val="0"/>
        <w:jc w:val="center"/>
        <w:rPr>
          <w:b/>
          <w:szCs w:val="22"/>
        </w:rPr>
      </w:pPr>
      <w:r w:rsidRPr="00B02A93">
        <w:rPr>
          <w:b/>
          <w:bCs/>
          <w:szCs w:val="22"/>
        </w:rPr>
        <w:t>AND ITS SUBSIDIARIES TO CABLE ONE, INC.</w:t>
      </w:r>
      <w:r w:rsidRPr="00B02A93" w:rsidR="0085777F">
        <w:rPr>
          <w:b/>
          <w:bCs/>
          <w:szCs w:val="22"/>
        </w:rPr>
        <w:t xml:space="preserve"> </w:t>
      </w:r>
    </w:p>
    <w:p w:rsidR="005614FA" w:rsidRPr="00B02A93" w:rsidP="0084412A" w14:paraId="25E7B827" w14:textId="77777777">
      <w:pPr>
        <w:autoSpaceDE w:val="0"/>
        <w:autoSpaceDN w:val="0"/>
        <w:adjustRightInd w:val="0"/>
        <w:rPr>
          <w:b/>
          <w:szCs w:val="22"/>
        </w:rPr>
      </w:pPr>
    </w:p>
    <w:p w:rsidR="005614FA" w:rsidRPr="00B02A93" w:rsidP="005614FA" w14:paraId="45907DF2" w14:textId="77777777">
      <w:pPr>
        <w:autoSpaceDE w:val="0"/>
        <w:autoSpaceDN w:val="0"/>
        <w:adjustRightInd w:val="0"/>
        <w:jc w:val="center"/>
        <w:rPr>
          <w:b/>
          <w:szCs w:val="22"/>
        </w:rPr>
      </w:pPr>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r w:rsidRPr="00B02A93" w:rsidR="008774D9">
        <w:rPr>
          <w:b/>
          <w:szCs w:val="22"/>
        </w:rPr>
        <w:t>69</w:t>
      </w:r>
    </w:p>
    <w:p w:rsidR="005614FA" w:rsidRPr="00B02A93" w:rsidP="005614FA" w14:paraId="533C7538" w14:textId="77777777">
      <w:pPr>
        <w:widowControl/>
        <w:suppressAutoHyphens/>
        <w:rPr>
          <w:b/>
        </w:rPr>
      </w:pPr>
    </w:p>
    <w:p w:rsidR="002E5941" w:rsidRPr="00B02A93" w:rsidP="001C6F20" w14:paraId="5169CA0C" w14:textId="77777777">
      <w:pPr>
        <w:widowControl/>
        <w:autoSpaceDE w:val="0"/>
        <w:autoSpaceDN w:val="0"/>
        <w:adjustRightInd w:val="0"/>
        <w:spacing w:after="120"/>
        <w:ind w:firstLine="720"/>
        <w:rPr>
          <w:snapToGrid/>
          <w:kern w:val="0"/>
          <w:szCs w:val="22"/>
        </w:rPr>
      </w:pPr>
      <w:r w:rsidRPr="00B02A93">
        <w:rPr>
          <w:snapToGrid/>
          <w:kern w:val="0"/>
          <w:szCs w:val="22"/>
        </w:rPr>
        <w:t>By this Public Notice, the Wireline Competition Bureau (Bureau) grants</w:t>
      </w:r>
      <w:r w:rsidRPr="00B02A93" w:rsidR="00524B7D">
        <w:rPr>
          <w:snapToGrid/>
          <w:kern w:val="0"/>
          <w:szCs w:val="22"/>
        </w:rPr>
        <w:t>, as conditioned,</w:t>
      </w:r>
      <w:r w:rsidRPr="00B02A93">
        <w:rPr>
          <w:snapToGrid/>
          <w:kern w:val="0"/>
          <w:szCs w:val="22"/>
        </w:rPr>
        <w:t xml:space="preserve"> </w:t>
      </w:r>
      <w:r w:rsidRPr="00B02A93" w:rsidR="008774D9">
        <w:rPr>
          <w:snapToGrid/>
          <w:kern w:val="0"/>
          <w:szCs w:val="22"/>
        </w:rPr>
        <w:t>an application filed by Hargray Acquisition Holdings, LLC (Hargray), the Licensees,</w:t>
      </w:r>
      <w:r>
        <w:rPr>
          <w:snapToGrid/>
          <w:kern w:val="0"/>
          <w:szCs w:val="22"/>
          <w:vertAlign w:val="superscript"/>
        </w:rPr>
        <w:footnoteReference w:id="3"/>
      </w:r>
      <w:r w:rsidRPr="00B02A93" w:rsidR="008774D9">
        <w:rPr>
          <w:snapToGrid/>
          <w:kern w:val="0"/>
          <w:szCs w:val="22"/>
        </w:rPr>
        <w:t xml:space="preserve"> and Cable One, Inc. (Cable One) (collectively, Applicants), pursuant to section 214 of the Communications Act of 1934, as amended, and sections 63.03-04 of the Commission’s rules, requesting approval to transfer control of Hargray and the Licensees to Cable One.</w:t>
      </w:r>
      <w:r>
        <w:rPr>
          <w:snapToGrid/>
          <w:kern w:val="0"/>
          <w:szCs w:val="22"/>
          <w:vertAlign w:val="superscript"/>
        </w:rPr>
        <w:footnoteReference w:id="4"/>
      </w:r>
      <w:r w:rsidRPr="00B02A93" w:rsidR="008774D9">
        <w:rPr>
          <w:snapToGrid/>
          <w:kern w:val="0"/>
          <w:szCs w:val="22"/>
        </w:rPr>
        <w:t xml:space="preserve">  </w:t>
      </w:r>
    </w:p>
    <w:p w:rsidR="005614FA" w:rsidRPr="00B02A93" w:rsidP="001C6F20" w14:paraId="62790CFE" w14:textId="1F343DBE">
      <w:pPr>
        <w:widowControl/>
        <w:autoSpaceDE w:val="0"/>
        <w:autoSpaceDN w:val="0"/>
        <w:adjustRightInd w:val="0"/>
        <w:spacing w:after="120"/>
        <w:ind w:firstLine="720"/>
        <w:rPr>
          <w:snapToGrid/>
          <w:kern w:val="0"/>
          <w:szCs w:val="22"/>
        </w:rPr>
      </w:pPr>
      <w:r w:rsidRPr="00B02A93">
        <w:rPr>
          <w:szCs w:val="22"/>
        </w:rPr>
        <w:t>On March 12, 2021, the Bureau released a public notice seeking comment on the Application.</w:t>
      </w:r>
      <w:r>
        <w:rPr>
          <w:rStyle w:val="FootnoteReference"/>
          <w:szCs w:val="22"/>
        </w:rPr>
        <w:footnoteReference w:id="5"/>
      </w:r>
      <w:r w:rsidRPr="00B02A93">
        <w:rPr>
          <w:szCs w:val="22"/>
        </w:rPr>
        <w:t xml:space="preserve">  </w:t>
      </w:r>
      <w:r w:rsidRPr="00B02A93" w:rsidR="00AB3596">
        <w:rPr>
          <w:szCs w:val="22"/>
        </w:rPr>
        <w:t xml:space="preserve"> 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132378" w14:paraId="58F455EC"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68763E" w:rsidRPr="00B02A93" w:rsidP="0068763E" w14:paraId="30911CEC" w14:textId="77777777">
      <w:pPr>
        <w:autoSpaceDE w:val="0"/>
        <w:autoSpaceDN w:val="0"/>
        <w:adjustRightInd w:val="0"/>
        <w:spacing w:after="120"/>
        <w:ind w:firstLine="720"/>
        <w:rPr>
          <w:rFonts w:ascii="TimesNewRomanPSMT" w:hAnsi="TimesNewRomanPSMT" w:cs="TimesNewRomanPSMT"/>
          <w:snapToGrid/>
          <w:kern w:val="0"/>
          <w:szCs w:val="22"/>
        </w:rPr>
      </w:pPr>
      <w:r w:rsidRPr="00B02A93">
        <w:rPr>
          <w:rFonts w:ascii="TimesNewRomanPSMT" w:hAnsi="TimesNewRomanPSMT" w:cs="TimesNewRomanPSMT"/>
          <w:szCs w:val="22"/>
        </w:rPr>
        <w:t xml:space="preserve">Hargray, a South Carolina holding company, through the following subsidiaries and affiliates, provides telecommunications services and other services in Alabama, Florida, South Carolina, and Georgia:  </w:t>
      </w:r>
      <w:r w:rsidRPr="00B02A93">
        <w:rPr>
          <w:rFonts w:ascii="TimesNewRomanPSMT" w:hAnsi="TimesNewRomanPSMT" w:cs="TimesNewRomanPSMT"/>
          <w:bCs/>
          <w:szCs w:val="22"/>
        </w:rPr>
        <w:t xml:space="preserve">Low Country Carriers, Inc., a South Carolina corporation, </w:t>
      </w:r>
      <w:r w:rsidRPr="00B02A93">
        <w:rPr>
          <w:rFonts w:ascii="TimesNewRomanPSMT" w:hAnsi="TimesNewRomanPSMT" w:cs="TimesNewRomanPSMT"/>
          <w:szCs w:val="22"/>
        </w:rPr>
        <w:t>provides interexchange telecommunications services to customers of its affiliated carriers;</w:t>
      </w:r>
      <w:r w:rsidRPr="00B02A93">
        <w:rPr>
          <w:rFonts w:ascii="TimesNewRomanPSMT" w:hAnsi="TimesNewRomanPSMT" w:cs="TimesNewRomanPSMT"/>
          <w:bCs/>
          <w:szCs w:val="22"/>
        </w:rPr>
        <w:t xml:space="preserve"> Hargray Telephone Company, Inc.</w:t>
      </w:r>
      <w:r w:rsidRPr="00B02A93" w:rsidR="003F1EE9">
        <w:rPr>
          <w:rFonts w:ascii="TimesNewRomanPSMT" w:hAnsi="TimesNewRomanPSMT" w:cs="TimesNewRomanPSMT"/>
          <w:bCs/>
          <w:szCs w:val="22"/>
        </w:rPr>
        <w:t xml:space="preserve"> </w:t>
      </w:r>
      <w:r w:rsidRPr="00B02A93" w:rsidR="00902F76">
        <w:rPr>
          <w:rFonts w:ascii="TimesNewRomanPSMT" w:hAnsi="TimesNewRomanPSMT" w:cs="TimesNewRomanPSMT"/>
          <w:bCs/>
          <w:szCs w:val="22"/>
        </w:rPr>
        <w:t>(</w:t>
      </w:r>
      <w:r w:rsidRPr="00B02A93" w:rsidR="00F67726">
        <w:rPr>
          <w:rFonts w:ascii="TimesNewRomanPSMT" w:hAnsi="TimesNewRomanPSMT" w:cs="TimesNewRomanPSMT"/>
          <w:bCs/>
          <w:szCs w:val="22"/>
        </w:rPr>
        <w:t>HTC</w:t>
      </w:r>
      <w:r w:rsidRPr="00B02A93" w:rsidR="00902F76">
        <w:rPr>
          <w:rFonts w:ascii="TimesNewRomanPSMT" w:hAnsi="TimesNewRomanPSMT" w:cs="TimesNewRomanPSMT"/>
          <w:bCs/>
          <w:szCs w:val="22"/>
        </w:rPr>
        <w:t>)</w:t>
      </w:r>
      <w:r w:rsidRPr="00B02A93">
        <w:rPr>
          <w:rFonts w:ascii="TimesNewRomanPSMT" w:hAnsi="TimesNewRomanPSMT" w:cs="TimesNewRomanPSMT"/>
          <w:bCs/>
          <w:szCs w:val="22"/>
        </w:rPr>
        <w:t>, a South Carolina corporation, is</w:t>
      </w:r>
      <w:r w:rsidRPr="00B02A93">
        <w:rPr>
          <w:rFonts w:ascii="TimesNewRomanPSMT" w:hAnsi="TimesNewRomanPSMT" w:cs="TimesNewRomanPSMT"/>
          <w:szCs w:val="22"/>
        </w:rPr>
        <w:t xml:space="preserve"> an incumbent local exchange carrier (LEC) serving approximately 20,000 customers in Hilton Head and Hardeeville, South Carolina;</w:t>
      </w:r>
      <w:r w:rsidRPr="00B02A93">
        <w:rPr>
          <w:rFonts w:ascii="TimesNewRomanPSMT" w:hAnsi="TimesNewRomanPSMT" w:cs="TimesNewRomanPSMT"/>
          <w:bCs/>
          <w:szCs w:val="22"/>
        </w:rPr>
        <w:t xml:space="preserve"> Bluffton Telephone Company, Inc.</w:t>
      </w:r>
      <w:r w:rsidRPr="00B02A93" w:rsidR="00A5137A">
        <w:rPr>
          <w:rFonts w:ascii="TimesNewRomanPSMT" w:hAnsi="TimesNewRomanPSMT" w:cs="TimesNewRomanPSMT"/>
          <w:bCs/>
          <w:szCs w:val="22"/>
        </w:rPr>
        <w:t xml:space="preserve"> (</w:t>
      </w:r>
      <w:r w:rsidRPr="00B02A93" w:rsidR="00F67726">
        <w:rPr>
          <w:rFonts w:ascii="TimesNewRomanPSMT" w:hAnsi="TimesNewRomanPSMT" w:cs="TimesNewRomanPSMT"/>
          <w:bCs/>
          <w:szCs w:val="22"/>
        </w:rPr>
        <w:t>BTC</w:t>
      </w:r>
      <w:r w:rsidRPr="00B02A93" w:rsidR="00987A27">
        <w:rPr>
          <w:rFonts w:ascii="TimesNewRomanPSMT" w:hAnsi="TimesNewRomanPSMT" w:cs="TimesNewRomanPSMT"/>
          <w:bCs/>
          <w:szCs w:val="22"/>
        </w:rPr>
        <w:t>)</w:t>
      </w:r>
      <w:r w:rsidRPr="00B02A93">
        <w:rPr>
          <w:rFonts w:ascii="TimesNewRomanPSMT" w:hAnsi="TimesNewRomanPSMT" w:cs="TimesNewRomanPSMT"/>
          <w:bCs/>
          <w:szCs w:val="22"/>
        </w:rPr>
        <w:t>,</w:t>
      </w:r>
      <w:r w:rsidRPr="00B02A93">
        <w:rPr>
          <w:rFonts w:ascii="TimesNewRomanPSMT" w:hAnsi="TimesNewRomanPSMT" w:cs="TimesNewRomanPSMT"/>
          <w:szCs w:val="22"/>
        </w:rPr>
        <w:t xml:space="preserve"> a South Carolina corporation, is an incumbent LEC serving approximately 20,000 customers in Bluffton, South Carolina; </w:t>
      </w:r>
      <w:r w:rsidRPr="00B02A93">
        <w:rPr>
          <w:rFonts w:ascii="TimesNewRomanPSMT" w:hAnsi="TimesNewRomanPSMT" w:cs="TimesNewRomanPSMT"/>
          <w:bCs/>
          <w:szCs w:val="22"/>
        </w:rPr>
        <w:t>Hargray, Inc.</w:t>
      </w:r>
      <w:r w:rsidRPr="00B02A93">
        <w:rPr>
          <w:rFonts w:ascii="TimesNewRomanPSMT" w:hAnsi="TimesNewRomanPSMT" w:cs="TimesNewRomanPSMT"/>
          <w:szCs w:val="22"/>
        </w:rPr>
        <w:t xml:space="preserve">, a South Carolina corporation, is a cable operator and competitive LEC in South Carolina; </w:t>
      </w:r>
      <w:r w:rsidRPr="00B02A93">
        <w:rPr>
          <w:szCs w:val="22"/>
        </w:rPr>
        <w:t xml:space="preserve">Hargray of Alabama, Inc., a Georgia corporation, is a cable </w:t>
      </w:r>
      <w:r w:rsidRPr="00B02A93">
        <w:rPr>
          <w:szCs w:val="22"/>
        </w:rPr>
        <w:t>operator and competitive LEC in Alabama;</w:t>
      </w:r>
      <w:r w:rsidRPr="00B02A93">
        <w:rPr>
          <w:rFonts w:ascii="TimesNewRomanPSMT" w:hAnsi="TimesNewRomanPSMT" w:cs="TimesNewRomanPSMT"/>
          <w:bCs/>
          <w:szCs w:val="22"/>
        </w:rPr>
        <w:t xml:space="preserve"> </w:t>
      </w:r>
      <w:r w:rsidRPr="00B02A93">
        <w:rPr>
          <w:szCs w:val="22"/>
        </w:rPr>
        <w:t xml:space="preserve">Hargray of Florida, Inc., a Georgia corporation, is a cable operator and competitive LEC in Florida; </w:t>
      </w:r>
      <w:r w:rsidRPr="00B02A93">
        <w:rPr>
          <w:rFonts w:ascii="TimesNewRomanPSMT" w:hAnsi="TimesNewRomanPSMT" w:cs="TimesNewRomanPSMT"/>
          <w:bCs/>
          <w:szCs w:val="22"/>
        </w:rPr>
        <w:t>Hargray of Georgia, Inc., a South Carolina corporation, is</w:t>
      </w:r>
      <w:r w:rsidRPr="00B02A93">
        <w:rPr>
          <w:rFonts w:ascii="TimesNewRomanPSMT" w:hAnsi="TimesNewRomanPSMT" w:cs="TimesNewRomanPSMT"/>
          <w:szCs w:val="22"/>
        </w:rPr>
        <w:t xml:space="preserve"> a cable operator and competitive LEC in Georgia; ComSouth Telecommunications, Inc.</w:t>
      </w:r>
      <w:r w:rsidRPr="00B02A93" w:rsidR="008D5B54">
        <w:rPr>
          <w:rFonts w:ascii="TimesNewRomanPSMT" w:hAnsi="TimesNewRomanPSMT" w:cs="TimesNewRomanPSMT"/>
          <w:szCs w:val="22"/>
        </w:rPr>
        <w:t xml:space="preserve"> (ComSouth)</w:t>
      </w:r>
      <w:r w:rsidRPr="00B02A93">
        <w:rPr>
          <w:rFonts w:ascii="TimesNewRomanPSMT" w:hAnsi="TimesNewRomanPSMT" w:cs="TimesNewRomanPSMT"/>
          <w:szCs w:val="22"/>
        </w:rPr>
        <w:t>, a Georgia corporation, is an incumbent LEC serving approximately 4,000 customers in Hawkinsville, Georgia and surrounding communities; ComSouth Telenet, Inc., a Georgia corporation, is a competitive LEC in Georgia; and ComSouth Teleservices, Inc., a Georgia corporation, is a competitive LEC in Georgia.</w:t>
      </w:r>
      <w:r>
        <w:rPr>
          <w:rStyle w:val="FootnoteReference"/>
          <w:rFonts w:cs="TimesNewRomanPSMT"/>
          <w:szCs w:val="22"/>
        </w:rPr>
        <w:footnoteReference w:id="6"/>
      </w:r>
      <w:r w:rsidRPr="00B02A93">
        <w:rPr>
          <w:rFonts w:ascii="TimesNewRomanPSMT" w:hAnsi="TimesNewRomanPSMT" w:cs="TimesNewRomanPSMT"/>
          <w:szCs w:val="22"/>
        </w:rPr>
        <w:t xml:space="preserve">  </w:t>
      </w:r>
      <w:r w:rsidRPr="00B02A93" w:rsidR="00FE56C4">
        <w:rPr>
          <w:snapToGrid/>
          <w:kern w:val="0"/>
          <w:szCs w:val="22"/>
        </w:rPr>
        <w:t xml:space="preserve">Hargray’s </w:t>
      </w:r>
      <w:r w:rsidRPr="00B02A93" w:rsidR="008D5B54">
        <w:rPr>
          <w:snapToGrid/>
          <w:kern w:val="0"/>
          <w:szCs w:val="22"/>
        </w:rPr>
        <w:t xml:space="preserve">incumbent LEC </w:t>
      </w:r>
      <w:r w:rsidRPr="00B02A93" w:rsidR="00FE56C4">
        <w:rPr>
          <w:snapToGrid/>
          <w:kern w:val="0"/>
          <w:szCs w:val="22"/>
        </w:rPr>
        <w:t>operating subsidiaries receive high-cost support through different mechanisms of cost-based support and fixed model-based support.</w:t>
      </w:r>
      <w:r w:rsidRPr="00B02A93" w:rsidR="008D5B54">
        <w:rPr>
          <w:snapToGrid/>
          <w:kern w:val="0"/>
          <w:szCs w:val="22"/>
        </w:rPr>
        <w:t xml:space="preserve">  Specifically, H</w:t>
      </w:r>
      <w:r w:rsidRPr="00B02A93" w:rsidR="00F67726">
        <w:rPr>
          <w:snapToGrid/>
          <w:kern w:val="0"/>
          <w:szCs w:val="22"/>
        </w:rPr>
        <w:t>TC</w:t>
      </w:r>
      <w:r w:rsidRPr="00B02A93" w:rsidR="00532BEA">
        <w:rPr>
          <w:snapToGrid/>
          <w:kern w:val="0"/>
          <w:szCs w:val="22"/>
        </w:rPr>
        <w:t xml:space="preserve"> and B</w:t>
      </w:r>
      <w:r w:rsidRPr="00B02A93" w:rsidR="00F67726">
        <w:rPr>
          <w:snapToGrid/>
          <w:kern w:val="0"/>
          <w:szCs w:val="22"/>
        </w:rPr>
        <w:t>TC</w:t>
      </w:r>
      <w:r w:rsidRPr="00B02A93" w:rsidR="00532BEA">
        <w:rPr>
          <w:snapToGrid/>
          <w:kern w:val="0"/>
          <w:szCs w:val="22"/>
        </w:rPr>
        <w:t xml:space="preserve"> receive cost-based universal service support</w:t>
      </w:r>
      <w:r w:rsidRPr="00B02A93" w:rsidR="0033308B">
        <w:rPr>
          <w:snapToGrid/>
          <w:kern w:val="0"/>
          <w:szCs w:val="22"/>
        </w:rPr>
        <w:t>.</w:t>
      </w:r>
      <w:r>
        <w:rPr>
          <w:rStyle w:val="FootnoteReference"/>
          <w:snapToGrid/>
          <w:kern w:val="0"/>
          <w:szCs w:val="22"/>
        </w:rPr>
        <w:footnoteReference w:id="7"/>
      </w:r>
      <w:r w:rsidRPr="00B02A93" w:rsidR="0033308B">
        <w:rPr>
          <w:snapToGrid/>
          <w:kern w:val="0"/>
          <w:szCs w:val="22"/>
        </w:rPr>
        <w:t xml:space="preserve"> </w:t>
      </w:r>
      <w:r w:rsidRPr="00B02A93" w:rsidR="00E27214">
        <w:rPr>
          <w:snapToGrid/>
          <w:kern w:val="0"/>
          <w:szCs w:val="22"/>
        </w:rPr>
        <w:t xml:space="preserve"> </w:t>
      </w:r>
      <w:r w:rsidRPr="00B02A93" w:rsidR="00532BEA">
        <w:rPr>
          <w:snapToGrid/>
          <w:kern w:val="0"/>
          <w:szCs w:val="22"/>
        </w:rPr>
        <w:t>ComSouth voluntarily elected to receive support under the Alternative Connect America Cost Model (A-CAM</w:t>
      </w:r>
      <w:r w:rsidRPr="00B02A93" w:rsidR="002B7763">
        <w:rPr>
          <w:snapToGrid/>
          <w:kern w:val="0"/>
          <w:szCs w:val="22"/>
        </w:rPr>
        <w:t>)</w:t>
      </w:r>
      <w:r w:rsidRPr="00B02A93" w:rsidR="00E74F67">
        <w:rPr>
          <w:snapToGrid/>
          <w:kern w:val="0"/>
          <w:szCs w:val="22"/>
        </w:rPr>
        <w:t>.</w:t>
      </w:r>
      <w:r>
        <w:rPr>
          <w:rStyle w:val="FootnoteReference"/>
          <w:snapToGrid/>
          <w:kern w:val="0"/>
          <w:szCs w:val="22"/>
        </w:rPr>
        <w:footnoteReference w:id="8"/>
      </w:r>
      <w:r w:rsidRPr="00B02A93" w:rsidR="00FE56C4">
        <w:rPr>
          <w:snapToGrid/>
          <w:kern w:val="0"/>
          <w:szCs w:val="22"/>
        </w:rPr>
        <w:t xml:space="preserve">  </w:t>
      </w:r>
    </w:p>
    <w:p w:rsidR="00A30968" w:rsidRPr="00B02A93" w:rsidP="00545A19" w14:paraId="4A0F4993" w14:textId="77777777">
      <w:pPr>
        <w:autoSpaceDE w:val="0"/>
        <w:autoSpaceDN w:val="0"/>
        <w:adjustRightInd w:val="0"/>
        <w:ind w:firstLine="720"/>
        <w:rPr>
          <w:snapToGrid/>
          <w:kern w:val="0"/>
          <w:szCs w:val="22"/>
        </w:rPr>
      </w:pPr>
      <w:r w:rsidRPr="00B02A93">
        <w:rPr>
          <w:szCs w:val="22"/>
        </w:rPr>
        <w:t>Cable One, a Delaware corporation and cable operator, provides telecommunications services, broadband services, and other services in 21 states.</w:t>
      </w:r>
      <w:r>
        <w:rPr>
          <w:rStyle w:val="FootnoteReference"/>
          <w:szCs w:val="22"/>
        </w:rPr>
        <w:footnoteReference w:id="9"/>
      </w:r>
      <w:r w:rsidRPr="00B02A93">
        <w:rPr>
          <w:szCs w:val="22"/>
        </w:rPr>
        <w:t xml:space="preserve">  Cable One currently holds approximately 16% of the ownership interests of Hargray.</w:t>
      </w:r>
      <w:r>
        <w:rPr>
          <w:rStyle w:val="FootnoteReference"/>
          <w:szCs w:val="22"/>
        </w:rPr>
        <w:footnoteReference w:id="10"/>
      </w:r>
      <w:r w:rsidRPr="00B02A93">
        <w:rPr>
          <w:szCs w:val="22"/>
        </w:rPr>
        <w:t xml:space="preserve">  Cable One VoIP LLC (VoIP LLC), a Delaware limited liability company and a wholly owned subsidiary of Cable One, is registered in the state of Washington as a competitive telecommunications company.</w:t>
      </w:r>
      <w:r>
        <w:rPr>
          <w:rStyle w:val="FootnoteReference"/>
          <w:szCs w:val="22"/>
        </w:rPr>
        <w:footnoteReference w:id="11"/>
      </w:r>
      <w:r w:rsidRPr="00B02A93">
        <w:rPr>
          <w:szCs w:val="22"/>
        </w:rPr>
        <w:t xml:space="preserve">  Delta Communications, L.L.C. d/b/a Clearwave Communications (Clearwave), an Illinois limited liability company, is a wholly owned subsidiary of Cable One and holds authority to offer competitive LEC services in Illinois, Indiana, and Missouri.  Fidelity Telephone LLC</w:t>
      </w:r>
      <w:r w:rsidRPr="00B02A93" w:rsidR="00BA196F">
        <w:rPr>
          <w:szCs w:val="22"/>
        </w:rPr>
        <w:t xml:space="preserve"> (Fidelity)</w:t>
      </w:r>
      <w:r w:rsidRPr="00B02A93">
        <w:rPr>
          <w:szCs w:val="22"/>
        </w:rPr>
        <w:t>, a Missouri limited liability company and a wholly owned subsidiary of Cable One, is an incumbent LEC serving customers in nine rural exchanges in Missouri.</w:t>
      </w:r>
      <w:r>
        <w:rPr>
          <w:rStyle w:val="FootnoteReference"/>
          <w:szCs w:val="22"/>
        </w:rPr>
        <w:footnoteReference w:id="12"/>
      </w:r>
      <w:r w:rsidRPr="00B02A93">
        <w:rPr>
          <w:szCs w:val="22"/>
        </w:rPr>
        <w:t xml:space="preserve">  Fidelity Cablevision, LLC (FCV), a Missouri limited liability company and a wholly owned subsidiary of Cable One, is a cable operator in Missouri and Oklahoma.</w:t>
      </w:r>
      <w:r>
        <w:rPr>
          <w:rStyle w:val="FootnoteReference"/>
          <w:szCs w:val="22"/>
        </w:rPr>
        <w:footnoteReference w:id="13"/>
      </w:r>
      <w:r w:rsidRPr="00B02A93">
        <w:rPr>
          <w:szCs w:val="22"/>
        </w:rPr>
        <w:t xml:space="preserve"> </w:t>
      </w:r>
      <w:r w:rsidRPr="00B02A93" w:rsidR="006D660A">
        <w:rPr>
          <w:szCs w:val="22"/>
        </w:rPr>
        <w:t xml:space="preserve"> </w:t>
      </w:r>
      <w:r w:rsidRPr="00B02A93">
        <w:rPr>
          <w:szCs w:val="22"/>
        </w:rPr>
        <w:t>CoBridge Communications LLC (CC), a Delaware limited liability company and a wholly owned subsidiary of FCV, holds authority to offer competitive LEC services in Arkansas and Texas.</w:t>
      </w:r>
      <w:r>
        <w:rPr>
          <w:rStyle w:val="FootnoteReference"/>
          <w:szCs w:val="22"/>
        </w:rPr>
        <w:footnoteReference w:id="14"/>
      </w:r>
      <w:r w:rsidRPr="00B02A93">
        <w:rPr>
          <w:szCs w:val="22"/>
        </w:rPr>
        <w:t xml:space="preserve">  CoBridge Broadband, LLC, a Delaware limited liability company and a wholly owned subsidiary of CC, is a cable operator that offers video, broadband, and other services in Arkansas, Louisiana, Missouri, and Texas.</w:t>
      </w:r>
      <w:r>
        <w:rPr>
          <w:rStyle w:val="FootnoteReference"/>
          <w:szCs w:val="22"/>
        </w:rPr>
        <w:footnoteReference w:id="15"/>
      </w:r>
      <w:r w:rsidRPr="00B02A93">
        <w:rPr>
          <w:szCs w:val="22"/>
        </w:rPr>
        <w:t xml:space="preserve">  Valu-Net LLC, a Delaware limited liability company and a wholly owned subsidiary of Cable One, is a cable operator that offers video, broadband, and competitive LEC services in Kansas.</w:t>
      </w:r>
      <w:r>
        <w:rPr>
          <w:rStyle w:val="FootnoteReference"/>
          <w:szCs w:val="22"/>
        </w:rPr>
        <w:footnoteReference w:id="16"/>
      </w:r>
      <w:r w:rsidRPr="00B02A93">
        <w:rPr>
          <w:szCs w:val="22"/>
        </w:rPr>
        <w:t xml:space="preserve">  The following U.S.-based entities and U.S. citizen hold a 10% or </w:t>
      </w:r>
      <w:r w:rsidRPr="00B02A93">
        <w:rPr>
          <w:szCs w:val="22"/>
        </w:rPr>
        <w:t>greater interest in Cable One:  T. Rowe Price Associates, Inc. (T. Rowe) (12.5%),</w:t>
      </w:r>
      <w:r>
        <w:rPr>
          <w:rStyle w:val="FootnoteReference"/>
          <w:szCs w:val="22"/>
        </w:rPr>
        <w:footnoteReference w:id="17"/>
      </w:r>
      <w:r w:rsidRPr="00B02A93">
        <w:rPr>
          <w:szCs w:val="22"/>
        </w:rPr>
        <w:t xml:space="preserve"> BlackRock, Inc.</w:t>
      </w:r>
      <w:r w:rsidRPr="00B02A93" w:rsidR="002E5941">
        <w:rPr>
          <w:szCs w:val="22"/>
        </w:rPr>
        <w:t xml:space="preserve"> (BlackRock)</w:t>
      </w:r>
      <w:r w:rsidRPr="00B02A93">
        <w:rPr>
          <w:szCs w:val="22"/>
        </w:rPr>
        <w:t xml:space="preserve"> (10.4%),</w:t>
      </w:r>
      <w:r>
        <w:rPr>
          <w:rStyle w:val="FootnoteReference"/>
          <w:szCs w:val="22"/>
        </w:rPr>
        <w:footnoteReference w:id="18"/>
      </w:r>
      <w:r w:rsidRPr="00B02A93">
        <w:rPr>
          <w:szCs w:val="22"/>
        </w:rPr>
        <w:t xml:space="preserve"> and Daniel L. Mosley (10.8%).</w:t>
      </w:r>
      <w:r>
        <w:rPr>
          <w:rStyle w:val="FootnoteReference"/>
          <w:szCs w:val="22"/>
        </w:rPr>
        <w:footnoteReference w:id="19"/>
      </w:r>
    </w:p>
    <w:p w:rsidR="00545A19" w:rsidRPr="00B02A93" w:rsidP="00545A19" w14:paraId="47865CF3" w14:textId="77777777">
      <w:pPr>
        <w:autoSpaceDE w:val="0"/>
        <w:autoSpaceDN w:val="0"/>
        <w:adjustRightInd w:val="0"/>
        <w:ind w:firstLine="720"/>
        <w:rPr>
          <w:snapToGrid/>
          <w:kern w:val="0"/>
          <w:szCs w:val="22"/>
        </w:rPr>
      </w:pPr>
    </w:p>
    <w:p w:rsidR="004F737A" w:rsidRPr="00B02A93" w:rsidP="004F737A" w14:paraId="08A8BA3C" w14:textId="77777777">
      <w:pPr>
        <w:widowControl/>
        <w:autoSpaceDE w:val="0"/>
        <w:autoSpaceDN w:val="0"/>
        <w:adjustRightInd w:val="0"/>
        <w:spacing w:after="120"/>
        <w:ind w:firstLine="720"/>
        <w:rPr>
          <w:snapToGrid/>
          <w:kern w:val="0"/>
          <w:szCs w:val="22"/>
        </w:rPr>
      </w:pPr>
      <w:r w:rsidRPr="00B02A93">
        <w:rPr>
          <w:snapToGrid/>
          <w:kern w:val="0"/>
          <w:szCs w:val="22"/>
        </w:rPr>
        <w:t>Applicants state that the service territories of H</w:t>
      </w:r>
      <w:r w:rsidRPr="00B02A93" w:rsidR="008C5059">
        <w:rPr>
          <w:snapToGrid/>
          <w:kern w:val="0"/>
          <w:szCs w:val="22"/>
        </w:rPr>
        <w:t>argray</w:t>
      </w:r>
      <w:r w:rsidRPr="00B02A93">
        <w:rPr>
          <w:snapToGrid/>
          <w:kern w:val="0"/>
          <w:szCs w:val="22"/>
        </w:rPr>
        <w:t>’s incumbent LEC affiliates do not overlap</w:t>
      </w:r>
      <w:r w:rsidRPr="00B02A93" w:rsidR="00EC0BF7">
        <w:rPr>
          <w:snapToGrid/>
          <w:kern w:val="0"/>
          <w:szCs w:val="22"/>
        </w:rPr>
        <w:t>,</w:t>
      </w:r>
      <w:r w:rsidRPr="00B02A93">
        <w:rPr>
          <w:snapToGrid/>
          <w:kern w:val="0"/>
          <w:szCs w:val="22"/>
        </w:rPr>
        <w:t xml:space="preserve"> and are not adjacent to</w:t>
      </w:r>
      <w:r w:rsidRPr="00B02A93" w:rsidR="00EC0BF7">
        <w:rPr>
          <w:snapToGrid/>
          <w:kern w:val="0"/>
          <w:szCs w:val="22"/>
        </w:rPr>
        <w:t>,</w:t>
      </w:r>
      <w:r w:rsidRPr="00B02A93">
        <w:rPr>
          <w:snapToGrid/>
          <w:kern w:val="0"/>
          <w:szCs w:val="22"/>
        </w:rPr>
        <w:t xml:space="preserve"> the </w:t>
      </w:r>
      <w:r w:rsidRPr="00B02A93" w:rsidR="00EC0BF7">
        <w:rPr>
          <w:snapToGrid/>
          <w:kern w:val="0"/>
          <w:szCs w:val="22"/>
        </w:rPr>
        <w:t xml:space="preserve">territories </w:t>
      </w:r>
      <w:r w:rsidRPr="00B02A93">
        <w:rPr>
          <w:snapToGrid/>
          <w:kern w:val="0"/>
          <w:szCs w:val="22"/>
        </w:rPr>
        <w:t xml:space="preserve">served by </w:t>
      </w:r>
      <w:r w:rsidRPr="00B02A93" w:rsidR="008C5059">
        <w:rPr>
          <w:snapToGrid/>
          <w:kern w:val="0"/>
          <w:szCs w:val="22"/>
        </w:rPr>
        <w:t>Cable One and its subsidiaries.</w:t>
      </w:r>
      <w:r>
        <w:rPr>
          <w:rStyle w:val="FootnoteReference"/>
          <w:snapToGrid/>
          <w:kern w:val="0"/>
          <w:szCs w:val="22"/>
        </w:rPr>
        <w:footnoteReference w:id="20"/>
      </w:r>
      <w:r w:rsidRPr="00B02A93" w:rsidR="001F5903">
        <w:rPr>
          <w:snapToGrid/>
          <w:kern w:val="0"/>
          <w:szCs w:val="22"/>
        </w:rPr>
        <w:t xml:space="preserve">  </w:t>
      </w:r>
    </w:p>
    <w:p w:rsidR="006F3559" w:rsidRPr="00B02A93" w:rsidP="00EF5C69" w14:paraId="4BFD4F1C" w14:textId="687210D2">
      <w:pPr>
        <w:widowControl/>
        <w:autoSpaceDE w:val="0"/>
        <w:autoSpaceDN w:val="0"/>
        <w:adjustRightInd w:val="0"/>
        <w:spacing w:after="120"/>
        <w:ind w:firstLine="720"/>
        <w:rPr>
          <w:szCs w:val="22"/>
        </w:rPr>
      </w:pPr>
      <w:r w:rsidRPr="00B02A93">
        <w:rPr>
          <w:szCs w:val="22"/>
        </w:rPr>
        <w:t>Pursuant to the terms of the Agreement and Plan of Merger (Agreement), Lighthouse Merger Sub LLC, a Delaware limited liability company</w:t>
      </w:r>
      <w:r w:rsidRPr="00B02A93" w:rsidR="00AB3596">
        <w:rPr>
          <w:szCs w:val="22"/>
        </w:rPr>
        <w:t xml:space="preserve"> and </w:t>
      </w:r>
      <w:r w:rsidRPr="00B02A93" w:rsidR="00C7392A">
        <w:rPr>
          <w:szCs w:val="22"/>
        </w:rPr>
        <w:t xml:space="preserve">indirect </w:t>
      </w:r>
      <w:r w:rsidRPr="00B02A93" w:rsidR="00AB3596">
        <w:rPr>
          <w:szCs w:val="22"/>
        </w:rPr>
        <w:t>wholly-owned subsidiary of Cable One created to effectuate the transaction</w:t>
      </w:r>
      <w:r w:rsidRPr="00B02A93">
        <w:rPr>
          <w:szCs w:val="22"/>
        </w:rPr>
        <w:t>, will merge with and into Hargray, with Hargray continuing as the surviving entity and becoming a wholly</w:t>
      </w:r>
      <w:r w:rsidR="00805401">
        <w:rPr>
          <w:szCs w:val="22"/>
        </w:rPr>
        <w:t>-</w:t>
      </w:r>
      <w:r w:rsidRPr="00B02A93">
        <w:rPr>
          <w:szCs w:val="22"/>
        </w:rPr>
        <w:t>owned subsidiary of Cable One.</w:t>
      </w:r>
      <w:r>
        <w:rPr>
          <w:rStyle w:val="FootnoteReference"/>
          <w:szCs w:val="22"/>
        </w:rPr>
        <w:footnoteReference w:id="21"/>
      </w:r>
      <w:r w:rsidRPr="00B02A93">
        <w:rPr>
          <w:szCs w:val="22"/>
        </w:rPr>
        <w:t xml:space="preserve">  As a result of the Agreement, Cable One will acquire 100% of the ownership interests of Hargray, as well as control of Hargray and the Licensees.</w:t>
      </w:r>
      <w:r>
        <w:rPr>
          <w:rStyle w:val="FootnoteReference"/>
          <w:szCs w:val="22"/>
        </w:rPr>
        <w:footnoteReference w:id="22"/>
      </w:r>
      <w:r w:rsidRPr="00B02A93">
        <w:rPr>
          <w:szCs w:val="22"/>
        </w:rPr>
        <w:t xml:space="preserve"> </w:t>
      </w:r>
    </w:p>
    <w:p w:rsidR="008D5B54" w:rsidRPr="00B02A93" w:rsidP="00132378" w14:paraId="4FD0D1AB" w14:textId="77777777">
      <w:pPr>
        <w:widowControl/>
        <w:autoSpaceDE w:val="0"/>
        <w:autoSpaceDN w:val="0"/>
        <w:adjustRightInd w:val="0"/>
        <w:spacing w:after="120"/>
        <w:rPr>
          <w:b/>
          <w:bCs/>
          <w:szCs w:val="22"/>
          <w:u w:val="single"/>
        </w:rPr>
      </w:pPr>
      <w:r w:rsidRPr="00B02A93">
        <w:rPr>
          <w:b/>
          <w:bCs/>
          <w:szCs w:val="22"/>
          <w:u w:val="single"/>
        </w:rPr>
        <w:t>Discussion</w:t>
      </w:r>
    </w:p>
    <w:p w:rsidR="00983A14" w:rsidP="00EF5C69" w14:paraId="670D0621" w14:textId="77777777">
      <w:pPr>
        <w:widowControl/>
        <w:autoSpaceDE w:val="0"/>
        <w:autoSpaceDN w:val="0"/>
        <w:adjustRightInd w:val="0"/>
        <w:spacing w:after="120"/>
        <w:ind w:firstLine="720"/>
        <w:rPr>
          <w:szCs w:val="22"/>
        </w:rPr>
      </w:pPr>
      <w:r w:rsidRPr="00B02A93">
        <w:rPr>
          <w:szCs w:val="22"/>
        </w:rPr>
        <w:t>Applicants request approval to consummate a transaction involving companies that receive high-cost universal service support under the different support mechanisms of fixed model-based support and cost-based support, what we refer to as a mixed support transaction.  Specifically, because HTC and BTC are cost-based support companies, and Cable One’s subsidiary, Fidelity, is a fixed model-based support company, the potential for a transaction-specific harm exists and triggers an incentive to shift costs from Cable One’s model-based support affiliate to HTC and BTC.</w:t>
      </w:r>
      <w:r>
        <w:rPr>
          <w:rStyle w:val="FootnoteReference"/>
          <w:szCs w:val="22"/>
        </w:rPr>
        <w:footnoteReference w:id="23"/>
      </w:r>
      <w:r w:rsidRPr="00B02A93">
        <w:rPr>
          <w:szCs w:val="22"/>
        </w:rPr>
        <w:t xml:space="preserve">  </w:t>
      </w:r>
    </w:p>
    <w:p w:rsidR="000630A2" w:rsidRPr="00B02A93" w:rsidP="00983A14" w14:paraId="432E5126" w14:textId="18F536D9">
      <w:pPr>
        <w:widowControl/>
        <w:autoSpaceDE w:val="0"/>
        <w:autoSpaceDN w:val="0"/>
        <w:adjustRightInd w:val="0"/>
        <w:spacing w:after="120"/>
        <w:ind w:firstLine="720"/>
        <w:rPr>
          <w:szCs w:val="22"/>
        </w:rPr>
      </w:pPr>
      <w:r w:rsidRPr="00B02A93">
        <w:rPr>
          <w:szCs w:val="22"/>
        </w:rPr>
        <w:t xml:space="preserve">The Commission has previously imposed a specific condition on companies involved in mixed-support transactions. </w:t>
      </w:r>
      <w:r w:rsidR="00983A14">
        <w:rPr>
          <w:szCs w:val="22"/>
        </w:rPr>
        <w:t xml:space="preserve"> </w:t>
      </w:r>
      <w:r w:rsidRPr="00B02A93" w:rsidR="008D5B54">
        <w:rPr>
          <w:szCs w:val="22"/>
        </w:rPr>
        <w:t xml:space="preserve">In 2018, the Commission reviewed the transfer of control of ComSouth to Hargray and found that when </w:t>
      </w:r>
      <w:r w:rsidRPr="00B02A93" w:rsidR="008D5B54">
        <w:rPr>
          <w:szCs w:val="22"/>
          <w:shd w:val="clear" w:color="auto" w:fill="FFFFFF"/>
        </w:rPr>
        <w:t>a company receiving a fixed level of support, like ComSouth, acquires or is acquired by a company receiving support based on its costs, like Hargray, the combined companies could, and in some instances might, have an economic incentive to shift certain shared or common costs from the model-based support company to the cost-based support company</w:t>
      </w:r>
      <w:r w:rsidRPr="00B02A93" w:rsidR="008C1DAA">
        <w:rPr>
          <w:szCs w:val="22"/>
          <w:shd w:val="clear" w:color="auto" w:fill="FFFFFF"/>
        </w:rPr>
        <w:t>.</w:t>
      </w:r>
      <w:r>
        <w:rPr>
          <w:rStyle w:val="FootnoteReference"/>
          <w:szCs w:val="22"/>
          <w:shd w:val="clear" w:color="auto" w:fill="FFFFFF"/>
        </w:rPr>
        <w:footnoteReference w:id="24"/>
      </w:r>
      <w:r w:rsidRPr="00B02A93" w:rsidR="008C1DAA">
        <w:rPr>
          <w:szCs w:val="22"/>
          <w:shd w:val="clear" w:color="auto" w:fill="FFFFFF"/>
        </w:rPr>
        <w:t xml:space="preserve">  </w:t>
      </w:r>
      <w:r w:rsidRPr="00B02A93" w:rsidR="00880961">
        <w:rPr>
          <w:szCs w:val="22"/>
          <w:shd w:val="clear" w:color="auto" w:fill="FFFFFF"/>
        </w:rPr>
        <w:t xml:space="preserve">The Commission </w:t>
      </w:r>
      <w:r w:rsidRPr="00B02A93" w:rsidR="008C1DAA">
        <w:rPr>
          <w:szCs w:val="22"/>
          <w:shd w:val="clear" w:color="auto" w:fill="FFFFFF"/>
        </w:rPr>
        <w:t>found that this cost-shifting risk would i</w:t>
      </w:r>
      <w:r w:rsidRPr="00B02A93" w:rsidR="00532BEA">
        <w:rPr>
          <w:szCs w:val="22"/>
          <w:shd w:val="clear" w:color="auto" w:fill="FFFFFF"/>
        </w:rPr>
        <w:t>mproperly impact the efficient use of limited universal services resources.</w:t>
      </w:r>
      <w:r>
        <w:rPr>
          <w:rStyle w:val="FootnoteReference"/>
          <w:szCs w:val="22"/>
          <w:shd w:val="clear" w:color="auto" w:fill="FFFFFF"/>
        </w:rPr>
        <w:footnoteReference w:id="25"/>
      </w:r>
      <w:r w:rsidRPr="00B02A93" w:rsidR="00532BEA">
        <w:rPr>
          <w:szCs w:val="22"/>
          <w:shd w:val="clear" w:color="auto" w:fill="FFFFFF"/>
        </w:rPr>
        <w:t xml:space="preserve">  The Commis</w:t>
      </w:r>
      <w:r w:rsidRPr="00B02A93" w:rsidR="008C1DAA">
        <w:rPr>
          <w:szCs w:val="22"/>
          <w:shd w:val="clear" w:color="auto" w:fill="FFFFFF"/>
        </w:rPr>
        <w:t>sion</w:t>
      </w:r>
      <w:r w:rsidRPr="00B02A93" w:rsidR="00532BEA">
        <w:rPr>
          <w:szCs w:val="22"/>
          <w:shd w:val="clear" w:color="auto" w:fill="FFFFFF"/>
        </w:rPr>
        <w:t xml:space="preserve"> </w:t>
      </w:r>
      <w:r w:rsidRPr="00B02A93" w:rsidR="00C0633C">
        <w:rPr>
          <w:szCs w:val="22"/>
          <w:shd w:val="clear" w:color="auto" w:fill="FFFFFF"/>
        </w:rPr>
        <w:t xml:space="preserve">further </w:t>
      </w:r>
      <w:r w:rsidRPr="00B02A93" w:rsidR="00532BEA">
        <w:rPr>
          <w:szCs w:val="22"/>
          <w:shd w:val="clear" w:color="auto" w:fill="FFFFFF"/>
        </w:rPr>
        <w:t>found</w:t>
      </w:r>
      <w:r w:rsidRPr="00B02A93" w:rsidR="00C0633C">
        <w:rPr>
          <w:szCs w:val="22"/>
          <w:shd w:val="clear" w:color="auto" w:fill="FFFFFF"/>
        </w:rPr>
        <w:t xml:space="preserve"> </w:t>
      </w:r>
      <w:r w:rsidRPr="00B02A93" w:rsidR="00532BEA">
        <w:rPr>
          <w:szCs w:val="22"/>
          <w:shd w:val="clear" w:color="auto" w:fill="FFFFFF"/>
        </w:rPr>
        <w:t xml:space="preserve">this potential for cost-shifting to be a transaction-specific harm and </w:t>
      </w:r>
      <w:r w:rsidRPr="00B02A93" w:rsidR="002610EC">
        <w:rPr>
          <w:szCs w:val="22"/>
          <w:shd w:val="clear" w:color="auto" w:fill="FFFFFF"/>
        </w:rPr>
        <w:t>imposed a limited con</w:t>
      </w:r>
      <w:r w:rsidRPr="00B02A93" w:rsidR="008C1DAA">
        <w:rPr>
          <w:szCs w:val="22"/>
          <w:shd w:val="clear" w:color="auto" w:fill="FFFFFF"/>
        </w:rPr>
        <w:t>dition</w:t>
      </w:r>
      <w:r w:rsidRPr="00B02A93" w:rsidR="002610EC">
        <w:rPr>
          <w:szCs w:val="22"/>
          <w:shd w:val="clear" w:color="auto" w:fill="FFFFFF"/>
        </w:rPr>
        <w:t xml:space="preserve"> on its grant of the domestic section 214 application to cap the post-merger company’s universal service support based on Hargray’s operating expenses.  It found that</w:t>
      </w:r>
      <w:r w:rsidRPr="00B02A93" w:rsidR="002610EC">
        <w:t xml:space="preserve"> Hargray’s existing rate-of-</w:t>
      </w:r>
      <w:r w:rsidRPr="00B02A93" w:rsidR="002610EC">
        <w:t xml:space="preserve">return subsidiaries </w:t>
      </w:r>
      <w:r w:rsidRPr="00B02A93" w:rsidR="00C7392A">
        <w:t>“</w:t>
      </w:r>
      <w:r w:rsidRPr="00B02A93" w:rsidR="002610EC">
        <w:t>shall be capped at the averaged combined operating expense of the three calendar years preceding the transaction closing date for which the operating expense data are available.”</w:t>
      </w:r>
      <w:r>
        <w:rPr>
          <w:rStyle w:val="FootnoteReference"/>
        </w:rPr>
        <w:footnoteReference w:id="26"/>
      </w:r>
      <w:r w:rsidRPr="00B02A93" w:rsidR="002610EC">
        <w:t xml:space="preserve"> </w:t>
      </w:r>
      <w:r w:rsidRPr="00B02A93" w:rsidR="002610EC">
        <w:rPr>
          <w:i/>
          <w:iCs/>
        </w:rPr>
        <w:t xml:space="preserve"> </w:t>
      </w:r>
      <w:r w:rsidRPr="00B02A93" w:rsidR="008C1DAA">
        <w:rPr>
          <w:szCs w:val="22"/>
        </w:rPr>
        <w:t xml:space="preserve">The </w:t>
      </w:r>
      <w:r w:rsidRPr="00B02A93" w:rsidR="00132378">
        <w:rPr>
          <w:szCs w:val="22"/>
        </w:rPr>
        <w:t>Commission</w:t>
      </w:r>
      <w:r w:rsidRPr="00B02A93" w:rsidR="008C1DAA">
        <w:rPr>
          <w:szCs w:val="22"/>
        </w:rPr>
        <w:t xml:space="preserve"> stated that the cap would remain in place for seven years from consummation of the </w:t>
      </w:r>
      <w:r w:rsidRPr="000A715F" w:rsidR="008C1DAA">
        <w:rPr>
          <w:i/>
          <w:iCs/>
          <w:szCs w:val="22"/>
        </w:rPr>
        <w:t>Hargray/ComSouth</w:t>
      </w:r>
      <w:r w:rsidRPr="00B02A93" w:rsidR="008C1DAA">
        <w:rPr>
          <w:szCs w:val="22"/>
        </w:rPr>
        <w:t xml:space="preserve"> transaction and directed that “t</w:t>
      </w:r>
      <w:r w:rsidRPr="00B02A93" w:rsidR="008C1DAA">
        <w:t>o ensure consistency, the cap would apply to the combined operating expenses of Hargray’s existing rate-of-return subsidiaries and any rate-of-return subsidiaries that Hargray may acquire during the time in which the condition is in effect.”</w:t>
      </w:r>
      <w:r>
        <w:rPr>
          <w:rStyle w:val="FootnoteReference"/>
        </w:rPr>
        <w:footnoteReference w:id="27"/>
      </w:r>
      <w:r w:rsidRPr="00B02A93" w:rsidR="008C1DAA">
        <w:t xml:space="preserve">   </w:t>
      </w:r>
      <w:r w:rsidRPr="00B02A93" w:rsidR="005B5B7B">
        <w:rPr>
          <w:szCs w:val="22"/>
        </w:rPr>
        <w:t xml:space="preserve">The Commission directed the </w:t>
      </w:r>
      <w:r w:rsidRPr="00B02A93" w:rsidR="005B5B7B">
        <w:rPr>
          <w:szCs w:val="22"/>
          <w:shd w:val="clear" w:color="auto" w:fill="FFFFFF"/>
        </w:rPr>
        <w:t xml:space="preserve">Bureau to apply the </w:t>
      </w:r>
      <w:r w:rsidRPr="00B02A93" w:rsidR="005B5B7B">
        <w:rPr>
          <w:i/>
          <w:iCs/>
          <w:szCs w:val="22"/>
          <w:shd w:val="clear" w:color="auto" w:fill="FFFFFF"/>
        </w:rPr>
        <w:t xml:space="preserve">Hargray/ComSouth </w:t>
      </w:r>
      <w:r w:rsidRPr="00B02A93" w:rsidR="008C5059">
        <w:rPr>
          <w:szCs w:val="22"/>
          <w:shd w:val="clear" w:color="auto" w:fill="FFFFFF"/>
        </w:rPr>
        <w:t>c</w:t>
      </w:r>
      <w:r w:rsidRPr="00B02A93" w:rsidR="005B5B7B">
        <w:rPr>
          <w:szCs w:val="22"/>
          <w:shd w:val="clear" w:color="auto" w:fill="FFFFFF"/>
        </w:rPr>
        <w:t xml:space="preserve">ondition </w:t>
      </w:r>
      <w:r w:rsidR="00AD3257">
        <w:rPr>
          <w:szCs w:val="22"/>
          <w:shd w:val="clear" w:color="auto" w:fill="FFFFFF"/>
        </w:rPr>
        <w:t>“</w:t>
      </w:r>
      <w:r w:rsidR="00AD3257">
        <w:t>where necessary to remedy a potential public interest harm caused by a mixed support transaction</w:t>
      </w:r>
      <w:r w:rsidR="00B5389B">
        <w:t>.</w:t>
      </w:r>
      <w:r w:rsidR="00AD3257">
        <w:t>”</w:t>
      </w:r>
      <w:r>
        <w:rPr>
          <w:rStyle w:val="FootnoteReference"/>
          <w:szCs w:val="22"/>
          <w:shd w:val="clear" w:color="auto" w:fill="FFFFFF"/>
        </w:rPr>
        <w:footnoteReference w:id="28"/>
      </w:r>
      <w:r w:rsidRPr="00B02A93" w:rsidR="005B5B7B">
        <w:rPr>
          <w:szCs w:val="22"/>
          <w:shd w:val="clear" w:color="auto" w:fill="FFFFFF"/>
        </w:rPr>
        <w:t xml:space="preserve">  </w:t>
      </w:r>
    </w:p>
    <w:p w:rsidR="00F243B7" w:rsidRPr="00B02A93" w:rsidP="00F243B7" w14:paraId="1066F25C" w14:textId="43E56C04">
      <w:pPr>
        <w:widowControl/>
        <w:autoSpaceDE w:val="0"/>
        <w:autoSpaceDN w:val="0"/>
        <w:adjustRightInd w:val="0"/>
        <w:spacing w:after="120"/>
        <w:ind w:firstLine="720"/>
        <w:rPr>
          <w:snapToGrid/>
          <w:kern w:val="0"/>
          <w:szCs w:val="22"/>
        </w:rPr>
      </w:pPr>
      <w:r w:rsidRPr="00B02A93">
        <w:rPr>
          <w:szCs w:val="22"/>
        </w:rPr>
        <w:t xml:space="preserve">We find, upon </w:t>
      </w:r>
      <w:r w:rsidRPr="001A7655">
        <w:rPr>
          <w:szCs w:val="22"/>
        </w:rPr>
        <w:t xml:space="preserve">consideration </w:t>
      </w:r>
      <w:r w:rsidRPr="00B02A93">
        <w:rPr>
          <w:szCs w:val="22"/>
        </w:rPr>
        <w:t xml:space="preserve">of the record, that grant of the </w:t>
      </w:r>
      <w:r w:rsidRPr="00B02A93" w:rsidR="000157A9">
        <w:rPr>
          <w:szCs w:val="22"/>
        </w:rPr>
        <w:t>A</w:t>
      </w:r>
      <w:r w:rsidRPr="00B02A93">
        <w:rPr>
          <w:szCs w:val="22"/>
        </w:rPr>
        <w:t>pplication will serve the public interest, convenience, and necessity.</w:t>
      </w:r>
      <w:r>
        <w:rPr>
          <w:szCs w:val="22"/>
          <w:vertAlign w:val="superscript"/>
        </w:rPr>
        <w:footnoteReference w:id="29"/>
      </w:r>
      <w:r w:rsidRPr="00B02A93">
        <w:rPr>
          <w:szCs w:val="22"/>
        </w:rPr>
        <w:t xml:space="preserve">  </w:t>
      </w:r>
      <w:r w:rsidRPr="00B02A93">
        <w:rPr>
          <w:szCs w:val="22"/>
        </w:rPr>
        <w:t xml:space="preserve">However, similar to Hargray’s prior acquisition, to mitigate the potential for cost shifting through this transaction, we grant the Application subject to the continued application of the </w:t>
      </w:r>
      <w:r w:rsidRPr="00B02A93">
        <w:rPr>
          <w:i/>
          <w:iCs/>
          <w:szCs w:val="22"/>
        </w:rPr>
        <w:t>Hargray/ComSouth</w:t>
      </w:r>
      <w:r w:rsidRPr="00B02A93">
        <w:rPr>
          <w:szCs w:val="22"/>
        </w:rPr>
        <w:t xml:space="preserve"> condition to Cable One, post-transaction.</w:t>
      </w:r>
      <w:r>
        <w:rPr>
          <w:rStyle w:val="FootnoteReference"/>
          <w:szCs w:val="22"/>
        </w:rPr>
        <w:footnoteReference w:id="30"/>
      </w:r>
      <w:r w:rsidRPr="00B02A93">
        <w:rPr>
          <w:szCs w:val="22"/>
        </w:rPr>
        <w:t xml:space="preserve"> </w:t>
      </w:r>
    </w:p>
    <w:p w:rsidR="00D06F09" w:rsidP="00D06F09" w14:paraId="6A28F875" w14:textId="125DFE8A">
      <w:pPr>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CFR §§ 0.91, 0.291, 63.03, and 63.04, the Bureau hereby grants the Application discussed in this Public Notice subject to </w:t>
      </w:r>
      <w:r w:rsidRPr="00B02A93" w:rsidR="006B2F55">
        <w:rPr>
          <w:szCs w:val="22"/>
        </w:rPr>
        <w:t xml:space="preserve">Cable One’s </w:t>
      </w:r>
      <w:r w:rsidRPr="00B02A93">
        <w:rPr>
          <w:szCs w:val="22"/>
        </w:rPr>
        <w:t>compliance with the condition described above.</w:t>
      </w:r>
      <w:r>
        <w:rPr>
          <w:szCs w:val="22"/>
          <w:vertAlign w:val="superscript"/>
        </w:rPr>
        <w:footnoteReference w:id="31"/>
      </w:r>
      <w:r w:rsidRPr="00B02A93">
        <w:rPr>
          <w:szCs w:val="22"/>
        </w:rPr>
        <w:t xml:space="preserve">  </w:t>
      </w:r>
    </w:p>
    <w:p w:rsidR="00D06F09" w:rsidRPr="00D06F09" w:rsidP="00D06F09" w14:paraId="3AFABEE9" w14:textId="77777777">
      <w:pPr>
        <w:ind w:firstLine="720"/>
        <w:rPr>
          <w:sz w:val="12"/>
          <w:szCs w:val="12"/>
        </w:rPr>
      </w:pPr>
    </w:p>
    <w:p w:rsidR="002D7CCE" w:rsidRPr="00B02A93" w:rsidP="00D06F09" w14:paraId="3F84C857" w14:textId="1D4E914D">
      <w:pPr>
        <w:widowControl/>
        <w:autoSpaceDE w:val="0"/>
        <w:autoSpaceDN w:val="0"/>
        <w:adjustRightInd w:val="0"/>
        <w:spacing w:after="120"/>
        <w:ind w:firstLine="720"/>
        <w:rPr>
          <w:szCs w:val="22"/>
        </w:rPr>
      </w:pPr>
      <w:r w:rsidRPr="00B02A93">
        <w:rPr>
          <w:szCs w:val="22"/>
        </w:rPr>
        <w:t xml:space="preserve"> Pursuant to section 1.103 of the Commission's rules, 47 C.F.R. § 1.103, the grant is effective upon release of this Public Notice.  Petitions for reconsideration under section 1.106 or applications for </w:t>
      </w:r>
      <w:r w:rsidRPr="00B02A93">
        <w:rPr>
          <w:szCs w:val="22"/>
        </w:rPr>
        <w:t>review under section 1.115 of the Commission's rules, 47 C.F.R. §§ 1.106, 1.115, may be filed within 30 days of the date of this Public Notice.</w:t>
      </w:r>
      <w:bookmarkStart w:id="7" w:name="FN[FN9]"/>
      <w:bookmarkStart w:id="8" w:name="sp_999_1"/>
      <w:bookmarkStart w:id="9" w:name="SDU_1"/>
      <w:bookmarkEnd w:id="7"/>
      <w:bookmarkEnd w:id="8"/>
      <w:bookmarkEnd w:id="9"/>
    </w:p>
    <w:p w:rsidR="002D7CCE" w:rsidRPr="00B02A93" w:rsidP="00986B91" w14:paraId="6406866C" w14:textId="77777777">
      <w:pPr>
        <w:ind w:firstLine="720"/>
        <w:rPr>
          <w:szCs w:val="22"/>
        </w:rPr>
      </w:pPr>
      <w:bookmarkStart w:id="10" w:name="sp_999_2"/>
      <w:bookmarkStart w:id="11" w:name="SDU_2"/>
      <w:bookmarkEnd w:id="10"/>
      <w:bookmarkEnd w:id="11"/>
      <w:r w:rsidRPr="00B02A93">
        <w:rPr>
          <w:szCs w:val="22"/>
        </w:rPr>
        <w:t xml:space="preserve">For further information, please contact </w:t>
      </w:r>
      <w:r w:rsidRPr="00B02A93" w:rsidR="00AE3C92">
        <w:rPr>
          <w:szCs w:val="22"/>
        </w:rPr>
        <w:t>Dennis Johnson</w:t>
      </w:r>
      <w:r w:rsidRPr="00B02A93">
        <w:rPr>
          <w:szCs w:val="22"/>
        </w:rPr>
        <w:t>, Wireline Competition Bureau, Competition Policy Division, (202) 418-0809.</w:t>
      </w:r>
    </w:p>
    <w:p w:rsidR="002D7CCE" w:rsidRPr="00B02A93" w:rsidP="002D7CCE" w14:paraId="695FCEC0" w14:textId="77777777">
      <w:pPr>
        <w:pStyle w:val="Default"/>
        <w:rPr>
          <w:color w:val="auto"/>
          <w:sz w:val="22"/>
          <w:szCs w:val="22"/>
        </w:rPr>
      </w:pPr>
    </w:p>
    <w:p w:rsidR="002D7CCE" w:rsidRPr="00B02A93" w:rsidP="002D7CCE" w14:paraId="1B8B7CB6" w14:textId="77777777">
      <w:pPr>
        <w:pStyle w:val="Default"/>
        <w:jc w:val="center"/>
        <w:rPr>
          <w:b/>
          <w:bCs/>
          <w:color w:val="auto"/>
          <w:sz w:val="22"/>
          <w:szCs w:val="22"/>
        </w:rPr>
      </w:pPr>
      <w:r w:rsidRPr="00B02A93">
        <w:rPr>
          <w:b/>
          <w:bCs/>
          <w:color w:val="auto"/>
          <w:sz w:val="22"/>
          <w:szCs w:val="22"/>
        </w:rPr>
        <w:t>-FCC-</w:t>
      </w:r>
    </w:p>
    <w:p w:rsidR="002D7CCE" w:rsidRPr="00B02A93" w:rsidP="006F4636" w14:paraId="513C073E" w14:textId="77777777">
      <w:pPr>
        <w:pStyle w:val="Default"/>
        <w:ind w:firstLine="720"/>
        <w:rPr>
          <w:color w:val="auto"/>
          <w:szCs w:val="22"/>
        </w:rPr>
      </w:pPr>
    </w:p>
    <w:p w:rsidR="006F4636" w:rsidRPr="00B02A93" w:rsidP="00EC2DFD" w14:paraId="06EEA70D" w14:textId="77777777">
      <w:pPr>
        <w:pStyle w:val="Default"/>
        <w:ind w:firstLine="720"/>
        <w:rPr>
          <w:color w:val="auto"/>
          <w:sz w:val="22"/>
          <w:szCs w:val="22"/>
        </w:rPr>
      </w:pPr>
    </w:p>
    <w:p w:rsidR="00E61137" w:rsidRPr="00B02A93" w:rsidP="002B0207" w14:paraId="0C8B42D1" w14:textId="77777777">
      <w:pPr>
        <w:jc w:val="center"/>
        <w:rPr>
          <w:b/>
          <w:szCs w:val="22"/>
        </w:rPr>
      </w:pPr>
    </w:p>
    <w:p w:rsidR="00E61137" w:rsidRPr="00B02A93" w:rsidP="002B0207" w14:paraId="558EFC07" w14:textId="77777777">
      <w:pPr>
        <w:jc w:val="center"/>
        <w:rPr>
          <w:b/>
          <w:szCs w:val="22"/>
        </w:rPr>
      </w:pPr>
    </w:p>
    <w:p w:rsidR="00B17B13" w:rsidRPr="00B02A93" w:rsidP="00E61137" w14:paraId="696789E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487342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08C112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8B40A9A"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33CD7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50B1" w14:paraId="5014057F" w14:textId="77777777">
      <w:r>
        <w:separator/>
      </w:r>
    </w:p>
  </w:footnote>
  <w:footnote w:type="continuationSeparator" w:id="1">
    <w:p w:rsidR="001050B1" w14:paraId="165ED26C" w14:textId="77777777">
      <w:pPr>
        <w:rPr>
          <w:sz w:val="20"/>
        </w:rPr>
      </w:pPr>
      <w:r>
        <w:rPr>
          <w:sz w:val="20"/>
        </w:rPr>
        <w:t xml:space="preserve">(Continued from previous page)  </w:t>
      </w:r>
      <w:r>
        <w:rPr>
          <w:sz w:val="20"/>
        </w:rPr>
        <w:separator/>
      </w:r>
    </w:p>
  </w:footnote>
  <w:footnote w:type="continuationNotice" w:id="2">
    <w:p w:rsidR="001050B1" w:rsidP="00910F12" w14:paraId="7FAEBCC4" w14:textId="77777777">
      <w:pPr>
        <w:jc w:val="right"/>
        <w:rPr>
          <w:sz w:val="20"/>
        </w:rPr>
      </w:pPr>
      <w:r>
        <w:rPr>
          <w:sz w:val="20"/>
        </w:rPr>
        <w:t>(continued….)</w:t>
      </w:r>
    </w:p>
  </w:footnote>
  <w:footnote w:id="3">
    <w:p w:rsidR="008774D9" w:rsidRPr="00746759" w:rsidP="008774D9" w14:paraId="6044DC27" w14:textId="1F02526C">
      <w:pPr>
        <w:autoSpaceDE w:val="0"/>
        <w:autoSpaceDN w:val="0"/>
        <w:adjustRightInd w:val="0"/>
        <w:rPr>
          <w:sz w:val="20"/>
        </w:rPr>
      </w:pPr>
      <w:r w:rsidRPr="00746759">
        <w:rPr>
          <w:rStyle w:val="FootnoteReference"/>
          <w:sz w:val="20"/>
        </w:rPr>
        <w:footnoteRef/>
      </w:r>
      <w:r w:rsidRPr="00746759">
        <w:rPr>
          <w:sz w:val="20"/>
        </w:rPr>
        <w:t xml:space="preserve"> The Licensees are:</w:t>
      </w:r>
      <w:r>
        <w:rPr>
          <w:sz w:val="20"/>
        </w:rPr>
        <w:t xml:space="preserve"> </w:t>
      </w:r>
      <w:r w:rsidRPr="00746759">
        <w:rPr>
          <w:sz w:val="20"/>
        </w:rPr>
        <w:t xml:space="preserve"> (1) Low Country Carriers, Inc.; (2) Hargray Telephone Company, Inc.; (3) Bluffton</w:t>
      </w:r>
      <w:r w:rsidR="00E3399D">
        <w:rPr>
          <w:sz w:val="20"/>
        </w:rPr>
        <w:t xml:space="preserve"> </w:t>
      </w:r>
      <w:r w:rsidRPr="00746759">
        <w:rPr>
          <w:sz w:val="20"/>
        </w:rPr>
        <w:t>Telephone Company, Inc.; (4) Hargray, Inc.; (5) Hargray of Alabama, Inc.; (6) Hargray of Florida, Inc.; (7) Hargray of Georgia, Inc.; (8) ComSouth Telecommunications, Inc.; (9) ComSouth Telenet, Inc.; and (10) ComSouth Teleservices, Inc.</w:t>
      </w:r>
      <w:r>
        <w:rPr>
          <w:sz w:val="20"/>
        </w:rPr>
        <w:t xml:space="preserve">  </w:t>
      </w:r>
    </w:p>
    <w:p w:rsidR="008774D9" w:rsidRPr="00746759" w:rsidP="008774D9" w14:paraId="4CBEB7EF" w14:textId="77777777">
      <w:pPr>
        <w:autoSpaceDE w:val="0"/>
        <w:autoSpaceDN w:val="0"/>
        <w:adjustRightInd w:val="0"/>
        <w:rPr>
          <w:sz w:val="20"/>
        </w:rPr>
      </w:pPr>
    </w:p>
  </w:footnote>
  <w:footnote w:id="4">
    <w:p w:rsidR="008774D9" w:rsidRPr="00746759" w:rsidP="008774D9" w14:paraId="4BA317A7" w14:textId="3720CA28">
      <w:pPr>
        <w:spacing w:after="120"/>
        <w:rPr>
          <w:sz w:val="20"/>
        </w:rPr>
      </w:pPr>
      <w:r w:rsidRPr="00746759">
        <w:rPr>
          <w:rStyle w:val="FootnoteReference"/>
          <w:sz w:val="20"/>
        </w:rPr>
        <w:footnoteRef/>
      </w:r>
      <w:r w:rsidRPr="00746759">
        <w:rPr>
          <w:sz w:val="20"/>
        </w:rPr>
        <w:t xml:space="preserve"> </w:t>
      </w:r>
      <w:r w:rsidRPr="00746759">
        <w:rPr>
          <w:i/>
          <w:sz w:val="20"/>
        </w:rPr>
        <w:t>See</w:t>
      </w:r>
      <w:r w:rsidRPr="00746759">
        <w:rPr>
          <w:sz w:val="20"/>
        </w:rPr>
        <w:t xml:space="preserve"> 47 U.S.C. § 214; 47 CFR §§ 63.03-04</w:t>
      </w:r>
      <w:r w:rsidR="00F61F48">
        <w:rPr>
          <w:sz w:val="20"/>
        </w:rPr>
        <w:t>;</w:t>
      </w:r>
      <w:r w:rsidRPr="00746759">
        <w:rPr>
          <w:sz w:val="20"/>
        </w:rPr>
        <w:t xml:space="preserve"> </w:t>
      </w:r>
      <w:r w:rsidR="00F61F48">
        <w:rPr>
          <w:sz w:val="20"/>
        </w:rPr>
        <w:t>Hargray Acquisition Holdings, LLC and Cable One, Inc. Application for Transfer of Control of Domestic Blanket Section 214 Authorizations, WC Docket No. 21-69 (filed Feb. 26, 2021) (Application)</w:t>
      </w:r>
      <w:r w:rsidRPr="00095E72" w:rsidR="00F61F48">
        <w:rPr>
          <w:sz w:val="20"/>
        </w:rPr>
        <w:t xml:space="preserve">.  </w:t>
      </w:r>
      <w:r w:rsidRPr="00746759">
        <w:rPr>
          <w:bCs/>
          <w:sz w:val="20"/>
        </w:rPr>
        <w:t xml:space="preserve">Applicants also filed an application for the transfer of authorizations associated with international </w:t>
      </w:r>
      <w:r>
        <w:rPr>
          <w:bCs/>
          <w:sz w:val="20"/>
        </w:rPr>
        <w:t xml:space="preserve">and wireless </w:t>
      </w:r>
      <w:r w:rsidRPr="00746759">
        <w:rPr>
          <w:bCs/>
          <w:sz w:val="20"/>
        </w:rPr>
        <w:t xml:space="preserve">authorizations.  </w:t>
      </w:r>
      <w:r w:rsidRPr="00746759">
        <w:rPr>
          <w:sz w:val="20"/>
        </w:rPr>
        <w:t>Any action on this domestic section 214 application is without prejudice to Commission action on other related, pending applications</w:t>
      </w:r>
      <w:r w:rsidRPr="00746759">
        <w:rPr>
          <w:rFonts w:eastAsia="Calibri"/>
          <w:sz w:val="20"/>
        </w:rPr>
        <w:t xml:space="preserve">.  </w:t>
      </w:r>
      <w:bookmarkStart w:id="0" w:name="_Hlk63092800"/>
      <w:r>
        <w:rPr>
          <w:rFonts w:eastAsia="Calibri"/>
          <w:sz w:val="20"/>
        </w:rPr>
        <w:t>On March 10, 2021</w:t>
      </w:r>
      <w:r w:rsidR="0049112B">
        <w:rPr>
          <w:rFonts w:eastAsia="Calibri"/>
          <w:sz w:val="20"/>
        </w:rPr>
        <w:t xml:space="preserve"> and April </w:t>
      </w:r>
      <w:r w:rsidR="008C5059">
        <w:rPr>
          <w:rFonts w:eastAsia="Calibri"/>
          <w:sz w:val="20"/>
        </w:rPr>
        <w:t>9</w:t>
      </w:r>
      <w:r w:rsidR="0049112B">
        <w:rPr>
          <w:rFonts w:eastAsia="Calibri"/>
          <w:sz w:val="20"/>
        </w:rPr>
        <w:t>, 2021</w:t>
      </w:r>
      <w:r>
        <w:rPr>
          <w:rFonts w:eastAsia="Calibri"/>
          <w:sz w:val="20"/>
        </w:rPr>
        <w:t>, Applicants filed a supplement to the</w:t>
      </w:r>
      <w:r w:rsidR="00DB6527">
        <w:rPr>
          <w:rFonts w:eastAsia="Calibri"/>
          <w:sz w:val="20"/>
        </w:rPr>
        <w:t xml:space="preserve"> Application</w:t>
      </w:r>
      <w:r>
        <w:rPr>
          <w:rFonts w:eastAsia="Calibri"/>
          <w:sz w:val="20"/>
        </w:rPr>
        <w:t xml:space="preserve">.  </w:t>
      </w:r>
      <w:bookmarkStart w:id="1" w:name="_Hlk68855753"/>
      <w:r>
        <w:rPr>
          <w:sz w:val="20"/>
        </w:rPr>
        <w:t xml:space="preserve">Letter from Rebekah P. Goodheart, Counsel for Hargray and Licensees, and Chérie R. Kiser, Counsel for Cable One, to Marlene H. Dortch, Secretary, FCC, WC Docket No. 21-69 (filed Mar. 10, 2021) </w:t>
      </w:r>
      <w:bookmarkEnd w:id="1"/>
      <w:r>
        <w:rPr>
          <w:sz w:val="20"/>
        </w:rPr>
        <w:t xml:space="preserve">(Applicants’ </w:t>
      </w:r>
      <w:r w:rsidR="0049112B">
        <w:rPr>
          <w:sz w:val="20"/>
        </w:rPr>
        <w:t>March</w:t>
      </w:r>
      <w:r w:rsidR="00B021EE">
        <w:rPr>
          <w:sz w:val="20"/>
        </w:rPr>
        <w:t xml:space="preserve"> </w:t>
      </w:r>
      <w:r w:rsidR="0049112B">
        <w:rPr>
          <w:sz w:val="20"/>
        </w:rPr>
        <w:t xml:space="preserve">10 </w:t>
      </w:r>
      <w:r>
        <w:rPr>
          <w:sz w:val="20"/>
        </w:rPr>
        <w:t>Supplement Letter)</w:t>
      </w:r>
      <w:r w:rsidR="0049112B">
        <w:rPr>
          <w:sz w:val="20"/>
        </w:rPr>
        <w:t xml:space="preserve">; </w:t>
      </w:r>
      <w:r w:rsidR="00B021EE">
        <w:rPr>
          <w:sz w:val="20"/>
        </w:rPr>
        <w:t xml:space="preserve">Letter from Rebekah P. Goodheart, Counsel for Hargray and Licensees, and Chérie R. Kiser, Counsel for Cable One, to Marlene H. Dortch, Secretary, FCC, WC Docket No. 21-69 (filed Apr. </w:t>
      </w:r>
      <w:r w:rsidR="000B7562">
        <w:rPr>
          <w:sz w:val="20"/>
        </w:rPr>
        <w:t>9</w:t>
      </w:r>
      <w:r w:rsidR="00B021EE">
        <w:rPr>
          <w:sz w:val="20"/>
        </w:rPr>
        <w:t xml:space="preserve">, 2021) </w:t>
      </w:r>
      <w:r w:rsidR="00203604">
        <w:rPr>
          <w:sz w:val="20"/>
        </w:rPr>
        <w:t xml:space="preserve">(Applicants’ April </w:t>
      </w:r>
      <w:r w:rsidR="000B7562">
        <w:rPr>
          <w:sz w:val="20"/>
        </w:rPr>
        <w:t>9</w:t>
      </w:r>
      <w:r w:rsidR="00203604">
        <w:rPr>
          <w:sz w:val="20"/>
        </w:rPr>
        <w:t xml:space="preserve"> Supplement Letter)</w:t>
      </w:r>
      <w:r>
        <w:rPr>
          <w:sz w:val="20"/>
        </w:rPr>
        <w:t>.</w:t>
      </w:r>
      <w:bookmarkEnd w:id="0"/>
    </w:p>
  </w:footnote>
  <w:footnote w:id="5">
    <w:p w:rsidR="008774D9" w:rsidP="008774D9" w14:paraId="4ACF349D" w14:textId="77777777">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Hargray Acquisition Holdings, LLC and Its Subsidiaries to Cable One, Inc.</w:t>
      </w:r>
      <w:r w:rsidRPr="00207939">
        <w:t>, WC Docket No. 2</w:t>
      </w:r>
      <w:r>
        <w:t>1</w:t>
      </w:r>
      <w:r w:rsidRPr="00207939">
        <w:t>-</w:t>
      </w:r>
      <w:r>
        <w:t>69, Public Notice, DA 21-315</w:t>
      </w:r>
      <w:r w:rsidRPr="008670A1">
        <w:t xml:space="preserve"> </w:t>
      </w:r>
      <w:r>
        <w:t xml:space="preserve">(WCB 2021).     </w:t>
      </w:r>
    </w:p>
  </w:footnote>
  <w:footnote w:id="6">
    <w:p w:rsidR="00F76515" w14:paraId="0A2247CD" w14:textId="77777777">
      <w:pPr>
        <w:pStyle w:val="FootnoteText"/>
      </w:pPr>
      <w:r>
        <w:rPr>
          <w:rStyle w:val="FootnoteReference"/>
        </w:rPr>
        <w:footnoteRef/>
      </w:r>
      <w:r>
        <w:t xml:space="preserve"> </w:t>
      </w:r>
      <w:r w:rsidR="00366291">
        <w:t>Application at 3-6.</w:t>
      </w:r>
    </w:p>
  </w:footnote>
  <w:footnote w:id="7">
    <w:p w:rsidR="0033308B" w14:paraId="60293200" w14:textId="77777777">
      <w:pPr>
        <w:pStyle w:val="FootnoteText"/>
      </w:pPr>
      <w:r>
        <w:rPr>
          <w:rStyle w:val="FootnoteReference"/>
        </w:rPr>
        <w:footnoteRef/>
      </w:r>
      <w:r>
        <w:t xml:space="preserve"> </w:t>
      </w:r>
      <w:r w:rsidRPr="00532BEA">
        <w:rPr>
          <w:i/>
          <w:iCs/>
        </w:rPr>
        <w:t>Id</w:t>
      </w:r>
      <w:r>
        <w:t>. at 4-6 and n.11</w:t>
      </w:r>
      <w:r w:rsidR="00E27214">
        <w:t xml:space="preserve">; </w:t>
      </w:r>
      <w:r w:rsidRPr="00265992" w:rsidR="00E27214">
        <w:rPr>
          <w:i/>
        </w:rPr>
        <w:t>Joint Application of W. Mansfield Jennings Limited Partnership and Har</w:t>
      </w:r>
      <w:r w:rsidR="00E27214">
        <w:rPr>
          <w:i/>
        </w:rPr>
        <w:t>gray Communications Group, Inc.</w:t>
      </w:r>
      <w:r w:rsidRPr="00265992" w:rsidR="00E27214">
        <w:rPr>
          <w:i/>
        </w:rPr>
        <w:t xml:space="preserve"> for Consent to the Transfer of Control of ComSouth Corporation Pursuant to Section 214 of the Communications Act of 1934</w:t>
      </w:r>
      <w:r w:rsidRPr="00265992" w:rsidR="00E27214">
        <w:t xml:space="preserve">, WC Docket 18-52, Memorandum Opinion and Order, </w:t>
      </w:r>
      <w:r w:rsidR="00E27214">
        <w:t xml:space="preserve">33 FCC Rcd 4780, 4783, para. 11 </w:t>
      </w:r>
      <w:r w:rsidRPr="00265992" w:rsidR="00E27214">
        <w:t>(</w:t>
      </w:r>
      <w:r w:rsidRPr="00265992" w:rsidR="00E27214">
        <w:rPr>
          <w:i/>
        </w:rPr>
        <w:t>Hargray/ComSouth Order</w:t>
      </w:r>
      <w:r w:rsidRPr="00265992" w:rsidR="00E27214">
        <w:t>)</w:t>
      </w:r>
      <w:r w:rsidR="00E27214">
        <w:t xml:space="preserve">.  </w:t>
      </w:r>
      <w:r w:rsidR="00E27214">
        <w:rPr>
          <w:i/>
          <w:iCs/>
        </w:rPr>
        <w:t>See</w:t>
      </w:r>
      <w:r w:rsidR="00E27214">
        <w:t xml:space="preserve"> </w:t>
      </w:r>
      <w:r w:rsidRPr="00532BEA" w:rsidR="00E27214">
        <w:rPr>
          <w:snapToGrid w:val="0"/>
        </w:rPr>
        <w:t>Universal</w:t>
      </w:r>
      <w:r w:rsidR="00E27214">
        <w:rPr>
          <w:snapToGrid w:val="0"/>
        </w:rPr>
        <w:t xml:space="preserve"> Service Administrative Co., Tools, </w:t>
      </w:r>
      <w:hyperlink r:id="rId1" w:history="1">
        <w:r w:rsidR="00E27214">
          <w:rPr>
            <w:rStyle w:val="Hyperlink"/>
            <w:snapToGrid w:val="0"/>
          </w:rPr>
          <w:t>https://www.usac.org/high-cost/resources/tools/</w:t>
        </w:r>
      </w:hyperlink>
      <w:r w:rsidR="00E27214">
        <w:rPr>
          <w:snapToGrid w:val="0"/>
        </w:rPr>
        <w:t xml:space="preserve"> (ACAM, ACAM II and CAF BLS Buildout Requirements).</w:t>
      </w:r>
    </w:p>
  </w:footnote>
  <w:footnote w:id="8">
    <w:p w:rsidR="00FE56C4" w:rsidRPr="008823A6" w:rsidP="00FE56C4" w14:paraId="2770227D" w14:textId="77777777">
      <w:pPr>
        <w:pStyle w:val="FootnoteText"/>
      </w:pPr>
      <w:r>
        <w:rPr>
          <w:rStyle w:val="FootnoteReference"/>
        </w:rPr>
        <w:footnoteRef/>
      </w:r>
      <w:r w:rsidRPr="00F46420">
        <w:t xml:space="preserve"> </w:t>
      </w:r>
      <w:bookmarkStart w:id="2" w:name="_Hlk69476898"/>
      <w:r w:rsidR="00CD2FA0">
        <w:t>Application</w:t>
      </w:r>
      <w:r w:rsidR="00532BEA">
        <w:t>. at 4-6 and n.11</w:t>
      </w:r>
      <w:bookmarkEnd w:id="2"/>
      <w:r w:rsidR="0033308B">
        <w:t xml:space="preserve">; </w:t>
      </w:r>
      <w:r w:rsidRPr="00265992" w:rsidR="00E27214">
        <w:rPr>
          <w:i/>
        </w:rPr>
        <w:t>Hargray/ComSouth Order</w:t>
      </w:r>
      <w:r w:rsidR="00E27214">
        <w:rPr>
          <w:iCs/>
        </w:rPr>
        <w:t>, 33 FCC Rcd at 4783, para. 11</w:t>
      </w:r>
      <w:r w:rsidR="00532BEA">
        <w:t xml:space="preserve">. </w:t>
      </w:r>
      <w:r w:rsidR="002E5941">
        <w:t xml:space="preserve"> </w:t>
      </w:r>
      <w:r w:rsidR="00532BEA">
        <w:rPr>
          <w:i/>
          <w:iCs/>
        </w:rPr>
        <w:t>See</w:t>
      </w:r>
      <w:r w:rsidR="00532BEA">
        <w:t xml:space="preserve"> </w:t>
      </w:r>
      <w:r w:rsidRPr="00532BEA">
        <w:rPr>
          <w:snapToGrid w:val="0"/>
        </w:rPr>
        <w:t>Universal</w:t>
      </w:r>
      <w:r>
        <w:rPr>
          <w:snapToGrid w:val="0"/>
        </w:rPr>
        <w:t xml:space="preserve"> Service Administrative Co., Tools, </w:t>
      </w:r>
      <w:hyperlink r:id="rId1" w:history="1">
        <w:r>
          <w:rPr>
            <w:rStyle w:val="Hyperlink"/>
            <w:snapToGrid w:val="0"/>
          </w:rPr>
          <w:t>https://www.usac.org/high-cost/resources/tools/</w:t>
        </w:r>
      </w:hyperlink>
      <w:r>
        <w:rPr>
          <w:snapToGrid w:val="0"/>
        </w:rPr>
        <w:t xml:space="preserve"> (ACAM, ACAM II and CAF BLS Buildout Requirements</w:t>
      </w:r>
      <w:r w:rsidR="002E5941">
        <w:rPr>
          <w:snapToGrid w:val="0"/>
        </w:rPr>
        <w:t>).</w:t>
      </w:r>
      <w:bookmarkStart w:id="3" w:name="_Hlk66875669"/>
      <w:r>
        <w:t xml:space="preserve">  </w:t>
      </w:r>
      <w:bookmarkEnd w:id="3"/>
    </w:p>
  </w:footnote>
  <w:footnote w:id="9">
    <w:p w:rsidR="00456CBE" w:rsidP="00456CBE" w14:paraId="13E7CBE3" w14:textId="77777777">
      <w:pPr>
        <w:autoSpaceDE w:val="0"/>
        <w:autoSpaceDN w:val="0"/>
        <w:adjustRightInd w:val="0"/>
        <w:rPr>
          <w:sz w:val="20"/>
        </w:rPr>
      </w:pPr>
      <w:r>
        <w:rPr>
          <w:rStyle w:val="FootnoteReference"/>
          <w:sz w:val="20"/>
        </w:rPr>
        <w:footnoteRef/>
      </w:r>
      <w:r>
        <w:rPr>
          <w:sz w:val="20"/>
        </w:rPr>
        <w:t xml:space="preserve"> </w:t>
      </w:r>
      <w:r w:rsidR="00E74F67">
        <w:rPr>
          <w:sz w:val="20"/>
        </w:rPr>
        <w:t xml:space="preserve">Application at 7.  </w:t>
      </w:r>
      <w:r>
        <w:rPr>
          <w:sz w:val="20"/>
        </w:rPr>
        <w:t>These states are Alabama, Arizona, Arkansas, Idaho, Illinois, Indiana, Iowa, Kansas, Louisiana,</w:t>
      </w:r>
    </w:p>
    <w:p w:rsidR="00456CBE" w:rsidP="00456CBE" w14:paraId="3E8578F7" w14:textId="77777777">
      <w:pPr>
        <w:autoSpaceDE w:val="0"/>
        <w:autoSpaceDN w:val="0"/>
        <w:adjustRightInd w:val="0"/>
        <w:rPr>
          <w:sz w:val="20"/>
        </w:rPr>
      </w:pPr>
      <w:r>
        <w:rPr>
          <w:sz w:val="20"/>
        </w:rPr>
        <w:t>Minnesota, Mississippi, Missouri, Nebraska, New Mexico, North Dakota, Oklahoma, Oregon, South Dakota,</w:t>
      </w:r>
    </w:p>
    <w:p w:rsidR="00456CBE" w:rsidP="00456CBE" w14:paraId="217E69BC" w14:textId="7FF840F6">
      <w:pPr>
        <w:pStyle w:val="FootnoteText"/>
      </w:pPr>
      <w:r>
        <w:t>Tennessee, Texas, and Washington.</w:t>
      </w:r>
      <w:r w:rsidR="00387EAB">
        <w:t xml:space="preserve">  </w:t>
      </w:r>
      <w:r w:rsidRPr="00B97BD5" w:rsidR="00DB6527">
        <w:rPr>
          <w:i/>
          <w:iCs/>
        </w:rPr>
        <w:t>Id.</w:t>
      </w:r>
      <w:r w:rsidRPr="009929EC" w:rsidR="00387EAB">
        <w:t xml:space="preserve"> </w:t>
      </w:r>
      <w:r w:rsidR="00387EAB">
        <w:t xml:space="preserve">at 7. </w:t>
      </w:r>
    </w:p>
  </w:footnote>
  <w:footnote w:id="10">
    <w:p w:rsidR="00A32C6E" w14:paraId="09AB0826" w14:textId="77777777">
      <w:pPr>
        <w:pStyle w:val="FootnoteText"/>
      </w:pPr>
      <w:r>
        <w:rPr>
          <w:rStyle w:val="FootnoteReference"/>
        </w:rPr>
        <w:footnoteRef/>
      </w:r>
      <w:r>
        <w:t xml:space="preserve"> </w:t>
      </w:r>
      <w:r w:rsidRPr="00C27664" w:rsidR="00C27664">
        <w:rPr>
          <w:i/>
          <w:iCs/>
        </w:rPr>
        <w:t>Id</w:t>
      </w:r>
      <w:r w:rsidR="00C27664">
        <w:t>.</w:t>
      </w:r>
      <w:r>
        <w:t xml:space="preserve"> at 11. </w:t>
      </w:r>
    </w:p>
  </w:footnote>
  <w:footnote w:id="11">
    <w:p w:rsidR="002557CC" w14:paraId="01644BC9" w14:textId="77777777">
      <w:pPr>
        <w:pStyle w:val="FootnoteText"/>
      </w:pPr>
      <w:r>
        <w:rPr>
          <w:rStyle w:val="FootnoteReference"/>
        </w:rPr>
        <w:footnoteRef/>
      </w:r>
      <w:r>
        <w:t xml:space="preserve"> </w:t>
      </w:r>
      <w:r w:rsidRPr="00183949" w:rsidR="00C27664">
        <w:rPr>
          <w:i/>
          <w:iCs/>
        </w:rPr>
        <w:t>Id.</w:t>
      </w:r>
      <w:r w:rsidR="00C27664">
        <w:t xml:space="preserve"> at </w:t>
      </w:r>
      <w:r w:rsidR="00183949">
        <w:t xml:space="preserve">7. </w:t>
      </w:r>
    </w:p>
  </w:footnote>
  <w:footnote w:id="12">
    <w:p w:rsidR="00183949" w14:paraId="7FBC1769" w14:textId="77777777">
      <w:pPr>
        <w:pStyle w:val="FootnoteText"/>
      </w:pPr>
      <w:r>
        <w:rPr>
          <w:rStyle w:val="FootnoteReference"/>
        </w:rPr>
        <w:footnoteRef/>
      </w:r>
      <w:r>
        <w:t xml:space="preserve"> </w:t>
      </w:r>
      <w:bookmarkStart w:id="4" w:name="_Hlk68687694"/>
      <w:r w:rsidRPr="003E5ACA" w:rsidR="003E5ACA">
        <w:rPr>
          <w:i/>
          <w:iCs/>
        </w:rPr>
        <w:t>Id.</w:t>
      </w:r>
      <w:r w:rsidR="003E5ACA">
        <w:t xml:space="preserve"> at 8.</w:t>
      </w:r>
      <w:bookmarkEnd w:id="4"/>
      <w:r w:rsidR="003E5ACA">
        <w:t xml:space="preserve"> </w:t>
      </w:r>
    </w:p>
  </w:footnote>
  <w:footnote w:id="13">
    <w:p w:rsidR="004D5869" w14:paraId="6DDB1C97" w14:textId="77777777">
      <w:pPr>
        <w:pStyle w:val="FootnoteText"/>
      </w:pPr>
      <w:r>
        <w:rPr>
          <w:rStyle w:val="FootnoteReference"/>
        </w:rPr>
        <w:footnoteRef/>
      </w:r>
      <w:r>
        <w:t xml:space="preserve"> </w:t>
      </w:r>
      <w:r w:rsidRPr="003E5ACA" w:rsidR="003E5ACA">
        <w:rPr>
          <w:i/>
          <w:iCs/>
        </w:rPr>
        <w:t>Id.</w:t>
      </w:r>
    </w:p>
  </w:footnote>
  <w:footnote w:id="14">
    <w:p w:rsidR="00353EAF" w14:paraId="09E4C592" w14:textId="77777777">
      <w:pPr>
        <w:pStyle w:val="FootnoteText"/>
      </w:pPr>
      <w:r>
        <w:rPr>
          <w:rStyle w:val="FootnoteReference"/>
        </w:rPr>
        <w:footnoteRef/>
      </w:r>
      <w:r>
        <w:t xml:space="preserve"> </w:t>
      </w:r>
      <w:r w:rsidRPr="002025E9" w:rsidR="008860DF">
        <w:rPr>
          <w:i/>
          <w:iCs/>
        </w:rPr>
        <w:t>Id.</w:t>
      </w:r>
      <w:r w:rsidR="008860DF">
        <w:t xml:space="preserve"> at 9.</w:t>
      </w:r>
    </w:p>
  </w:footnote>
  <w:footnote w:id="15">
    <w:p w:rsidR="002C5846" w:rsidRPr="00C2261D" w14:paraId="287C1721" w14:textId="77777777">
      <w:pPr>
        <w:pStyle w:val="FootnoteText"/>
        <w:rPr>
          <w:i/>
          <w:iCs/>
        </w:rPr>
      </w:pPr>
      <w:r>
        <w:rPr>
          <w:rStyle w:val="FootnoteReference"/>
        </w:rPr>
        <w:footnoteRef/>
      </w:r>
      <w:r>
        <w:t xml:space="preserve"> </w:t>
      </w:r>
      <w:r w:rsidRPr="00C2261D" w:rsidR="00C2261D">
        <w:rPr>
          <w:i/>
          <w:iCs/>
        </w:rPr>
        <w:t>Id.</w:t>
      </w:r>
    </w:p>
  </w:footnote>
  <w:footnote w:id="16">
    <w:p w:rsidR="0006453A" w14:paraId="3B902375" w14:textId="77777777">
      <w:pPr>
        <w:pStyle w:val="FootnoteText"/>
      </w:pPr>
      <w:r>
        <w:rPr>
          <w:rStyle w:val="FootnoteReference"/>
        </w:rPr>
        <w:footnoteRef/>
      </w:r>
      <w:r>
        <w:t xml:space="preserve"> </w:t>
      </w:r>
      <w:r w:rsidRPr="00BC76BB" w:rsidR="00BC76BB">
        <w:rPr>
          <w:i/>
          <w:iCs/>
        </w:rPr>
        <w:t>Id.</w:t>
      </w:r>
    </w:p>
  </w:footnote>
  <w:footnote w:id="17">
    <w:p w:rsidR="00456CBE" w:rsidP="00456CBE" w14:paraId="23AD0A82" w14:textId="5DECF5FA">
      <w:pPr>
        <w:pStyle w:val="FootnoteText"/>
      </w:pPr>
      <w:r>
        <w:rPr>
          <w:rStyle w:val="FootnoteReference"/>
          <w:sz w:val="20"/>
        </w:rPr>
        <w:footnoteRef/>
      </w:r>
      <w:r>
        <w:t xml:space="preserve"> </w:t>
      </w:r>
      <w:r w:rsidR="00CE3C68">
        <w:rPr>
          <w:i/>
          <w:iCs/>
        </w:rPr>
        <w:t>Id</w:t>
      </w:r>
      <w:r w:rsidR="00CE3C68">
        <w:t xml:space="preserve">. at 16.  </w:t>
      </w:r>
      <w:r w:rsidR="00CD2FA0">
        <w:t xml:space="preserve">T. Rowe is a subsidiary of T. Rowe Price Group Inc. (TROW).  </w:t>
      </w:r>
      <w:r w:rsidR="00CD2FA0">
        <w:rPr>
          <w:i/>
          <w:iCs/>
        </w:rPr>
        <w:t>Id</w:t>
      </w:r>
      <w:r w:rsidR="00CD2FA0">
        <w:t>.</w:t>
      </w:r>
      <w:r w:rsidR="00CE3C68">
        <w:t xml:space="preserve"> </w:t>
      </w:r>
      <w:r w:rsidR="00CD2FA0">
        <w:t xml:space="preserve"> </w:t>
      </w:r>
      <w:r>
        <w:t xml:space="preserve">According to Applicants, “aside from normal-course rights as a beneficial holder of Cable One’s common stock, neither T. Rowe nor TROW hold any additional rights to participate in the management or operation of Cable One.  Neither T. Rowe nor TROW have the power to individually elect or block the election of any officer or director of Cable One, and do not have any control over or involvement in the day-to-day operations or management of the businesses of Cable One and its subsidiaries.”  Applicants’ </w:t>
      </w:r>
      <w:r w:rsidR="00B334D7">
        <w:t xml:space="preserve">March 10 </w:t>
      </w:r>
      <w:r>
        <w:t xml:space="preserve">Supplement Letter at 2. </w:t>
      </w:r>
    </w:p>
  </w:footnote>
  <w:footnote w:id="18">
    <w:p w:rsidR="00456CBE" w:rsidP="00456CBE" w14:paraId="4078F03F" w14:textId="77777777">
      <w:pPr>
        <w:pStyle w:val="FootnoteText"/>
      </w:pPr>
      <w:r>
        <w:rPr>
          <w:rStyle w:val="FootnoteReference"/>
          <w:sz w:val="20"/>
        </w:rPr>
        <w:footnoteRef/>
      </w:r>
      <w:r>
        <w:t xml:space="preserve"> </w:t>
      </w:r>
      <w:r w:rsidR="00CD2FA0">
        <w:t xml:space="preserve">Application at 16.  </w:t>
      </w:r>
      <w:r>
        <w:t xml:space="preserve">According to Applicants, “aside from normal-course rights as a beneficial holder of Cable One’s common stock, BlackRock does not hold any additional rights to participate in the management or operation of Cable One.  BlackRock does not have the power to individually elect or block the election of any officer or director of Cable One, and does not have any control over or involvement in the day-to-day operations or management of the businesses of Cable One and its subsidiaries.”  </w:t>
      </w:r>
      <w:r>
        <w:rPr>
          <w:i/>
          <w:iCs/>
        </w:rPr>
        <w:t>Id</w:t>
      </w:r>
      <w:r>
        <w:t>.</w:t>
      </w:r>
      <w:r w:rsidR="00334D34">
        <w:t xml:space="preserve">; </w:t>
      </w:r>
      <w:r w:rsidRPr="00132378" w:rsidR="00334D34">
        <w:rPr>
          <w:i/>
          <w:iCs/>
        </w:rPr>
        <w:t>see</w:t>
      </w:r>
      <w:r w:rsidR="00334D34">
        <w:t xml:space="preserve"> Applicants’ April 9 Supplement Letter at 1-2</w:t>
      </w:r>
      <w:r>
        <w:t>.</w:t>
      </w:r>
    </w:p>
  </w:footnote>
  <w:footnote w:id="19">
    <w:p w:rsidR="00396E41" w14:paraId="7AA5849D" w14:textId="77777777">
      <w:pPr>
        <w:pStyle w:val="FootnoteText"/>
      </w:pPr>
      <w:r>
        <w:rPr>
          <w:rStyle w:val="FootnoteReference"/>
        </w:rPr>
        <w:footnoteRef/>
      </w:r>
      <w:r>
        <w:t xml:space="preserve"> </w:t>
      </w:r>
      <w:r w:rsidR="00BF4EC4">
        <w:t xml:space="preserve">Application </w:t>
      </w:r>
      <w:r w:rsidR="00DB5AC1">
        <w:t>at 15-17</w:t>
      </w:r>
      <w:r w:rsidR="00BF4EC4">
        <w:t>.</w:t>
      </w:r>
    </w:p>
  </w:footnote>
  <w:footnote w:id="20">
    <w:p w:rsidR="00C43525" w14:paraId="3ADD722C" w14:textId="77777777">
      <w:pPr>
        <w:pStyle w:val="FootnoteText"/>
      </w:pPr>
      <w:r>
        <w:rPr>
          <w:rStyle w:val="FootnoteReference"/>
        </w:rPr>
        <w:footnoteRef/>
      </w:r>
      <w:r>
        <w:t xml:space="preserve"> </w:t>
      </w:r>
      <w:r w:rsidR="001A312A">
        <w:rPr>
          <w:i/>
          <w:iCs/>
        </w:rPr>
        <w:t>Id</w:t>
      </w:r>
      <w:r w:rsidR="001A312A">
        <w:t>.</w:t>
      </w:r>
      <w:r>
        <w:t xml:space="preserve"> at 8.</w:t>
      </w:r>
    </w:p>
  </w:footnote>
  <w:footnote w:id="21">
    <w:p w:rsidR="00FC7C2A" w14:paraId="5C71D4A1" w14:textId="77777777">
      <w:pPr>
        <w:pStyle w:val="FootnoteText"/>
      </w:pPr>
      <w:r>
        <w:rPr>
          <w:rStyle w:val="FootnoteReference"/>
        </w:rPr>
        <w:footnoteRef/>
      </w:r>
      <w:r>
        <w:t xml:space="preserve"> </w:t>
      </w:r>
      <w:r w:rsidRPr="00FC7C2A">
        <w:rPr>
          <w:i/>
          <w:iCs/>
        </w:rPr>
        <w:t>Id.</w:t>
      </w:r>
      <w:r w:rsidR="00792664">
        <w:rPr>
          <w:i/>
          <w:iCs/>
        </w:rPr>
        <w:t xml:space="preserve"> </w:t>
      </w:r>
      <w:r>
        <w:t>at 11.</w:t>
      </w:r>
    </w:p>
  </w:footnote>
  <w:footnote w:id="22">
    <w:p w:rsidR="00FC7C2A" w14:paraId="15F70BBE" w14:textId="77777777">
      <w:pPr>
        <w:pStyle w:val="FootnoteText"/>
      </w:pPr>
      <w:r>
        <w:rPr>
          <w:rStyle w:val="FootnoteReference"/>
        </w:rPr>
        <w:footnoteRef/>
      </w:r>
      <w:r>
        <w:t xml:space="preserve"> </w:t>
      </w:r>
      <w:bookmarkStart w:id="5" w:name="_Hlk70681818"/>
      <w:r w:rsidRPr="00FC7C2A">
        <w:rPr>
          <w:i/>
          <w:iCs/>
        </w:rPr>
        <w:t>Id</w:t>
      </w:r>
      <w:r>
        <w:t>.</w:t>
      </w:r>
      <w:bookmarkEnd w:id="5"/>
    </w:p>
  </w:footnote>
  <w:footnote w:id="23">
    <w:p w:rsidR="002B54FB" w:rsidP="002B54FB" w14:paraId="418A370A" w14:textId="32E63B92">
      <w:pPr>
        <w:pStyle w:val="FootnoteText"/>
      </w:pPr>
      <w:r>
        <w:rPr>
          <w:rStyle w:val="FootnoteReference"/>
        </w:rPr>
        <w:footnoteRef/>
      </w:r>
      <w:r>
        <w:t xml:space="preserve"> </w:t>
      </w:r>
      <w:r w:rsidR="00CE3C68">
        <w:rPr>
          <w:i/>
          <w:iCs/>
        </w:rPr>
        <w:t xml:space="preserve">See </w:t>
      </w:r>
      <w:r w:rsidRPr="00265992" w:rsidR="001073A5">
        <w:rPr>
          <w:i/>
        </w:rPr>
        <w:t>Hargray/ComSouth Order</w:t>
      </w:r>
      <w:r w:rsidRPr="00265992" w:rsidR="001073A5">
        <w:t xml:space="preserve">, </w:t>
      </w:r>
      <w:r w:rsidR="001073A5">
        <w:t>33 FCC Rcd  at 4785-86, para. 20.</w:t>
      </w:r>
    </w:p>
  </w:footnote>
  <w:footnote w:id="24">
    <w:p w:rsidR="008C1DAA" w14:paraId="6E6E4B41" w14:textId="762EE91D">
      <w:pPr>
        <w:pStyle w:val="FootnoteText"/>
      </w:pPr>
      <w:r>
        <w:rPr>
          <w:rStyle w:val="FootnoteReference"/>
        </w:rPr>
        <w:footnoteRef/>
      </w:r>
      <w:r>
        <w:t xml:space="preserve"> </w:t>
      </w:r>
      <w:r w:rsidRPr="001073A5" w:rsidR="001073A5">
        <w:rPr>
          <w:i/>
          <w:iCs/>
        </w:rPr>
        <w:t xml:space="preserve"> </w:t>
      </w:r>
      <w:r w:rsidRPr="00FC7C2A" w:rsidR="001073A5">
        <w:rPr>
          <w:i/>
          <w:iCs/>
        </w:rPr>
        <w:t>Id</w:t>
      </w:r>
      <w:r w:rsidR="001073A5">
        <w:t>.</w:t>
      </w:r>
    </w:p>
  </w:footnote>
  <w:footnote w:id="25">
    <w:p w:rsidR="00532BEA" w14:paraId="1849E78A" w14:textId="77777777">
      <w:pPr>
        <w:pStyle w:val="FootnoteText"/>
      </w:pPr>
      <w:r>
        <w:rPr>
          <w:rStyle w:val="FootnoteReference"/>
        </w:rPr>
        <w:footnoteRef/>
      </w:r>
      <w:r>
        <w:t xml:space="preserve"> </w:t>
      </w:r>
      <w:r w:rsidRPr="001A312A" w:rsidR="008C1DAA">
        <w:rPr>
          <w:i/>
          <w:iCs/>
        </w:rPr>
        <w:t>Id</w:t>
      </w:r>
      <w:r w:rsidR="001A312A">
        <w:t>.</w:t>
      </w:r>
      <w:r w:rsidR="008C1DAA">
        <w:t xml:space="preserve"> at 4785-88, paras. 20-25.  </w:t>
      </w:r>
    </w:p>
  </w:footnote>
  <w:footnote w:id="26">
    <w:p w:rsidR="002610EC" w:rsidRPr="002610EC" w:rsidP="00EC68BF" w14:paraId="66445466" w14:textId="129EF6B2">
      <w:pPr>
        <w:pStyle w:val="FootnoteText"/>
      </w:pPr>
      <w:r>
        <w:rPr>
          <w:rStyle w:val="FootnoteReference"/>
        </w:rPr>
        <w:footnoteRef/>
      </w:r>
      <w:r>
        <w:t xml:space="preserve"> </w:t>
      </w:r>
      <w:r w:rsidRPr="00EC68BF" w:rsidR="00792664">
        <w:rPr>
          <w:i/>
          <w:iCs/>
        </w:rPr>
        <w:t>Id</w:t>
      </w:r>
      <w:r w:rsidRPr="00EC68BF" w:rsidR="00792664">
        <w:t>.</w:t>
      </w:r>
      <w:r w:rsidRPr="00EC68BF">
        <w:t xml:space="preserve"> at 4788-89, para. 27.  </w:t>
      </w:r>
      <w:r w:rsidRPr="00EC68BF" w:rsidR="00EC68BF">
        <w:rPr>
          <w:snapToGrid w:val="0"/>
        </w:rPr>
        <w:t xml:space="preserve">The Commission defined “combined operating expense”  for </w:t>
      </w:r>
      <w:r w:rsidR="00DB6527">
        <w:rPr>
          <w:snapToGrid w:val="0"/>
        </w:rPr>
        <w:t xml:space="preserve">the </w:t>
      </w:r>
      <w:r w:rsidRPr="00EC68BF" w:rsidR="00EC68BF">
        <w:t>purposes of the cap as including “maintenance, network support/network operations/general, benefits, rent expenses, and corporate operations, while depreciation, return on investment, and taxes shall be excluded.”   </w:t>
      </w:r>
      <w:r w:rsidRPr="00EC68BF" w:rsidR="00EC68BF">
        <w:rPr>
          <w:i/>
          <w:iCs/>
        </w:rPr>
        <w:t>Id</w:t>
      </w:r>
      <w:r w:rsidRPr="00EC68BF" w:rsidR="00EC68BF">
        <w:t xml:space="preserve">. at 4789, para. 28.  </w:t>
      </w:r>
      <w:r w:rsidRPr="00EC68BF">
        <w:t xml:space="preserve">The Commission </w:t>
      </w:r>
      <w:r w:rsidRPr="00EC68BF" w:rsidR="00EC68BF">
        <w:t xml:space="preserve">also </w:t>
      </w:r>
      <w:r w:rsidRPr="00EC68BF">
        <w:t>explained that the cap would apply to cost recovery under both High-Cost Loop Support (HCLS) and Connect America Fund Broadband Loop Support (CAF-BLS) and would be applied proportionately to each subsidiary’s accounts used to determine a carrier’s eligible operating expense for HCLS and CAF-BLS</w:t>
      </w:r>
      <w:r w:rsidRPr="00EC68BF" w:rsidR="00F67726">
        <w:t>,</w:t>
      </w:r>
      <w:r w:rsidRPr="00EC68BF">
        <w:t xml:space="preserve"> and </w:t>
      </w:r>
      <w:r w:rsidRPr="00EC68BF" w:rsidR="00F67726">
        <w:t xml:space="preserve">further </w:t>
      </w:r>
      <w:r w:rsidRPr="00EC68BF">
        <w:t>direct</w:t>
      </w:r>
      <w:r w:rsidRPr="00EC68BF" w:rsidR="00F67726">
        <w:t>ed</w:t>
      </w:r>
      <w:r w:rsidRPr="00EC68BF">
        <w:t xml:space="preserve"> Hargray to submit relevant cost data in accordance with the terms of the </w:t>
      </w:r>
      <w:r w:rsidRPr="00EC68BF">
        <w:rPr>
          <w:i/>
          <w:iCs/>
        </w:rPr>
        <w:t>Hargray/ComSouth Order</w:t>
      </w:r>
      <w:r w:rsidRPr="00EC68BF">
        <w:t xml:space="preserve">.  </w:t>
      </w:r>
      <w:r w:rsidRPr="00EC68BF">
        <w:rPr>
          <w:i/>
          <w:iCs/>
        </w:rPr>
        <w:t>Id</w:t>
      </w:r>
      <w:r w:rsidRPr="00EC68BF">
        <w:t>. at 4789</w:t>
      </w:r>
      <w:r w:rsidRPr="00EC68BF" w:rsidR="008C1DAA">
        <w:t>-90</w:t>
      </w:r>
      <w:r w:rsidRPr="00EC68BF">
        <w:t>, para</w:t>
      </w:r>
      <w:r w:rsidRPr="00EC68BF" w:rsidR="008C1DAA">
        <w:t>s</w:t>
      </w:r>
      <w:r w:rsidRPr="00EC68BF">
        <w:t>. 28</w:t>
      </w:r>
      <w:r w:rsidRPr="00EC68BF" w:rsidR="008C1DAA">
        <w:t>-31</w:t>
      </w:r>
      <w:r w:rsidRPr="00EC68BF">
        <w:t xml:space="preserve">. </w:t>
      </w:r>
      <w:r>
        <w:t xml:space="preserve"> </w:t>
      </w:r>
    </w:p>
  </w:footnote>
  <w:footnote w:id="27">
    <w:p w:rsidR="008C1DAA" w:rsidRPr="008C1DAA" w14:paraId="6666C0E4" w14:textId="77777777">
      <w:pPr>
        <w:pStyle w:val="FootnoteText"/>
      </w:pPr>
      <w:r>
        <w:rPr>
          <w:rStyle w:val="FootnoteReference"/>
        </w:rPr>
        <w:footnoteRef/>
      </w:r>
      <w:r>
        <w:t xml:space="preserve"> </w:t>
      </w:r>
      <w:r>
        <w:rPr>
          <w:i/>
          <w:iCs/>
        </w:rPr>
        <w:t>Id</w:t>
      </w:r>
      <w:r>
        <w:t>.</w:t>
      </w:r>
      <w:r w:rsidR="001A312A">
        <w:t xml:space="preserve"> </w:t>
      </w:r>
      <w:r>
        <w:t>at 4789-90, para. 29 and n.74.</w:t>
      </w:r>
    </w:p>
  </w:footnote>
  <w:footnote w:id="28">
    <w:p w:rsidR="005B5B7B" w:rsidRPr="00A029B6" w14:paraId="7CF12FBB" w14:textId="51EE6C36">
      <w:pPr>
        <w:pStyle w:val="FootnoteText"/>
      </w:pPr>
      <w:bookmarkStart w:id="6" w:name="_Hlk70506362"/>
      <w:r w:rsidRPr="000B5082">
        <w:rPr>
          <w:rStyle w:val="FootnoteReference"/>
          <w:sz w:val="20"/>
        </w:rPr>
        <w:footnoteRef/>
      </w:r>
      <w:r w:rsidRPr="000B5082">
        <w:t xml:space="preserve"> </w:t>
      </w:r>
      <w:r w:rsidRPr="000B5082" w:rsidR="000C5DEF">
        <w:rPr>
          <w:i/>
          <w:iCs/>
        </w:rPr>
        <w:t>Id.</w:t>
      </w:r>
      <w:r w:rsidRPr="000B5082" w:rsidR="00E4245C">
        <w:t xml:space="preserve"> at</w:t>
      </w:r>
      <w:r w:rsidRPr="000B5082">
        <w:t xml:space="preserve"> 4789, n.72</w:t>
      </w:r>
      <w:r w:rsidRPr="000B5082" w:rsidR="002A11B4">
        <w:t xml:space="preserve">.  </w:t>
      </w:r>
      <w:r w:rsidR="00F243B7">
        <w:t xml:space="preserve">While BlackRock will hold </w:t>
      </w:r>
      <w:r w:rsidR="00040D06">
        <w:t xml:space="preserve">an indirect minority </w:t>
      </w:r>
      <w:r w:rsidR="00F243B7">
        <w:t xml:space="preserve">ownership interest in the Licensee companies post-transaction, </w:t>
      </w:r>
      <w:r w:rsidR="00B5389B">
        <w:t xml:space="preserve">neither </w:t>
      </w:r>
      <w:r w:rsidRPr="000B5082" w:rsidR="00506C61">
        <w:t xml:space="preserve">BlackRock </w:t>
      </w:r>
      <w:r w:rsidR="00B5389B">
        <w:t xml:space="preserve">nor the entities in which it has an ownership interest </w:t>
      </w:r>
      <w:r w:rsidRPr="000B5082" w:rsidR="00230331">
        <w:t>w</w:t>
      </w:r>
      <w:r w:rsidRPr="000B5082" w:rsidR="00BA7043">
        <w:t xml:space="preserve">ill have </w:t>
      </w:r>
      <w:r w:rsidR="000D7CAA">
        <w:t xml:space="preserve">any </w:t>
      </w:r>
      <w:r w:rsidRPr="000B5082" w:rsidR="00660386">
        <w:t xml:space="preserve">control </w:t>
      </w:r>
      <w:r w:rsidR="00040D06">
        <w:t>over, or ability to influence the operations or management of Cable</w:t>
      </w:r>
      <w:r w:rsidR="0068023C">
        <w:t xml:space="preserve"> </w:t>
      </w:r>
      <w:r w:rsidR="00040D06">
        <w:t>One or its affiliate Licensee companies</w:t>
      </w:r>
      <w:r w:rsidR="005D092D">
        <w:t xml:space="preserve">. </w:t>
      </w:r>
      <w:r w:rsidR="00694196">
        <w:t xml:space="preserve"> </w:t>
      </w:r>
      <w:r w:rsidRPr="000B5082" w:rsidR="00C27EA3">
        <w:t xml:space="preserve">Applicants’ April </w:t>
      </w:r>
      <w:r w:rsidRPr="000B5082" w:rsidR="00BE1AA3">
        <w:t>9</w:t>
      </w:r>
      <w:r w:rsidRPr="000B5082" w:rsidR="00C27EA3">
        <w:t xml:space="preserve"> Supplement Letter</w:t>
      </w:r>
      <w:r w:rsidRPr="000B5082" w:rsidR="00C850D8">
        <w:t xml:space="preserve"> </w:t>
      </w:r>
      <w:r w:rsidRPr="000B5082" w:rsidR="000C43BA">
        <w:t>at 1-3</w:t>
      </w:r>
      <w:r w:rsidRPr="000B5082" w:rsidR="00467C77">
        <w:t xml:space="preserve">.  </w:t>
      </w:r>
      <w:r w:rsidR="000D7CAA">
        <w:t>As a result</w:t>
      </w:r>
      <w:r w:rsidRPr="000B5082" w:rsidR="00E21870">
        <w:t>,</w:t>
      </w:r>
      <w:r w:rsidRPr="000B5082" w:rsidR="007C179B">
        <w:t xml:space="preserve"> there </w:t>
      </w:r>
      <w:r w:rsidR="000D7CAA">
        <w:t xml:space="preserve">is no </w:t>
      </w:r>
      <w:r w:rsidR="00C7218A">
        <w:t>cost shifting</w:t>
      </w:r>
      <w:r w:rsidR="004004AF">
        <w:t xml:space="preserve"> risk</w:t>
      </w:r>
      <w:r w:rsidRPr="000B5082" w:rsidR="00471CE2">
        <w:t>,</w:t>
      </w:r>
      <w:r w:rsidRPr="000B5082" w:rsidR="005357B8">
        <w:t xml:space="preserve"> and </w:t>
      </w:r>
      <w:r w:rsidRPr="000B5082" w:rsidR="00471CE2">
        <w:t xml:space="preserve">thus </w:t>
      </w:r>
      <w:r w:rsidRPr="000B5082" w:rsidR="00052C36">
        <w:t xml:space="preserve">we </w:t>
      </w:r>
      <w:r w:rsidR="005D092D">
        <w:t xml:space="preserve">do not find it </w:t>
      </w:r>
      <w:r w:rsidR="00AD3257">
        <w:t xml:space="preserve">“necessary” to extend the condition </w:t>
      </w:r>
      <w:r w:rsidRPr="000B5082" w:rsidR="00AD3257">
        <w:t xml:space="preserve">to </w:t>
      </w:r>
      <w:r w:rsidR="000D7CAA">
        <w:t xml:space="preserve">BlackRock or the </w:t>
      </w:r>
      <w:r w:rsidR="004004AF">
        <w:t xml:space="preserve">BlackRock-owned </w:t>
      </w:r>
      <w:r w:rsidRPr="000B5082" w:rsidR="00AD3257">
        <w:t>entities</w:t>
      </w:r>
      <w:r w:rsidR="00AD3257">
        <w:t xml:space="preserve"> to “prevent a potential public interest harm</w:t>
      </w:r>
      <w:r w:rsidRPr="7AC21DFE" w:rsidR="00AD3257">
        <w:t>.</w:t>
      </w:r>
      <w:r w:rsidR="00AD3257">
        <w:t>”</w:t>
      </w:r>
      <w:r w:rsidR="00AD3257">
        <w:rPr>
          <w:vertAlign w:val="superscript"/>
        </w:rPr>
        <w:t xml:space="preserve">  </w:t>
      </w:r>
      <w:r w:rsidR="00AD3257">
        <w:rPr>
          <w:i/>
        </w:rPr>
        <w:t xml:space="preserve">  Hargray/ComSouth Order</w:t>
      </w:r>
      <w:r w:rsidR="00AD3257">
        <w:rPr>
          <w:iCs/>
        </w:rPr>
        <w:t>, 33 FCC Rcd</w:t>
      </w:r>
      <w:r w:rsidRPr="00F46420" w:rsidR="00AD3257">
        <w:t xml:space="preserve"> at 4789, para. 27, n.72</w:t>
      </w:r>
      <w:r w:rsidR="00AD3257">
        <w:t xml:space="preserve">.  </w:t>
      </w:r>
    </w:p>
    <w:bookmarkEnd w:id="6"/>
  </w:footnote>
  <w:footnote w:id="29">
    <w:p w:rsidR="00475AE7" w:rsidP="002D7CCE" w14:paraId="4A6C9FC5" w14:textId="77777777">
      <w:pPr>
        <w:pStyle w:val="FootnoteText"/>
      </w:pPr>
      <w:r>
        <w:rPr>
          <w:rStyle w:val="FootnoteReference"/>
        </w:rPr>
        <w:footnoteRef/>
      </w:r>
      <w:r>
        <w:t xml:space="preserve"> </w:t>
      </w:r>
      <w:r w:rsidRPr="008271E2">
        <w:rPr>
          <w:i/>
          <w:iCs/>
        </w:rPr>
        <w:t>See</w:t>
      </w:r>
      <w:r>
        <w:t xml:space="preserve"> 47 U.S.C. § 214(a); 47 CFR § 63.03.</w:t>
      </w:r>
    </w:p>
  </w:footnote>
  <w:footnote w:id="30">
    <w:p w:rsidR="00F243B7" w:rsidRPr="00931CEB" w:rsidP="00F243B7" w14:paraId="443A336A" w14:textId="0E1FF294">
      <w:pPr>
        <w:pStyle w:val="FootnoteText"/>
        <w:rPr>
          <w:color w:val="000000"/>
        </w:rPr>
      </w:pPr>
      <w:r>
        <w:rPr>
          <w:rStyle w:val="FootnoteReference"/>
        </w:rPr>
        <w:footnoteRef/>
      </w:r>
      <w:r>
        <w:t xml:space="preserve"> </w:t>
      </w:r>
      <w:r w:rsidRPr="00C0633C">
        <w:t xml:space="preserve"> </w:t>
      </w:r>
      <w:r>
        <w:t xml:space="preserve">To ensure consistency, the cap would apply to the combined operating expenses of Hargray’s and Cable One’s existing rate-of-return subsidiaries and any rate-of-return subsidiaries that Cable One may acquire during the time in which the condition is in effect.  </w:t>
      </w:r>
      <w:r w:rsidRPr="003F0EF2">
        <w:rPr>
          <w:i/>
          <w:iCs/>
        </w:rPr>
        <w:t>Hargray/ComSouth Order</w:t>
      </w:r>
      <w:r>
        <w:t xml:space="preserve">, 33 FCC Rcd at 4789, n.74.  Applicants have acknowledged the continuing applicability of the mixed support condition.  Application at n.11 (“This condition must remain in place for seven (7) years from consummation of that transaction (which occurred May 16, 2018).  Thus, the instant Transaction will not affect the conditions under which ComSouth, HTC, and BTC currently receive high-cost universal service support.”); Applicants’ April 9 Supplement Letter at 1-2 (“The [mixed support condition] applies to the two rate-of-return [incumbent] LECs owned by Hargray (HTC and BTC) until 2025, and will continue to apply after consummation of the Transaction.”). </w:t>
      </w:r>
    </w:p>
  </w:footnote>
  <w:footnote w:id="31">
    <w:p w:rsidR="005A445D" w:rsidRPr="00DC56D1" w:rsidP="005A445D" w14:paraId="07D3441A" w14:textId="614D0A42">
      <w:pPr>
        <w:pStyle w:val="FootnoteText"/>
        <w:rPr>
          <w:color w:val="000000" w:themeColor="text1"/>
        </w:rPr>
      </w:pPr>
      <w:r w:rsidRPr="00F4366C">
        <w:rPr>
          <w:rStyle w:val="FootnoteReference"/>
          <w:sz w:val="20"/>
        </w:rPr>
        <w:footnoteRef/>
      </w:r>
      <w:r w:rsidRPr="00F4366C">
        <w:t xml:space="preserve"> </w:t>
      </w:r>
      <w:r w:rsidRPr="00DC56D1">
        <w:rPr>
          <w:snapToGrid w:val="0"/>
          <w:color w:val="000000" w:themeColor="text1"/>
          <w:kern w:val="28"/>
        </w:rPr>
        <w:t>The</w:t>
      </w:r>
      <w:r w:rsidRPr="00DC56D1">
        <w:rPr>
          <w:color w:val="000000" w:themeColor="text1"/>
        </w:rPr>
        <w:t xml:space="preserve"> Applicants provide incumbent LEC services in their respective study areas.  Within 30 days of closing the proposed transactions, they must notify USAC so that it can make any appropriate changes to the </w:t>
      </w:r>
      <w:r w:rsidRPr="00DC56D1" w:rsidR="00872701">
        <w:rPr>
          <w:color w:val="000000" w:themeColor="text1"/>
        </w:rPr>
        <w:t>High Cost</w:t>
      </w:r>
      <w:r w:rsidRPr="00DC56D1">
        <w:rPr>
          <w:color w:val="000000" w:themeColor="text1"/>
        </w:rPr>
        <w:t xml:space="preserve"> Universal Broadband (HUBB) on-line location reporting portal for universal service recipients.</w:t>
      </w:r>
      <w:r w:rsidRPr="00DC56D1" w:rsidR="0013301F">
        <w:rPr>
          <w:color w:val="000000" w:themeColor="text1"/>
        </w:rPr>
        <w:t xml:space="preserve">  In addition, w</w:t>
      </w:r>
      <w:r w:rsidRPr="00DC56D1" w:rsidR="0013301F">
        <w:rPr>
          <w:snapToGrid w:val="0"/>
          <w:color w:val="000000" w:themeColor="text1"/>
          <w:kern w:val="28"/>
          <w:shd w:val="clear" w:color="auto" w:fill="FFFFFF"/>
        </w:rPr>
        <w:t>e direct Applicants to submit in the domestic </w:t>
      </w:r>
      <w:r w:rsidRPr="00DC56D1" w:rsidR="0013301F">
        <w:rPr>
          <w:snapToGrid w:val="0"/>
          <w:color w:val="000000" w:themeColor="text1"/>
          <w:kern w:val="28"/>
          <w:bdr w:val="none" w:sz="0" w:space="0" w:color="auto" w:frame="1"/>
          <w:shd w:val="clear" w:color="auto" w:fill="FFFFFF"/>
        </w:rPr>
        <w:t>section 214</w:t>
      </w:r>
      <w:r w:rsidRPr="00DC56D1" w:rsidR="0013301F">
        <w:rPr>
          <w:snapToGrid w:val="0"/>
          <w:color w:val="000000" w:themeColor="text1"/>
          <w:kern w:val="28"/>
          <w:shd w:val="clear" w:color="auto" w:fill="FFFFFF"/>
        </w:rPr>
        <w:t> docket a notice that the proposed transaction has closed with the consummation date</w:t>
      </w:r>
      <w:r w:rsidRPr="00DC56D1" w:rsidR="005B3EC2">
        <w:rPr>
          <w:snapToGrid w:val="0"/>
          <w:color w:val="000000" w:themeColor="text1"/>
          <w:kern w:val="28"/>
          <w:shd w:val="clear" w:color="auto" w:fill="FFFFFF"/>
        </w:rPr>
        <w:t>,</w:t>
      </w:r>
      <w:r w:rsidRPr="00DC56D1" w:rsidR="0013301F">
        <w:rPr>
          <w:snapToGrid w:val="0"/>
          <w:color w:val="000000" w:themeColor="text1"/>
          <w:kern w:val="28"/>
          <w:shd w:val="clear" w:color="auto" w:fill="FFFFFF"/>
        </w:rPr>
        <w:t xml:space="preserve"> and also provide a courtesy copy of the notice to </w:t>
      </w:r>
      <w:r w:rsidRPr="00DC56D1" w:rsidR="00432569">
        <w:rPr>
          <w:snapToGrid w:val="0"/>
          <w:color w:val="000000" w:themeColor="text1"/>
          <w:kern w:val="28"/>
          <w:shd w:val="clear" w:color="auto" w:fill="FFFFFF"/>
        </w:rPr>
        <w:t>hcinfo@usac.org</w:t>
      </w:r>
      <w:r w:rsidRPr="00DC56D1" w:rsidR="0013301F">
        <w:rPr>
          <w:snapToGrid w:val="0"/>
          <w:color w:val="000000" w:themeColor="text1"/>
          <w:kern w:val="2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4F09833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799019CA" w14:textId="3813942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3E9445A9" w14:textId="77777777">
                    <w:pPr>
                      <w:rPr>
                        <w:rFonts w:ascii="Arial" w:hAnsi="Arial"/>
                        <w:b/>
                      </w:rPr>
                    </w:pPr>
                    <w:r>
                      <w:rPr>
                        <w:rFonts w:ascii="Arial" w:hAnsi="Arial"/>
                        <w:b/>
                      </w:rPr>
                      <w:t>Federal Communications Commission</w:t>
                    </w:r>
                  </w:p>
                  <w:p w:rsidR="00475AE7" w:rsidP="009838BC" w14:paraId="5941365D" w14:textId="77777777">
                    <w:pPr>
                      <w:rPr>
                        <w:rFonts w:ascii="Arial" w:hAnsi="Arial"/>
                        <w:b/>
                      </w:rPr>
                    </w:pPr>
                    <w:r>
                      <w:rPr>
                        <w:rFonts w:ascii="Arial" w:hAnsi="Arial"/>
                        <w:b/>
                      </w:rPr>
                      <w:t>45 L St., N.E.</w:t>
                    </w:r>
                  </w:p>
                  <w:p w:rsidR="00475AE7" w:rsidP="009838BC" w14:paraId="35CF830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283A5006" w14:textId="305C962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4E396D7B" w14:textId="77777777">
                    <w:pPr>
                      <w:spacing w:before="40"/>
                      <w:jc w:val="right"/>
                      <w:rPr>
                        <w:rFonts w:ascii="Arial" w:hAnsi="Arial"/>
                        <w:b/>
                        <w:sz w:val="16"/>
                      </w:rPr>
                    </w:pPr>
                    <w:r>
                      <w:rPr>
                        <w:rFonts w:ascii="Arial" w:hAnsi="Arial"/>
                        <w:b/>
                        <w:sz w:val="16"/>
                      </w:rPr>
                      <w:t>News Media Information 202 / 418-0500</w:t>
                    </w:r>
                  </w:p>
                  <w:p w:rsidR="00475AE7" w:rsidP="009838BC" w14:paraId="0C29EC04"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475AE7" w:rsidP="009838BC" w14:paraId="3F50113F" w14:textId="77777777">
                    <w:pPr>
                      <w:jc w:val="right"/>
                    </w:pPr>
                  </w:p>
                </w:txbxContent>
              </v:textbox>
            </v:shape>
          </w:pict>
        </mc:Fallback>
      </mc:AlternateContent>
    </w:r>
  </w:p>
  <w:p w:rsidR="00475AE7" w:rsidRPr="009838BC" w:rsidP="009838BC" w14:paraId="601CB0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5C82"/>
    <w:rsid w:val="000072CE"/>
    <w:rsid w:val="000109B1"/>
    <w:rsid w:val="00011ED7"/>
    <w:rsid w:val="00013A8B"/>
    <w:rsid w:val="000157A9"/>
    <w:rsid w:val="00016BF1"/>
    <w:rsid w:val="00021252"/>
    <w:rsid w:val="00021445"/>
    <w:rsid w:val="00023E9D"/>
    <w:rsid w:val="0002579D"/>
    <w:rsid w:val="000326B7"/>
    <w:rsid w:val="00036039"/>
    <w:rsid w:val="00037F90"/>
    <w:rsid w:val="00040D06"/>
    <w:rsid w:val="000418EE"/>
    <w:rsid w:val="00044FC2"/>
    <w:rsid w:val="0004637E"/>
    <w:rsid w:val="000505D6"/>
    <w:rsid w:val="00052C36"/>
    <w:rsid w:val="00052D7C"/>
    <w:rsid w:val="000578D9"/>
    <w:rsid w:val="000630A2"/>
    <w:rsid w:val="0006453A"/>
    <w:rsid w:val="000654FE"/>
    <w:rsid w:val="00065885"/>
    <w:rsid w:val="0007304F"/>
    <w:rsid w:val="000875BF"/>
    <w:rsid w:val="00090879"/>
    <w:rsid w:val="000929A6"/>
    <w:rsid w:val="00095E72"/>
    <w:rsid w:val="00096D8C"/>
    <w:rsid w:val="000A15E0"/>
    <w:rsid w:val="000A43AA"/>
    <w:rsid w:val="000A715F"/>
    <w:rsid w:val="000A719C"/>
    <w:rsid w:val="000B206F"/>
    <w:rsid w:val="000B3A1F"/>
    <w:rsid w:val="000B5082"/>
    <w:rsid w:val="000B5D03"/>
    <w:rsid w:val="000B6581"/>
    <w:rsid w:val="000B7562"/>
    <w:rsid w:val="000C0B65"/>
    <w:rsid w:val="000C43BA"/>
    <w:rsid w:val="000C5DEF"/>
    <w:rsid w:val="000D50EB"/>
    <w:rsid w:val="000D5BC1"/>
    <w:rsid w:val="000D7CAA"/>
    <w:rsid w:val="000E1A64"/>
    <w:rsid w:val="000E340C"/>
    <w:rsid w:val="000E3D42"/>
    <w:rsid w:val="000E5884"/>
    <w:rsid w:val="000E6601"/>
    <w:rsid w:val="000F248A"/>
    <w:rsid w:val="000F3EAA"/>
    <w:rsid w:val="000F4C4E"/>
    <w:rsid w:val="000F652F"/>
    <w:rsid w:val="000F70F5"/>
    <w:rsid w:val="000F7336"/>
    <w:rsid w:val="000F7AFB"/>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5F54"/>
    <w:rsid w:val="00136137"/>
    <w:rsid w:val="001415BA"/>
    <w:rsid w:val="00144A2D"/>
    <w:rsid w:val="001539F3"/>
    <w:rsid w:val="001541A8"/>
    <w:rsid w:val="00154EB8"/>
    <w:rsid w:val="00161259"/>
    <w:rsid w:val="00164F1D"/>
    <w:rsid w:val="00164FFA"/>
    <w:rsid w:val="00171F2B"/>
    <w:rsid w:val="001807A4"/>
    <w:rsid w:val="00181174"/>
    <w:rsid w:val="00181795"/>
    <w:rsid w:val="00183949"/>
    <w:rsid w:val="001856A8"/>
    <w:rsid w:val="001975FA"/>
    <w:rsid w:val="001979D9"/>
    <w:rsid w:val="001A0E9C"/>
    <w:rsid w:val="001A312A"/>
    <w:rsid w:val="001A3A79"/>
    <w:rsid w:val="001A6361"/>
    <w:rsid w:val="001A7655"/>
    <w:rsid w:val="001B158F"/>
    <w:rsid w:val="001C4655"/>
    <w:rsid w:val="001C6F20"/>
    <w:rsid w:val="001D052E"/>
    <w:rsid w:val="001D0A43"/>
    <w:rsid w:val="001D6BCF"/>
    <w:rsid w:val="001E01CA"/>
    <w:rsid w:val="001E397D"/>
    <w:rsid w:val="001E410D"/>
    <w:rsid w:val="001F1CB2"/>
    <w:rsid w:val="001F1FC6"/>
    <w:rsid w:val="001F1FF1"/>
    <w:rsid w:val="001F3582"/>
    <w:rsid w:val="001F5903"/>
    <w:rsid w:val="001F731B"/>
    <w:rsid w:val="001F795B"/>
    <w:rsid w:val="002025E9"/>
    <w:rsid w:val="002027F0"/>
    <w:rsid w:val="00203604"/>
    <w:rsid w:val="002049B9"/>
    <w:rsid w:val="00204D99"/>
    <w:rsid w:val="002060D9"/>
    <w:rsid w:val="00206137"/>
    <w:rsid w:val="002078DE"/>
    <w:rsid w:val="00207939"/>
    <w:rsid w:val="00215AF2"/>
    <w:rsid w:val="0021655B"/>
    <w:rsid w:val="00224DB8"/>
    <w:rsid w:val="0022664E"/>
    <w:rsid w:val="00226822"/>
    <w:rsid w:val="00227E61"/>
    <w:rsid w:val="00230331"/>
    <w:rsid w:val="002334CD"/>
    <w:rsid w:val="00240A9F"/>
    <w:rsid w:val="00242F44"/>
    <w:rsid w:val="00243092"/>
    <w:rsid w:val="00245087"/>
    <w:rsid w:val="002456F6"/>
    <w:rsid w:val="0025072B"/>
    <w:rsid w:val="0025082C"/>
    <w:rsid w:val="00252AB1"/>
    <w:rsid w:val="00253923"/>
    <w:rsid w:val="00254E19"/>
    <w:rsid w:val="002557CC"/>
    <w:rsid w:val="00256D48"/>
    <w:rsid w:val="002572DC"/>
    <w:rsid w:val="00260594"/>
    <w:rsid w:val="002610EC"/>
    <w:rsid w:val="00264313"/>
    <w:rsid w:val="00265992"/>
    <w:rsid w:val="00273BAD"/>
    <w:rsid w:val="00276C04"/>
    <w:rsid w:val="00280975"/>
    <w:rsid w:val="00281B21"/>
    <w:rsid w:val="00285017"/>
    <w:rsid w:val="00286468"/>
    <w:rsid w:val="002979E3"/>
    <w:rsid w:val="002A03DD"/>
    <w:rsid w:val="002A11B4"/>
    <w:rsid w:val="002A2D2E"/>
    <w:rsid w:val="002A6D6A"/>
    <w:rsid w:val="002B0207"/>
    <w:rsid w:val="002B0351"/>
    <w:rsid w:val="002B4C9C"/>
    <w:rsid w:val="002B54FB"/>
    <w:rsid w:val="002B7763"/>
    <w:rsid w:val="002C1AF9"/>
    <w:rsid w:val="002C5846"/>
    <w:rsid w:val="002D2146"/>
    <w:rsid w:val="002D447E"/>
    <w:rsid w:val="002D6286"/>
    <w:rsid w:val="002D62DD"/>
    <w:rsid w:val="002D7A48"/>
    <w:rsid w:val="002D7CCE"/>
    <w:rsid w:val="002E5941"/>
    <w:rsid w:val="002F2339"/>
    <w:rsid w:val="002F4819"/>
    <w:rsid w:val="002F7221"/>
    <w:rsid w:val="00307030"/>
    <w:rsid w:val="0031328E"/>
    <w:rsid w:val="003231F8"/>
    <w:rsid w:val="0032799C"/>
    <w:rsid w:val="00327A84"/>
    <w:rsid w:val="0033308B"/>
    <w:rsid w:val="00334D34"/>
    <w:rsid w:val="00337EDD"/>
    <w:rsid w:val="00343749"/>
    <w:rsid w:val="00344102"/>
    <w:rsid w:val="00351B89"/>
    <w:rsid w:val="00351E93"/>
    <w:rsid w:val="00353A57"/>
    <w:rsid w:val="00353EAF"/>
    <w:rsid w:val="00357D50"/>
    <w:rsid w:val="003602FC"/>
    <w:rsid w:val="003609F7"/>
    <w:rsid w:val="00366291"/>
    <w:rsid w:val="00376E27"/>
    <w:rsid w:val="00377C00"/>
    <w:rsid w:val="00377F86"/>
    <w:rsid w:val="003816CE"/>
    <w:rsid w:val="00381FE8"/>
    <w:rsid w:val="00385229"/>
    <w:rsid w:val="0038758C"/>
    <w:rsid w:val="00387EAB"/>
    <w:rsid w:val="003925DC"/>
    <w:rsid w:val="003942C1"/>
    <w:rsid w:val="00395F38"/>
    <w:rsid w:val="0039668F"/>
    <w:rsid w:val="00396E41"/>
    <w:rsid w:val="003A1093"/>
    <w:rsid w:val="003A2F1B"/>
    <w:rsid w:val="003A3FC6"/>
    <w:rsid w:val="003A49D1"/>
    <w:rsid w:val="003A67F6"/>
    <w:rsid w:val="003B0550"/>
    <w:rsid w:val="003B06B7"/>
    <w:rsid w:val="003B18C4"/>
    <w:rsid w:val="003B28FF"/>
    <w:rsid w:val="003B366F"/>
    <w:rsid w:val="003B694F"/>
    <w:rsid w:val="003B7D0E"/>
    <w:rsid w:val="003C2436"/>
    <w:rsid w:val="003C47B1"/>
    <w:rsid w:val="003C48AB"/>
    <w:rsid w:val="003C589A"/>
    <w:rsid w:val="003C77F1"/>
    <w:rsid w:val="003D2256"/>
    <w:rsid w:val="003E5ACA"/>
    <w:rsid w:val="003E7B6C"/>
    <w:rsid w:val="003F0EF2"/>
    <w:rsid w:val="003F171C"/>
    <w:rsid w:val="003F1EE9"/>
    <w:rsid w:val="004004AF"/>
    <w:rsid w:val="00402A03"/>
    <w:rsid w:val="00403231"/>
    <w:rsid w:val="00412582"/>
    <w:rsid w:val="00412FC5"/>
    <w:rsid w:val="00413423"/>
    <w:rsid w:val="00415EFC"/>
    <w:rsid w:val="00420182"/>
    <w:rsid w:val="00422276"/>
    <w:rsid w:val="00422B9A"/>
    <w:rsid w:val="004242F1"/>
    <w:rsid w:val="004243FE"/>
    <w:rsid w:val="00432406"/>
    <w:rsid w:val="0043254C"/>
    <w:rsid w:val="00432569"/>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806FB"/>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70FB"/>
    <w:rsid w:val="004D22C3"/>
    <w:rsid w:val="004D362E"/>
    <w:rsid w:val="004D5869"/>
    <w:rsid w:val="004D6C60"/>
    <w:rsid w:val="004E4A22"/>
    <w:rsid w:val="004E72B7"/>
    <w:rsid w:val="004F35CA"/>
    <w:rsid w:val="004F4239"/>
    <w:rsid w:val="004F60EC"/>
    <w:rsid w:val="004F737A"/>
    <w:rsid w:val="005053A7"/>
    <w:rsid w:val="00506C61"/>
    <w:rsid w:val="005106C5"/>
    <w:rsid w:val="00511968"/>
    <w:rsid w:val="005123BE"/>
    <w:rsid w:val="00516819"/>
    <w:rsid w:val="00516C98"/>
    <w:rsid w:val="0052214B"/>
    <w:rsid w:val="00523F0D"/>
    <w:rsid w:val="00524B7D"/>
    <w:rsid w:val="00525F91"/>
    <w:rsid w:val="00532BEA"/>
    <w:rsid w:val="005357B8"/>
    <w:rsid w:val="00536CF8"/>
    <w:rsid w:val="0054043D"/>
    <w:rsid w:val="00545A19"/>
    <w:rsid w:val="0054650E"/>
    <w:rsid w:val="00550354"/>
    <w:rsid w:val="00552A15"/>
    <w:rsid w:val="0055614C"/>
    <w:rsid w:val="005614FA"/>
    <w:rsid w:val="00563C1F"/>
    <w:rsid w:val="00564FFA"/>
    <w:rsid w:val="00577322"/>
    <w:rsid w:val="00577BFF"/>
    <w:rsid w:val="00581C61"/>
    <w:rsid w:val="00582BAF"/>
    <w:rsid w:val="00584B7F"/>
    <w:rsid w:val="00595381"/>
    <w:rsid w:val="0059746C"/>
    <w:rsid w:val="005A0BF4"/>
    <w:rsid w:val="005A3062"/>
    <w:rsid w:val="005A31B2"/>
    <w:rsid w:val="005A445D"/>
    <w:rsid w:val="005A4610"/>
    <w:rsid w:val="005B3EC2"/>
    <w:rsid w:val="005B5B7B"/>
    <w:rsid w:val="005C24D8"/>
    <w:rsid w:val="005C680A"/>
    <w:rsid w:val="005C7EF4"/>
    <w:rsid w:val="005D0403"/>
    <w:rsid w:val="005D092D"/>
    <w:rsid w:val="005D0A49"/>
    <w:rsid w:val="005E347C"/>
    <w:rsid w:val="005E5F6A"/>
    <w:rsid w:val="005E74A9"/>
    <w:rsid w:val="005F0449"/>
    <w:rsid w:val="005F4263"/>
    <w:rsid w:val="00603CBE"/>
    <w:rsid w:val="00607BA5"/>
    <w:rsid w:val="006126AF"/>
    <w:rsid w:val="00615C48"/>
    <w:rsid w:val="00620DBB"/>
    <w:rsid w:val="00620F82"/>
    <w:rsid w:val="00621457"/>
    <w:rsid w:val="00625270"/>
    <w:rsid w:val="00626EB6"/>
    <w:rsid w:val="006275B0"/>
    <w:rsid w:val="00631B71"/>
    <w:rsid w:val="006353A3"/>
    <w:rsid w:val="00637E27"/>
    <w:rsid w:val="00642E7B"/>
    <w:rsid w:val="00643878"/>
    <w:rsid w:val="00644B2C"/>
    <w:rsid w:val="00655D03"/>
    <w:rsid w:val="00660386"/>
    <w:rsid w:val="00664AB4"/>
    <w:rsid w:val="006650A4"/>
    <w:rsid w:val="006665E6"/>
    <w:rsid w:val="00675E8A"/>
    <w:rsid w:val="0068023C"/>
    <w:rsid w:val="00683F84"/>
    <w:rsid w:val="00684738"/>
    <w:rsid w:val="0068763E"/>
    <w:rsid w:val="006901C6"/>
    <w:rsid w:val="00694196"/>
    <w:rsid w:val="00694C92"/>
    <w:rsid w:val="006953EE"/>
    <w:rsid w:val="0069577D"/>
    <w:rsid w:val="006972E8"/>
    <w:rsid w:val="006A467F"/>
    <w:rsid w:val="006A6A81"/>
    <w:rsid w:val="006B2F55"/>
    <w:rsid w:val="006B5D0A"/>
    <w:rsid w:val="006B6F46"/>
    <w:rsid w:val="006C47FA"/>
    <w:rsid w:val="006C7A94"/>
    <w:rsid w:val="006D0FAA"/>
    <w:rsid w:val="006D40DD"/>
    <w:rsid w:val="006D660A"/>
    <w:rsid w:val="006D6AFD"/>
    <w:rsid w:val="006D760F"/>
    <w:rsid w:val="006D7B2B"/>
    <w:rsid w:val="006E26AF"/>
    <w:rsid w:val="006E57B3"/>
    <w:rsid w:val="006F1183"/>
    <w:rsid w:val="006F3559"/>
    <w:rsid w:val="006F4636"/>
    <w:rsid w:val="006F7393"/>
    <w:rsid w:val="00701094"/>
    <w:rsid w:val="007019B6"/>
    <w:rsid w:val="007019FF"/>
    <w:rsid w:val="0070224F"/>
    <w:rsid w:val="00703BB5"/>
    <w:rsid w:val="0070486C"/>
    <w:rsid w:val="007115F7"/>
    <w:rsid w:val="007178B4"/>
    <w:rsid w:val="00717B07"/>
    <w:rsid w:val="00725674"/>
    <w:rsid w:val="00726F80"/>
    <w:rsid w:val="00731C3E"/>
    <w:rsid w:val="00735B84"/>
    <w:rsid w:val="00740AD9"/>
    <w:rsid w:val="00744F93"/>
    <w:rsid w:val="00746759"/>
    <w:rsid w:val="00762FC4"/>
    <w:rsid w:val="007668C8"/>
    <w:rsid w:val="00770F47"/>
    <w:rsid w:val="00780E7D"/>
    <w:rsid w:val="00785689"/>
    <w:rsid w:val="00792664"/>
    <w:rsid w:val="0079754B"/>
    <w:rsid w:val="007A0B06"/>
    <w:rsid w:val="007A1E6D"/>
    <w:rsid w:val="007A29A0"/>
    <w:rsid w:val="007B1170"/>
    <w:rsid w:val="007B1F0E"/>
    <w:rsid w:val="007B72F9"/>
    <w:rsid w:val="007B7C16"/>
    <w:rsid w:val="007C179B"/>
    <w:rsid w:val="007C2228"/>
    <w:rsid w:val="007C4371"/>
    <w:rsid w:val="007C5078"/>
    <w:rsid w:val="007C53B3"/>
    <w:rsid w:val="007C674D"/>
    <w:rsid w:val="007D3761"/>
    <w:rsid w:val="007D4842"/>
    <w:rsid w:val="007D4DB7"/>
    <w:rsid w:val="007D6054"/>
    <w:rsid w:val="007E32AB"/>
    <w:rsid w:val="007F0701"/>
    <w:rsid w:val="007F0DBB"/>
    <w:rsid w:val="007F1D7C"/>
    <w:rsid w:val="007F29ED"/>
    <w:rsid w:val="007F400A"/>
    <w:rsid w:val="007F40C5"/>
    <w:rsid w:val="007F5818"/>
    <w:rsid w:val="007F5C59"/>
    <w:rsid w:val="00800267"/>
    <w:rsid w:val="00801AAA"/>
    <w:rsid w:val="00801FDC"/>
    <w:rsid w:val="00805401"/>
    <w:rsid w:val="008068FD"/>
    <w:rsid w:val="00822CE0"/>
    <w:rsid w:val="00825E7D"/>
    <w:rsid w:val="008271E2"/>
    <w:rsid w:val="008275B8"/>
    <w:rsid w:val="0083155B"/>
    <w:rsid w:val="008338CE"/>
    <w:rsid w:val="00837C62"/>
    <w:rsid w:val="00841404"/>
    <w:rsid w:val="00841AB1"/>
    <w:rsid w:val="00844109"/>
    <w:rsid w:val="0084412A"/>
    <w:rsid w:val="00845944"/>
    <w:rsid w:val="00851E64"/>
    <w:rsid w:val="008550B5"/>
    <w:rsid w:val="0085777F"/>
    <w:rsid w:val="0086068D"/>
    <w:rsid w:val="00861958"/>
    <w:rsid w:val="0086597B"/>
    <w:rsid w:val="008670A1"/>
    <w:rsid w:val="00872701"/>
    <w:rsid w:val="008759A0"/>
    <w:rsid w:val="008774D9"/>
    <w:rsid w:val="00880549"/>
    <w:rsid w:val="00880961"/>
    <w:rsid w:val="008823A6"/>
    <w:rsid w:val="00885346"/>
    <w:rsid w:val="008860DF"/>
    <w:rsid w:val="008865BD"/>
    <w:rsid w:val="00890537"/>
    <w:rsid w:val="008928B0"/>
    <w:rsid w:val="00892BEE"/>
    <w:rsid w:val="00893955"/>
    <w:rsid w:val="008969B3"/>
    <w:rsid w:val="0089722C"/>
    <w:rsid w:val="008A5F0D"/>
    <w:rsid w:val="008A6865"/>
    <w:rsid w:val="008A72A2"/>
    <w:rsid w:val="008B3790"/>
    <w:rsid w:val="008B3951"/>
    <w:rsid w:val="008B3DC7"/>
    <w:rsid w:val="008B51AD"/>
    <w:rsid w:val="008C0043"/>
    <w:rsid w:val="008C09B2"/>
    <w:rsid w:val="008C1A0F"/>
    <w:rsid w:val="008C1DAA"/>
    <w:rsid w:val="008C22FD"/>
    <w:rsid w:val="008C2513"/>
    <w:rsid w:val="008C5059"/>
    <w:rsid w:val="008D327D"/>
    <w:rsid w:val="008D5B54"/>
    <w:rsid w:val="008D5EA0"/>
    <w:rsid w:val="008D6240"/>
    <w:rsid w:val="008E5D2B"/>
    <w:rsid w:val="008F58CF"/>
    <w:rsid w:val="00902F76"/>
    <w:rsid w:val="0090545D"/>
    <w:rsid w:val="00910F12"/>
    <w:rsid w:val="00913041"/>
    <w:rsid w:val="0091539A"/>
    <w:rsid w:val="0091650F"/>
    <w:rsid w:val="00922696"/>
    <w:rsid w:val="00923F59"/>
    <w:rsid w:val="00925ACF"/>
    <w:rsid w:val="00926397"/>
    <w:rsid w:val="00926503"/>
    <w:rsid w:val="0092692D"/>
    <w:rsid w:val="00926C1D"/>
    <w:rsid w:val="00930ECF"/>
    <w:rsid w:val="00931CEB"/>
    <w:rsid w:val="0093267F"/>
    <w:rsid w:val="009432A3"/>
    <w:rsid w:val="00943407"/>
    <w:rsid w:val="00943B23"/>
    <w:rsid w:val="00946DF9"/>
    <w:rsid w:val="0095053C"/>
    <w:rsid w:val="0095057C"/>
    <w:rsid w:val="0096037E"/>
    <w:rsid w:val="00967271"/>
    <w:rsid w:val="00970A34"/>
    <w:rsid w:val="009713DD"/>
    <w:rsid w:val="00976129"/>
    <w:rsid w:val="009801F8"/>
    <w:rsid w:val="009838BC"/>
    <w:rsid w:val="00983A14"/>
    <w:rsid w:val="00983EE2"/>
    <w:rsid w:val="00986B91"/>
    <w:rsid w:val="00987966"/>
    <w:rsid w:val="00987A27"/>
    <w:rsid w:val="009901F7"/>
    <w:rsid w:val="009929EC"/>
    <w:rsid w:val="0099720B"/>
    <w:rsid w:val="009A65B8"/>
    <w:rsid w:val="009A685A"/>
    <w:rsid w:val="009B3988"/>
    <w:rsid w:val="009B63B0"/>
    <w:rsid w:val="009C2EC9"/>
    <w:rsid w:val="009C448A"/>
    <w:rsid w:val="009C73EF"/>
    <w:rsid w:val="009D175D"/>
    <w:rsid w:val="009D36AB"/>
    <w:rsid w:val="009D708B"/>
    <w:rsid w:val="009E0A80"/>
    <w:rsid w:val="009F1761"/>
    <w:rsid w:val="009F71A2"/>
    <w:rsid w:val="00A029B6"/>
    <w:rsid w:val="00A03FAC"/>
    <w:rsid w:val="00A06E7E"/>
    <w:rsid w:val="00A13DDC"/>
    <w:rsid w:val="00A1615A"/>
    <w:rsid w:val="00A164EA"/>
    <w:rsid w:val="00A22D46"/>
    <w:rsid w:val="00A239D2"/>
    <w:rsid w:val="00A30968"/>
    <w:rsid w:val="00A32C6E"/>
    <w:rsid w:val="00A351CE"/>
    <w:rsid w:val="00A40309"/>
    <w:rsid w:val="00A42060"/>
    <w:rsid w:val="00A45F4F"/>
    <w:rsid w:val="00A5137A"/>
    <w:rsid w:val="00A51758"/>
    <w:rsid w:val="00A554EE"/>
    <w:rsid w:val="00A600A9"/>
    <w:rsid w:val="00A61E25"/>
    <w:rsid w:val="00A6263A"/>
    <w:rsid w:val="00A6329B"/>
    <w:rsid w:val="00A6538C"/>
    <w:rsid w:val="00A663DB"/>
    <w:rsid w:val="00A7404D"/>
    <w:rsid w:val="00A77268"/>
    <w:rsid w:val="00A84BCC"/>
    <w:rsid w:val="00A8620D"/>
    <w:rsid w:val="00A86681"/>
    <w:rsid w:val="00A866AC"/>
    <w:rsid w:val="00A90ABC"/>
    <w:rsid w:val="00A922E8"/>
    <w:rsid w:val="00A92F17"/>
    <w:rsid w:val="00A950E2"/>
    <w:rsid w:val="00A95C94"/>
    <w:rsid w:val="00AA020D"/>
    <w:rsid w:val="00AA412A"/>
    <w:rsid w:val="00AA52F2"/>
    <w:rsid w:val="00AA55B7"/>
    <w:rsid w:val="00AA5B9E"/>
    <w:rsid w:val="00AB2109"/>
    <w:rsid w:val="00AB2407"/>
    <w:rsid w:val="00AB3596"/>
    <w:rsid w:val="00AB53DF"/>
    <w:rsid w:val="00AB61ED"/>
    <w:rsid w:val="00AB7889"/>
    <w:rsid w:val="00AC4DB3"/>
    <w:rsid w:val="00AC669A"/>
    <w:rsid w:val="00AD3257"/>
    <w:rsid w:val="00AD50D4"/>
    <w:rsid w:val="00AD62E9"/>
    <w:rsid w:val="00AE1813"/>
    <w:rsid w:val="00AE3C92"/>
    <w:rsid w:val="00AE47E9"/>
    <w:rsid w:val="00AE522A"/>
    <w:rsid w:val="00AF2B5C"/>
    <w:rsid w:val="00B021EE"/>
    <w:rsid w:val="00B02A93"/>
    <w:rsid w:val="00B07E5C"/>
    <w:rsid w:val="00B17836"/>
    <w:rsid w:val="00B17B13"/>
    <w:rsid w:val="00B238E7"/>
    <w:rsid w:val="00B31B86"/>
    <w:rsid w:val="00B326E3"/>
    <w:rsid w:val="00B334D7"/>
    <w:rsid w:val="00B3351F"/>
    <w:rsid w:val="00B368CC"/>
    <w:rsid w:val="00B36901"/>
    <w:rsid w:val="00B402F4"/>
    <w:rsid w:val="00B43169"/>
    <w:rsid w:val="00B44339"/>
    <w:rsid w:val="00B47261"/>
    <w:rsid w:val="00B5389B"/>
    <w:rsid w:val="00B61C60"/>
    <w:rsid w:val="00B7124D"/>
    <w:rsid w:val="00B721C8"/>
    <w:rsid w:val="00B73C0C"/>
    <w:rsid w:val="00B74EB4"/>
    <w:rsid w:val="00B811F7"/>
    <w:rsid w:val="00B82285"/>
    <w:rsid w:val="00B848FE"/>
    <w:rsid w:val="00B84BD2"/>
    <w:rsid w:val="00B84CD9"/>
    <w:rsid w:val="00B905AA"/>
    <w:rsid w:val="00B90BD1"/>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C6BB5"/>
    <w:rsid w:val="00BC6D8C"/>
    <w:rsid w:val="00BC76BB"/>
    <w:rsid w:val="00BD0A9B"/>
    <w:rsid w:val="00BD1F31"/>
    <w:rsid w:val="00BD332E"/>
    <w:rsid w:val="00BD38DB"/>
    <w:rsid w:val="00BD41D9"/>
    <w:rsid w:val="00BD4B59"/>
    <w:rsid w:val="00BD50BA"/>
    <w:rsid w:val="00BD5994"/>
    <w:rsid w:val="00BE1AA3"/>
    <w:rsid w:val="00BF4EC4"/>
    <w:rsid w:val="00C00B2A"/>
    <w:rsid w:val="00C01B19"/>
    <w:rsid w:val="00C0633C"/>
    <w:rsid w:val="00C07140"/>
    <w:rsid w:val="00C077E1"/>
    <w:rsid w:val="00C10E83"/>
    <w:rsid w:val="00C1189E"/>
    <w:rsid w:val="00C14E8F"/>
    <w:rsid w:val="00C16AF2"/>
    <w:rsid w:val="00C2261D"/>
    <w:rsid w:val="00C2475E"/>
    <w:rsid w:val="00C24DD2"/>
    <w:rsid w:val="00C27664"/>
    <w:rsid w:val="00C27859"/>
    <w:rsid w:val="00C27EA3"/>
    <w:rsid w:val="00C31891"/>
    <w:rsid w:val="00C33898"/>
    <w:rsid w:val="00C34006"/>
    <w:rsid w:val="00C35272"/>
    <w:rsid w:val="00C360F5"/>
    <w:rsid w:val="00C367FB"/>
    <w:rsid w:val="00C41A27"/>
    <w:rsid w:val="00C426B1"/>
    <w:rsid w:val="00C43525"/>
    <w:rsid w:val="00C4665E"/>
    <w:rsid w:val="00C47FF8"/>
    <w:rsid w:val="00C509AC"/>
    <w:rsid w:val="00C50A2E"/>
    <w:rsid w:val="00C61BB7"/>
    <w:rsid w:val="00C621EC"/>
    <w:rsid w:val="00C70F5B"/>
    <w:rsid w:val="00C7200D"/>
    <w:rsid w:val="00C7218A"/>
    <w:rsid w:val="00C7222F"/>
    <w:rsid w:val="00C7392A"/>
    <w:rsid w:val="00C80924"/>
    <w:rsid w:val="00C82B6B"/>
    <w:rsid w:val="00C850D8"/>
    <w:rsid w:val="00C90D6A"/>
    <w:rsid w:val="00C96CB6"/>
    <w:rsid w:val="00CA5E0B"/>
    <w:rsid w:val="00CA63AF"/>
    <w:rsid w:val="00CB14D4"/>
    <w:rsid w:val="00CB4801"/>
    <w:rsid w:val="00CC3745"/>
    <w:rsid w:val="00CC4904"/>
    <w:rsid w:val="00CC60EB"/>
    <w:rsid w:val="00CC6A10"/>
    <w:rsid w:val="00CC72B6"/>
    <w:rsid w:val="00CD1437"/>
    <w:rsid w:val="00CD2FA0"/>
    <w:rsid w:val="00CD30B5"/>
    <w:rsid w:val="00CD5655"/>
    <w:rsid w:val="00CE359D"/>
    <w:rsid w:val="00CE3C68"/>
    <w:rsid w:val="00CF1A56"/>
    <w:rsid w:val="00D0218D"/>
    <w:rsid w:val="00D03809"/>
    <w:rsid w:val="00D04868"/>
    <w:rsid w:val="00D06F09"/>
    <w:rsid w:val="00D06FA2"/>
    <w:rsid w:val="00D12B3C"/>
    <w:rsid w:val="00D13707"/>
    <w:rsid w:val="00D216CD"/>
    <w:rsid w:val="00D22B78"/>
    <w:rsid w:val="00D238CC"/>
    <w:rsid w:val="00D26EF4"/>
    <w:rsid w:val="00D351CC"/>
    <w:rsid w:val="00D3650B"/>
    <w:rsid w:val="00D41B3B"/>
    <w:rsid w:val="00D45A14"/>
    <w:rsid w:val="00D5095E"/>
    <w:rsid w:val="00D51481"/>
    <w:rsid w:val="00D53ADF"/>
    <w:rsid w:val="00D6557E"/>
    <w:rsid w:val="00D6581B"/>
    <w:rsid w:val="00D74AEC"/>
    <w:rsid w:val="00D76953"/>
    <w:rsid w:val="00D806AA"/>
    <w:rsid w:val="00D8081B"/>
    <w:rsid w:val="00D8472B"/>
    <w:rsid w:val="00D84C22"/>
    <w:rsid w:val="00D851AB"/>
    <w:rsid w:val="00D85EF5"/>
    <w:rsid w:val="00D90DAC"/>
    <w:rsid w:val="00DA07AA"/>
    <w:rsid w:val="00DA2529"/>
    <w:rsid w:val="00DA455F"/>
    <w:rsid w:val="00DA77F0"/>
    <w:rsid w:val="00DB130A"/>
    <w:rsid w:val="00DB36BF"/>
    <w:rsid w:val="00DB54CA"/>
    <w:rsid w:val="00DB5AC1"/>
    <w:rsid w:val="00DB6527"/>
    <w:rsid w:val="00DC10A1"/>
    <w:rsid w:val="00DC44DE"/>
    <w:rsid w:val="00DC4D66"/>
    <w:rsid w:val="00DC53B1"/>
    <w:rsid w:val="00DC56D1"/>
    <w:rsid w:val="00DC655F"/>
    <w:rsid w:val="00DC7BAE"/>
    <w:rsid w:val="00DD0336"/>
    <w:rsid w:val="00DD0F22"/>
    <w:rsid w:val="00DD6C7F"/>
    <w:rsid w:val="00DD7EBD"/>
    <w:rsid w:val="00DE0D04"/>
    <w:rsid w:val="00DE4B07"/>
    <w:rsid w:val="00DF1B24"/>
    <w:rsid w:val="00DF4E87"/>
    <w:rsid w:val="00DF62B6"/>
    <w:rsid w:val="00E04D5A"/>
    <w:rsid w:val="00E07225"/>
    <w:rsid w:val="00E155B7"/>
    <w:rsid w:val="00E15AD6"/>
    <w:rsid w:val="00E15F88"/>
    <w:rsid w:val="00E17865"/>
    <w:rsid w:val="00E21870"/>
    <w:rsid w:val="00E262F3"/>
    <w:rsid w:val="00E27214"/>
    <w:rsid w:val="00E3399D"/>
    <w:rsid w:val="00E4245C"/>
    <w:rsid w:val="00E504A8"/>
    <w:rsid w:val="00E50F11"/>
    <w:rsid w:val="00E5409F"/>
    <w:rsid w:val="00E61137"/>
    <w:rsid w:val="00E63E9C"/>
    <w:rsid w:val="00E65904"/>
    <w:rsid w:val="00E70C9B"/>
    <w:rsid w:val="00E72298"/>
    <w:rsid w:val="00E73463"/>
    <w:rsid w:val="00E743F2"/>
    <w:rsid w:val="00E74F67"/>
    <w:rsid w:val="00E77864"/>
    <w:rsid w:val="00E85276"/>
    <w:rsid w:val="00E87847"/>
    <w:rsid w:val="00E96AC2"/>
    <w:rsid w:val="00E96B4B"/>
    <w:rsid w:val="00E9794F"/>
    <w:rsid w:val="00EA003B"/>
    <w:rsid w:val="00EA1D70"/>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6ADD"/>
    <w:rsid w:val="00EF064F"/>
    <w:rsid w:val="00EF5C69"/>
    <w:rsid w:val="00EF5E4D"/>
    <w:rsid w:val="00F021FA"/>
    <w:rsid w:val="00F03EE6"/>
    <w:rsid w:val="00F051B1"/>
    <w:rsid w:val="00F10131"/>
    <w:rsid w:val="00F10428"/>
    <w:rsid w:val="00F11F96"/>
    <w:rsid w:val="00F13114"/>
    <w:rsid w:val="00F13E8E"/>
    <w:rsid w:val="00F14D69"/>
    <w:rsid w:val="00F1632C"/>
    <w:rsid w:val="00F243B7"/>
    <w:rsid w:val="00F304C0"/>
    <w:rsid w:val="00F311FC"/>
    <w:rsid w:val="00F322CA"/>
    <w:rsid w:val="00F37BD3"/>
    <w:rsid w:val="00F432AC"/>
    <w:rsid w:val="00F4366C"/>
    <w:rsid w:val="00F43E3B"/>
    <w:rsid w:val="00F446CC"/>
    <w:rsid w:val="00F46420"/>
    <w:rsid w:val="00F5223B"/>
    <w:rsid w:val="00F57ACA"/>
    <w:rsid w:val="00F61F48"/>
    <w:rsid w:val="00F62E97"/>
    <w:rsid w:val="00F64209"/>
    <w:rsid w:val="00F65711"/>
    <w:rsid w:val="00F66D37"/>
    <w:rsid w:val="00F67726"/>
    <w:rsid w:val="00F72B31"/>
    <w:rsid w:val="00F73399"/>
    <w:rsid w:val="00F7410E"/>
    <w:rsid w:val="00F76515"/>
    <w:rsid w:val="00F84F68"/>
    <w:rsid w:val="00F93BF5"/>
    <w:rsid w:val="00F96438"/>
    <w:rsid w:val="00F96F63"/>
    <w:rsid w:val="00F9742C"/>
    <w:rsid w:val="00FA3284"/>
    <w:rsid w:val="00FB0C37"/>
    <w:rsid w:val="00FB1102"/>
    <w:rsid w:val="00FB2F91"/>
    <w:rsid w:val="00FB3EDD"/>
    <w:rsid w:val="00FB6AC1"/>
    <w:rsid w:val="00FC392C"/>
    <w:rsid w:val="00FC565D"/>
    <w:rsid w:val="00FC7C2A"/>
    <w:rsid w:val="00FE1675"/>
    <w:rsid w:val="00FE56A1"/>
    <w:rsid w:val="00FE56C4"/>
    <w:rsid w:val="00FE583B"/>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C0BCF6"/>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
    <w:name w:val="Unresolved Mention"/>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