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34AD5" w:rsidRPr="00CA3425" w:rsidP="00334AD5" w14:paraId="295927A7" w14:textId="7A2BEA9E">
      <w:pPr>
        <w:jc w:val="right"/>
        <w:rPr>
          <w:b/>
          <w:szCs w:val="22"/>
        </w:rPr>
      </w:pPr>
      <w:r w:rsidRPr="00236CE9">
        <w:rPr>
          <w:b/>
          <w:szCs w:val="22"/>
        </w:rPr>
        <w:t>DA 2</w:t>
      </w:r>
      <w:r w:rsidRPr="00236CE9" w:rsidR="00165F87">
        <w:rPr>
          <w:b/>
          <w:szCs w:val="22"/>
        </w:rPr>
        <w:t>1</w:t>
      </w:r>
      <w:r w:rsidRPr="00236CE9">
        <w:rPr>
          <w:b/>
          <w:szCs w:val="22"/>
        </w:rPr>
        <w:t>-</w:t>
      </w:r>
      <w:r w:rsidR="001B36DF">
        <w:rPr>
          <w:b/>
          <w:szCs w:val="22"/>
        </w:rPr>
        <w:t>510</w:t>
      </w:r>
    </w:p>
    <w:p w:rsidR="00334AD5" w:rsidRPr="0029562D" w:rsidP="001B36DF" w14:paraId="5C52EFC8" w14:textId="47C25189">
      <w:pPr>
        <w:tabs>
          <w:tab w:val="left" w:pos="3648"/>
          <w:tab w:val="right" w:pos="9360"/>
        </w:tabs>
        <w:spacing w:before="60"/>
        <w:rPr>
          <w:b/>
          <w:szCs w:val="22"/>
        </w:rPr>
      </w:pPr>
      <w:r>
        <w:rPr>
          <w:b/>
          <w:szCs w:val="22"/>
        </w:rPr>
        <w:tab/>
      </w:r>
      <w:r>
        <w:rPr>
          <w:b/>
          <w:szCs w:val="22"/>
        </w:rPr>
        <w:tab/>
      </w:r>
      <w:r w:rsidRPr="00CA3425">
        <w:rPr>
          <w:b/>
          <w:szCs w:val="22"/>
        </w:rPr>
        <w:t xml:space="preserve">Released: </w:t>
      </w:r>
      <w:r w:rsidR="006F20DF">
        <w:rPr>
          <w:b/>
          <w:szCs w:val="22"/>
        </w:rPr>
        <w:t>May 3</w:t>
      </w:r>
      <w:r w:rsidR="00983D0A">
        <w:rPr>
          <w:b/>
          <w:szCs w:val="22"/>
        </w:rPr>
        <w:t>, 2021</w:t>
      </w:r>
    </w:p>
    <w:p w:rsidR="00334AD5" w:rsidRPr="0029562D" w:rsidP="00334AD5" w14:paraId="74C5BBBF" w14:textId="77777777">
      <w:pPr>
        <w:tabs>
          <w:tab w:val="left" w:pos="5900"/>
        </w:tabs>
        <w:rPr>
          <w:szCs w:val="22"/>
        </w:rPr>
      </w:pPr>
      <w:r w:rsidRPr="0029562D">
        <w:rPr>
          <w:szCs w:val="22"/>
        </w:rPr>
        <w:tab/>
      </w:r>
    </w:p>
    <w:p w:rsidR="00334AD5" w:rsidRPr="008B54CB" w:rsidP="00334AD5" w14:paraId="60C08466" w14:textId="1AB30B55">
      <w:pPr>
        <w:jc w:val="center"/>
        <w:rPr>
          <w:b/>
          <w:szCs w:val="22"/>
        </w:rPr>
      </w:pPr>
      <w:r w:rsidRPr="008B54CB">
        <w:rPr>
          <w:b/>
          <w:szCs w:val="22"/>
        </w:rPr>
        <w:t xml:space="preserve">INTERCONNECTED VOIP NUMBERING AUTHORIZATION APPLICATION FILED </w:t>
      </w:r>
    </w:p>
    <w:p w:rsidR="00334AD5" w:rsidP="00334AD5" w14:paraId="54A41A31" w14:textId="433191F2">
      <w:pPr>
        <w:jc w:val="center"/>
        <w:rPr>
          <w:b/>
          <w:szCs w:val="22"/>
        </w:rPr>
      </w:pPr>
      <w:r w:rsidRPr="008B54CB">
        <w:rPr>
          <w:b/>
          <w:szCs w:val="22"/>
        </w:rPr>
        <w:t xml:space="preserve">BY </w:t>
      </w:r>
      <w:r w:rsidR="002B370C">
        <w:rPr>
          <w:b/>
          <w:bCs/>
        </w:rPr>
        <w:t>VOXTELL, LLC</w:t>
      </w:r>
      <w:r w:rsidRPr="00E46A77" w:rsidR="00036560">
        <w:rPr>
          <w:b/>
          <w:bCs/>
        </w:rPr>
        <w:t xml:space="preserve">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1F64DADD">
      <w:pPr>
        <w:jc w:val="center"/>
        <w:rPr>
          <w:b/>
          <w:szCs w:val="22"/>
        </w:rPr>
      </w:pPr>
      <w:r w:rsidRPr="0029562D">
        <w:rPr>
          <w:b/>
          <w:szCs w:val="22"/>
        </w:rPr>
        <w:t>WC Docket No</w:t>
      </w:r>
      <w:r w:rsidRPr="001C06E1">
        <w:rPr>
          <w:b/>
          <w:szCs w:val="22"/>
        </w:rPr>
        <w:t xml:space="preserve">. </w:t>
      </w:r>
      <w:r w:rsidR="00983D0A">
        <w:rPr>
          <w:b/>
          <w:szCs w:val="22"/>
        </w:rPr>
        <w:t>21</w:t>
      </w:r>
      <w:r w:rsidR="004971A4">
        <w:rPr>
          <w:b/>
          <w:szCs w:val="22"/>
        </w:rPr>
        <w:t>-</w:t>
      </w:r>
      <w:r w:rsidR="00995204">
        <w:rPr>
          <w:b/>
          <w:szCs w:val="22"/>
        </w:rPr>
        <w:t>58</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5C007CF0">
      <w:pPr>
        <w:pStyle w:val="NoSpacing"/>
        <w:rPr>
          <w:b/>
          <w:szCs w:val="22"/>
        </w:rPr>
      </w:pPr>
      <w:r w:rsidRPr="00CA3425">
        <w:rPr>
          <w:b/>
          <w:szCs w:val="22"/>
        </w:rPr>
        <w:t>Comments Due:</w:t>
      </w:r>
      <w:r w:rsidR="00983D0A">
        <w:rPr>
          <w:b/>
          <w:szCs w:val="22"/>
        </w:rPr>
        <w:t xml:space="preserve">  </w:t>
      </w:r>
      <w:r w:rsidR="006F20DF">
        <w:rPr>
          <w:b/>
          <w:szCs w:val="22"/>
        </w:rPr>
        <w:t>May 18</w:t>
      </w:r>
      <w:r w:rsidR="00983D0A">
        <w:rPr>
          <w:b/>
          <w:szCs w:val="22"/>
        </w:rPr>
        <w:t>, 2021</w:t>
      </w:r>
    </w:p>
    <w:p w:rsidR="00334AD5" w:rsidRPr="0069551B" w:rsidP="00334AD5" w14:paraId="74A871CE" w14:textId="77777777">
      <w:pPr>
        <w:pStyle w:val="NoSpacing"/>
        <w:rPr>
          <w:b/>
          <w:szCs w:val="22"/>
        </w:rPr>
      </w:pPr>
    </w:p>
    <w:p w:rsidR="00334AD5" w:rsidRPr="00452866" w:rsidP="00334AD5" w14:paraId="7D22E18B" w14:textId="302C59D6">
      <w:pPr>
        <w:autoSpaceDE w:val="0"/>
        <w:autoSpaceDN w:val="0"/>
        <w:adjustRightInd w:val="0"/>
        <w:ind w:firstLine="720"/>
        <w:rPr>
          <w:szCs w:val="22"/>
        </w:rPr>
      </w:pPr>
      <w:r>
        <w:t>Voxtell</w:t>
      </w:r>
      <w:r>
        <w:t>, LLC</w:t>
      </w:r>
      <w:r w:rsidRPr="00452866" w:rsidR="00983D0A">
        <w:rPr>
          <w:szCs w:val="22"/>
        </w:rPr>
        <w:t xml:space="preserve"> </w:t>
      </w:r>
      <w:r w:rsidRPr="00452866">
        <w:rPr>
          <w:szCs w:val="22"/>
        </w:rPr>
        <w:t>(</w:t>
      </w:r>
      <w:r>
        <w:rPr>
          <w:szCs w:val="22"/>
        </w:rPr>
        <w:t>Voxtell</w:t>
      </w:r>
      <w:r w:rsidR="00983D0A">
        <w:rPr>
          <w:szCs w:val="22"/>
        </w:rPr>
        <w:t xml:space="preserve">) </w:t>
      </w:r>
      <w:r w:rsidR="00165F87">
        <w:rPr>
          <w:szCs w:val="22"/>
        </w:rPr>
        <w:t xml:space="preserve">is an interconnected Voice of Internet Protocol (VoIP) provider and </w:t>
      </w:r>
      <w:r w:rsidRPr="00452866">
        <w:rPr>
          <w:szCs w:val="22"/>
        </w:rPr>
        <w:t>filed an application</w:t>
      </w:r>
      <w:r>
        <w:rPr>
          <w:szCs w:val="22"/>
        </w:rPr>
        <w:t xml:space="preserve"> </w:t>
      </w:r>
      <w:r w:rsidRPr="00452866">
        <w:rPr>
          <w:szCs w:val="22"/>
        </w:rPr>
        <w:t>pursuant to section 52.15(g)(3) of the Commission’s rules, seeking authorization to obtain North American Numbering Plan telephone numbers directly from the Numbering Administrators.</w:t>
      </w:r>
      <w:r>
        <w:rPr>
          <w:rStyle w:val="FootnoteReference"/>
          <w:szCs w:val="22"/>
        </w:rPr>
        <w:footnoteReference w:id="4"/>
      </w:r>
      <w:r w:rsidRPr="00452866">
        <w:rPr>
          <w:szCs w:val="22"/>
        </w:rPr>
        <w:t xml:space="preserve">  </w:t>
      </w:r>
      <w:r w:rsidR="00165F87">
        <w:rPr>
          <w:szCs w:val="22"/>
        </w:rPr>
        <w:t xml:space="preserve">In its Application, </w:t>
      </w:r>
      <w:r>
        <w:rPr>
          <w:szCs w:val="22"/>
        </w:rPr>
        <w:t>Voxtell</w:t>
      </w:r>
      <w:r w:rsidR="00983D0A">
        <w:rPr>
          <w:szCs w:val="22"/>
        </w:rPr>
        <w:t xml:space="preserve"> </w:t>
      </w:r>
      <w:r w:rsidR="00165F87">
        <w:rPr>
          <w:szCs w:val="22"/>
        </w:rPr>
        <w:t>indicates that it intends to initially request numbers in</w:t>
      </w:r>
      <w:r w:rsidR="00983D0A">
        <w:rPr>
          <w:szCs w:val="22"/>
        </w:rPr>
        <w:t xml:space="preserve"> </w:t>
      </w:r>
      <w:r w:rsidR="00644560">
        <w:rPr>
          <w:szCs w:val="22"/>
        </w:rPr>
        <w:t>Florida</w:t>
      </w:r>
      <w:r w:rsidR="00165F87">
        <w:rPr>
          <w:szCs w:val="22"/>
        </w:rPr>
        <w:t>.</w:t>
      </w:r>
      <w:r>
        <w:rPr>
          <w:rStyle w:val="FootnoteReference"/>
          <w:szCs w:val="22"/>
        </w:rPr>
        <w:footnoteReference w:id="5"/>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10A2822B">
      <w:pPr>
        <w:autoSpaceDE w:val="0"/>
        <w:autoSpaceDN w:val="0"/>
        <w:adjustRightInd w:val="0"/>
        <w:ind w:firstLine="720"/>
        <w:rPr>
          <w:szCs w:val="22"/>
        </w:rPr>
      </w:pPr>
      <w:r w:rsidRPr="00452866">
        <w:rPr>
          <w:szCs w:val="22"/>
        </w:rPr>
        <w:t xml:space="preserve">In its </w:t>
      </w:r>
      <w:r w:rsidR="004971A4">
        <w:rPr>
          <w:szCs w:val="22"/>
        </w:rPr>
        <w:t>A</w:t>
      </w:r>
      <w:r w:rsidRPr="00452866">
        <w:rPr>
          <w:szCs w:val="22"/>
        </w:rPr>
        <w:t>pplication,</w:t>
      </w:r>
      <w:r w:rsidR="002B370C">
        <w:rPr>
          <w:szCs w:val="22"/>
        </w:rPr>
        <w:t xml:space="preserve"> </w:t>
      </w:r>
      <w:r w:rsidR="002B370C">
        <w:rPr>
          <w:szCs w:val="22"/>
        </w:rPr>
        <w:t>Voxtell</w:t>
      </w:r>
      <w:r w:rsidR="008B7B6C">
        <w:rPr>
          <w:szCs w:val="22"/>
        </w:rPr>
        <w:t>,</w:t>
      </w:r>
      <w:r w:rsidRPr="00452866">
        <w:rPr>
          <w:szCs w:val="22"/>
        </w:rPr>
        <w:t xml:space="preserve"> include</w:t>
      </w:r>
      <w:r w:rsidR="00EC58FD">
        <w:rPr>
          <w:szCs w:val="22"/>
        </w:rPr>
        <w:t>s</w:t>
      </w:r>
      <w:r w:rsidRPr="00452866">
        <w:rPr>
          <w:szCs w:val="22"/>
        </w:rPr>
        <w:t xml:space="preserve"> the contact information and acknowledgements required by section 52.15(g)(3)(</w:t>
      </w:r>
      <w:r w:rsidRPr="00452866">
        <w:rPr>
          <w:szCs w:val="22"/>
        </w:rPr>
        <w:t>i</w:t>
      </w:r>
      <w:r w:rsidRPr="00452866">
        <w:rPr>
          <w:szCs w:val="22"/>
        </w:rPr>
        <w:t>) of the Commission’s rules.</w:t>
      </w:r>
      <w:r>
        <w:rPr>
          <w:rStyle w:val="FootnoteReference"/>
          <w:szCs w:val="22"/>
        </w:rPr>
        <w:footnoteReference w:id="6"/>
      </w:r>
      <w:r w:rsidRPr="00452866">
        <w:rPr>
          <w:szCs w:val="22"/>
        </w:rPr>
        <w:t xml:space="preserve">  </w:t>
      </w:r>
      <w:r w:rsidR="002B370C">
        <w:rPr>
          <w:szCs w:val="22"/>
        </w:rPr>
        <w:t>Voxtell</w:t>
      </w:r>
      <w:r w:rsidRPr="00452866" w:rsidR="00983D0A">
        <w:rPr>
          <w:szCs w:val="22"/>
        </w:rPr>
        <w:t xml:space="preserve"> </w:t>
      </w:r>
      <w:r w:rsidRPr="00452866">
        <w:rPr>
          <w:szCs w:val="22"/>
        </w:rPr>
        <w:t>provide</w:t>
      </w:r>
      <w:r w:rsidR="00EC58FD">
        <w:rPr>
          <w:szCs w:val="22"/>
        </w:rPr>
        <w:t>s</w:t>
      </w:r>
      <w:r w:rsidRPr="00452866">
        <w:rPr>
          <w:szCs w:val="22"/>
        </w:rPr>
        <w:t xml:space="preserve"> evidence that it will be capable of providing service within 60 days of the numbering resources activation date</w:t>
      </w:r>
      <w:r w:rsidR="00EC58FD">
        <w:rPr>
          <w:szCs w:val="22"/>
        </w:rPr>
        <w:t>.</w:t>
      </w:r>
      <w:r>
        <w:rPr>
          <w:rStyle w:val="FootnoteReference"/>
          <w:szCs w:val="22"/>
        </w:rPr>
        <w:footnoteReference w:id="7"/>
      </w:r>
      <w:r w:rsidRPr="00452866">
        <w:rPr>
          <w:szCs w:val="22"/>
        </w:rPr>
        <w:t xml:space="preserve"> </w:t>
      </w:r>
      <w:r w:rsidR="00EC58FD">
        <w:rPr>
          <w:szCs w:val="22"/>
        </w:rPr>
        <w:t xml:space="preserve"> </w:t>
      </w:r>
      <w:r w:rsidR="002B370C">
        <w:rPr>
          <w:szCs w:val="22"/>
        </w:rPr>
        <w:t>Voxtell</w:t>
      </w:r>
      <w:r w:rsidR="00983D0A">
        <w:rPr>
          <w:szCs w:val="22"/>
        </w:rPr>
        <w:t xml:space="preserve"> </w:t>
      </w:r>
      <w:r w:rsidR="00EC58FD">
        <w:rPr>
          <w:szCs w:val="22"/>
        </w:rPr>
        <w:t>also c</w:t>
      </w:r>
      <w:r w:rsidRPr="00452866">
        <w:rPr>
          <w:szCs w:val="22"/>
        </w:rPr>
        <w:t>ertifie</w:t>
      </w:r>
      <w:r w:rsidR="00EC58FD">
        <w:rPr>
          <w:szCs w:val="22"/>
        </w:rPr>
        <w:t>s</w:t>
      </w:r>
      <w:r w:rsidRPr="00452866">
        <w:rPr>
          <w:szCs w:val="22"/>
        </w:rPr>
        <w:t xml:space="preserve"> that it complies with the contribution, regulatory fee, and 911 obligations set forth in section 52.15(g)(3)(</w:t>
      </w:r>
      <w:r w:rsidRPr="00452866">
        <w:rPr>
          <w:szCs w:val="22"/>
        </w:rPr>
        <w:t>i</w:t>
      </w:r>
      <w:r w:rsidRPr="00452866">
        <w:rPr>
          <w:szCs w:val="22"/>
        </w:rPr>
        <w:t>)(E).</w:t>
      </w:r>
      <w:r>
        <w:rPr>
          <w:rStyle w:val="FootnoteReference"/>
          <w:szCs w:val="22"/>
        </w:rPr>
        <w:footnoteReference w:id="8"/>
      </w:r>
      <w:r w:rsidRPr="00452866">
        <w:rPr>
          <w:szCs w:val="22"/>
        </w:rPr>
        <w:t xml:space="preserve">  </w:t>
      </w:r>
      <w:r w:rsidR="00EC58FD">
        <w:rPr>
          <w:szCs w:val="22"/>
        </w:rPr>
        <w:t xml:space="preserve">In addition, </w:t>
      </w:r>
      <w:r w:rsidR="002B370C">
        <w:rPr>
          <w:szCs w:val="22"/>
        </w:rPr>
        <w:t>Voxtell</w:t>
      </w:r>
      <w:r w:rsidR="002B370C">
        <w:rPr>
          <w:szCs w:val="22"/>
        </w:rPr>
        <w:t xml:space="preserve"> </w:t>
      </w:r>
      <w:r w:rsidRPr="00452866">
        <w:rPr>
          <w:szCs w:val="22"/>
        </w:rPr>
        <w:t>certifie</w:t>
      </w:r>
      <w:r w:rsidR="00EC58FD">
        <w:rPr>
          <w:szCs w:val="22"/>
        </w:rPr>
        <w:t>s</w:t>
      </w:r>
      <w:r w:rsidRPr="00452866">
        <w:rPr>
          <w:szCs w:val="22"/>
        </w:rPr>
        <w:t xml:space="preserve"> that it has the financial, managerial, and technical expertise to provide reliable service</w:t>
      </w:r>
      <w:r w:rsidR="00EC58FD">
        <w:rPr>
          <w:szCs w:val="22"/>
        </w:rPr>
        <w:t>.</w:t>
      </w:r>
      <w:r>
        <w:rPr>
          <w:rStyle w:val="FootnoteReference"/>
          <w:szCs w:val="22"/>
        </w:rPr>
        <w:footnoteReference w:id="9"/>
      </w:r>
      <w:r w:rsidR="00EC58FD">
        <w:rPr>
          <w:szCs w:val="22"/>
        </w:rPr>
        <w:t xml:space="preserve">  </w:t>
      </w:r>
      <w:r w:rsidR="002B370C">
        <w:rPr>
          <w:szCs w:val="22"/>
        </w:rPr>
        <w:t>Voxtell</w:t>
      </w:r>
      <w:r w:rsidR="00983D0A">
        <w:rPr>
          <w:szCs w:val="22"/>
        </w:rPr>
        <w:t xml:space="preserve"> </w:t>
      </w:r>
      <w:r w:rsidR="00EC58FD">
        <w:rPr>
          <w:szCs w:val="22"/>
        </w:rPr>
        <w:t>further certifies</w:t>
      </w:r>
      <w:r w:rsidRPr="00452866">
        <w:rPr>
          <w:szCs w:val="22"/>
        </w:rPr>
        <w:t xml:space="preserve"> that none of its key management and technical personnel are being or have been investigated by the Federal Communications Commission, or any law enforcement or </w:t>
      </w:r>
      <w:r w:rsidRPr="00452866">
        <w:rPr>
          <w:szCs w:val="22"/>
        </w:rPr>
        <w:t>regulatory agency, for failure to comply with any law, rule, or order</w:t>
      </w:r>
      <w:r w:rsidR="00EC58FD">
        <w:rPr>
          <w:szCs w:val="22"/>
        </w:rPr>
        <w:t>.</w:t>
      </w:r>
      <w:r>
        <w:rPr>
          <w:rStyle w:val="FootnoteReference"/>
          <w:szCs w:val="22"/>
        </w:rPr>
        <w:footnoteReference w:id="10"/>
      </w:r>
      <w:r w:rsidR="00EC58FD">
        <w:rPr>
          <w:szCs w:val="22"/>
        </w:rPr>
        <w:t xml:space="preserve">  Finally,</w:t>
      </w:r>
      <w:r w:rsidR="001E5F7C">
        <w:rPr>
          <w:szCs w:val="22"/>
        </w:rPr>
        <w:t xml:space="preserve"> </w:t>
      </w:r>
      <w:r w:rsidR="002B370C">
        <w:rPr>
          <w:szCs w:val="22"/>
        </w:rPr>
        <w:t>Voxtell</w:t>
      </w:r>
      <w:r w:rsidR="001E5F7C">
        <w:rPr>
          <w:szCs w:val="22"/>
        </w:rPr>
        <w:t xml:space="preserve"> </w:t>
      </w:r>
      <w:r w:rsidR="00EC58FD">
        <w:rPr>
          <w:szCs w:val="22"/>
        </w:rPr>
        <w:t xml:space="preserve">certifies </w:t>
      </w:r>
      <w:r w:rsidRPr="00452866">
        <w:rPr>
          <w:szCs w:val="22"/>
        </w:rPr>
        <w:t>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w:t>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22F8E040">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 xml:space="preserve">VoIP Numbering Authorization Application if, upon further examination, it is determined to be defective and not in conformance with the Commission’s rules and policies.  Pursuant to section 52.15(g)(3)(ii) of the Commission’s rules, interested parties may file comments in </w:t>
      </w:r>
      <w:r w:rsidRPr="007E63F9">
        <w:rPr>
          <w:szCs w:val="22"/>
        </w:rPr>
        <w:t xml:space="preserve">WC Docket No. </w:t>
      </w:r>
      <w:r w:rsidR="001E5F7C">
        <w:rPr>
          <w:szCs w:val="22"/>
        </w:rPr>
        <w:t>21</w:t>
      </w:r>
      <w:r w:rsidR="009B1B73">
        <w:rPr>
          <w:szCs w:val="22"/>
        </w:rPr>
        <w:t>-</w:t>
      </w:r>
      <w:r w:rsidR="00AA7BEC">
        <w:rPr>
          <w:szCs w:val="22"/>
        </w:rPr>
        <w:t>58</w:t>
      </w:r>
      <w:r w:rsidR="005321BE">
        <w:rPr>
          <w:szCs w:val="22"/>
        </w:rPr>
        <w:t xml:space="preserve"> </w:t>
      </w:r>
      <w:r w:rsidRPr="007E63F9">
        <w:rPr>
          <w:b/>
          <w:szCs w:val="22"/>
        </w:rPr>
        <w:t xml:space="preserve">on or before </w:t>
      </w:r>
      <w:r w:rsidR="006F20DF">
        <w:rPr>
          <w:b/>
          <w:szCs w:val="22"/>
        </w:rPr>
        <w:t>May 18, 2021</w:t>
      </w:r>
      <w:r w:rsidRPr="00CA3425">
        <w:rPr>
          <w:szCs w:val="22"/>
        </w:rPr>
        <w:t>.</w:t>
      </w:r>
      <w:r>
        <w:rPr>
          <w:rStyle w:val="FootnoteReference"/>
          <w:szCs w:val="22"/>
        </w:rPr>
        <w:footnoteReference w:id="12"/>
      </w:r>
      <w:r w:rsidRPr="00452866">
        <w:rPr>
          <w:szCs w:val="22"/>
        </w:rPr>
        <w:t xml:space="preserve">  Commenters must serve a copy of comments on </w:t>
      </w:r>
      <w:r w:rsidR="002B370C">
        <w:rPr>
          <w:szCs w:val="22"/>
        </w:rPr>
        <w:t>Voxtell</w:t>
      </w:r>
      <w:r w:rsidRPr="00452866" w:rsidR="001E5F7C">
        <w:rPr>
          <w:szCs w:val="22"/>
        </w:rPr>
        <w:t xml:space="preserve"> </w:t>
      </w:r>
      <w:r w:rsidRPr="00452866">
        <w:rPr>
          <w:szCs w:val="22"/>
        </w:rPr>
        <w:t>no later than the above comment filing date.  Unless otherwise notified by the Commission,</w:t>
      </w:r>
      <w:r w:rsidRPr="001E5F7C" w:rsidR="001E5F7C">
        <w:rPr>
          <w:szCs w:val="22"/>
        </w:rPr>
        <w:t xml:space="preserve"> </w:t>
      </w:r>
      <w:r w:rsidR="002B370C">
        <w:rPr>
          <w:szCs w:val="22"/>
        </w:rPr>
        <w:t>Voxtell</w:t>
      </w:r>
      <w:r w:rsidR="00F16F14">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3"/>
      </w:r>
      <w:r w:rsidRPr="00452866">
        <w:rPr>
          <w:szCs w:val="22"/>
        </w:rPr>
        <w:t xml:space="preserve">  </w:t>
      </w:r>
    </w:p>
    <w:p w:rsidR="00334AD5" w:rsidRPr="00452866" w:rsidP="00334AD5" w14:paraId="3A8D120E" w14:textId="77777777">
      <w:pPr>
        <w:rPr>
          <w:szCs w:val="22"/>
        </w:rPr>
      </w:pPr>
    </w:p>
    <w:p w:rsidR="00334AD5" w:rsidRPr="00452866" w:rsidP="00334AD5" w14:paraId="50FA6818" w14:textId="58818FBE">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4"/>
      </w:r>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4C95A0C4">
      <w:pPr>
        <w:widowControl/>
        <w:numPr>
          <w:ilvl w:val="0"/>
          <w:numId w:val="7"/>
        </w:numPr>
        <w:rPr>
          <w:szCs w:val="22"/>
        </w:rPr>
      </w:pPr>
      <w:r>
        <w:rPr>
          <w:szCs w:val="22"/>
        </w:rPr>
        <w:t xml:space="preserve">Margoux </w:t>
      </w:r>
      <w:r w:rsidR="000A4F31">
        <w:rPr>
          <w:szCs w:val="22"/>
        </w:rPr>
        <w:t>Newman</w:t>
      </w:r>
      <w:r>
        <w:rPr>
          <w:szCs w:val="22"/>
        </w:rPr>
        <w:t xml:space="preserve">, Competition Policy Division, Wireline Competition Bureau, </w:t>
      </w:r>
      <w:r w:rsidRPr="00E61548">
        <w:rPr>
          <w:szCs w:val="22"/>
        </w:rPr>
        <w:t>Margoux.</w:t>
      </w:r>
      <w:r w:rsidR="000A4F31">
        <w:rPr>
          <w:szCs w:val="22"/>
        </w:rPr>
        <w:t>Newman</w:t>
      </w:r>
      <w:r w:rsidRPr="00E61548">
        <w:rPr>
          <w:szCs w:val="22"/>
        </w:rPr>
        <w:t>@fcc.gov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w:t>
      </w:r>
      <w:r w:rsidRPr="00452866">
        <w:rPr>
          <w:szCs w:val="22"/>
        </w:rPr>
        <w:t xml:space="preserve">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5"/>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1080A197">
      <w:pPr>
        <w:rPr>
          <w:szCs w:val="22"/>
        </w:rPr>
      </w:pPr>
      <w:r w:rsidRPr="00452866">
        <w:rPr>
          <w:szCs w:val="22"/>
        </w:rPr>
        <w:tab/>
      </w:r>
      <w:r w:rsidRPr="00452866" w:rsidR="00771312">
        <w:rPr>
          <w:szCs w:val="22"/>
        </w:rPr>
        <w:t>For further information, please contact</w:t>
      </w:r>
      <w:r w:rsidR="00771312">
        <w:rPr>
          <w:szCs w:val="22"/>
        </w:rPr>
        <w:t xml:space="preserve"> Margoux </w:t>
      </w:r>
      <w:r w:rsidR="00B16755">
        <w:rPr>
          <w:szCs w:val="22"/>
        </w:rPr>
        <w:t>Newman</w:t>
      </w:r>
      <w:r w:rsidR="00771312">
        <w:rPr>
          <w:szCs w:val="22"/>
        </w:rPr>
        <w:t xml:space="preserve"> at margoux.</w:t>
      </w:r>
      <w:r w:rsidR="00B16755">
        <w:rPr>
          <w:szCs w:val="22"/>
        </w:rPr>
        <w:t>newman</w:t>
      </w:r>
      <w:r w:rsidR="00771312">
        <w:rPr>
          <w:szCs w:val="22"/>
        </w:rPr>
        <w:t xml:space="preserve">@fcc.gov,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P="00910F12" w14:paraId="6F97E422" w14:textId="35239690">
      <w:pPr>
        <w:jc w:val="right"/>
        <w:rPr>
          <w:sz w:val="20"/>
        </w:rPr>
      </w:pPr>
    </w:p>
  </w:footnote>
  <w:footnote w:id="3">
    <w:p w:rsidR="00334AD5" w:rsidRPr="005321BE" w:rsidP="00334AD5" w14:paraId="5EAAE905" w14:textId="2ADB9569">
      <w:pPr>
        <w:pStyle w:val="FootnoteText"/>
      </w:pPr>
      <w:r w:rsidRPr="005321BE">
        <w:rPr>
          <w:rStyle w:val="FootnoteReference"/>
          <w:sz w:val="20"/>
        </w:rPr>
        <w:footnoteRef/>
      </w:r>
      <w:r w:rsidRPr="005321BE">
        <w:t xml:space="preserve"> We assign WC Docket No. </w:t>
      </w:r>
      <w:r w:rsidR="00983D0A">
        <w:t>21</w:t>
      </w:r>
      <w:r w:rsidR="009B1B73">
        <w:t>-</w:t>
      </w:r>
      <w:r w:rsidR="00AA7BEC">
        <w:t>58</w:t>
      </w:r>
      <w:r w:rsidRPr="005321BE" w:rsidR="001C06E1">
        <w:t xml:space="preserve"> </w:t>
      </w:r>
      <w:r w:rsidRPr="005321BE">
        <w:t xml:space="preserve">for this application and all related filings by the applicant and interested parties.  </w:t>
      </w:r>
      <w:r w:rsidRPr="005321BE">
        <w:rPr>
          <w:i/>
        </w:rPr>
        <w:t>See</w:t>
      </w:r>
      <w:r w:rsidRPr="005321BE">
        <w:t xml:space="preserve"> </w:t>
      </w:r>
      <w:r w:rsidRPr="005321BE">
        <w:rPr>
          <w:i/>
          <w:color w:val="020100"/>
        </w:rPr>
        <w:t>Wireline Competition Bureau Announces Commencement Date and Process for Interconnected VoIP Providers to File Applications for Authorization to Obtain Telephone Numbers</w:t>
      </w:r>
      <w:r w:rsidRPr="005321BE">
        <w:rPr>
          <w:color w:val="020100"/>
        </w:rPr>
        <w:t xml:space="preserve">, Public Notice, 31 FCC </w:t>
      </w:r>
      <w:r w:rsidRPr="005321BE">
        <w:rPr>
          <w:color w:val="020100"/>
        </w:rPr>
        <w:t>Rcd</w:t>
      </w:r>
      <w:r w:rsidRPr="005321BE">
        <w:rPr>
          <w:color w:val="020100"/>
        </w:rPr>
        <w:t xml:space="preserve"> 949, 950 (WCB 2016). </w:t>
      </w:r>
    </w:p>
  </w:footnote>
  <w:footnote w:id="4">
    <w:p w:rsidR="00334AD5" w:rsidRPr="005321BE" w:rsidP="00334AD5" w14:paraId="1F996626" w14:textId="20FAB035">
      <w:pPr>
        <w:pStyle w:val="FootnoteText"/>
      </w:pPr>
      <w:r w:rsidRPr="005321BE">
        <w:rPr>
          <w:rStyle w:val="FootnoteReference"/>
          <w:sz w:val="20"/>
        </w:rPr>
        <w:footnoteRef/>
      </w:r>
      <w:r w:rsidRPr="005321BE">
        <w:t xml:space="preserve"> </w:t>
      </w:r>
      <w:r w:rsidRPr="005321BE" w:rsidR="00165F87">
        <w:rPr>
          <w:i/>
        </w:rPr>
        <w:t xml:space="preserve">See </w:t>
      </w:r>
      <w:r w:rsidRPr="005321BE" w:rsidR="00165F87">
        <w:t xml:space="preserve">Application of </w:t>
      </w:r>
      <w:r w:rsidR="002B370C">
        <w:rPr>
          <w:szCs w:val="22"/>
        </w:rPr>
        <w:t>Voxtell</w:t>
      </w:r>
      <w:r w:rsidRPr="005321BE" w:rsidR="00983D0A">
        <w:t xml:space="preserve"> </w:t>
      </w:r>
      <w:r w:rsidRPr="005321BE" w:rsidR="00165F87">
        <w:t xml:space="preserve">for Authorization to Obtain Numbering Resources, WC Docket No. </w:t>
      </w:r>
      <w:r w:rsidR="00983D0A">
        <w:t>21</w:t>
      </w:r>
      <w:r w:rsidRPr="005321BE" w:rsidR="00165F87">
        <w:t>-</w:t>
      </w:r>
      <w:r w:rsidR="00AA7BEC">
        <w:t>58</w:t>
      </w:r>
      <w:r w:rsidR="00165F87">
        <w:t xml:space="preserve"> </w:t>
      </w:r>
      <w:r w:rsidRPr="005321BE" w:rsidR="00165F87">
        <w:t xml:space="preserve">(filed </w:t>
      </w:r>
      <w:r w:rsidR="002B370C">
        <w:t>February 17</w:t>
      </w:r>
      <w:r w:rsidR="00983D0A">
        <w:t>, 2021</w:t>
      </w:r>
      <w:r w:rsidRPr="005321BE" w:rsidR="00165F87">
        <w:t>),</w:t>
      </w:r>
      <w:r w:rsidR="00165F87">
        <w:t xml:space="preserve"> </w:t>
      </w:r>
      <w:hyperlink r:id="rId1" w:history="1"/>
      <w:r w:rsidRPr="0017199B" w:rsidR="00165F87">
        <w:t xml:space="preserve"> </w:t>
      </w:r>
      <w:hyperlink r:id="rId2" w:history="1">
        <w:r w:rsidRPr="00974A5B" w:rsidR="002B370C">
          <w:rPr>
            <w:rStyle w:val="Hyperlink"/>
          </w:rPr>
          <w:t>https://www.fcc.gov/ecfs/filing/10217249180622</w:t>
        </w:r>
      </w:hyperlink>
      <w:r w:rsidR="002B370C">
        <w:t xml:space="preserve"> </w:t>
      </w:r>
      <w:r w:rsidRPr="005321BE" w:rsidR="00165F87">
        <w:t>(</w:t>
      </w:r>
      <w:r w:rsidR="002B370C">
        <w:rPr>
          <w:szCs w:val="22"/>
        </w:rPr>
        <w:t>Voxtell</w:t>
      </w:r>
      <w:r w:rsidRPr="005321BE" w:rsidR="00983D0A">
        <w:t xml:space="preserve"> </w:t>
      </w:r>
      <w:r w:rsidRPr="005321BE" w:rsidR="00165F87">
        <w:t>Application)</w:t>
      </w:r>
      <w:r w:rsidR="00165F87">
        <w:t xml:space="preserve">; </w:t>
      </w:r>
      <w:r w:rsidR="00644560">
        <w:t xml:space="preserve">Supplement to </w:t>
      </w:r>
      <w:r w:rsidR="00644560">
        <w:t>Voxtell</w:t>
      </w:r>
      <w:r w:rsidR="00644560">
        <w:t xml:space="preserve"> Application, WC Docket No. 21-58 (filed Apr. 1, 2021), </w:t>
      </w:r>
      <w:hyperlink r:id="rId3" w:history="1">
        <w:r w:rsidRPr="007014B1" w:rsidR="00644560">
          <w:rPr>
            <w:rStyle w:val="Hyperlink"/>
          </w:rPr>
          <w:t>https://www.fcc.gov/ecfs/filing/10401251598645</w:t>
        </w:r>
      </w:hyperlink>
      <w:r w:rsidR="00644560">
        <w:t xml:space="preserve"> (</w:t>
      </w:r>
      <w:r w:rsidR="00644560">
        <w:t>Voxtell</w:t>
      </w:r>
      <w:r w:rsidR="00644560">
        <w:t xml:space="preserve"> Supplement)</w:t>
      </w:r>
      <w:r w:rsidR="00DF5C12">
        <w:t xml:space="preserve">; Second Supplement to </w:t>
      </w:r>
      <w:r w:rsidR="00DF5C12">
        <w:t>Voxtell</w:t>
      </w:r>
      <w:r w:rsidR="00DF5C12">
        <w:t xml:space="preserve"> Application, WC Docket No. 21-58 (filed Apr. 2, 2021), </w:t>
      </w:r>
      <w:hyperlink r:id="rId4" w:history="1">
        <w:r w:rsidRPr="00421DD0" w:rsidR="00DF5C12">
          <w:rPr>
            <w:rStyle w:val="Hyperlink"/>
          </w:rPr>
          <w:t>https://www.fcc.gov/ecfs/filing/104023017312274</w:t>
        </w:r>
      </w:hyperlink>
      <w:r w:rsidR="00DF5C12">
        <w:t xml:space="preserve"> (</w:t>
      </w:r>
      <w:r w:rsidR="00DF5C12">
        <w:t>Voxtell</w:t>
      </w:r>
      <w:r w:rsidR="00DF5C12">
        <w:t xml:space="preserve"> Second Supplement).</w:t>
      </w:r>
      <w:r w:rsidR="00644560">
        <w:t xml:space="preserve">  </w:t>
      </w:r>
      <w:r w:rsidRPr="005321BE">
        <w:t xml:space="preserve">For purposes of this Public Notice, the Numbering Administrators include the North American Numbering Plan Administrator and the Pooling Administrator.  </w:t>
      </w:r>
    </w:p>
  </w:footnote>
  <w:footnote w:id="5">
    <w:p w:rsidR="00165F87" w14:paraId="7C6ED4BB" w14:textId="4BA6126A">
      <w:pPr>
        <w:pStyle w:val="FootnoteText"/>
      </w:pPr>
      <w:r>
        <w:rPr>
          <w:rStyle w:val="FootnoteReference"/>
        </w:rPr>
        <w:footnoteRef/>
      </w:r>
      <w:r>
        <w:t xml:space="preserve"> </w:t>
      </w:r>
      <w:r w:rsidR="002B370C">
        <w:rPr>
          <w:szCs w:val="22"/>
        </w:rPr>
        <w:t>Voxtell</w:t>
      </w:r>
      <w:r w:rsidR="001E5F7C">
        <w:t xml:space="preserve"> </w:t>
      </w:r>
      <w:r w:rsidR="00644560">
        <w:t>Supplement</w:t>
      </w:r>
      <w:r w:rsidR="00EC58FD">
        <w:t xml:space="preserve"> at</w:t>
      </w:r>
      <w:r w:rsidR="003063AF">
        <w:t xml:space="preserve"> </w:t>
      </w:r>
      <w:r w:rsidR="00644560">
        <w:t>1</w:t>
      </w:r>
      <w:r w:rsidR="00EC58FD">
        <w:t>.</w:t>
      </w:r>
    </w:p>
  </w:footnote>
  <w:footnote w:id="6">
    <w:p w:rsidR="00E90579" w:rsidRPr="005321BE" w14:paraId="6EBBAB98" w14:textId="055BE4E5">
      <w:pPr>
        <w:pStyle w:val="FootnoteText"/>
      </w:pPr>
      <w:r w:rsidRPr="005321BE">
        <w:rPr>
          <w:rStyle w:val="FootnoteReference"/>
          <w:sz w:val="20"/>
        </w:rPr>
        <w:footnoteRef/>
      </w:r>
      <w:r w:rsidRPr="005321BE">
        <w:t xml:space="preserve"> </w:t>
      </w:r>
      <w:r w:rsidR="002B370C">
        <w:rPr>
          <w:szCs w:val="22"/>
        </w:rPr>
        <w:t>Voxtell</w:t>
      </w:r>
      <w:r w:rsidR="00236CE9">
        <w:rPr>
          <w:szCs w:val="22"/>
        </w:rPr>
        <w:t xml:space="preserve"> </w:t>
      </w:r>
      <w:r w:rsidR="00EC58FD">
        <w:t xml:space="preserve">Application at </w:t>
      </w:r>
      <w:r w:rsidR="003063AF">
        <w:t>1</w:t>
      </w:r>
      <w:r w:rsidR="00EC58FD">
        <w:t xml:space="preserve">; </w:t>
      </w:r>
      <w:r w:rsidR="00EC58FD">
        <w:rPr>
          <w:i/>
          <w:iCs/>
        </w:rPr>
        <w:t xml:space="preserve">see </w:t>
      </w:r>
      <w:r w:rsidRPr="005321BE">
        <w:rPr>
          <w:rStyle w:val="FootnoteReference"/>
          <w:sz w:val="20"/>
          <w:vertAlign w:val="baseline"/>
        </w:rPr>
        <w:t>47 CFR § 52.15(g)(3)(</w:t>
      </w:r>
      <w:r w:rsidRPr="005321BE">
        <w:rPr>
          <w:rStyle w:val="FootnoteReference"/>
          <w:sz w:val="20"/>
          <w:vertAlign w:val="baseline"/>
        </w:rPr>
        <w:t>i</w:t>
      </w:r>
      <w:r w:rsidRPr="005321BE">
        <w:rPr>
          <w:rStyle w:val="FootnoteReference"/>
          <w:sz w:val="20"/>
          <w:vertAlign w:val="baseline"/>
        </w:rPr>
        <w:t>)(A)-(C), (F).</w:t>
      </w:r>
    </w:p>
  </w:footnote>
  <w:footnote w:id="7">
    <w:p w:rsidR="00334AD5" w:rsidRPr="005321BE" w:rsidP="00334AD5" w14:paraId="59A5333C" w14:textId="1EF1EBAC">
      <w:pPr>
        <w:pStyle w:val="FootnoteText"/>
      </w:pPr>
      <w:r w:rsidRPr="005321BE">
        <w:rPr>
          <w:rStyle w:val="FootnoteReference"/>
          <w:sz w:val="20"/>
        </w:rPr>
        <w:footnoteRef/>
      </w:r>
      <w:r w:rsidRPr="005321BE">
        <w:t xml:space="preserve"> </w:t>
      </w:r>
      <w:r w:rsidR="002B370C">
        <w:rPr>
          <w:szCs w:val="22"/>
        </w:rPr>
        <w:t>Voxtell</w:t>
      </w:r>
      <w:r w:rsidR="00236CE9">
        <w:rPr>
          <w:szCs w:val="22"/>
        </w:rPr>
        <w:t xml:space="preserve"> </w:t>
      </w:r>
      <w:r w:rsidR="00EC58FD">
        <w:t xml:space="preserve">Application at </w:t>
      </w:r>
      <w:r w:rsidR="00F2326A">
        <w:t>2</w:t>
      </w:r>
      <w:r w:rsidR="00EC58FD">
        <w:t xml:space="preserve">; </w:t>
      </w:r>
      <w:r w:rsidR="00EC58FD">
        <w:rPr>
          <w:i/>
          <w:iCs/>
        </w:rPr>
        <w:t xml:space="preserve">see </w:t>
      </w:r>
      <w:r w:rsidRPr="005321BE">
        <w:t>47 CFR § 52.15(g)(3)(</w:t>
      </w:r>
      <w:r w:rsidRPr="005321BE">
        <w:t>i</w:t>
      </w:r>
      <w:r w:rsidRPr="005321BE">
        <w:t>)(D).</w:t>
      </w:r>
    </w:p>
  </w:footnote>
  <w:footnote w:id="8">
    <w:p w:rsidR="00334AD5" w:rsidRPr="005321BE" w:rsidP="00334AD5" w14:paraId="31AB702C" w14:textId="287C846B">
      <w:pPr>
        <w:pStyle w:val="FootnoteText"/>
      </w:pPr>
      <w:r w:rsidRPr="005321BE">
        <w:rPr>
          <w:rStyle w:val="FootnoteReference"/>
          <w:sz w:val="20"/>
        </w:rPr>
        <w:footnoteRef/>
      </w:r>
      <w:r w:rsidRPr="005321BE">
        <w:t xml:space="preserve"> </w:t>
      </w:r>
      <w:r w:rsidR="002B370C">
        <w:rPr>
          <w:szCs w:val="22"/>
        </w:rPr>
        <w:t>Voxtell</w:t>
      </w:r>
      <w:r w:rsidR="00236CE9">
        <w:rPr>
          <w:szCs w:val="22"/>
        </w:rPr>
        <w:t xml:space="preserve"> </w:t>
      </w:r>
      <w:r w:rsidR="00EC58FD">
        <w:t xml:space="preserve">Application at </w:t>
      </w:r>
      <w:r w:rsidR="003063AF">
        <w:t>2-3</w:t>
      </w:r>
      <w:r w:rsidR="00EC58FD">
        <w:t xml:space="preserve"> </w:t>
      </w:r>
      <w:r w:rsidR="00EC58FD">
        <w:rPr>
          <w:i/>
          <w:iCs/>
        </w:rPr>
        <w:t xml:space="preserve">see </w:t>
      </w:r>
      <w:r w:rsidRPr="005321BE">
        <w:t>47 CFR § 52.15(g)(3)(</w:t>
      </w:r>
      <w:r w:rsidRPr="005321BE">
        <w:t>i</w:t>
      </w:r>
      <w:r w:rsidRPr="005321BE">
        <w:t xml:space="preserve">)(E); </w:t>
      </w:r>
      <w:r w:rsidRPr="005321BE">
        <w:rPr>
          <w:i/>
        </w:rPr>
        <w:t>see also</w:t>
      </w:r>
      <w:r w:rsidRPr="005321BE">
        <w:t xml:space="preserve"> 47 CFR §§ 1.1154, 52.17, 52.32, 64.604(c)(5)(iii); 47 CFR pts. 9 and 54, </w:t>
      </w:r>
      <w:r w:rsidRPr="005321BE">
        <w:t>subpt</w:t>
      </w:r>
      <w:r w:rsidRPr="005321BE">
        <w:t>. H.</w:t>
      </w:r>
    </w:p>
  </w:footnote>
  <w:footnote w:id="9">
    <w:p w:rsidR="00334AD5" w:rsidRPr="005321BE" w:rsidP="00334AD5" w14:paraId="18FB06A1" w14:textId="6C8D2DC9">
      <w:pPr>
        <w:pStyle w:val="FootnoteText"/>
      </w:pPr>
      <w:r w:rsidRPr="005321BE">
        <w:rPr>
          <w:rStyle w:val="FootnoteReference"/>
          <w:sz w:val="20"/>
        </w:rPr>
        <w:footnoteRef/>
      </w:r>
      <w:r w:rsidRPr="005321BE">
        <w:t xml:space="preserve"> </w:t>
      </w:r>
      <w:r w:rsidR="002B370C">
        <w:rPr>
          <w:szCs w:val="22"/>
        </w:rPr>
        <w:t>Voxtell</w:t>
      </w:r>
      <w:r w:rsidR="00236CE9">
        <w:rPr>
          <w:szCs w:val="22"/>
        </w:rPr>
        <w:t xml:space="preserve"> </w:t>
      </w:r>
      <w:r w:rsidR="00EC58FD">
        <w:t xml:space="preserve">Application at </w:t>
      </w:r>
      <w:r w:rsidR="003063AF">
        <w:t>2</w:t>
      </w:r>
      <w:r w:rsidR="00EC58FD">
        <w:t xml:space="preserve">; </w:t>
      </w:r>
      <w:r w:rsidR="00EC58FD">
        <w:rPr>
          <w:i/>
          <w:iCs/>
        </w:rPr>
        <w:t xml:space="preserve">see </w:t>
      </w:r>
      <w:r w:rsidRPr="005321BE">
        <w:t>47 CFR § 52.15(g)(3)(</w:t>
      </w:r>
      <w:r w:rsidRPr="005321BE">
        <w:t>i</w:t>
      </w:r>
      <w:r w:rsidRPr="005321BE">
        <w:t>)(F).</w:t>
      </w:r>
    </w:p>
  </w:footnote>
  <w:footnote w:id="10">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1">
    <w:p w:rsidR="00334AD5" w:rsidRPr="005321BE" w:rsidP="00334AD5" w14:paraId="588FBC3B" w14:textId="602A9FDE">
      <w:pPr>
        <w:pStyle w:val="FootnoteText"/>
      </w:pPr>
      <w:r w:rsidRPr="005321BE">
        <w:rPr>
          <w:rStyle w:val="FootnoteReference"/>
          <w:sz w:val="20"/>
        </w:rPr>
        <w:footnoteRef/>
      </w:r>
      <w:r w:rsidRPr="005321BE">
        <w:t xml:space="preserve"> </w:t>
      </w:r>
      <w:r w:rsidR="002B370C">
        <w:rPr>
          <w:szCs w:val="22"/>
        </w:rPr>
        <w:t>Voxtell</w:t>
      </w:r>
      <w:r w:rsidR="00845562">
        <w:rPr>
          <w:szCs w:val="22"/>
        </w:rPr>
        <w:t xml:space="preserve"> Application</w:t>
      </w:r>
      <w:r w:rsidR="001E5F7C">
        <w:t xml:space="preserve"> </w:t>
      </w:r>
      <w:r w:rsidR="00EC58FD">
        <w:t xml:space="preserve">at </w:t>
      </w:r>
      <w:r w:rsidR="00ED5640">
        <w:t>2</w:t>
      </w:r>
      <w:r w:rsidR="00EC58FD">
        <w:t xml:space="preserve">; </w:t>
      </w:r>
      <w:r w:rsidR="00EC58FD">
        <w:rPr>
          <w:i/>
          <w:iCs/>
        </w:rPr>
        <w:t xml:space="preserve">see </w:t>
      </w:r>
      <w:r w:rsidRPr="005321BE">
        <w:t>47 CFR § 52.15(g)(3)(</w:t>
      </w:r>
      <w:r w:rsidRPr="005321BE">
        <w:t>i</w:t>
      </w:r>
      <w:r w:rsidRPr="005321BE">
        <w:t xml:space="preserve">)(G); </w:t>
      </w:r>
      <w:r w:rsidRPr="005321BE">
        <w:rPr>
          <w:i/>
        </w:rPr>
        <w:t>see also</w:t>
      </w:r>
      <w:r w:rsidRPr="005321BE">
        <w:t xml:space="preserve"> 21 U.S.C. § 862.</w:t>
      </w:r>
    </w:p>
  </w:footnote>
  <w:footnote w:id="12">
    <w:p w:rsidR="00EC58FD" w:rsidRPr="005321BE" w:rsidP="00EC58FD" w14:paraId="62747EF9" w14:textId="77777777">
      <w:pPr>
        <w:pStyle w:val="FootnoteText"/>
      </w:pPr>
      <w:r w:rsidRPr="005321BE">
        <w:rPr>
          <w:rStyle w:val="FootnoteReference"/>
          <w:sz w:val="20"/>
        </w:rPr>
        <w:footnoteRef/>
      </w:r>
      <w:r w:rsidRPr="005321BE">
        <w:t xml:space="preserve"> 47 CFR § 52.15(g)(3)(ii).</w:t>
      </w:r>
    </w:p>
  </w:footnote>
  <w:footnote w:id="13">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4">
    <w:p w:rsidR="00EC58FD" w:rsidRPr="005321BE" w:rsidP="00EC58FD" w14:paraId="7D745FA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6F10D911">
    <w:pPr>
      <w:tabs>
        <w:tab w:val="center" w:pos="4680"/>
        <w:tab w:val="right" w:pos="9360"/>
      </w:tabs>
    </w:pPr>
    <w:r w:rsidRPr="009838BC">
      <w:rPr>
        <w:b/>
      </w:rPr>
      <w:tab/>
      <w:t>Federal Communications Commission</w:t>
    </w:r>
    <w:r w:rsidRPr="009838BC">
      <w:rPr>
        <w:b/>
      </w:rPr>
      <w:tab/>
    </w:r>
    <w:r w:rsidR="001B36DF">
      <w:rPr>
        <w:b/>
      </w:rPr>
      <w:t>DA 21-510</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77777777">
                          <w:pPr>
                            <w:rPr>
                              <w:rFonts w:ascii="Arial" w:hAnsi="Arial"/>
                              <w:b/>
                            </w:rPr>
                          </w:pPr>
                          <w:r w:rsidRPr="007E07A7">
                            <w:rPr>
                              <w:rFonts w:ascii="Arial" w:hAnsi="Arial"/>
                              <w:b/>
                            </w:rPr>
                            <w:t>45 L Street NE</w:t>
                          </w:r>
                        </w:p>
                        <w:p w:rsidR="009838BC" w:rsidP="007E07A7" w14:textId="3292BE22">
                          <w:pPr>
                            <w:rPr>
                              <w:rFonts w:ascii="Arial" w:hAnsi="Arial"/>
                              <w:sz w:val="24"/>
                            </w:rPr>
                          </w:pPr>
                          <w:r w:rsidRPr="007E07A7">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7E07A7" w:rsidRPr="007E07A7" w:rsidP="007E07A7" w14:paraId="23D80DB6" w14:textId="77777777">
                    <w:pPr>
                      <w:rPr>
                        <w:rFonts w:ascii="Arial" w:hAnsi="Arial"/>
                        <w:b/>
                      </w:rPr>
                    </w:pPr>
                    <w:r w:rsidRPr="007E07A7">
                      <w:rPr>
                        <w:rFonts w:ascii="Arial" w:hAnsi="Arial"/>
                        <w:b/>
                      </w:rPr>
                      <w:t>45 L Street NE</w:t>
                    </w:r>
                  </w:p>
                  <w:p w:rsidR="009838BC" w:rsidP="007E07A7" w14:paraId="266EED47" w14:textId="3292BE22">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6560"/>
    <w:rsid w:val="00037F90"/>
    <w:rsid w:val="000875BF"/>
    <w:rsid w:val="00091E51"/>
    <w:rsid w:val="00096D8C"/>
    <w:rsid w:val="000A4F31"/>
    <w:rsid w:val="000B2479"/>
    <w:rsid w:val="000C0B65"/>
    <w:rsid w:val="000E3D42"/>
    <w:rsid w:val="000E5884"/>
    <w:rsid w:val="000F43D1"/>
    <w:rsid w:val="00103469"/>
    <w:rsid w:val="00122BD5"/>
    <w:rsid w:val="0013352D"/>
    <w:rsid w:val="00165C6D"/>
    <w:rsid w:val="00165F87"/>
    <w:rsid w:val="0017199B"/>
    <w:rsid w:val="001979D9"/>
    <w:rsid w:val="001A6026"/>
    <w:rsid w:val="001B36DF"/>
    <w:rsid w:val="001C06E1"/>
    <w:rsid w:val="001D1F22"/>
    <w:rsid w:val="001D6BCF"/>
    <w:rsid w:val="001E01CA"/>
    <w:rsid w:val="001E5F7C"/>
    <w:rsid w:val="002060D9"/>
    <w:rsid w:val="00210F21"/>
    <w:rsid w:val="00226822"/>
    <w:rsid w:val="00230197"/>
    <w:rsid w:val="00236CE9"/>
    <w:rsid w:val="00243CE0"/>
    <w:rsid w:val="00260594"/>
    <w:rsid w:val="00264B52"/>
    <w:rsid w:val="00285017"/>
    <w:rsid w:val="0029223C"/>
    <w:rsid w:val="00293241"/>
    <w:rsid w:val="00293E74"/>
    <w:rsid w:val="0029562D"/>
    <w:rsid w:val="002A1235"/>
    <w:rsid w:val="002A2D2E"/>
    <w:rsid w:val="002B370C"/>
    <w:rsid w:val="003063AF"/>
    <w:rsid w:val="003255EB"/>
    <w:rsid w:val="00334AD5"/>
    <w:rsid w:val="00335690"/>
    <w:rsid w:val="00343749"/>
    <w:rsid w:val="00357D50"/>
    <w:rsid w:val="00371EC1"/>
    <w:rsid w:val="003872F5"/>
    <w:rsid w:val="003925DC"/>
    <w:rsid w:val="00394035"/>
    <w:rsid w:val="003A72C7"/>
    <w:rsid w:val="003A7D37"/>
    <w:rsid w:val="003B0550"/>
    <w:rsid w:val="003B694F"/>
    <w:rsid w:val="003C5F2C"/>
    <w:rsid w:val="003D4940"/>
    <w:rsid w:val="003D66F8"/>
    <w:rsid w:val="003F171C"/>
    <w:rsid w:val="003F2D9F"/>
    <w:rsid w:val="004045A6"/>
    <w:rsid w:val="00405106"/>
    <w:rsid w:val="00412FC5"/>
    <w:rsid w:val="00421DD0"/>
    <w:rsid w:val="004220BE"/>
    <w:rsid w:val="00422276"/>
    <w:rsid w:val="004242F1"/>
    <w:rsid w:val="00445A00"/>
    <w:rsid w:val="00451B0F"/>
    <w:rsid w:val="00452866"/>
    <w:rsid w:val="0046125F"/>
    <w:rsid w:val="00484052"/>
    <w:rsid w:val="0048612D"/>
    <w:rsid w:val="00487524"/>
    <w:rsid w:val="00496106"/>
    <w:rsid w:val="004971A4"/>
    <w:rsid w:val="004C12D0"/>
    <w:rsid w:val="004C2EE3"/>
    <w:rsid w:val="004E0884"/>
    <w:rsid w:val="004E4A22"/>
    <w:rsid w:val="00511968"/>
    <w:rsid w:val="005321BE"/>
    <w:rsid w:val="005329E9"/>
    <w:rsid w:val="0054053D"/>
    <w:rsid w:val="0055614C"/>
    <w:rsid w:val="00572CDD"/>
    <w:rsid w:val="0059197D"/>
    <w:rsid w:val="005E7F13"/>
    <w:rsid w:val="00607BA5"/>
    <w:rsid w:val="006148B3"/>
    <w:rsid w:val="00626EB6"/>
    <w:rsid w:val="006353A3"/>
    <w:rsid w:val="00644560"/>
    <w:rsid w:val="00652A86"/>
    <w:rsid w:val="00655D03"/>
    <w:rsid w:val="00683F84"/>
    <w:rsid w:val="0069551B"/>
    <w:rsid w:val="00697FC9"/>
    <w:rsid w:val="006A6A81"/>
    <w:rsid w:val="006E26AF"/>
    <w:rsid w:val="006E2DB9"/>
    <w:rsid w:val="006F20DF"/>
    <w:rsid w:val="006F7393"/>
    <w:rsid w:val="007014B1"/>
    <w:rsid w:val="0070224F"/>
    <w:rsid w:val="007115F7"/>
    <w:rsid w:val="00771312"/>
    <w:rsid w:val="00785689"/>
    <w:rsid w:val="0079754B"/>
    <w:rsid w:val="007A16B7"/>
    <w:rsid w:val="007A1E6D"/>
    <w:rsid w:val="007E07A7"/>
    <w:rsid w:val="007E63F9"/>
    <w:rsid w:val="00811E19"/>
    <w:rsid w:val="00816348"/>
    <w:rsid w:val="00821385"/>
    <w:rsid w:val="00822CE0"/>
    <w:rsid w:val="00837C62"/>
    <w:rsid w:val="00841AB1"/>
    <w:rsid w:val="00845562"/>
    <w:rsid w:val="0086073F"/>
    <w:rsid w:val="0088358F"/>
    <w:rsid w:val="008B54CB"/>
    <w:rsid w:val="008B7B6C"/>
    <w:rsid w:val="008C22FD"/>
    <w:rsid w:val="008F4C4F"/>
    <w:rsid w:val="008F719F"/>
    <w:rsid w:val="00904EE6"/>
    <w:rsid w:val="00910F12"/>
    <w:rsid w:val="00926503"/>
    <w:rsid w:val="00930ECF"/>
    <w:rsid w:val="00931735"/>
    <w:rsid w:val="00940190"/>
    <w:rsid w:val="00974746"/>
    <w:rsid w:val="00974A5B"/>
    <w:rsid w:val="009838BC"/>
    <w:rsid w:val="00983D0A"/>
    <w:rsid w:val="00995204"/>
    <w:rsid w:val="009A5BDC"/>
    <w:rsid w:val="009B1B73"/>
    <w:rsid w:val="009C0AE2"/>
    <w:rsid w:val="009F6627"/>
    <w:rsid w:val="00A0456B"/>
    <w:rsid w:val="00A4546C"/>
    <w:rsid w:val="00A45F4F"/>
    <w:rsid w:val="00A600A9"/>
    <w:rsid w:val="00A80584"/>
    <w:rsid w:val="00A866AC"/>
    <w:rsid w:val="00AA3FAE"/>
    <w:rsid w:val="00AA55B7"/>
    <w:rsid w:val="00AA5B9E"/>
    <w:rsid w:val="00AA7BEC"/>
    <w:rsid w:val="00AB14FF"/>
    <w:rsid w:val="00AB2407"/>
    <w:rsid w:val="00AB496D"/>
    <w:rsid w:val="00AB53DF"/>
    <w:rsid w:val="00AC71A9"/>
    <w:rsid w:val="00AD6BF4"/>
    <w:rsid w:val="00AE73E0"/>
    <w:rsid w:val="00AF4646"/>
    <w:rsid w:val="00B07E5C"/>
    <w:rsid w:val="00B16755"/>
    <w:rsid w:val="00B326E3"/>
    <w:rsid w:val="00B3546F"/>
    <w:rsid w:val="00B36D8D"/>
    <w:rsid w:val="00B376F7"/>
    <w:rsid w:val="00B50DCA"/>
    <w:rsid w:val="00B811F7"/>
    <w:rsid w:val="00BA5DC6"/>
    <w:rsid w:val="00BA6196"/>
    <w:rsid w:val="00BB4CA6"/>
    <w:rsid w:val="00BC6D8C"/>
    <w:rsid w:val="00C16AF2"/>
    <w:rsid w:val="00C20DDC"/>
    <w:rsid w:val="00C2448D"/>
    <w:rsid w:val="00C27144"/>
    <w:rsid w:val="00C34006"/>
    <w:rsid w:val="00C426B1"/>
    <w:rsid w:val="00C52028"/>
    <w:rsid w:val="00C82B6B"/>
    <w:rsid w:val="00C8396D"/>
    <w:rsid w:val="00C90D6A"/>
    <w:rsid w:val="00CA3425"/>
    <w:rsid w:val="00CC72B6"/>
    <w:rsid w:val="00D0218D"/>
    <w:rsid w:val="00D024C4"/>
    <w:rsid w:val="00D216CD"/>
    <w:rsid w:val="00D51DD5"/>
    <w:rsid w:val="00D53750"/>
    <w:rsid w:val="00D74217"/>
    <w:rsid w:val="00D76D42"/>
    <w:rsid w:val="00DA2529"/>
    <w:rsid w:val="00DB130A"/>
    <w:rsid w:val="00DC10A1"/>
    <w:rsid w:val="00DC655F"/>
    <w:rsid w:val="00DD7EBD"/>
    <w:rsid w:val="00DF5C12"/>
    <w:rsid w:val="00DF62B6"/>
    <w:rsid w:val="00E07225"/>
    <w:rsid w:val="00E11BE5"/>
    <w:rsid w:val="00E155B7"/>
    <w:rsid w:val="00E46A77"/>
    <w:rsid w:val="00E5409F"/>
    <w:rsid w:val="00E548AC"/>
    <w:rsid w:val="00E61548"/>
    <w:rsid w:val="00E90579"/>
    <w:rsid w:val="00E92EE1"/>
    <w:rsid w:val="00EB748E"/>
    <w:rsid w:val="00EC0185"/>
    <w:rsid w:val="00EC58FD"/>
    <w:rsid w:val="00ED037E"/>
    <w:rsid w:val="00ED5640"/>
    <w:rsid w:val="00EF31E3"/>
    <w:rsid w:val="00F021FA"/>
    <w:rsid w:val="00F0255C"/>
    <w:rsid w:val="00F16F14"/>
    <w:rsid w:val="00F2326A"/>
    <w:rsid w:val="00F57ACA"/>
    <w:rsid w:val="00F60919"/>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B574D"/>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EC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916981109283" TargetMode="External" /><Relationship Id="rId2" Type="http://schemas.openxmlformats.org/officeDocument/2006/relationships/hyperlink" Target="https://www.fcc.gov/ecfs/filing/10217249180622" TargetMode="External" /><Relationship Id="rId3" Type="http://schemas.openxmlformats.org/officeDocument/2006/relationships/hyperlink" Target="https://www.fcc.gov/ecfs/filing/10401251598645" TargetMode="External" /><Relationship Id="rId4" Type="http://schemas.openxmlformats.org/officeDocument/2006/relationships/hyperlink" Target="https://www.fcc.gov/ecfs/filing/104023017312274"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