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E4E16" w:rsidRPr="009117EE" w:rsidP="000E4E16" w14:paraId="7F8A4183" w14:textId="14916618">
      <w:pPr>
        <w:spacing w:after="0"/>
        <w:rPr>
          <w:rFonts w:cstheme="minorHAnsi"/>
        </w:rPr>
      </w:pPr>
      <w:r w:rsidRPr="009117EE">
        <w:rPr>
          <w:rFonts w:cstheme="minorHAnsi"/>
        </w:rPr>
        <w:t xml:space="preserve">                                                                  </w:t>
      </w:r>
    </w:p>
    <w:p w:rsidR="006F2901" w:rsidRPr="009117EE" w:rsidP="006F2901" w14:paraId="76004994" w14:textId="77777777">
      <w:pPr>
        <w:spacing w:after="0" w:line="240" w:lineRule="auto"/>
        <w:rPr>
          <w:rFonts w:cstheme="minorHAnsi"/>
        </w:rPr>
      </w:pPr>
      <w:r w:rsidRPr="009117EE">
        <w:rPr>
          <w:rFonts w:cstheme="minorHAnsi"/>
        </w:rPr>
        <w:t xml:space="preserve">                                                                </w:t>
      </w:r>
    </w:p>
    <w:p w:rsidR="000E4E16" w:rsidRPr="009117EE" w:rsidP="00511023" w14:paraId="02752977" w14:textId="3A80940F">
      <w:pPr>
        <w:spacing w:after="0"/>
        <w:jc w:val="right"/>
        <w:rPr>
          <w:rFonts w:cstheme="minorHAnsi"/>
          <w:b/>
        </w:rPr>
      </w:pPr>
      <w:r w:rsidRPr="009117EE">
        <w:rPr>
          <w:rFonts w:cstheme="minorHAnsi"/>
        </w:rPr>
        <w:t xml:space="preserve">                                                          </w:t>
      </w:r>
      <w:r w:rsidRPr="009117EE">
        <w:rPr>
          <w:rFonts w:cstheme="minorHAnsi"/>
        </w:rPr>
        <w:t xml:space="preserve">                                                          </w:t>
      </w:r>
      <w:r w:rsidRPr="009117EE" w:rsidR="00121A4A">
        <w:rPr>
          <w:rFonts w:cstheme="minorHAnsi"/>
        </w:rPr>
        <w:tab/>
      </w:r>
      <w:r w:rsidRPr="009117EE">
        <w:rPr>
          <w:rFonts w:cstheme="minorHAnsi"/>
        </w:rPr>
        <w:t xml:space="preserve"> </w:t>
      </w:r>
      <w:r w:rsidRPr="009117EE" w:rsidR="00F4281B">
        <w:rPr>
          <w:rFonts w:cstheme="minorHAnsi"/>
        </w:rPr>
        <w:t xml:space="preserve">         </w:t>
      </w:r>
      <w:r w:rsidRPr="009117EE">
        <w:rPr>
          <w:rFonts w:cstheme="minorHAnsi"/>
          <w:b/>
        </w:rPr>
        <w:t xml:space="preserve">DA </w:t>
      </w:r>
      <w:r w:rsidR="00BA72B7">
        <w:rPr>
          <w:rFonts w:cstheme="minorHAnsi"/>
          <w:b/>
        </w:rPr>
        <w:t>21-512</w:t>
      </w:r>
    </w:p>
    <w:p w:rsidR="006F117F" w:rsidRPr="009117EE" w:rsidP="00511023" w14:paraId="700578AB" w14:textId="77777777">
      <w:pPr>
        <w:spacing w:after="0"/>
        <w:jc w:val="right"/>
        <w:rPr>
          <w:rFonts w:cstheme="minorHAnsi"/>
        </w:rPr>
      </w:pPr>
    </w:p>
    <w:p w:rsidR="000E4E16" w:rsidRPr="009117EE" w:rsidP="001D42BC" w14:paraId="02B71EAA" w14:textId="5E70171F">
      <w:pPr>
        <w:spacing w:after="0"/>
        <w:jc w:val="center"/>
        <w:rPr>
          <w:rFonts w:cstheme="minorHAnsi"/>
          <w:b/>
        </w:rPr>
      </w:pPr>
      <w:r w:rsidRPr="009117EE">
        <w:rPr>
          <w:rFonts w:cstheme="minorHAnsi"/>
          <w:b/>
        </w:rPr>
        <w:t>SMALL ENTITY COMPLIANCE GUIDE</w:t>
      </w:r>
    </w:p>
    <w:p w:rsidR="006F2901" w:rsidRPr="009117EE" w:rsidP="001D42BC" w14:paraId="567AC2E3" w14:textId="059F0E2C">
      <w:pPr>
        <w:spacing w:after="0"/>
        <w:ind w:hanging="90"/>
        <w:jc w:val="center"/>
        <w:rPr>
          <w:rFonts w:cstheme="minorHAnsi"/>
          <w:b/>
        </w:rPr>
      </w:pPr>
      <w:r w:rsidRPr="009117EE">
        <w:rPr>
          <w:rFonts w:cstheme="minorHAnsi"/>
          <w:b/>
        </w:rPr>
        <w:t>Advanced Methods to Target and Eliminate Unlawful Robocalls</w:t>
      </w:r>
    </w:p>
    <w:p w:rsidR="006F2901" w:rsidRPr="009117EE" w:rsidP="001D42BC" w14:paraId="3E93547C" w14:textId="04AC0FA9">
      <w:pPr>
        <w:spacing w:after="0"/>
        <w:jc w:val="center"/>
        <w:rPr>
          <w:rFonts w:cstheme="minorHAnsi"/>
          <w:b/>
        </w:rPr>
      </w:pPr>
      <w:r w:rsidRPr="009117EE">
        <w:rPr>
          <w:rFonts w:cstheme="minorHAnsi"/>
          <w:b/>
        </w:rPr>
        <w:t>FCC</w:t>
      </w:r>
      <w:r w:rsidRPr="009117EE" w:rsidR="001D42BC">
        <w:rPr>
          <w:rFonts w:cstheme="minorHAnsi"/>
          <w:b/>
        </w:rPr>
        <w:t xml:space="preserve"> 20-</w:t>
      </w:r>
      <w:r w:rsidRPr="009117EE" w:rsidR="00A653A3">
        <w:rPr>
          <w:rFonts w:cstheme="minorHAnsi"/>
          <w:b/>
        </w:rPr>
        <w:t>187</w:t>
      </w:r>
    </w:p>
    <w:p w:rsidR="006F2901" w:rsidRPr="009117EE" w:rsidP="001D42BC" w14:paraId="351CE09B" w14:textId="60EB6407">
      <w:pPr>
        <w:spacing w:after="0"/>
        <w:jc w:val="center"/>
        <w:rPr>
          <w:rFonts w:cstheme="minorHAnsi"/>
        </w:rPr>
      </w:pPr>
      <w:r w:rsidRPr="009117EE">
        <w:rPr>
          <w:rFonts w:cstheme="minorHAnsi"/>
          <w:b/>
        </w:rPr>
        <w:t>CG</w:t>
      </w:r>
      <w:r w:rsidRPr="009117EE" w:rsidR="00C37AC8">
        <w:rPr>
          <w:rFonts w:cstheme="minorHAnsi"/>
          <w:b/>
        </w:rPr>
        <w:t xml:space="preserve"> Docket No. </w:t>
      </w:r>
      <w:r w:rsidRPr="009117EE">
        <w:rPr>
          <w:rFonts w:cstheme="minorHAnsi"/>
          <w:b/>
        </w:rPr>
        <w:t>17-59</w:t>
      </w:r>
    </w:p>
    <w:p w:rsidR="006F2901" w:rsidRPr="009117EE" w:rsidP="001D42BC" w14:paraId="2FE15FB2" w14:textId="57E18B1A">
      <w:pPr>
        <w:spacing w:after="0"/>
        <w:jc w:val="center"/>
        <w:rPr>
          <w:rFonts w:cstheme="minorHAnsi"/>
          <w:b/>
        </w:rPr>
      </w:pPr>
      <w:r w:rsidRPr="009117EE">
        <w:rPr>
          <w:rFonts w:cstheme="minorHAnsi"/>
          <w:b/>
        </w:rPr>
        <w:t xml:space="preserve">Released </w:t>
      </w:r>
      <w:r w:rsidRPr="009117EE" w:rsidR="00A653A3">
        <w:rPr>
          <w:rFonts w:cstheme="minorHAnsi"/>
          <w:b/>
        </w:rPr>
        <w:t>December 30</w:t>
      </w:r>
      <w:r w:rsidRPr="009117EE" w:rsidR="00C37AC8">
        <w:rPr>
          <w:rFonts w:cstheme="minorHAnsi"/>
          <w:b/>
        </w:rPr>
        <w:t>, 20</w:t>
      </w:r>
      <w:r w:rsidRPr="009117EE" w:rsidR="001D42BC">
        <w:rPr>
          <w:rFonts w:cstheme="minorHAnsi"/>
          <w:b/>
        </w:rPr>
        <w:t>20</w:t>
      </w:r>
    </w:p>
    <w:p w:rsidR="00FE346F" w:rsidRPr="009117EE" w:rsidP="000E4E16" w14:paraId="6742A8FC" w14:textId="77777777">
      <w:pPr>
        <w:spacing w:after="0"/>
        <w:rPr>
          <w:rFonts w:cstheme="minorHAnsi"/>
          <w:b/>
        </w:rPr>
      </w:pPr>
    </w:p>
    <w:p w:rsidR="006F2901" w:rsidRPr="009117EE" w:rsidP="00FE346F" w14:paraId="0359BFFD" w14:textId="3CBB4C09">
      <w:pPr>
        <w:spacing w:after="0"/>
        <w:ind w:left="1080"/>
        <w:rPr>
          <w:rFonts w:cstheme="minorHAnsi"/>
          <w:b/>
        </w:rPr>
      </w:pPr>
      <w:r w:rsidRPr="009117EE">
        <w:rPr>
          <w:rFonts w:cstheme="minorHAnsi"/>
          <w:b/>
        </w:rPr>
        <w:t>Th</w:t>
      </w:r>
      <w:r w:rsidRPr="009117EE">
        <w:rPr>
          <w:rFonts w:cstheme="minorHAnsi"/>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9117EE" w:rsidR="00C47CEF">
        <w:rPr>
          <w:rFonts w:cstheme="minorHAnsi"/>
          <w:b/>
        </w:rPr>
        <w:t xml:space="preserve">revised </w:t>
      </w:r>
      <w:r w:rsidRPr="009117EE">
        <w:rPr>
          <w:rFonts w:cstheme="minorHAnsi"/>
          <w:b/>
        </w:rPr>
        <w:t xml:space="preserve">rules adopted in the above-referenced </w:t>
      </w:r>
      <w:r w:rsidRPr="009117EE" w:rsidR="00C47CEF">
        <w:rPr>
          <w:rFonts w:cstheme="minorHAnsi"/>
          <w:b/>
        </w:rPr>
        <w:t>Federal Communications Commission (</w:t>
      </w:r>
      <w:r w:rsidRPr="009117EE">
        <w:rPr>
          <w:rFonts w:cstheme="minorHAnsi"/>
          <w:b/>
        </w:rPr>
        <w:t>FCC</w:t>
      </w:r>
      <w:r w:rsidRPr="009117EE" w:rsidR="00C47CEF">
        <w:rPr>
          <w:rFonts w:cstheme="minorHAnsi"/>
          <w:b/>
        </w:rPr>
        <w:t xml:space="preserve"> or Commission)</w:t>
      </w:r>
      <w:r w:rsidRPr="009117EE">
        <w:rPr>
          <w:rFonts w:cstheme="minorHAnsi"/>
          <w:b/>
        </w:rPr>
        <w:t xml:space="preserve"> rulemaking dockets.  This Guide is not intended to replace </w:t>
      </w:r>
      <w:r w:rsidRPr="009117EE" w:rsidR="00C47CEF">
        <w:rPr>
          <w:rFonts w:cstheme="minorHAnsi"/>
          <w:b/>
        </w:rPr>
        <w:t xml:space="preserve">or supersede </w:t>
      </w:r>
      <w:r w:rsidRPr="009117EE">
        <w:rPr>
          <w:rFonts w:cstheme="minorHAnsi"/>
          <w:b/>
        </w:rPr>
        <w:t>the</w:t>
      </w:r>
      <w:r w:rsidRPr="009117EE" w:rsidR="00C47CEF">
        <w:rPr>
          <w:rFonts w:cstheme="minorHAnsi"/>
          <w:b/>
        </w:rPr>
        <w:t>se</w:t>
      </w:r>
      <w:r w:rsidRPr="009117EE">
        <w:rPr>
          <w:rFonts w:cstheme="minorHAnsi"/>
          <w:b/>
        </w:rPr>
        <w:t xml:space="preserve"> rules</w:t>
      </w:r>
      <w:r w:rsidRPr="009117EE" w:rsidR="00C47CEF">
        <w:rPr>
          <w:rFonts w:cstheme="minorHAnsi"/>
          <w:b/>
        </w:rPr>
        <w:t xml:space="preserve">, but to facilitate compliance with the rules. </w:t>
      </w:r>
      <w:r w:rsidRPr="009117EE">
        <w:rPr>
          <w:rFonts w:cstheme="minorHAnsi"/>
          <w:b/>
        </w:rPr>
        <w:t xml:space="preserve"> Although we have attempted to cover all parts of the rules that might be especially important to small entities, the coverage may not be exhaustive.  This Guide </w:t>
      </w:r>
      <w:r w:rsidRPr="009117EE" w:rsidR="00B629FE">
        <w:rPr>
          <w:rFonts w:cstheme="minorHAnsi"/>
          <w:b/>
        </w:rPr>
        <w:t xml:space="preserve">cannot anticipate all situations in which the rules apply.  Furthermore, the Commission </w:t>
      </w:r>
      <w:r w:rsidRPr="009117EE">
        <w:rPr>
          <w:rFonts w:cstheme="minorHAnsi"/>
          <w:b/>
        </w:rPr>
        <w:t xml:space="preserve">retains the discretion to adopt </w:t>
      </w:r>
      <w:r w:rsidRPr="009117EE" w:rsidR="00B629FE">
        <w:rPr>
          <w:rFonts w:cstheme="minorHAnsi"/>
          <w:b/>
        </w:rPr>
        <w:t xml:space="preserve">case-by-case </w:t>
      </w:r>
      <w:r w:rsidRPr="009117EE">
        <w:rPr>
          <w:rFonts w:cstheme="minorHAnsi"/>
          <w:b/>
        </w:rPr>
        <w:t>approaches</w:t>
      </w:r>
      <w:r w:rsidRPr="009117EE" w:rsidR="00B629FE">
        <w:rPr>
          <w:rFonts w:cstheme="minorHAnsi"/>
          <w:b/>
        </w:rPr>
        <w:t>, where appropriate,</w:t>
      </w:r>
      <w:r w:rsidRPr="009117EE">
        <w:rPr>
          <w:rFonts w:cstheme="minorHAnsi"/>
          <w:b/>
        </w:rPr>
        <w:t xml:space="preserve"> that may differ from this Guide.  Any decision regarding a particular small entity will be based on the statute and</w:t>
      </w:r>
      <w:r w:rsidRPr="009117EE" w:rsidR="008E2841">
        <w:rPr>
          <w:rFonts w:cstheme="minorHAnsi"/>
          <w:b/>
        </w:rPr>
        <w:t xml:space="preserve"> any relevant rules</w:t>
      </w:r>
      <w:r w:rsidRPr="009117EE">
        <w:rPr>
          <w:rFonts w:cstheme="minorHAnsi"/>
          <w:b/>
        </w:rPr>
        <w:t xml:space="preserve">. </w:t>
      </w:r>
    </w:p>
    <w:p w:rsidR="006F2901" w:rsidRPr="009117EE" w:rsidP="00FE346F" w14:paraId="25270ABA" w14:textId="77777777">
      <w:pPr>
        <w:pStyle w:val="ListParagraph"/>
        <w:ind w:left="1080" w:hanging="1080"/>
        <w:rPr>
          <w:rFonts w:cstheme="minorHAnsi"/>
          <w:b/>
        </w:rPr>
      </w:pPr>
    </w:p>
    <w:p w:rsidR="006F2901" w:rsidRPr="009117EE" w:rsidP="000E4E16" w14:paraId="65D355CA" w14:textId="7089A5F4">
      <w:pPr>
        <w:pStyle w:val="ListParagraph"/>
        <w:ind w:left="1080"/>
        <w:rPr>
          <w:rFonts w:cstheme="minorHAnsi"/>
          <w:b/>
        </w:rPr>
      </w:pPr>
      <w:r w:rsidRPr="009117EE">
        <w:rPr>
          <w:rFonts w:cstheme="minorHAnsi"/>
          <w:b/>
        </w:rPr>
        <w:t xml:space="preserve">In any civil or administrative action against a small entity for a violation of rules, the content of the Small Entity Compliance Guide may be considered as evidence of the reasonableness or appropriateness of proposed fines, </w:t>
      </w:r>
      <w:r w:rsidRPr="009117EE" w:rsidR="004F645D">
        <w:rPr>
          <w:rFonts w:cstheme="minorHAnsi"/>
          <w:b/>
        </w:rPr>
        <w:t>penalties,</w:t>
      </w:r>
      <w:r w:rsidRPr="009117EE">
        <w:rPr>
          <w:rFonts w:cstheme="minorHAnsi"/>
          <w:b/>
        </w:rPr>
        <w:t xml:space="preserve"> or damages.  Interested parties are free to file comments regarding this Guide and the appropriateness of its application to a particular situation</w:t>
      </w:r>
      <w:r w:rsidRPr="009117EE" w:rsidR="00B47D0B">
        <w:rPr>
          <w:rFonts w:cstheme="minorHAnsi"/>
          <w:b/>
        </w:rPr>
        <w:t xml:space="preserve">. </w:t>
      </w:r>
      <w:r w:rsidRPr="009117EE" w:rsidR="00BE452C">
        <w:rPr>
          <w:rFonts w:cstheme="minorHAnsi"/>
          <w:b/>
        </w:rPr>
        <w:t xml:space="preserve"> </w:t>
      </w:r>
      <w:r w:rsidRPr="009117EE" w:rsidR="00B47D0B">
        <w:rPr>
          <w:rFonts w:cstheme="minorHAnsi"/>
          <w:b/>
        </w:rPr>
        <w:t>T</w:t>
      </w:r>
      <w:r w:rsidRPr="009117EE">
        <w:rPr>
          <w:rFonts w:cstheme="minorHAnsi"/>
          <w:b/>
        </w:rPr>
        <w:t xml:space="preserve">he FCC will </w:t>
      </w:r>
      <w:r w:rsidRPr="009117EE" w:rsidR="00FE30EB">
        <w:rPr>
          <w:rFonts w:cstheme="minorHAnsi"/>
          <w:b/>
        </w:rPr>
        <w:t xml:space="preserve">then </w:t>
      </w:r>
      <w:r w:rsidRPr="009117EE">
        <w:rPr>
          <w:rFonts w:cstheme="minorHAnsi"/>
          <w:b/>
        </w:rPr>
        <w:t xml:space="preserve">consider whether the recommendations or interpretations in the Guide are appropriate in that situation.  The FCC may decide to revise this Guide without public notice to reflect changes in the FCC’s approach to implementing a rule, or </w:t>
      </w:r>
      <w:r w:rsidRPr="009117EE" w:rsidR="00B47D0B">
        <w:rPr>
          <w:rFonts w:cstheme="minorHAnsi"/>
          <w:b/>
        </w:rPr>
        <w:t>i</w:t>
      </w:r>
      <w:r w:rsidRPr="009117EE">
        <w:rPr>
          <w:rFonts w:cstheme="minorHAnsi"/>
          <w:b/>
        </w:rPr>
        <w:t>t</w:t>
      </w:r>
      <w:r w:rsidRPr="009117EE" w:rsidR="00B47D0B">
        <w:rPr>
          <w:rFonts w:cstheme="minorHAnsi"/>
          <w:b/>
        </w:rPr>
        <w:t xml:space="preserve"> may</w:t>
      </w:r>
      <w:r w:rsidRPr="009117EE">
        <w:rPr>
          <w:rFonts w:cstheme="minorHAnsi"/>
          <w:b/>
        </w:rPr>
        <w:t xml:space="preserve"> clarify or update the text of the Guide.  Direct your comments and recommendations, or calls for further assistance, to the FCC’s Consumer Center:</w:t>
      </w:r>
    </w:p>
    <w:p w:rsidR="000E4E16" w:rsidRPr="009117EE" w:rsidP="000E4E16" w14:paraId="44F9D184" w14:textId="77777777">
      <w:pPr>
        <w:pStyle w:val="ListParagraph"/>
        <w:ind w:left="1080"/>
        <w:rPr>
          <w:rFonts w:cstheme="minorHAnsi"/>
          <w:b/>
        </w:rPr>
      </w:pPr>
    </w:p>
    <w:p w:rsidR="006F2901" w:rsidRPr="009117EE" w:rsidP="00E2092F" w14:paraId="3EE78D98" w14:textId="05A6654E">
      <w:pPr>
        <w:pStyle w:val="ListParagraph"/>
        <w:ind w:left="1080"/>
        <w:jc w:val="center"/>
        <w:rPr>
          <w:rFonts w:cstheme="minorHAnsi"/>
          <w:b/>
        </w:rPr>
      </w:pPr>
      <w:r w:rsidRPr="009117EE">
        <w:rPr>
          <w:rFonts w:cstheme="minorHAnsi"/>
          <w:b/>
        </w:rPr>
        <w:t>1-888-CALL-FCC (1-888-225-5322)</w:t>
      </w:r>
    </w:p>
    <w:p w:rsidR="00B47D0B" w:rsidRPr="009117EE" w:rsidP="00E2092F" w14:paraId="7189DA74" w14:textId="5B89279E">
      <w:pPr>
        <w:pStyle w:val="ListParagraph"/>
        <w:ind w:left="1080"/>
        <w:jc w:val="center"/>
        <w:rPr>
          <w:rFonts w:cstheme="minorHAnsi"/>
          <w:b/>
        </w:rPr>
      </w:pPr>
      <w:r w:rsidRPr="009117EE">
        <w:rPr>
          <w:rFonts w:cstheme="minorHAnsi"/>
          <w:b/>
        </w:rPr>
        <w:t>TTY: 1-888-TELL-FCC (1-888-835-5322)</w:t>
      </w:r>
    </w:p>
    <w:p w:rsidR="006F2901" w:rsidRPr="009117EE" w:rsidP="00E2092F" w14:paraId="542FD57C" w14:textId="71A82108">
      <w:pPr>
        <w:pStyle w:val="ListParagraph"/>
        <w:ind w:left="1080"/>
        <w:jc w:val="center"/>
        <w:rPr>
          <w:rFonts w:cstheme="minorHAnsi"/>
          <w:b/>
        </w:rPr>
      </w:pPr>
      <w:r w:rsidRPr="009117EE">
        <w:rPr>
          <w:rFonts w:cstheme="minorHAnsi"/>
          <w:b/>
        </w:rPr>
        <w:t>Videophone: 1-844-4-FCC-ASL (1-844-432-2275)</w:t>
      </w:r>
    </w:p>
    <w:p w:rsidR="0095132F" w:rsidRPr="009117EE" w:rsidP="00E2092F" w14:paraId="4A1DEB02" w14:textId="37C1C0C6">
      <w:pPr>
        <w:pStyle w:val="ListParagraph"/>
        <w:ind w:left="1080"/>
        <w:jc w:val="center"/>
        <w:rPr>
          <w:rFonts w:cstheme="minorHAnsi"/>
          <w:b/>
        </w:rPr>
        <w:sectPr w:rsidSect="00152909">
          <w:headerReference w:type="default" r:id="rId5"/>
          <w:footerReference w:type="default" r:id="rId6"/>
          <w:pgSz w:w="12240" w:h="15840"/>
          <w:pgMar w:top="1440" w:right="1440" w:bottom="1008" w:left="1440" w:header="720" w:footer="187" w:gutter="0"/>
          <w:cols w:space="720"/>
          <w:docGrid w:linePitch="360"/>
        </w:sectPr>
      </w:pPr>
      <w:r w:rsidRPr="009117EE">
        <w:rPr>
          <w:rFonts w:cstheme="minorHAnsi"/>
          <w:b/>
        </w:rPr>
        <w:t>Fax: 1-866-418-0232</w:t>
      </w:r>
    </w:p>
    <w:p w:rsidR="00CD624E" w:rsidRPr="009117EE" w:rsidP="00CD624E" w14:paraId="25301E88" w14:textId="77777777">
      <w:pPr>
        <w:jc w:val="center"/>
        <w:rPr>
          <w:rFonts w:cstheme="minorHAnsi"/>
          <w:bCs/>
        </w:rPr>
      </w:pPr>
      <w:r w:rsidRPr="009117EE">
        <w:rPr>
          <w:rFonts w:cstheme="minorHAnsi"/>
          <w:bCs/>
        </w:rPr>
        <w:t>TABLE OF CONTENTS</w:t>
      </w:r>
    </w:p>
    <w:p w:rsidR="00CD624E" w:rsidRPr="009117EE" w:rsidP="00CD624E" w14:paraId="0B3562B8" w14:textId="77777777">
      <w:pPr>
        <w:rPr>
          <w:rFonts w:cstheme="minorHAnsi"/>
          <w:bCs/>
        </w:rPr>
      </w:pPr>
    </w:p>
    <w:p w:rsidR="00CD624E" w:rsidRPr="009117EE" w:rsidP="00CD624E" w14:paraId="1A18EB69" w14:textId="62A693A2">
      <w:pPr>
        <w:tabs>
          <w:tab w:val="right" w:leader="dot" w:pos="8640"/>
        </w:tabs>
        <w:rPr>
          <w:rFonts w:cstheme="minorHAnsi"/>
          <w:bCs/>
        </w:rPr>
      </w:pPr>
      <w:r w:rsidRPr="009117EE">
        <w:rPr>
          <w:rFonts w:cstheme="minorHAnsi"/>
          <w:bCs/>
        </w:rPr>
        <w:t xml:space="preserve">I.          OBJECTIVES OF THE PROCEEDING </w:t>
      </w:r>
      <w:r w:rsidRPr="009117EE">
        <w:rPr>
          <w:rFonts w:cstheme="minorHAnsi"/>
          <w:bCs/>
        </w:rPr>
        <w:tab/>
      </w:r>
      <w:r w:rsidRPr="009117EE" w:rsidR="00B6527B">
        <w:rPr>
          <w:rFonts w:cstheme="minorHAnsi"/>
          <w:bCs/>
        </w:rPr>
        <w:t>1</w:t>
      </w:r>
    </w:p>
    <w:p w:rsidR="00CD624E" w:rsidRPr="009117EE" w:rsidP="00CD624E" w14:paraId="490BE852" w14:textId="78D68641">
      <w:pPr>
        <w:tabs>
          <w:tab w:val="right" w:leader="dot" w:pos="8640"/>
        </w:tabs>
        <w:rPr>
          <w:rFonts w:cstheme="minorHAnsi"/>
          <w:bCs/>
        </w:rPr>
      </w:pPr>
      <w:r w:rsidRPr="009117EE">
        <w:rPr>
          <w:rFonts w:cstheme="minorHAnsi"/>
          <w:bCs/>
        </w:rPr>
        <w:t xml:space="preserve">II.         COMPLIANCE REQUIREMENTS </w:t>
      </w:r>
      <w:r w:rsidRPr="009117EE">
        <w:rPr>
          <w:rFonts w:cstheme="minorHAnsi"/>
          <w:bCs/>
        </w:rPr>
        <w:tab/>
      </w:r>
      <w:r w:rsidR="00646745">
        <w:rPr>
          <w:rFonts w:cstheme="minorHAnsi"/>
          <w:bCs/>
        </w:rPr>
        <w:t>2</w:t>
      </w:r>
    </w:p>
    <w:p w:rsidR="00CD624E" w:rsidRPr="009117EE" w:rsidP="00CD624E" w14:paraId="68DC6F13" w14:textId="407AB2E7">
      <w:pPr>
        <w:tabs>
          <w:tab w:val="right" w:leader="dot" w:pos="8640"/>
        </w:tabs>
        <w:rPr>
          <w:rFonts w:cstheme="minorHAnsi"/>
          <w:bCs/>
        </w:rPr>
      </w:pPr>
      <w:r w:rsidRPr="009117EE">
        <w:rPr>
          <w:rFonts w:cstheme="minorHAnsi"/>
          <w:bCs/>
        </w:rPr>
        <w:t xml:space="preserve">III.        RECORDKEEPING AND REPORTING REQUIREMENTS </w:t>
      </w:r>
      <w:r w:rsidRPr="009117EE">
        <w:rPr>
          <w:rFonts w:cstheme="minorHAnsi"/>
          <w:bCs/>
        </w:rPr>
        <w:tab/>
      </w:r>
      <w:r w:rsidR="00646745">
        <w:rPr>
          <w:rFonts w:cstheme="minorHAnsi"/>
          <w:bCs/>
        </w:rPr>
        <w:t>4</w:t>
      </w:r>
    </w:p>
    <w:p w:rsidR="00CD624E" w:rsidRPr="009117EE" w:rsidP="00CD624E" w14:paraId="6B9E0B35" w14:textId="3A7CF03A">
      <w:pPr>
        <w:tabs>
          <w:tab w:val="right" w:leader="dot" w:pos="8640"/>
        </w:tabs>
        <w:rPr>
          <w:rFonts w:cstheme="minorHAnsi"/>
          <w:bCs/>
        </w:rPr>
      </w:pPr>
      <w:r w:rsidRPr="009117EE">
        <w:rPr>
          <w:rFonts w:cstheme="minorHAnsi"/>
          <w:bCs/>
        </w:rPr>
        <w:t xml:space="preserve">IV.        IMPLEMENTATION DATE </w:t>
      </w:r>
      <w:r w:rsidRPr="009117EE">
        <w:rPr>
          <w:rFonts w:cstheme="minorHAnsi"/>
          <w:bCs/>
        </w:rPr>
        <w:tab/>
      </w:r>
      <w:r w:rsidR="0003334C">
        <w:rPr>
          <w:rFonts w:cstheme="minorHAnsi"/>
          <w:bCs/>
        </w:rPr>
        <w:t>5</w:t>
      </w:r>
    </w:p>
    <w:p w:rsidR="00074CA4" w:rsidRPr="009117EE" w:rsidP="001D42BC" w14:paraId="67A5905C" w14:textId="6618C1CD">
      <w:pPr>
        <w:tabs>
          <w:tab w:val="right" w:leader="dot" w:pos="8640"/>
        </w:tabs>
        <w:rPr>
          <w:rFonts w:cstheme="minorHAnsi"/>
          <w:bCs/>
        </w:rPr>
      </w:pPr>
      <w:r w:rsidRPr="009117EE">
        <w:rPr>
          <w:rFonts w:cstheme="minorHAnsi"/>
          <w:bCs/>
        </w:rPr>
        <w:t xml:space="preserve">V.         INTERNET LINKS </w:t>
      </w:r>
      <w:r w:rsidRPr="009117EE">
        <w:rPr>
          <w:rFonts w:cstheme="minorHAnsi"/>
          <w:bCs/>
        </w:rPr>
        <w:tab/>
      </w:r>
      <w:r w:rsidR="0003334C">
        <w:rPr>
          <w:rFonts w:cstheme="minorHAnsi"/>
          <w:bCs/>
        </w:rPr>
        <w:t>5</w:t>
      </w:r>
    </w:p>
    <w:p w:rsidR="008D4AA5" w:rsidRPr="009117EE" w:rsidP="00074CA4" w14:paraId="2364AF40" w14:textId="77777777">
      <w:pPr>
        <w:rPr>
          <w:rFonts w:cstheme="minorHAnsi"/>
          <w:b/>
        </w:rPr>
      </w:pPr>
    </w:p>
    <w:p w:rsidR="00463A2A" w:rsidRPr="009117EE" w:rsidP="00E97A21" w14:paraId="2A40148F" w14:textId="77777777">
      <w:pPr>
        <w:rPr>
          <w:rFonts w:cstheme="minorHAnsi"/>
          <w:b/>
        </w:rPr>
      </w:pPr>
    </w:p>
    <w:p w:rsidR="001743EF" w:rsidRPr="009117EE" w:rsidP="00E97A21" w14:paraId="0E64538F" w14:textId="77777777">
      <w:pPr>
        <w:rPr>
          <w:rFonts w:cstheme="minorHAnsi"/>
          <w:b/>
        </w:rPr>
        <w:sectPr w:rsidSect="001743EF">
          <w:headerReference w:type="default" r:id="rId7"/>
          <w:pgSz w:w="12240" w:h="15840"/>
          <w:pgMar w:top="1440" w:right="1440" w:bottom="1008" w:left="1440" w:header="720" w:footer="187" w:gutter="0"/>
          <w:pgNumType w:start="1"/>
          <w:cols w:space="720"/>
          <w:docGrid w:linePitch="360"/>
        </w:sectPr>
      </w:pPr>
    </w:p>
    <w:p w:rsidR="00E97A21" w:rsidRPr="009117EE" w:rsidP="00286EA8" w14:paraId="003F6D71" w14:textId="5359E51D">
      <w:pPr>
        <w:tabs>
          <w:tab w:val="left" w:pos="720"/>
        </w:tabs>
        <w:rPr>
          <w:rFonts w:cstheme="minorHAnsi"/>
          <w:b/>
        </w:rPr>
      </w:pPr>
      <w:r w:rsidRPr="009117EE">
        <w:rPr>
          <w:rFonts w:cstheme="minorHAnsi"/>
          <w:b/>
        </w:rPr>
        <w:t xml:space="preserve">I.            </w:t>
      </w:r>
      <w:r w:rsidRPr="009117EE" w:rsidR="001A1EAC">
        <w:rPr>
          <w:rFonts w:cstheme="minorHAnsi"/>
          <w:b/>
        </w:rPr>
        <w:t>OBJECTIVES OF THE PROCEEDING</w:t>
      </w:r>
    </w:p>
    <w:p w:rsidR="00A653A3" w:rsidRPr="009117EE" w:rsidP="009117EE" w14:paraId="0F5BDEB1" w14:textId="2155247D">
      <w:pPr>
        <w:pStyle w:val="ParaNum"/>
        <w:numPr>
          <w:ilvl w:val="0"/>
          <w:numId w:val="0"/>
        </w:numPr>
        <w:rPr>
          <w:rFonts w:asciiTheme="minorHAnsi" w:hAnsiTheme="minorHAnsi" w:cstheme="minorHAnsi"/>
          <w:szCs w:val="22"/>
        </w:rPr>
      </w:pPr>
      <w:r w:rsidRPr="009117EE">
        <w:rPr>
          <w:rFonts w:asciiTheme="minorHAnsi" w:hAnsiTheme="minorHAnsi" w:cstheme="minorHAnsi"/>
          <w:szCs w:val="22"/>
        </w:rPr>
        <w:t>In t</w:t>
      </w:r>
      <w:r w:rsidRPr="009117EE">
        <w:rPr>
          <w:rFonts w:asciiTheme="minorHAnsi" w:hAnsiTheme="minorHAnsi" w:cstheme="minorHAnsi"/>
          <w:szCs w:val="22"/>
        </w:rPr>
        <w:t xml:space="preserve">his </w:t>
      </w:r>
      <w:r w:rsidRPr="009117EE">
        <w:rPr>
          <w:rFonts w:asciiTheme="minorHAnsi" w:hAnsiTheme="minorHAnsi" w:cstheme="minorHAnsi"/>
          <w:i/>
          <w:iCs/>
          <w:szCs w:val="22"/>
        </w:rPr>
        <w:t xml:space="preserve">Fourth </w:t>
      </w:r>
      <w:r w:rsidRPr="009117EE">
        <w:rPr>
          <w:rFonts w:asciiTheme="minorHAnsi" w:hAnsiTheme="minorHAnsi" w:cstheme="minorHAnsi"/>
          <w:i/>
          <w:iCs/>
          <w:szCs w:val="22"/>
        </w:rPr>
        <w:t>Report and Order</w:t>
      </w:r>
      <w:r w:rsidR="003050CB">
        <w:rPr>
          <w:rFonts w:asciiTheme="minorHAnsi" w:hAnsiTheme="minorHAnsi" w:cstheme="minorHAnsi"/>
          <w:szCs w:val="22"/>
        </w:rPr>
        <w:t>, the Commission</w:t>
      </w:r>
      <w:r w:rsidRPr="009117EE">
        <w:rPr>
          <w:rFonts w:asciiTheme="minorHAnsi" w:hAnsiTheme="minorHAnsi" w:cstheme="minorHAnsi"/>
          <w:szCs w:val="22"/>
        </w:rPr>
        <w:t xml:space="preserve"> takes important steps in the fight against illegal robocalls</w:t>
      </w:r>
      <w:r w:rsidR="003050CB">
        <w:rPr>
          <w:rFonts w:asciiTheme="minorHAnsi" w:hAnsiTheme="minorHAnsi" w:cstheme="minorHAnsi"/>
          <w:szCs w:val="22"/>
        </w:rPr>
        <w:t>.</w:t>
      </w:r>
      <w:r>
        <w:rPr>
          <w:rStyle w:val="FootnoteReference"/>
          <w:rFonts w:asciiTheme="minorHAnsi" w:hAnsiTheme="minorHAnsi" w:cstheme="minorHAnsi"/>
          <w:szCs w:val="22"/>
        </w:rPr>
        <w:footnoteReference w:id="2"/>
      </w:r>
      <w:r w:rsidR="003050CB">
        <w:rPr>
          <w:rFonts w:asciiTheme="minorHAnsi" w:hAnsiTheme="minorHAnsi" w:cstheme="minorHAnsi"/>
          <w:szCs w:val="22"/>
        </w:rPr>
        <w:t xml:space="preserve">  First, the Commission requires</w:t>
      </w:r>
      <w:r w:rsidRPr="009117EE">
        <w:rPr>
          <w:rFonts w:asciiTheme="minorHAnsi" w:hAnsiTheme="minorHAnsi" w:cstheme="minorHAnsi"/>
          <w:szCs w:val="22"/>
        </w:rPr>
        <w:t xml:space="preserve"> voice service providers to take certain affirmative steps to prevent illegal calls.</w:t>
      </w:r>
      <w:r>
        <w:rPr>
          <w:rStyle w:val="FootnoteReference"/>
          <w:rFonts w:asciiTheme="minorHAnsi" w:hAnsiTheme="minorHAnsi" w:cstheme="minorHAnsi"/>
          <w:szCs w:val="22"/>
        </w:rPr>
        <w:footnoteReference w:id="3"/>
      </w:r>
      <w:r w:rsidRPr="009117EE">
        <w:rPr>
          <w:rFonts w:asciiTheme="minorHAnsi" w:hAnsiTheme="minorHAnsi" w:cstheme="minorHAnsi"/>
          <w:szCs w:val="22"/>
        </w:rPr>
        <w:t xml:space="preserve">  Next, the </w:t>
      </w:r>
      <w:r w:rsidRPr="009117EE">
        <w:rPr>
          <w:rFonts w:asciiTheme="minorHAnsi" w:hAnsiTheme="minorHAnsi" w:cstheme="minorHAnsi"/>
          <w:i/>
          <w:iCs/>
          <w:szCs w:val="22"/>
        </w:rPr>
        <w:t xml:space="preserve">Fourth </w:t>
      </w:r>
      <w:r w:rsidRPr="009117EE">
        <w:rPr>
          <w:rFonts w:asciiTheme="minorHAnsi" w:hAnsiTheme="minorHAnsi" w:cstheme="minorHAnsi"/>
          <w:i/>
          <w:iCs/>
          <w:szCs w:val="22"/>
        </w:rPr>
        <w:t>Report and Order</w:t>
      </w:r>
      <w:r w:rsidRPr="009117EE">
        <w:rPr>
          <w:rFonts w:asciiTheme="minorHAnsi" w:hAnsiTheme="minorHAnsi" w:cstheme="minorHAnsi"/>
          <w:szCs w:val="22"/>
        </w:rPr>
        <w:t xml:space="preserve"> expands</w:t>
      </w:r>
      <w:r w:rsidRPr="009117EE">
        <w:rPr>
          <w:rFonts w:asciiTheme="minorHAnsi" w:hAnsiTheme="minorHAnsi" w:cstheme="minorHAnsi"/>
          <w:szCs w:val="22"/>
        </w:rPr>
        <w:t xml:space="preserve"> the existing call blocking</w:t>
      </w:r>
      <w:r w:rsidRPr="009117EE">
        <w:rPr>
          <w:rFonts w:asciiTheme="minorHAnsi" w:hAnsiTheme="minorHAnsi" w:cstheme="minorHAnsi"/>
          <w:szCs w:val="22"/>
        </w:rPr>
        <w:t xml:space="preserve"> safe harbor to include network-based blocking based on reasonable analytics that incorporate caller ID authentication information designed to identify calls that are highly likely to be illegal, if this blocking is managed with human oversight and network monitoring sufficient to ensure that blocking is working as intended.</w:t>
      </w:r>
      <w:r>
        <w:rPr>
          <w:rStyle w:val="FootnoteReference"/>
          <w:rFonts w:asciiTheme="minorHAnsi" w:hAnsiTheme="minorHAnsi" w:cstheme="minorHAnsi"/>
          <w:szCs w:val="22"/>
        </w:rPr>
        <w:footnoteReference w:id="4"/>
      </w:r>
      <w:r w:rsidRPr="009117EE">
        <w:rPr>
          <w:rFonts w:asciiTheme="minorHAnsi" w:hAnsiTheme="minorHAnsi" w:cstheme="minorHAnsi"/>
          <w:szCs w:val="22"/>
        </w:rPr>
        <w:t xml:space="preserve">  </w:t>
      </w:r>
      <w:r w:rsidRPr="009117EE">
        <w:rPr>
          <w:rFonts w:asciiTheme="minorHAnsi" w:hAnsiTheme="minorHAnsi" w:cstheme="minorHAnsi"/>
          <w:szCs w:val="22"/>
        </w:rPr>
        <w:t>Finally, t</w:t>
      </w:r>
      <w:r w:rsidRPr="009117EE">
        <w:rPr>
          <w:rFonts w:asciiTheme="minorHAnsi" w:hAnsiTheme="minorHAnsi" w:cstheme="minorHAnsi"/>
          <w:szCs w:val="22"/>
        </w:rPr>
        <w:t xml:space="preserve">he </w:t>
      </w:r>
      <w:r w:rsidRPr="009117EE">
        <w:rPr>
          <w:rFonts w:asciiTheme="minorHAnsi" w:hAnsiTheme="minorHAnsi" w:cstheme="minorHAnsi"/>
          <w:i/>
          <w:iCs/>
          <w:szCs w:val="22"/>
        </w:rPr>
        <w:t xml:space="preserve">Fourth </w:t>
      </w:r>
      <w:r w:rsidRPr="009117EE">
        <w:rPr>
          <w:rFonts w:asciiTheme="minorHAnsi" w:hAnsiTheme="minorHAnsi" w:cstheme="minorHAnsi"/>
          <w:i/>
          <w:iCs/>
          <w:szCs w:val="22"/>
        </w:rPr>
        <w:t>Report and Order</w:t>
      </w:r>
      <w:r w:rsidRPr="009117EE">
        <w:rPr>
          <w:rFonts w:asciiTheme="minorHAnsi" w:hAnsiTheme="minorHAnsi" w:cstheme="minorHAnsi"/>
          <w:szCs w:val="22"/>
        </w:rPr>
        <w:t xml:space="preserve"> takes steps to implement the </w:t>
      </w:r>
      <w:r w:rsidR="00FF67B3">
        <w:rPr>
          <w:rFonts w:asciiTheme="minorHAnsi" w:hAnsiTheme="minorHAnsi" w:cstheme="minorHAnsi"/>
          <w:szCs w:val="22"/>
        </w:rPr>
        <w:t>Pallone-Thune Telephone Robocall Abuse Criminal Enforcement and Deterrence (</w:t>
      </w:r>
      <w:r w:rsidRPr="009117EE">
        <w:rPr>
          <w:rFonts w:asciiTheme="minorHAnsi" w:hAnsiTheme="minorHAnsi" w:cstheme="minorHAnsi"/>
          <w:szCs w:val="22"/>
        </w:rPr>
        <w:t>TRACED</w:t>
      </w:r>
      <w:r w:rsidR="00FF67B3">
        <w:rPr>
          <w:rFonts w:asciiTheme="minorHAnsi" w:hAnsiTheme="minorHAnsi" w:cstheme="minorHAnsi"/>
          <w:szCs w:val="22"/>
        </w:rPr>
        <w:t>)</w:t>
      </w:r>
      <w:r w:rsidRPr="009117EE">
        <w:rPr>
          <w:rFonts w:asciiTheme="minorHAnsi" w:hAnsiTheme="minorHAnsi" w:cstheme="minorHAnsi"/>
          <w:szCs w:val="22"/>
        </w:rPr>
        <w:t xml:space="preserve"> Act by ensuring that both callers and consumers are provided with transparency and effective redress.</w:t>
      </w:r>
      <w:r>
        <w:rPr>
          <w:rStyle w:val="FootnoteReference"/>
          <w:rFonts w:asciiTheme="minorHAnsi" w:hAnsiTheme="minorHAnsi" w:cstheme="minorHAnsi"/>
          <w:szCs w:val="22"/>
        </w:rPr>
        <w:footnoteReference w:id="5"/>
      </w:r>
      <w:r w:rsidRPr="009117EE">
        <w:rPr>
          <w:rFonts w:asciiTheme="minorHAnsi" w:hAnsiTheme="minorHAnsi" w:cstheme="minorHAnsi"/>
          <w:szCs w:val="22"/>
        </w:rPr>
        <w:t xml:space="preserve">  Taken together, these steps will provide greater protection to consumers and increase trust in the telephone system while ensuring that consumers continue to receive the calls they want.  </w:t>
      </w:r>
    </w:p>
    <w:p w:rsidR="00A653A3" w:rsidRPr="009117EE" w:rsidP="009117EE" w14:paraId="527AD882" w14:textId="0DA3C1DD">
      <w:pPr>
        <w:pStyle w:val="ParaNum"/>
        <w:widowControl/>
        <w:numPr>
          <w:ilvl w:val="0"/>
          <w:numId w:val="0"/>
        </w:numPr>
        <w:rPr>
          <w:rFonts w:asciiTheme="minorHAnsi" w:hAnsiTheme="minorHAnsi" w:cstheme="minorHAnsi"/>
          <w:szCs w:val="22"/>
        </w:rPr>
      </w:pPr>
      <w:r w:rsidRPr="009117EE">
        <w:rPr>
          <w:rFonts w:asciiTheme="minorHAnsi" w:hAnsiTheme="minorHAnsi" w:cstheme="minorHAnsi"/>
          <w:i/>
          <w:iCs/>
          <w:szCs w:val="22"/>
        </w:rPr>
        <w:t>Affirmative Obligations for Voice Service Providers</w:t>
      </w:r>
      <w:r w:rsidRPr="009117EE">
        <w:rPr>
          <w:rFonts w:asciiTheme="minorHAnsi" w:hAnsiTheme="minorHAnsi" w:cstheme="minorHAnsi"/>
          <w:szCs w:val="22"/>
        </w:rPr>
        <w:t xml:space="preserve">.  The </w:t>
      </w:r>
      <w:r w:rsidRPr="009117EE" w:rsidR="000B4B7F">
        <w:rPr>
          <w:rFonts w:asciiTheme="minorHAnsi" w:hAnsiTheme="minorHAnsi" w:cstheme="minorHAnsi"/>
          <w:i/>
          <w:iCs/>
          <w:szCs w:val="22"/>
        </w:rPr>
        <w:t xml:space="preserve">Fourth </w:t>
      </w:r>
      <w:r w:rsidRPr="009117EE">
        <w:rPr>
          <w:rFonts w:asciiTheme="minorHAnsi" w:hAnsiTheme="minorHAnsi" w:cstheme="minorHAnsi"/>
          <w:i/>
          <w:iCs/>
          <w:szCs w:val="22"/>
        </w:rPr>
        <w:t>Report and Order</w:t>
      </w:r>
      <w:r w:rsidRPr="009117EE">
        <w:rPr>
          <w:rFonts w:asciiTheme="minorHAnsi" w:hAnsiTheme="minorHAnsi" w:cstheme="minorHAnsi"/>
          <w:szCs w:val="22"/>
        </w:rPr>
        <w:t xml:space="preserve"> establishes three affirmative obligations for all voice service providers.</w:t>
      </w:r>
      <w:r>
        <w:rPr>
          <w:rStyle w:val="FootnoteReference"/>
          <w:rFonts w:asciiTheme="minorHAnsi" w:hAnsiTheme="minorHAnsi" w:cstheme="minorHAnsi"/>
          <w:szCs w:val="22"/>
        </w:rPr>
        <w:footnoteReference w:id="6"/>
      </w:r>
      <w:r w:rsidRPr="009117EE">
        <w:rPr>
          <w:rFonts w:asciiTheme="minorHAnsi" w:hAnsiTheme="minorHAnsi" w:cstheme="minorHAnsi"/>
          <w:szCs w:val="22"/>
        </w:rPr>
        <w:t xml:space="preserve">  First, all voice service providers must respond to traceback requests from the Commission, civil and criminal law enforcement, or the Industry Traceback Consortium (Consortium).</w:t>
      </w:r>
      <w:r>
        <w:rPr>
          <w:rStyle w:val="FootnoteReference"/>
          <w:rFonts w:asciiTheme="minorHAnsi" w:hAnsiTheme="minorHAnsi" w:cstheme="minorHAnsi"/>
          <w:szCs w:val="22"/>
        </w:rPr>
        <w:footnoteReference w:id="7"/>
      </w:r>
      <w:r w:rsidRPr="009117EE">
        <w:rPr>
          <w:rFonts w:asciiTheme="minorHAnsi" w:hAnsiTheme="minorHAnsi" w:cstheme="minorHAnsi"/>
          <w:szCs w:val="22"/>
        </w:rPr>
        <w:t xml:space="preserve">  Second, all voice service providers must take steps to effectively mitigate suspected illegal traffic when notified of such traffic by the Commission through </w:t>
      </w:r>
      <w:r w:rsidR="00C44805">
        <w:rPr>
          <w:rFonts w:asciiTheme="minorHAnsi" w:hAnsiTheme="minorHAnsi" w:cstheme="minorHAnsi"/>
          <w:szCs w:val="22"/>
        </w:rPr>
        <w:t>its</w:t>
      </w:r>
      <w:r w:rsidRPr="009117EE" w:rsidR="00C44805">
        <w:rPr>
          <w:rFonts w:asciiTheme="minorHAnsi" w:hAnsiTheme="minorHAnsi" w:cstheme="minorHAnsi"/>
          <w:szCs w:val="22"/>
        </w:rPr>
        <w:t xml:space="preserve"> </w:t>
      </w:r>
      <w:r w:rsidRPr="009117EE">
        <w:rPr>
          <w:rFonts w:asciiTheme="minorHAnsi" w:hAnsiTheme="minorHAnsi" w:cstheme="minorHAnsi"/>
          <w:szCs w:val="22"/>
        </w:rPr>
        <w:t>Enforcement Bureau.</w:t>
      </w:r>
      <w:r>
        <w:rPr>
          <w:rStyle w:val="FootnoteReference"/>
          <w:rFonts w:asciiTheme="minorHAnsi" w:hAnsiTheme="minorHAnsi" w:cstheme="minorHAnsi"/>
          <w:szCs w:val="22"/>
        </w:rPr>
        <w:footnoteReference w:id="8"/>
      </w:r>
      <w:r w:rsidRPr="009117EE">
        <w:rPr>
          <w:rFonts w:asciiTheme="minorHAnsi" w:hAnsiTheme="minorHAnsi" w:cstheme="minorHAnsi"/>
          <w:szCs w:val="22"/>
        </w:rPr>
        <w:t xml:space="preserve">  The notified voice service provider must investigate the suspected illegal traffic and report to the Enforcement Bureau regarding the results of that investigation, including whether the calls came from another voice service provider with direct access to the U.S. public switched telephone network, and any mitigation steps taken.  Finally, all voice service providers must take affirmative, effective steps to prevent new and renewing customers from using their network</w:t>
      </w:r>
      <w:r w:rsidR="00C44805">
        <w:rPr>
          <w:rFonts w:asciiTheme="minorHAnsi" w:hAnsiTheme="minorHAnsi" w:cstheme="minorHAnsi"/>
          <w:szCs w:val="22"/>
        </w:rPr>
        <w:t>s</w:t>
      </w:r>
      <w:r w:rsidRPr="009117EE">
        <w:rPr>
          <w:rFonts w:asciiTheme="minorHAnsi" w:hAnsiTheme="minorHAnsi" w:cstheme="minorHAnsi"/>
          <w:szCs w:val="22"/>
        </w:rPr>
        <w:t xml:space="preserve"> to originate illegal calls.</w:t>
      </w:r>
      <w:r>
        <w:rPr>
          <w:rStyle w:val="FootnoteReference"/>
          <w:rFonts w:asciiTheme="minorHAnsi" w:hAnsiTheme="minorHAnsi" w:cstheme="minorHAnsi"/>
          <w:szCs w:val="22"/>
        </w:rPr>
        <w:footnoteReference w:id="9"/>
      </w:r>
    </w:p>
    <w:p w:rsidR="00A653A3" w:rsidRPr="009117EE" w:rsidP="009117EE" w14:paraId="4DD0D382" w14:textId="2CBFEB4B">
      <w:pPr>
        <w:pStyle w:val="ParaNum"/>
        <w:numPr>
          <w:ilvl w:val="0"/>
          <w:numId w:val="0"/>
        </w:numPr>
        <w:rPr>
          <w:rFonts w:asciiTheme="minorHAnsi" w:hAnsiTheme="minorHAnsi" w:cstheme="minorHAnsi"/>
          <w:szCs w:val="22"/>
        </w:rPr>
      </w:pPr>
      <w:r w:rsidRPr="009117EE">
        <w:rPr>
          <w:rFonts w:asciiTheme="minorHAnsi" w:hAnsiTheme="minorHAnsi" w:cstheme="minorHAnsi"/>
          <w:i/>
          <w:iCs/>
          <w:szCs w:val="22"/>
        </w:rPr>
        <w:t>Expanding the Safe Harbor Based on Reasonable Analytics to Network-Based Blocking</w:t>
      </w:r>
      <w:r w:rsidRPr="009117EE">
        <w:rPr>
          <w:rFonts w:asciiTheme="minorHAnsi" w:hAnsiTheme="minorHAnsi" w:cstheme="minorHAnsi"/>
          <w:szCs w:val="22"/>
        </w:rPr>
        <w:t xml:space="preserve">.  The </w:t>
      </w:r>
      <w:r w:rsidRPr="009117EE" w:rsidR="005355C1">
        <w:rPr>
          <w:rFonts w:asciiTheme="minorHAnsi" w:hAnsiTheme="minorHAnsi" w:cstheme="minorHAnsi"/>
          <w:i/>
          <w:iCs/>
          <w:szCs w:val="22"/>
        </w:rPr>
        <w:t xml:space="preserve">Fourth </w:t>
      </w:r>
      <w:r w:rsidRPr="009117EE">
        <w:rPr>
          <w:rFonts w:asciiTheme="minorHAnsi" w:hAnsiTheme="minorHAnsi" w:cstheme="minorHAnsi"/>
          <w:i/>
          <w:iCs/>
          <w:szCs w:val="22"/>
        </w:rPr>
        <w:t>Report and Order</w:t>
      </w:r>
      <w:r w:rsidRPr="009117EE">
        <w:rPr>
          <w:rFonts w:asciiTheme="minorHAnsi" w:hAnsiTheme="minorHAnsi" w:cstheme="minorHAnsi"/>
          <w:szCs w:val="22"/>
        </w:rPr>
        <w:t xml:space="preserve"> expands </w:t>
      </w:r>
      <w:r w:rsidRPr="009117EE" w:rsidR="005355C1">
        <w:rPr>
          <w:rFonts w:asciiTheme="minorHAnsi" w:hAnsiTheme="minorHAnsi" w:cstheme="minorHAnsi"/>
          <w:szCs w:val="22"/>
        </w:rPr>
        <w:t>the existing</w:t>
      </w:r>
      <w:r w:rsidRPr="009117EE">
        <w:rPr>
          <w:rFonts w:asciiTheme="minorHAnsi" w:hAnsiTheme="minorHAnsi" w:cstheme="minorHAnsi"/>
          <w:szCs w:val="22"/>
        </w:rPr>
        <w:t xml:space="preserve"> safe harbor for blocking based on reasonable analytics to cover network-based blocking</w:t>
      </w:r>
      <w:r w:rsidRPr="009117EE" w:rsidR="009117EE">
        <w:rPr>
          <w:rFonts w:asciiTheme="minorHAnsi" w:hAnsiTheme="minorHAnsi" w:cstheme="minorHAnsi"/>
          <w:szCs w:val="22"/>
        </w:rPr>
        <w:t xml:space="preserve"> of calls that are highly likely to be illegal</w:t>
      </w:r>
      <w:r w:rsidRPr="009117EE">
        <w:rPr>
          <w:rFonts w:asciiTheme="minorHAnsi" w:hAnsiTheme="minorHAnsi" w:cstheme="minorHAnsi"/>
          <w:szCs w:val="22"/>
        </w:rPr>
        <w:t xml:space="preserve">, without consumer opt in or opt out.  </w:t>
      </w:r>
      <w:r w:rsidRPr="009117EE" w:rsidR="009117EE">
        <w:rPr>
          <w:rFonts w:asciiTheme="minorHAnsi" w:hAnsiTheme="minorHAnsi" w:cstheme="minorHAnsi"/>
          <w:szCs w:val="22"/>
        </w:rPr>
        <w:t>Th</w:t>
      </w:r>
      <w:r w:rsidR="00C44805">
        <w:rPr>
          <w:rFonts w:asciiTheme="minorHAnsi" w:hAnsiTheme="minorHAnsi" w:cstheme="minorHAnsi"/>
          <w:szCs w:val="22"/>
        </w:rPr>
        <w:t>e</w:t>
      </w:r>
      <w:r w:rsidRPr="009117EE" w:rsidR="009117EE">
        <w:rPr>
          <w:rFonts w:asciiTheme="minorHAnsi" w:hAnsiTheme="minorHAnsi" w:cstheme="minorHAnsi"/>
          <w:szCs w:val="22"/>
        </w:rPr>
        <w:t xml:space="preserve"> analytics must incorporate caller ID authentication information where available</w:t>
      </w:r>
      <w:r w:rsidR="00F46CC9">
        <w:rPr>
          <w:rFonts w:asciiTheme="minorHAnsi" w:hAnsiTheme="minorHAnsi" w:cstheme="minorHAnsi"/>
          <w:szCs w:val="22"/>
        </w:rPr>
        <w:t>.</w:t>
      </w:r>
      <w:r>
        <w:rPr>
          <w:rStyle w:val="FootnoteReference"/>
          <w:rFonts w:asciiTheme="minorHAnsi" w:hAnsiTheme="minorHAnsi" w:cstheme="minorHAnsi"/>
          <w:szCs w:val="22"/>
        </w:rPr>
        <w:footnoteReference w:id="10"/>
      </w:r>
      <w:r w:rsidRPr="009117EE" w:rsidR="009117EE">
        <w:rPr>
          <w:rFonts w:asciiTheme="minorHAnsi" w:hAnsiTheme="minorHAnsi" w:cstheme="minorHAnsi"/>
          <w:szCs w:val="22"/>
        </w:rPr>
        <w:t xml:space="preserve"> </w:t>
      </w:r>
      <w:r w:rsidR="00C44805">
        <w:rPr>
          <w:rFonts w:asciiTheme="minorHAnsi" w:hAnsiTheme="minorHAnsi" w:cstheme="minorHAnsi"/>
          <w:szCs w:val="22"/>
        </w:rPr>
        <w:t xml:space="preserve"> </w:t>
      </w:r>
      <w:r w:rsidRPr="009117EE">
        <w:rPr>
          <w:rFonts w:asciiTheme="minorHAnsi" w:hAnsiTheme="minorHAnsi" w:cstheme="minorHAnsi"/>
          <w:szCs w:val="22"/>
        </w:rPr>
        <w:t xml:space="preserve">The blocking must be managed with sufficient human oversight and network monitoring to ensure that blocking is working as intended.  For purposes of the safe harbor, the </w:t>
      </w:r>
      <w:r w:rsidRPr="009117EE" w:rsidR="009117EE">
        <w:rPr>
          <w:rFonts w:asciiTheme="minorHAnsi" w:hAnsiTheme="minorHAnsi" w:cstheme="minorHAnsi"/>
          <w:i/>
          <w:iCs/>
          <w:szCs w:val="22"/>
        </w:rPr>
        <w:t xml:space="preserve">Fourth </w:t>
      </w:r>
      <w:r w:rsidRPr="009117EE">
        <w:rPr>
          <w:rFonts w:asciiTheme="minorHAnsi" w:hAnsiTheme="minorHAnsi" w:cstheme="minorHAnsi"/>
          <w:i/>
          <w:iCs/>
          <w:szCs w:val="22"/>
        </w:rPr>
        <w:t>Report and Order</w:t>
      </w:r>
      <w:r w:rsidRPr="009117EE">
        <w:rPr>
          <w:rFonts w:asciiTheme="minorHAnsi" w:hAnsiTheme="minorHAnsi" w:cstheme="minorHAnsi"/>
          <w:iCs/>
          <w:szCs w:val="22"/>
        </w:rPr>
        <w:t xml:space="preserve"> makes clear that </w:t>
      </w:r>
      <w:r w:rsidR="00C44805">
        <w:rPr>
          <w:rFonts w:asciiTheme="minorHAnsi" w:hAnsiTheme="minorHAnsi" w:cstheme="minorHAnsi"/>
          <w:iCs/>
          <w:szCs w:val="22"/>
        </w:rPr>
        <w:t xml:space="preserve">a </w:t>
      </w:r>
      <w:r w:rsidRPr="009117EE">
        <w:rPr>
          <w:rFonts w:asciiTheme="minorHAnsi" w:hAnsiTheme="minorHAnsi" w:cstheme="minorHAnsi"/>
          <w:iCs/>
          <w:szCs w:val="22"/>
        </w:rPr>
        <w:t>voice service provider must have a process in place to reasonably determine that a call pattern is highly likely to be illegal prior to initiating blocking without consumer consent, and must cease blocking when the voice service provider learns that calls are likely lawful.</w:t>
      </w:r>
      <w:r w:rsidR="00614254">
        <w:rPr>
          <w:rFonts w:asciiTheme="minorHAnsi" w:hAnsiTheme="minorHAnsi" w:cstheme="minorHAnsi"/>
          <w:iCs/>
          <w:szCs w:val="22"/>
        </w:rPr>
        <w:t xml:space="preserve">  The Commission does not specify what the process must be.</w:t>
      </w:r>
    </w:p>
    <w:p w:rsidR="00A653A3" w:rsidRPr="009117EE" w:rsidP="00286EA8" w14:paraId="3A0B9050" w14:textId="36ADFE47">
      <w:pPr>
        <w:tabs>
          <w:tab w:val="left" w:pos="720"/>
        </w:tabs>
        <w:rPr>
          <w:rFonts w:cstheme="minorHAnsi"/>
        </w:rPr>
      </w:pPr>
      <w:r w:rsidRPr="009117EE">
        <w:rPr>
          <w:rFonts w:cstheme="minorHAnsi"/>
          <w:i/>
          <w:iCs/>
        </w:rPr>
        <w:t>Enhanced Transparency and Redress</w:t>
      </w:r>
      <w:r w:rsidRPr="009117EE">
        <w:rPr>
          <w:rFonts w:cstheme="minorHAnsi"/>
        </w:rPr>
        <w:t xml:space="preserve">.  The </w:t>
      </w:r>
      <w:r w:rsidR="009117EE">
        <w:rPr>
          <w:rFonts w:cstheme="minorHAnsi"/>
          <w:i/>
          <w:iCs/>
        </w:rPr>
        <w:t xml:space="preserve">Fourth </w:t>
      </w:r>
      <w:r w:rsidRPr="009117EE">
        <w:rPr>
          <w:rFonts w:cstheme="minorHAnsi"/>
          <w:i/>
          <w:iCs/>
        </w:rPr>
        <w:t xml:space="preserve">Report and Order </w:t>
      </w:r>
      <w:r w:rsidRPr="009117EE">
        <w:rPr>
          <w:rFonts w:cstheme="minorHAnsi"/>
        </w:rPr>
        <w:t>establishes several requirements to implement the TRACED Act and ensure that both callers and consumers are provided with transparency and effective redress.</w:t>
      </w:r>
      <w:r>
        <w:rPr>
          <w:rStyle w:val="FootnoteReference"/>
          <w:rFonts w:cstheme="minorHAnsi"/>
        </w:rPr>
        <w:footnoteReference w:id="11"/>
      </w:r>
      <w:r w:rsidRPr="009117EE">
        <w:rPr>
          <w:rFonts w:cstheme="minorHAnsi"/>
        </w:rPr>
        <w:t xml:space="preserve">  First, voice service providers that block calls must </w:t>
      </w:r>
      <w:r w:rsidR="009117EE">
        <w:rPr>
          <w:rFonts w:cstheme="minorHAnsi"/>
        </w:rPr>
        <w:t>provide an immediate notification to the</w:t>
      </w:r>
      <w:r w:rsidRPr="009117EE">
        <w:rPr>
          <w:rFonts w:cstheme="minorHAnsi"/>
        </w:rPr>
        <w:t xml:space="preserve"> caller </w:t>
      </w:r>
      <w:r w:rsidR="009117EE">
        <w:rPr>
          <w:rFonts w:cstheme="minorHAnsi"/>
        </w:rPr>
        <w:t xml:space="preserve">through a </w:t>
      </w:r>
      <w:r w:rsidRPr="009117EE">
        <w:rPr>
          <w:rFonts w:cstheme="minorHAnsi"/>
        </w:rPr>
        <w:t xml:space="preserve">Session Initiation Protocol (SIP) or ISDN User Part (ISUP) code as </w:t>
      </w:r>
      <w:r w:rsidRPr="009117EE">
        <w:rPr>
          <w:rFonts w:cstheme="minorHAnsi"/>
        </w:rPr>
        <w:t>appropriate.</w:t>
      </w:r>
      <w:r>
        <w:rPr>
          <w:rStyle w:val="FootnoteReference"/>
          <w:rFonts w:cstheme="minorHAnsi"/>
        </w:rPr>
        <w:footnoteReference w:id="12"/>
      </w:r>
      <w:r w:rsidRPr="009117EE">
        <w:rPr>
          <w:rFonts w:cstheme="minorHAnsi"/>
        </w:rPr>
        <w:t xml:space="preserve">  In order to ensure that these codes reach the origination point of the call, all voice service providers must make all necessary software upgrades and configuration changes to ensure that these codes translate properly when a call moves between </w:t>
      </w:r>
      <w:r w:rsidR="009117EE">
        <w:rPr>
          <w:rFonts w:cstheme="minorHAnsi"/>
        </w:rPr>
        <w:t>Time-Division Multiplexing (</w:t>
      </w:r>
      <w:r w:rsidRPr="009117EE">
        <w:rPr>
          <w:rFonts w:cstheme="minorHAnsi"/>
        </w:rPr>
        <w:t>TDM</w:t>
      </w:r>
      <w:r w:rsidR="009117EE">
        <w:rPr>
          <w:rFonts w:cstheme="minorHAnsi"/>
        </w:rPr>
        <w:t>)</w:t>
      </w:r>
      <w:r w:rsidRPr="009117EE">
        <w:rPr>
          <w:rFonts w:cstheme="minorHAnsi"/>
        </w:rPr>
        <w:t xml:space="preserve"> and </w:t>
      </w:r>
      <w:r w:rsidR="009117EE">
        <w:rPr>
          <w:rFonts w:cstheme="minorHAnsi"/>
        </w:rPr>
        <w:t>Internet Protocol (</w:t>
      </w:r>
      <w:r w:rsidRPr="009117EE">
        <w:rPr>
          <w:rFonts w:cstheme="minorHAnsi"/>
        </w:rPr>
        <w:t>IP</w:t>
      </w:r>
      <w:r w:rsidR="009117EE">
        <w:rPr>
          <w:rFonts w:cstheme="minorHAnsi"/>
        </w:rPr>
        <w:t xml:space="preserve">) </w:t>
      </w:r>
      <w:r w:rsidRPr="009117EE">
        <w:rPr>
          <w:rFonts w:cstheme="minorHAnsi"/>
        </w:rPr>
        <w:t>based networks.  Providers must comply with this requirement by January 1, 2022.  Second, voice service providers that block on an opt-in or opt-out basis must provide</w:t>
      </w:r>
      <w:r w:rsidR="00614254">
        <w:rPr>
          <w:rFonts w:cstheme="minorHAnsi"/>
        </w:rPr>
        <w:t xml:space="preserve"> to the subscriber of a particular number, on their request</w:t>
      </w:r>
      <w:r w:rsidRPr="009117EE">
        <w:rPr>
          <w:rFonts w:cstheme="minorHAnsi"/>
        </w:rPr>
        <w:t>, a list of all calls intended for that number that the provider has blocked.</w:t>
      </w:r>
      <w:r>
        <w:rPr>
          <w:rStyle w:val="FootnoteReference"/>
          <w:rFonts w:cstheme="minorHAnsi"/>
        </w:rPr>
        <w:footnoteReference w:id="13"/>
      </w:r>
      <w:r w:rsidRPr="009117EE">
        <w:rPr>
          <w:rFonts w:cstheme="minorHAnsi"/>
        </w:rPr>
        <w:t xml:space="preserve">  Voice service providers have three days to provide the list and the list should include all calls blocked on an opt-in or opt-out basis within the 28 days prior to the request.  Third, voice service providers that block calls must respond to any blocking dispute within 24 hours, either with a status update or a resolution.</w:t>
      </w:r>
      <w:r>
        <w:rPr>
          <w:rStyle w:val="FootnoteReference"/>
          <w:rFonts w:cstheme="minorHAnsi"/>
        </w:rPr>
        <w:footnoteReference w:id="14"/>
      </w:r>
      <w:r w:rsidRPr="009117EE">
        <w:rPr>
          <w:rFonts w:cstheme="minorHAnsi"/>
        </w:rPr>
        <w:t xml:space="preserve">  Finally, consistent with the TRACED Act, the </w:t>
      </w:r>
      <w:r w:rsidR="009117EE">
        <w:rPr>
          <w:rFonts w:cstheme="minorHAnsi"/>
          <w:i/>
          <w:iCs/>
        </w:rPr>
        <w:t xml:space="preserve">Fourth </w:t>
      </w:r>
      <w:r w:rsidRPr="009117EE">
        <w:rPr>
          <w:rFonts w:cstheme="minorHAnsi"/>
          <w:i/>
          <w:iCs/>
        </w:rPr>
        <w:t>Report and Order</w:t>
      </w:r>
      <w:r w:rsidRPr="009117EE">
        <w:rPr>
          <w:rFonts w:cstheme="minorHAnsi"/>
        </w:rPr>
        <w:t xml:space="preserve"> requires that the point of contact previously established to handle blocking disputes also be prepared to handle contacts from callers seeking to verify the authenticity of their calls.</w:t>
      </w:r>
      <w:r>
        <w:rPr>
          <w:rStyle w:val="FootnoteReference"/>
          <w:rFonts w:cstheme="minorHAnsi"/>
        </w:rPr>
        <w:footnoteReference w:id="15"/>
      </w:r>
      <w:r w:rsidRPr="009117EE">
        <w:rPr>
          <w:rFonts w:cstheme="minorHAnsi"/>
        </w:rPr>
        <w:t xml:space="preserve">  Any terminating voice service provider that does not block calls, and takes into account attestation information in determining how to deliver calls, must provide </w:t>
      </w:r>
      <w:r w:rsidR="00614254">
        <w:rPr>
          <w:rFonts w:cstheme="minorHAnsi"/>
        </w:rPr>
        <w:t xml:space="preserve">to the public </w:t>
      </w:r>
      <w:r w:rsidRPr="009117EE">
        <w:rPr>
          <w:rFonts w:cstheme="minorHAnsi"/>
        </w:rPr>
        <w:t>a point of contact to receive caller complaints regarding caller ID authentication</w:t>
      </w:r>
      <w:r w:rsidR="00122AA5">
        <w:rPr>
          <w:rFonts w:cstheme="minorHAnsi"/>
        </w:rPr>
        <w:t>,</w:t>
      </w:r>
      <w:r w:rsidRPr="009117EE">
        <w:rPr>
          <w:rFonts w:cstheme="minorHAnsi"/>
        </w:rPr>
        <w:t xml:space="preserve"> consistent with the rules</w:t>
      </w:r>
      <w:r w:rsidR="009117EE">
        <w:rPr>
          <w:rFonts w:cstheme="minorHAnsi"/>
        </w:rPr>
        <w:t xml:space="preserve"> established in the </w:t>
      </w:r>
      <w:r w:rsidR="009117EE">
        <w:rPr>
          <w:rFonts w:cstheme="minorHAnsi"/>
          <w:i/>
          <w:iCs/>
        </w:rPr>
        <w:t xml:space="preserve">Fourth Report and Order </w:t>
      </w:r>
      <w:r w:rsidR="009117EE">
        <w:rPr>
          <w:rFonts w:cstheme="minorHAnsi"/>
        </w:rPr>
        <w:t>and elsewhere in the rules</w:t>
      </w:r>
      <w:r w:rsidRPr="009117EE">
        <w:rPr>
          <w:rFonts w:cstheme="minorHAnsi"/>
        </w:rPr>
        <w:t>.</w:t>
      </w:r>
      <w:r w:rsidRPr="009117EE" w:rsidR="00FF67B3">
        <w:rPr>
          <w:rStyle w:val="FootnoteReference"/>
          <w:rFonts w:cstheme="minorHAnsi"/>
        </w:rPr>
        <w:t xml:space="preserve"> </w:t>
      </w:r>
      <w:r>
        <w:rPr>
          <w:rStyle w:val="FootnoteReference"/>
          <w:rFonts w:cstheme="minorHAnsi"/>
        </w:rPr>
        <w:footnoteReference w:id="16"/>
      </w:r>
      <w:r w:rsidRPr="009117EE">
        <w:rPr>
          <w:rFonts w:cstheme="minorHAnsi"/>
        </w:rPr>
        <w:br/>
      </w:r>
    </w:p>
    <w:p w:rsidR="00EF4B82" w:rsidRPr="009117EE" w:rsidP="00286EA8" w14:paraId="2676F6DC" w14:textId="2F6B14D9">
      <w:pPr>
        <w:tabs>
          <w:tab w:val="left" w:pos="720"/>
        </w:tabs>
        <w:rPr>
          <w:rFonts w:cstheme="minorHAnsi"/>
          <w:b/>
        </w:rPr>
      </w:pPr>
      <w:r w:rsidRPr="00646745">
        <w:rPr>
          <w:rFonts w:cstheme="minorHAnsi"/>
          <w:b/>
        </w:rPr>
        <w:t xml:space="preserve">II. </w:t>
      </w:r>
      <w:r w:rsidRPr="00646745" w:rsidR="00286EA8">
        <w:rPr>
          <w:rFonts w:cstheme="minorHAnsi"/>
          <w:b/>
        </w:rPr>
        <w:tab/>
      </w:r>
      <w:r w:rsidRPr="00646745">
        <w:rPr>
          <w:rFonts w:cstheme="minorHAnsi"/>
          <w:b/>
        </w:rPr>
        <w:t>COMPLIANCE REQUIREMENTS</w:t>
      </w:r>
    </w:p>
    <w:p w:rsidR="008509A1" w:rsidRPr="009117EE" w:rsidP="00286EA8" w14:paraId="51C436C2" w14:textId="60F3F6ED">
      <w:pPr>
        <w:tabs>
          <w:tab w:val="left" w:pos="720"/>
        </w:tabs>
        <w:rPr>
          <w:rFonts w:cstheme="minorHAnsi"/>
        </w:rPr>
      </w:pPr>
      <w:r w:rsidRPr="009117EE">
        <w:rPr>
          <w:rFonts w:cstheme="minorHAnsi"/>
        </w:rPr>
        <w:t xml:space="preserve">The </w:t>
      </w:r>
      <w:r w:rsidR="00780D0F">
        <w:rPr>
          <w:rFonts w:cstheme="minorHAnsi"/>
          <w:i/>
          <w:iCs/>
        </w:rPr>
        <w:t>Fourth</w:t>
      </w:r>
      <w:r w:rsidRPr="009117EE" w:rsidR="001C691D">
        <w:rPr>
          <w:rFonts w:cstheme="minorHAnsi"/>
          <w:i/>
          <w:iCs/>
        </w:rPr>
        <w:t xml:space="preserve"> </w:t>
      </w:r>
      <w:r w:rsidRPr="009117EE">
        <w:rPr>
          <w:rFonts w:cstheme="minorHAnsi"/>
          <w:i/>
        </w:rPr>
        <w:t>Report and Order</w:t>
      </w:r>
      <w:r w:rsidRPr="009117EE">
        <w:rPr>
          <w:rFonts w:cstheme="minorHAnsi"/>
        </w:rPr>
        <w:t xml:space="preserve"> makes rule changes to section</w:t>
      </w:r>
      <w:r w:rsidR="00780D0F">
        <w:rPr>
          <w:rFonts w:cstheme="minorHAnsi"/>
        </w:rPr>
        <w:t>s</w:t>
      </w:r>
      <w:r w:rsidRPr="009117EE">
        <w:rPr>
          <w:rFonts w:cstheme="minorHAnsi"/>
        </w:rPr>
        <w:t xml:space="preserve"> </w:t>
      </w:r>
      <w:r w:rsidR="00780D0F">
        <w:rPr>
          <w:rFonts w:cstheme="minorHAnsi"/>
        </w:rPr>
        <w:t xml:space="preserve">0.111 and </w:t>
      </w:r>
      <w:r w:rsidRPr="009117EE">
        <w:rPr>
          <w:rFonts w:cstheme="minorHAnsi"/>
        </w:rPr>
        <w:t>64.1200</w:t>
      </w:r>
      <w:r w:rsidRPr="009117EE" w:rsidR="00B41399">
        <w:rPr>
          <w:rFonts w:cstheme="minorHAnsi"/>
        </w:rPr>
        <w:t xml:space="preserve">; </w:t>
      </w:r>
      <w:r w:rsidR="00780D0F">
        <w:rPr>
          <w:rFonts w:cstheme="minorHAnsi"/>
        </w:rPr>
        <w:t xml:space="preserve">it requires voice service providers </w:t>
      </w:r>
      <w:r w:rsidR="00A470B3">
        <w:rPr>
          <w:rFonts w:cstheme="minorHAnsi"/>
        </w:rPr>
        <w:t>to meet certain affirmative obligations, expands the Commission’s existing safe harbor for the blocking of calls, and ensures transparency and effective redress for both consumers and callers.</w:t>
      </w:r>
    </w:p>
    <w:p w:rsidR="008509A1" w:rsidRPr="009117EE" w:rsidP="00286EA8" w14:paraId="5450F381" w14:textId="0A42A9DE">
      <w:pPr>
        <w:tabs>
          <w:tab w:val="left" w:pos="720"/>
        </w:tabs>
        <w:rPr>
          <w:rFonts w:cstheme="minorHAnsi"/>
          <w:bCs/>
          <w:iCs/>
        </w:rPr>
      </w:pPr>
      <w:r>
        <w:rPr>
          <w:rFonts w:cstheme="minorHAnsi"/>
          <w:b/>
          <w:bCs/>
          <w:i/>
          <w:iCs/>
        </w:rPr>
        <w:t>Affirmative Obligations for Voice Service Providers</w:t>
      </w:r>
      <w:r w:rsidRPr="009117EE">
        <w:rPr>
          <w:rFonts w:cstheme="minorHAnsi"/>
          <w:b/>
          <w:bCs/>
          <w:i/>
          <w:iCs/>
        </w:rPr>
        <w:t xml:space="preserve"> (47 CFR </w:t>
      </w:r>
      <w:r w:rsidRPr="009117EE">
        <w:rPr>
          <w:rFonts w:cstheme="minorHAnsi"/>
          <w:b/>
          <w:i/>
        </w:rPr>
        <w:t xml:space="preserve">§ </w:t>
      </w:r>
      <w:r>
        <w:rPr>
          <w:rFonts w:cstheme="minorHAnsi"/>
          <w:b/>
          <w:i/>
        </w:rPr>
        <w:t xml:space="preserve">0.111(a)(27), </w:t>
      </w:r>
      <w:r w:rsidRPr="009117EE">
        <w:rPr>
          <w:rFonts w:cstheme="minorHAnsi"/>
          <w:b/>
          <w:bCs/>
          <w:i/>
          <w:iCs/>
        </w:rPr>
        <w:t xml:space="preserve">47 CFR </w:t>
      </w:r>
      <w:r w:rsidRPr="009117EE">
        <w:rPr>
          <w:rFonts w:cstheme="minorHAnsi"/>
          <w:b/>
          <w:i/>
        </w:rPr>
        <w:t>§</w:t>
      </w:r>
      <w:r>
        <w:rPr>
          <w:rFonts w:cstheme="minorHAnsi"/>
          <w:b/>
          <w:i/>
        </w:rPr>
        <w:t xml:space="preserve"> 64.1200(n)</w:t>
      </w:r>
      <w:r w:rsidRPr="009117EE">
        <w:rPr>
          <w:rFonts w:cstheme="minorHAnsi"/>
          <w:b/>
          <w:i/>
        </w:rPr>
        <w:t>)</w:t>
      </w:r>
    </w:p>
    <w:p w:rsidR="008509A1" w:rsidRPr="009117EE" w:rsidP="008509A1" w14:paraId="24194AA5" w14:textId="0A54BF3D">
      <w:pPr>
        <w:pStyle w:val="ListParagraph"/>
        <w:numPr>
          <w:ilvl w:val="0"/>
          <w:numId w:val="15"/>
        </w:numPr>
        <w:tabs>
          <w:tab w:val="left" w:pos="720"/>
        </w:tabs>
        <w:rPr>
          <w:rFonts w:cstheme="minorHAnsi"/>
          <w:bCs/>
          <w:iCs/>
        </w:rPr>
      </w:pPr>
      <w:r>
        <w:rPr>
          <w:rFonts w:cstheme="minorHAnsi"/>
          <w:bCs/>
          <w:iCs/>
        </w:rPr>
        <w:t>Section 0.111(a)(27) delegates permanent authority to the Commission’s Enforcement Bureau to notify a voice service provider of</w:t>
      </w:r>
      <w:r w:rsidR="00016402">
        <w:rPr>
          <w:rFonts w:cstheme="minorHAnsi"/>
          <w:bCs/>
          <w:iCs/>
        </w:rPr>
        <w:t xml:space="preserve"> suspected</w:t>
      </w:r>
      <w:r>
        <w:rPr>
          <w:rFonts w:cstheme="minorHAnsi"/>
          <w:bCs/>
          <w:iCs/>
        </w:rPr>
        <w:t xml:space="preserve"> illegal traffic on its network</w:t>
      </w:r>
      <w:r w:rsidR="00016402">
        <w:rPr>
          <w:rFonts w:cstheme="minorHAnsi"/>
          <w:bCs/>
          <w:iCs/>
        </w:rPr>
        <w:t xml:space="preserve"> and require compliance with section 64.1200(n)(2), discussed further below.  This notification must be in writing and must identify the traffic, cite the statutes or regulations the traffic appears to violate, provide the basis for the Enforcement Bureau’s belief that the traffic is illegal, and state that the voice service provider must comply with section 64.1200(n)(2)</w:t>
      </w:r>
      <w:r w:rsidR="001F23E5">
        <w:rPr>
          <w:rFonts w:cstheme="minorHAnsi"/>
          <w:bCs/>
          <w:iCs/>
        </w:rPr>
        <w:t>.</w:t>
      </w:r>
    </w:p>
    <w:p w:rsidR="00483932" w:rsidP="008509A1" w14:paraId="2EF45A17" w14:textId="6B7442B0">
      <w:pPr>
        <w:pStyle w:val="ListParagraph"/>
        <w:numPr>
          <w:ilvl w:val="0"/>
          <w:numId w:val="15"/>
        </w:numPr>
        <w:tabs>
          <w:tab w:val="left" w:pos="720"/>
        </w:tabs>
        <w:rPr>
          <w:rFonts w:cstheme="minorHAnsi"/>
          <w:bCs/>
          <w:iCs/>
        </w:rPr>
      </w:pPr>
      <w:r w:rsidRPr="009117EE">
        <w:rPr>
          <w:rFonts w:cstheme="minorHAnsi"/>
          <w:bCs/>
          <w:iCs/>
        </w:rPr>
        <w:t>Under section 64.1200(</w:t>
      </w:r>
      <w:r w:rsidR="00016402">
        <w:rPr>
          <w:rFonts w:cstheme="minorHAnsi"/>
          <w:bCs/>
          <w:iCs/>
        </w:rPr>
        <w:t>n</w:t>
      </w:r>
      <w:r w:rsidRPr="009117EE">
        <w:rPr>
          <w:rFonts w:cstheme="minorHAnsi"/>
          <w:bCs/>
          <w:iCs/>
        </w:rPr>
        <w:t>)(</w:t>
      </w:r>
      <w:r w:rsidR="00016402">
        <w:rPr>
          <w:rFonts w:cstheme="minorHAnsi"/>
          <w:bCs/>
          <w:iCs/>
        </w:rPr>
        <w:t>1)</w:t>
      </w:r>
      <w:r w:rsidR="001F23E5">
        <w:rPr>
          <w:rFonts w:cstheme="minorHAnsi"/>
          <w:bCs/>
          <w:iCs/>
        </w:rPr>
        <w:t>,</w:t>
      </w:r>
      <w:r w:rsidR="00016402">
        <w:rPr>
          <w:rFonts w:cstheme="minorHAnsi"/>
          <w:bCs/>
          <w:iCs/>
        </w:rPr>
        <w:t xml:space="preserve"> all voice service providers must respond fully to traceback requests from the Commission, civil or criminal law enforcement, </w:t>
      </w:r>
      <w:r w:rsidR="0003334C">
        <w:rPr>
          <w:rFonts w:cstheme="minorHAnsi"/>
          <w:bCs/>
          <w:iCs/>
        </w:rPr>
        <w:t>and</w:t>
      </w:r>
      <w:r w:rsidR="00016402">
        <w:rPr>
          <w:rFonts w:cstheme="minorHAnsi"/>
          <w:bCs/>
          <w:iCs/>
        </w:rPr>
        <w:t xml:space="preserve"> the industry traceback consortium</w:t>
      </w:r>
      <w:r w:rsidRPr="009117EE" w:rsidR="00BE2B3B">
        <w:rPr>
          <w:rFonts w:cstheme="minorHAnsi"/>
          <w:bCs/>
          <w:iCs/>
        </w:rPr>
        <w:t>.</w:t>
      </w:r>
      <w:r w:rsidR="00016402">
        <w:rPr>
          <w:rFonts w:cstheme="minorHAnsi"/>
          <w:bCs/>
          <w:iCs/>
        </w:rPr>
        <w:t xml:space="preserve">  These responses must be made in a timely manner.</w:t>
      </w:r>
    </w:p>
    <w:p w:rsidR="00CD3026" w:rsidP="008509A1" w14:paraId="74DE0291" w14:textId="25407DF0">
      <w:pPr>
        <w:pStyle w:val="ListParagraph"/>
        <w:numPr>
          <w:ilvl w:val="0"/>
          <w:numId w:val="15"/>
        </w:numPr>
        <w:tabs>
          <w:tab w:val="left" w:pos="720"/>
        </w:tabs>
        <w:rPr>
          <w:rFonts w:cstheme="minorHAnsi"/>
          <w:bCs/>
          <w:iCs/>
        </w:rPr>
      </w:pPr>
      <w:r>
        <w:rPr>
          <w:rFonts w:cstheme="minorHAnsi"/>
          <w:bCs/>
          <w:iCs/>
        </w:rPr>
        <w:t>Under section 64.1200(n)(2)</w:t>
      </w:r>
      <w:r w:rsidR="00BF682E">
        <w:rPr>
          <w:rFonts w:cstheme="minorHAnsi"/>
          <w:bCs/>
          <w:iCs/>
        </w:rPr>
        <w:t>,</w:t>
      </w:r>
      <w:r w:rsidR="000A51AA">
        <w:rPr>
          <w:rFonts w:cstheme="minorHAnsi"/>
          <w:bCs/>
          <w:iCs/>
        </w:rPr>
        <w:t xml:space="preserve"> voice service providers, upon receipt of the notification described above under section 0.111(a)(27), must take steps to effectively mitigate the illegal traffic identified in that notice.  Section 64.1200(n)(2) requires the notified voice service provider to promptly investigate the identified traffic and report to the Commission’s Enforcement Bureau</w:t>
      </w:r>
      <w:r>
        <w:rPr>
          <w:rFonts w:cstheme="minorHAnsi"/>
          <w:bCs/>
          <w:iCs/>
        </w:rPr>
        <w:t xml:space="preserve"> as follows:</w:t>
      </w:r>
    </w:p>
    <w:p w:rsidR="00CD3026" w:rsidP="00CD3026" w14:paraId="5F2B29B9" w14:textId="5791464F">
      <w:pPr>
        <w:pStyle w:val="ListParagraph"/>
        <w:numPr>
          <w:ilvl w:val="1"/>
          <w:numId w:val="15"/>
        </w:numPr>
        <w:tabs>
          <w:tab w:val="left" w:pos="720"/>
        </w:tabs>
        <w:rPr>
          <w:rFonts w:cstheme="minorHAnsi"/>
          <w:bCs/>
          <w:iCs/>
        </w:rPr>
      </w:pPr>
      <w:r>
        <w:rPr>
          <w:rFonts w:cstheme="minorHAnsi"/>
          <w:bCs/>
          <w:iCs/>
        </w:rPr>
        <w:t>If the voice service provider determines that the identified traffic is not illegal, the report must include an explanation as to how the voice service provider reached this conclusion</w:t>
      </w:r>
      <w:r w:rsidR="00363D16">
        <w:rPr>
          <w:rFonts w:cstheme="minorHAnsi"/>
          <w:bCs/>
          <w:iCs/>
        </w:rPr>
        <w:t>, including the steps it took in its investigation</w:t>
      </w:r>
      <w:r>
        <w:rPr>
          <w:rFonts w:cstheme="minorHAnsi"/>
          <w:bCs/>
          <w:iCs/>
        </w:rPr>
        <w:t>;</w:t>
      </w:r>
      <w:r w:rsidR="00363D16">
        <w:rPr>
          <w:rFonts w:cstheme="minorHAnsi"/>
          <w:bCs/>
          <w:iCs/>
        </w:rPr>
        <w:t xml:space="preserve"> </w:t>
      </w:r>
    </w:p>
    <w:p w:rsidR="00CD3026" w:rsidP="00CD3026" w14:paraId="309A3E6C" w14:textId="1CBCA252">
      <w:pPr>
        <w:pStyle w:val="ListParagraph"/>
        <w:numPr>
          <w:ilvl w:val="1"/>
          <w:numId w:val="15"/>
        </w:numPr>
        <w:tabs>
          <w:tab w:val="left" w:pos="720"/>
        </w:tabs>
        <w:rPr>
          <w:rFonts w:cstheme="minorHAnsi"/>
          <w:bCs/>
          <w:iCs/>
        </w:rPr>
      </w:pPr>
      <w:r>
        <w:rPr>
          <w:rFonts w:cstheme="minorHAnsi"/>
          <w:bCs/>
          <w:iCs/>
        </w:rPr>
        <w:t>If the voice service provider determines that the identified traffic came from another voice service provider with direct access to the United States public switched telephone network, the report must identify that voice service provider and the notified voice service provider should take mitigation steps if possible</w:t>
      </w:r>
      <w:r>
        <w:rPr>
          <w:rFonts w:cstheme="minorHAnsi"/>
          <w:bCs/>
          <w:iCs/>
        </w:rPr>
        <w:t>; or</w:t>
      </w:r>
      <w:r>
        <w:rPr>
          <w:rFonts w:cstheme="minorHAnsi"/>
          <w:bCs/>
          <w:iCs/>
        </w:rPr>
        <w:t xml:space="preserve">  </w:t>
      </w:r>
    </w:p>
    <w:p w:rsidR="00016402" w:rsidP="00CD3026" w14:paraId="12EF5D6B" w14:textId="2B6E3698">
      <w:pPr>
        <w:pStyle w:val="ListParagraph"/>
        <w:numPr>
          <w:ilvl w:val="1"/>
          <w:numId w:val="15"/>
        </w:numPr>
        <w:tabs>
          <w:tab w:val="left" w:pos="720"/>
        </w:tabs>
        <w:rPr>
          <w:rFonts w:cstheme="minorHAnsi"/>
          <w:bCs/>
          <w:iCs/>
        </w:rPr>
      </w:pPr>
      <w:r>
        <w:rPr>
          <w:rFonts w:cstheme="minorHAnsi"/>
          <w:bCs/>
          <w:iCs/>
        </w:rPr>
        <w:t>If the voice service provider does not reach either of these conclusions, the report must include any steps the voice service provider has taken to effectively mitigate this traffic.</w:t>
      </w:r>
    </w:p>
    <w:p w:rsidR="00363D16" w:rsidRPr="009117EE" w:rsidP="008509A1" w14:paraId="2467C0C7" w14:textId="2EF3059E">
      <w:pPr>
        <w:pStyle w:val="ListParagraph"/>
        <w:numPr>
          <w:ilvl w:val="0"/>
          <w:numId w:val="15"/>
        </w:numPr>
        <w:tabs>
          <w:tab w:val="left" w:pos="720"/>
        </w:tabs>
        <w:rPr>
          <w:rFonts w:cstheme="minorHAnsi"/>
          <w:bCs/>
          <w:iCs/>
        </w:rPr>
      </w:pPr>
      <w:r>
        <w:rPr>
          <w:rFonts w:cstheme="minorHAnsi"/>
          <w:bCs/>
          <w:iCs/>
        </w:rPr>
        <w:t>Under section64.1200(n)(3)</w:t>
      </w:r>
      <w:r w:rsidR="00BF682E">
        <w:rPr>
          <w:rFonts w:cstheme="minorHAnsi"/>
          <w:bCs/>
          <w:iCs/>
        </w:rPr>
        <w:t>,</w:t>
      </w:r>
      <w:r>
        <w:rPr>
          <w:rFonts w:cstheme="minorHAnsi"/>
          <w:bCs/>
          <w:iCs/>
        </w:rPr>
        <w:t xml:space="preserve"> all voice service providers must take affirmative, effective measures to prevent new and renewing customers from using their network to originate illegal calls.  A voice service provider must know its customers and exercise due diligence to prevent the origination of illegal traffic. </w:t>
      </w:r>
    </w:p>
    <w:p w:rsidR="00BE2B3B" w:rsidRPr="009117EE" w:rsidP="00BE2B3B" w14:paraId="1763631D" w14:textId="5740EE6B">
      <w:pPr>
        <w:tabs>
          <w:tab w:val="left" w:pos="720"/>
        </w:tabs>
        <w:rPr>
          <w:rFonts w:cstheme="minorHAnsi"/>
          <w:b/>
          <w:i/>
        </w:rPr>
      </w:pPr>
      <w:r>
        <w:rPr>
          <w:rFonts w:cstheme="minorHAnsi"/>
          <w:b/>
          <w:bCs/>
          <w:i/>
          <w:iCs/>
        </w:rPr>
        <w:t>Expansion of Call Blocking Safe Harbor</w:t>
      </w:r>
      <w:r w:rsidRPr="009117EE">
        <w:rPr>
          <w:rFonts w:cstheme="minorHAnsi"/>
          <w:b/>
          <w:bCs/>
          <w:i/>
          <w:iCs/>
        </w:rPr>
        <w:t xml:space="preserve"> (47 CFR </w:t>
      </w:r>
      <w:r w:rsidRPr="009117EE">
        <w:rPr>
          <w:rFonts w:cstheme="minorHAnsi"/>
          <w:b/>
          <w:i/>
        </w:rPr>
        <w:t>§ 64.1200(k)(</w:t>
      </w:r>
      <w:r>
        <w:rPr>
          <w:rFonts w:cstheme="minorHAnsi"/>
          <w:b/>
          <w:i/>
        </w:rPr>
        <w:t>11</w:t>
      </w:r>
      <w:r w:rsidRPr="009117EE">
        <w:rPr>
          <w:rFonts w:cstheme="minorHAnsi"/>
          <w:b/>
          <w:i/>
        </w:rPr>
        <w:t>))</w:t>
      </w:r>
    </w:p>
    <w:p w:rsidR="00CD3026" w:rsidRPr="00CD3026" w:rsidP="00EB3194" w14:paraId="4AB39F4C" w14:textId="362C2978">
      <w:pPr>
        <w:pStyle w:val="ListParagraph"/>
        <w:numPr>
          <w:ilvl w:val="0"/>
          <w:numId w:val="17"/>
        </w:numPr>
        <w:tabs>
          <w:tab w:val="left" w:pos="720"/>
        </w:tabs>
        <w:rPr>
          <w:rFonts w:cstheme="minorHAnsi"/>
        </w:rPr>
      </w:pPr>
      <w:r w:rsidRPr="00EB3194">
        <w:rPr>
          <w:rFonts w:cstheme="minorHAnsi"/>
          <w:bCs/>
          <w:iCs/>
        </w:rPr>
        <w:t>Under section 64.12000(k)(</w:t>
      </w:r>
      <w:r w:rsidRPr="00EB3194" w:rsidR="00A33723">
        <w:rPr>
          <w:rFonts w:cstheme="minorHAnsi"/>
          <w:bCs/>
          <w:iCs/>
        </w:rPr>
        <w:t>11</w:t>
      </w:r>
      <w:r w:rsidRPr="00EB3194">
        <w:rPr>
          <w:rFonts w:cstheme="minorHAnsi"/>
          <w:bCs/>
          <w:iCs/>
        </w:rPr>
        <w:t>)</w:t>
      </w:r>
      <w:r w:rsidR="00BF682E">
        <w:rPr>
          <w:rFonts w:cstheme="minorHAnsi"/>
          <w:bCs/>
          <w:iCs/>
        </w:rPr>
        <w:t>,</w:t>
      </w:r>
      <w:r w:rsidRPr="00EB3194" w:rsidR="00A33723">
        <w:rPr>
          <w:rFonts w:cstheme="minorHAnsi"/>
          <w:bCs/>
          <w:iCs/>
        </w:rPr>
        <w:t xml:space="preserve"> voice service providers are protected from liability under the Communications Act and the Commission’s rules if the</w:t>
      </w:r>
      <w:r w:rsidR="00BF682E">
        <w:rPr>
          <w:rFonts w:cstheme="minorHAnsi"/>
          <w:bCs/>
          <w:iCs/>
        </w:rPr>
        <w:t>y</w:t>
      </w:r>
      <w:r w:rsidRPr="00EB3194" w:rsidR="00A33723">
        <w:rPr>
          <w:rFonts w:cstheme="minorHAnsi"/>
          <w:bCs/>
          <w:iCs/>
        </w:rPr>
        <w:t xml:space="preserve"> block calls at the network level, without allowing consumers to opt out, so long as they meet certain criteria</w:t>
      </w:r>
      <w:r>
        <w:rPr>
          <w:rFonts w:cstheme="minorHAnsi"/>
          <w:bCs/>
          <w:iCs/>
        </w:rPr>
        <w:t>:</w:t>
      </w:r>
      <w:r w:rsidRPr="00EB3194" w:rsidR="00A33723">
        <w:rPr>
          <w:rFonts w:cstheme="minorHAnsi"/>
          <w:bCs/>
          <w:iCs/>
        </w:rPr>
        <w:t xml:space="preserve">  </w:t>
      </w:r>
    </w:p>
    <w:p w:rsidR="00CD3026" w:rsidRPr="00CD3026" w:rsidP="00CD3026" w14:paraId="6F9616C2" w14:textId="40D4DD89">
      <w:pPr>
        <w:pStyle w:val="ListParagraph"/>
        <w:numPr>
          <w:ilvl w:val="1"/>
          <w:numId w:val="17"/>
        </w:numPr>
        <w:tabs>
          <w:tab w:val="left" w:pos="720"/>
        </w:tabs>
        <w:rPr>
          <w:rFonts w:cstheme="minorHAnsi"/>
        </w:rPr>
      </w:pPr>
      <w:r w:rsidRPr="00EB3194">
        <w:rPr>
          <w:rFonts w:cstheme="minorHAnsi"/>
          <w:bCs/>
          <w:iCs/>
        </w:rPr>
        <w:t>First, the voice service provider must determine that the calls are part of a call pattern that is highly likely to be illegal.  This determination must be based on reasonable analytics, which must incorporate caller ID authentication information where available</w:t>
      </w:r>
      <w:r w:rsidR="00BF682E">
        <w:rPr>
          <w:rFonts w:cstheme="minorHAnsi"/>
          <w:bCs/>
          <w:iCs/>
        </w:rPr>
        <w:t>.</w:t>
      </w:r>
      <w:r w:rsidRPr="00EB3194" w:rsidR="00BF682E">
        <w:rPr>
          <w:rFonts w:cstheme="minorHAnsi"/>
          <w:bCs/>
          <w:iCs/>
        </w:rPr>
        <w:t xml:space="preserve">  </w:t>
      </w:r>
    </w:p>
    <w:p w:rsidR="00CD3026" w:rsidRPr="00CD3026" w:rsidP="00CD3026" w14:paraId="0B988753" w14:textId="594E92DD">
      <w:pPr>
        <w:pStyle w:val="ListParagraph"/>
        <w:numPr>
          <w:ilvl w:val="1"/>
          <w:numId w:val="17"/>
        </w:numPr>
        <w:tabs>
          <w:tab w:val="left" w:pos="720"/>
        </w:tabs>
        <w:rPr>
          <w:rFonts w:cstheme="minorHAnsi"/>
        </w:rPr>
      </w:pPr>
      <w:r w:rsidRPr="00EB3194">
        <w:rPr>
          <w:rFonts w:cstheme="minorHAnsi"/>
          <w:bCs/>
          <w:iCs/>
        </w:rPr>
        <w:t>Second, the blocking must be managed with sufficient human oversight and network monitoring to ensure that blocking is working as intended.  Specifically, this must include a process that determines that the particular call pattern is highly likely to be illegal before blocking any calls that are part of that pattern</w:t>
      </w:r>
      <w:r w:rsidR="00BF682E">
        <w:rPr>
          <w:rFonts w:cstheme="minorHAnsi"/>
          <w:bCs/>
          <w:iCs/>
        </w:rPr>
        <w:t>.</w:t>
      </w:r>
      <w:r w:rsidRPr="00EB3194" w:rsidR="00BF682E">
        <w:rPr>
          <w:rFonts w:cstheme="minorHAnsi"/>
          <w:bCs/>
          <w:iCs/>
        </w:rPr>
        <w:t xml:space="preserve">  </w:t>
      </w:r>
    </w:p>
    <w:p w:rsidR="00CD3026" w:rsidRPr="00CD3026" w:rsidP="00CD3026" w14:paraId="20584BF8" w14:textId="5E0380CB">
      <w:pPr>
        <w:pStyle w:val="ListParagraph"/>
        <w:numPr>
          <w:ilvl w:val="1"/>
          <w:numId w:val="17"/>
        </w:numPr>
        <w:tabs>
          <w:tab w:val="left" w:pos="720"/>
        </w:tabs>
        <w:rPr>
          <w:rFonts w:cstheme="minorHAnsi"/>
        </w:rPr>
      </w:pPr>
      <w:r w:rsidRPr="00EB3194">
        <w:rPr>
          <w:rFonts w:cstheme="minorHAnsi"/>
          <w:bCs/>
          <w:iCs/>
        </w:rPr>
        <w:t>Third, the voice service provider must disclose to consumers that it is engaging in this sort of blocking</w:t>
      </w:r>
      <w:r w:rsidR="00BF682E">
        <w:rPr>
          <w:rFonts w:cstheme="minorHAnsi"/>
          <w:bCs/>
          <w:iCs/>
        </w:rPr>
        <w:t>.</w:t>
      </w:r>
      <w:r w:rsidRPr="00EB3194" w:rsidR="00BF682E">
        <w:rPr>
          <w:rFonts w:cstheme="minorHAnsi"/>
          <w:bCs/>
          <w:iCs/>
        </w:rPr>
        <w:t xml:space="preserve">  </w:t>
      </w:r>
    </w:p>
    <w:p w:rsidR="00CD3026" w:rsidRPr="00CD3026" w:rsidP="00CD3026" w14:paraId="700738F2" w14:textId="7DA4D3A1">
      <w:pPr>
        <w:pStyle w:val="ListParagraph"/>
        <w:numPr>
          <w:ilvl w:val="1"/>
          <w:numId w:val="17"/>
        </w:numPr>
        <w:tabs>
          <w:tab w:val="left" w:pos="720"/>
        </w:tabs>
        <w:rPr>
          <w:rFonts w:cstheme="minorHAnsi"/>
        </w:rPr>
      </w:pPr>
      <w:r w:rsidRPr="00EB3194">
        <w:rPr>
          <w:rFonts w:cstheme="minorHAnsi"/>
          <w:bCs/>
          <w:iCs/>
        </w:rPr>
        <w:t>Fourth, analytics must be applied in a non-discriminatory, competitively</w:t>
      </w:r>
      <w:r w:rsidR="006C1233">
        <w:rPr>
          <w:rFonts w:cstheme="minorHAnsi"/>
          <w:bCs/>
          <w:iCs/>
        </w:rPr>
        <w:t xml:space="preserve"> </w:t>
      </w:r>
      <w:r w:rsidRPr="00EB3194">
        <w:rPr>
          <w:rFonts w:cstheme="minorHAnsi"/>
          <w:bCs/>
          <w:iCs/>
        </w:rPr>
        <w:t>neutral manner</w:t>
      </w:r>
      <w:r w:rsidR="00BF682E">
        <w:rPr>
          <w:rFonts w:cstheme="minorHAnsi"/>
          <w:bCs/>
          <w:iCs/>
        </w:rPr>
        <w:t>.</w:t>
      </w:r>
      <w:r w:rsidRPr="00EB3194" w:rsidR="00BF682E">
        <w:rPr>
          <w:rFonts w:cstheme="minorHAnsi"/>
          <w:bCs/>
          <w:iCs/>
        </w:rPr>
        <w:t xml:space="preserve"> </w:t>
      </w:r>
    </w:p>
    <w:p w:rsidR="00CD3026" w:rsidRPr="00CD3026" w:rsidP="00CD3026" w14:paraId="5BEA1579" w14:textId="5024D83F">
      <w:pPr>
        <w:pStyle w:val="ListParagraph"/>
        <w:numPr>
          <w:ilvl w:val="1"/>
          <w:numId w:val="17"/>
        </w:numPr>
        <w:tabs>
          <w:tab w:val="left" w:pos="720"/>
        </w:tabs>
        <w:rPr>
          <w:rFonts w:cstheme="minorHAnsi"/>
        </w:rPr>
      </w:pPr>
      <w:r w:rsidRPr="00EB3194">
        <w:rPr>
          <w:rFonts w:cstheme="minorHAnsi"/>
          <w:bCs/>
          <w:iCs/>
        </w:rPr>
        <w:t xml:space="preserve">Fifth, this blocking must be provided without </w:t>
      </w:r>
      <w:r w:rsidR="00BF682E">
        <w:rPr>
          <w:rFonts w:cstheme="minorHAnsi"/>
          <w:bCs/>
          <w:iCs/>
        </w:rPr>
        <w:t xml:space="preserve">a </w:t>
      </w:r>
      <w:r w:rsidRPr="00EB3194">
        <w:rPr>
          <w:rFonts w:cstheme="minorHAnsi"/>
          <w:bCs/>
          <w:iCs/>
        </w:rPr>
        <w:t>line item charge to consumers</w:t>
      </w:r>
      <w:r w:rsidR="00BF682E">
        <w:rPr>
          <w:rFonts w:cstheme="minorHAnsi"/>
          <w:bCs/>
          <w:iCs/>
        </w:rPr>
        <w:t>.</w:t>
      </w:r>
      <w:r w:rsidRPr="00EB3194">
        <w:rPr>
          <w:rFonts w:cstheme="minorHAnsi"/>
          <w:bCs/>
          <w:iCs/>
        </w:rPr>
        <w:t xml:space="preserve"> </w:t>
      </w:r>
    </w:p>
    <w:p w:rsidR="00A33723" w:rsidRPr="00EB3194" w:rsidP="00CD3026" w14:paraId="67A07D11" w14:textId="60208DBA">
      <w:pPr>
        <w:pStyle w:val="ListParagraph"/>
        <w:numPr>
          <w:ilvl w:val="1"/>
          <w:numId w:val="17"/>
        </w:numPr>
        <w:tabs>
          <w:tab w:val="left" w:pos="720"/>
        </w:tabs>
        <w:rPr>
          <w:rFonts w:cstheme="minorHAnsi"/>
        </w:rPr>
      </w:pPr>
      <w:r w:rsidRPr="00EB3194">
        <w:rPr>
          <w:rFonts w:cstheme="minorHAnsi"/>
          <w:bCs/>
          <w:iCs/>
        </w:rPr>
        <w:t>Finally, the voice service provider must meet all transparency and redress requirements the Commission has adopted for blocking.</w:t>
      </w:r>
    </w:p>
    <w:p w:rsidR="00A33723" w:rsidRPr="00A33723" w:rsidP="00A33723" w14:paraId="71CA665D" w14:textId="3A1D207B">
      <w:pPr>
        <w:tabs>
          <w:tab w:val="left" w:pos="720"/>
        </w:tabs>
        <w:rPr>
          <w:rFonts w:cstheme="minorHAnsi"/>
          <w:b/>
          <w:i/>
        </w:rPr>
      </w:pPr>
      <w:r>
        <w:rPr>
          <w:rFonts w:cstheme="minorHAnsi"/>
          <w:b/>
          <w:bCs/>
          <w:i/>
          <w:iCs/>
        </w:rPr>
        <w:t>Transparency and Redress Requirements</w:t>
      </w:r>
      <w:r w:rsidRPr="00A33723">
        <w:rPr>
          <w:rFonts w:cstheme="minorHAnsi"/>
          <w:b/>
          <w:bCs/>
          <w:i/>
          <w:iCs/>
        </w:rPr>
        <w:t xml:space="preserve"> (47 CFR </w:t>
      </w:r>
      <w:r w:rsidRPr="00A33723">
        <w:rPr>
          <w:rFonts w:cstheme="minorHAnsi"/>
          <w:b/>
          <w:i/>
        </w:rPr>
        <w:t>§</w:t>
      </w:r>
      <w:r w:rsidRPr="00A33723">
        <w:rPr>
          <w:rFonts w:cstheme="minorHAnsi"/>
          <w:b/>
          <w:i/>
        </w:rPr>
        <w:t>§</w:t>
      </w:r>
      <w:r w:rsidRPr="00A33723">
        <w:rPr>
          <w:rFonts w:cstheme="minorHAnsi"/>
          <w:b/>
          <w:i/>
        </w:rPr>
        <w:t xml:space="preserve"> 64.1200(k)</w:t>
      </w:r>
      <w:r w:rsidR="00EB3194">
        <w:rPr>
          <w:rFonts w:cstheme="minorHAnsi"/>
          <w:b/>
          <w:i/>
        </w:rPr>
        <w:t xml:space="preserve">(5)-(6), </w:t>
      </w:r>
      <w:r w:rsidRPr="00A33723">
        <w:rPr>
          <w:rFonts w:cstheme="minorHAnsi"/>
          <w:b/>
          <w:i/>
        </w:rPr>
        <w:t>(</w:t>
      </w:r>
      <w:r>
        <w:rPr>
          <w:rFonts w:cstheme="minorHAnsi"/>
          <w:b/>
          <w:i/>
        </w:rPr>
        <w:t>8)-(10</w:t>
      </w:r>
      <w:r w:rsidRPr="00A33723">
        <w:rPr>
          <w:rFonts w:cstheme="minorHAnsi"/>
          <w:b/>
          <w:i/>
        </w:rPr>
        <w:t>))</w:t>
      </w:r>
    </w:p>
    <w:p w:rsidR="00144A39" w:rsidP="00EB3194" w14:paraId="7A1D48E6" w14:textId="77777777">
      <w:pPr>
        <w:pStyle w:val="ListParagraph"/>
        <w:numPr>
          <w:ilvl w:val="0"/>
          <w:numId w:val="17"/>
        </w:numPr>
        <w:tabs>
          <w:tab w:val="left" w:pos="720"/>
        </w:tabs>
        <w:rPr>
          <w:rFonts w:cstheme="minorHAnsi"/>
        </w:rPr>
      </w:pPr>
      <w:r>
        <w:rPr>
          <w:rFonts w:cstheme="minorHAnsi"/>
        </w:rPr>
        <w:t xml:space="preserve">Section 64.1200(k)(5) is not a new rule.  It </w:t>
      </w:r>
      <w:r>
        <w:rPr>
          <w:rFonts w:cstheme="minorHAnsi"/>
        </w:rPr>
        <w:t>prohibits</w:t>
      </w:r>
      <w:r>
        <w:rPr>
          <w:rFonts w:cstheme="minorHAnsi"/>
        </w:rPr>
        <w:t xml:space="preserve"> voice service providers </w:t>
      </w:r>
      <w:r>
        <w:rPr>
          <w:rFonts w:cstheme="minorHAnsi"/>
        </w:rPr>
        <w:t>from blocking emergency calls to 911.  This rule now applies to blocking consistent with the expanded safe harbor described under section 64.1200(k)(11).</w:t>
      </w:r>
    </w:p>
    <w:p w:rsidR="00A33723" w:rsidP="00EB3194" w14:paraId="644199D2" w14:textId="3088D9A8">
      <w:pPr>
        <w:pStyle w:val="ListParagraph"/>
        <w:numPr>
          <w:ilvl w:val="0"/>
          <w:numId w:val="17"/>
        </w:numPr>
        <w:tabs>
          <w:tab w:val="left" w:pos="720"/>
        </w:tabs>
        <w:rPr>
          <w:rFonts w:cstheme="minorHAnsi"/>
        </w:rPr>
      </w:pPr>
      <w:r>
        <w:rPr>
          <w:rFonts w:cstheme="minorHAnsi"/>
        </w:rPr>
        <w:t>Section 64.1299(k)(6) is not a new rule.  It requires all voice service providers that block calls consistent with this section to make all reasonable efforts</w:t>
      </w:r>
      <w:r w:rsidR="00EB3194">
        <w:rPr>
          <w:rFonts w:cstheme="minorHAnsi"/>
        </w:rPr>
        <w:t xml:space="preserve"> </w:t>
      </w:r>
      <w:r>
        <w:rPr>
          <w:rFonts w:cstheme="minorHAnsi"/>
        </w:rPr>
        <w:t>to ensure that calls from public safety answering points and government emergency numbers are not blocked.  This rule now applies to blocking consistent with the expanded safe harbor described under section 64.1200(k)(11).</w:t>
      </w:r>
    </w:p>
    <w:p w:rsidR="00CD3026" w:rsidP="00EB3194" w14:paraId="50E9F9C1" w14:textId="59A0CC92">
      <w:pPr>
        <w:pStyle w:val="ListParagraph"/>
        <w:numPr>
          <w:ilvl w:val="0"/>
          <w:numId w:val="17"/>
        </w:numPr>
        <w:tabs>
          <w:tab w:val="left" w:pos="720"/>
        </w:tabs>
        <w:rPr>
          <w:rFonts w:cstheme="minorHAnsi"/>
        </w:rPr>
      </w:pPr>
      <w:r>
        <w:rPr>
          <w:rFonts w:cstheme="minorHAnsi"/>
        </w:rPr>
        <w:t>Section 64.1200(k)(8) has been revised.  The rule now requires that all terminating voice service providers that either block calls or use caller ID authentication information in determining how to deliver calls have a single point of contact</w:t>
      </w:r>
      <w:r w:rsidR="003E4335">
        <w:rPr>
          <w:rFonts w:cstheme="minorHAnsi"/>
        </w:rPr>
        <w:t xml:space="preserve"> for</w:t>
      </w:r>
      <w:r w:rsidR="00FF67B3">
        <w:rPr>
          <w:rFonts w:cstheme="minorHAnsi"/>
        </w:rPr>
        <w:t xml:space="preserve"> resolving disputes</w:t>
      </w:r>
      <w:r>
        <w:rPr>
          <w:rFonts w:cstheme="minorHAnsi"/>
        </w:rPr>
        <w:t xml:space="preserve">.  </w:t>
      </w:r>
      <w:r w:rsidR="004773C6">
        <w:rPr>
          <w:rFonts w:cstheme="minorHAnsi"/>
        </w:rPr>
        <w:t xml:space="preserve">Should the voice service provider determine that calls should not have been blocked or that other call treatment was inappropriate, it must immediately cease that blocking or call treatment.  The voice service </w:t>
      </w:r>
      <w:r w:rsidR="004773C6">
        <w:rPr>
          <w:rFonts w:cstheme="minorHAnsi"/>
        </w:rPr>
        <w:t xml:space="preserve">provider may not charge the caller for reporting, investigating. or resolving these disputes so long as the complaint is made in good faith.  </w:t>
      </w:r>
      <w:r>
        <w:rPr>
          <w:rFonts w:cstheme="minorHAnsi"/>
        </w:rPr>
        <w:t>Th</w:t>
      </w:r>
      <w:r w:rsidR="004773C6">
        <w:rPr>
          <w:rFonts w:cstheme="minorHAnsi"/>
        </w:rPr>
        <w:t>e</w:t>
      </w:r>
      <w:r>
        <w:rPr>
          <w:rFonts w:cstheme="minorHAnsi"/>
        </w:rPr>
        <w:t xml:space="preserve"> point of contact must:</w:t>
      </w:r>
    </w:p>
    <w:p w:rsidR="00CD3026" w:rsidP="00CD3026" w14:paraId="5DD1A919" w14:textId="08D4DBAD">
      <w:pPr>
        <w:pStyle w:val="ListParagraph"/>
        <w:numPr>
          <w:ilvl w:val="1"/>
          <w:numId w:val="17"/>
        </w:numPr>
        <w:tabs>
          <w:tab w:val="left" w:pos="720"/>
        </w:tabs>
        <w:rPr>
          <w:rFonts w:cstheme="minorHAnsi"/>
        </w:rPr>
      </w:pPr>
      <w:r>
        <w:rPr>
          <w:rFonts w:cstheme="minorHAnsi"/>
        </w:rPr>
        <w:t>Be r</w:t>
      </w:r>
      <w:r w:rsidR="00144A39">
        <w:rPr>
          <w:rFonts w:cstheme="minorHAnsi"/>
        </w:rPr>
        <w:t xml:space="preserve">eadily </w:t>
      </w:r>
      <w:r w:rsidR="005A56F7">
        <w:rPr>
          <w:rFonts w:cstheme="minorHAnsi"/>
        </w:rPr>
        <w:t>available on the voice service provider</w:t>
      </w:r>
      <w:r w:rsidR="003E4335">
        <w:rPr>
          <w:rFonts w:cstheme="minorHAnsi"/>
        </w:rPr>
        <w:t>’</w:t>
      </w:r>
      <w:r w:rsidR="005A56F7">
        <w:rPr>
          <w:rFonts w:cstheme="minorHAnsi"/>
        </w:rPr>
        <w:t xml:space="preserve">s </w:t>
      </w:r>
      <w:r w:rsidR="003E4335">
        <w:rPr>
          <w:rFonts w:cstheme="minorHAnsi"/>
        </w:rPr>
        <w:t>public-</w:t>
      </w:r>
      <w:r w:rsidR="005A56F7">
        <w:rPr>
          <w:rFonts w:cstheme="minorHAnsi"/>
        </w:rPr>
        <w:t>facing website</w:t>
      </w:r>
      <w:r>
        <w:rPr>
          <w:rFonts w:cstheme="minorHAnsi"/>
        </w:rPr>
        <w:t>;</w:t>
      </w:r>
      <w:r w:rsidR="005A56F7">
        <w:rPr>
          <w:rFonts w:cstheme="minorHAnsi"/>
        </w:rPr>
        <w:t xml:space="preserve">  </w:t>
      </w:r>
    </w:p>
    <w:p w:rsidR="00CD3026" w:rsidP="00CD3026" w14:paraId="5AF0C3BC" w14:textId="6B1EB255">
      <w:pPr>
        <w:pStyle w:val="ListParagraph"/>
        <w:numPr>
          <w:ilvl w:val="1"/>
          <w:numId w:val="17"/>
        </w:numPr>
        <w:tabs>
          <w:tab w:val="left" w:pos="720"/>
        </w:tabs>
        <w:rPr>
          <w:rFonts w:cstheme="minorHAnsi"/>
        </w:rPr>
      </w:pPr>
      <w:r>
        <w:rPr>
          <w:rFonts w:cstheme="minorHAnsi"/>
        </w:rPr>
        <w:t>Be p</w:t>
      </w:r>
      <w:r w:rsidR="005A56F7">
        <w:rPr>
          <w:rFonts w:cstheme="minorHAnsi"/>
        </w:rPr>
        <w:t>repared to handle blocking disputes</w:t>
      </w:r>
      <w:r>
        <w:rPr>
          <w:rFonts w:cstheme="minorHAnsi"/>
        </w:rPr>
        <w:t>;</w:t>
      </w:r>
    </w:p>
    <w:p w:rsidR="00CD3026" w:rsidP="00CD3026" w14:paraId="77B0E0DF" w14:textId="7A8B0D7F">
      <w:pPr>
        <w:pStyle w:val="ListParagraph"/>
        <w:numPr>
          <w:ilvl w:val="1"/>
          <w:numId w:val="17"/>
        </w:numPr>
        <w:tabs>
          <w:tab w:val="left" w:pos="720"/>
        </w:tabs>
        <w:rPr>
          <w:rFonts w:cstheme="minorHAnsi"/>
        </w:rPr>
      </w:pPr>
      <w:r>
        <w:rPr>
          <w:rFonts w:cstheme="minorHAnsi"/>
        </w:rPr>
        <w:t>Be p</w:t>
      </w:r>
      <w:r>
        <w:rPr>
          <w:rFonts w:cstheme="minorHAnsi"/>
        </w:rPr>
        <w:t xml:space="preserve">repared to handle </w:t>
      </w:r>
      <w:r w:rsidR="005A56F7">
        <w:rPr>
          <w:rFonts w:cstheme="minorHAnsi"/>
        </w:rPr>
        <w:t>issues regarding verifying the authenticity of calls that are adversely affected by caller ID authentication information</w:t>
      </w:r>
      <w:r>
        <w:rPr>
          <w:rFonts w:cstheme="minorHAnsi"/>
        </w:rPr>
        <w:t>;</w:t>
      </w:r>
    </w:p>
    <w:p w:rsidR="004773C6" w:rsidP="00CD3026" w14:paraId="6DFEAFF2" w14:textId="2B57AB44">
      <w:pPr>
        <w:pStyle w:val="ListParagraph"/>
        <w:numPr>
          <w:ilvl w:val="1"/>
          <w:numId w:val="17"/>
        </w:numPr>
        <w:tabs>
          <w:tab w:val="left" w:pos="720"/>
        </w:tabs>
        <w:rPr>
          <w:rFonts w:cstheme="minorHAnsi"/>
        </w:rPr>
      </w:pPr>
      <w:r>
        <w:rPr>
          <w:rFonts w:cstheme="minorHAnsi"/>
        </w:rPr>
        <w:t>Resolve dispute</w:t>
      </w:r>
      <w:r w:rsidR="005A56F7">
        <w:rPr>
          <w:rFonts w:cstheme="minorHAnsi"/>
        </w:rPr>
        <w:t xml:space="preserve"> in a reasonable amount of time</w:t>
      </w:r>
      <w:r>
        <w:rPr>
          <w:rFonts w:cstheme="minorHAnsi"/>
        </w:rPr>
        <w:t>; and</w:t>
      </w:r>
    </w:p>
    <w:p w:rsidR="004773C6" w:rsidP="00CD3026" w14:paraId="75DAC2C5" w14:textId="76D1BC66">
      <w:pPr>
        <w:pStyle w:val="ListParagraph"/>
        <w:numPr>
          <w:ilvl w:val="1"/>
          <w:numId w:val="17"/>
        </w:numPr>
        <w:tabs>
          <w:tab w:val="left" w:pos="720"/>
        </w:tabs>
        <w:rPr>
          <w:rFonts w:cstheme="minorHAnsi"/>
        </w:rPr>
      </w:pPr>
      <w:r>
        <w:rPr>
          <w:rFonts w:cstheme="minorHAnsi"/>
        </w:rPr>
        <w:t>Provide</w:t>
      </w:r>
      <w:r w:rsidR="005A56F7">
        <w:rPr>
          <w:rFonts w:cstheme="minorHAnsi"/>
        </w:rPr>
        <w:t xml:space="preserve"> a status update on disputes to the party that brought the dispute within 24 hours</w:t>
      </w:r>
      <w:r>
        <w:rPr>
          <w:rFonts w:cstheme="minorHAnsi"/>
        </w:rPr>
        <w:t>.</w:t>
      </w:r>
    </w:p>
    <w:p w:rsidR="005A56F7" w:rsidP="00EB3194" w14:paraId="10CAA5D1" w14:textId="3DED3AC0">
      <w:pPr>
        <w:pStyle w:val="ListParagraph"/>
        <w:numPr>
          <w:ilvl w:val="0"/>
          <w:numId w:val="17"/>
        </w:numPr>
        <w:tabs>
          <w:tab w:val="left" w:pos="720"/>
        </w:tabs>
        <w:rPr>
          <w:rFonts w:cstheme="minorHAnsi"/>
        </w:rPr>
      </w:pPr>
      <w:r>
        <w:rPr>
          <w:rFonts w:cstheme="minorHAnsi"/>
        </w:rPr>
        <w:t>Under section 64.1200(k)(9)</w:t>
      </w:r>
      <w:r w:rsidR="003E4335">
        <w:rPr>
          <w:rFonts w:cstheme="minorHAnsi"/>
        </w:rPr>
        <w:t>,</w:t>
      </w:r>
      <w:r w:rsidR="00847D74">
        <w:rPr>
          <w:rFonts w:cstheme="minorHAnsi"/>
        </w:rPr>
        <w:t xml:space="preserve"> voice service providers that block calls must return an appropriate response code.  Additionally, all voice service providers must ensure that the code, or its equivalent, is passed back down the call path to the origination point.  An appropriate response code includes:</w:t>
      </w:r>
    </w:p>
    <w:p w:rsidR="00847D74" w:rsidP="00847D74" w14:paraId="36D52E14" w14:textId="50CF3BA8">
      <w:pPr>
        <w:pStyle w:val="ListParagraph"/>
        <w:numPr>
          <w:ilvl w:val="1"/>
          <w:numId w:val="17"/>
        </w:numPr>
        <w:tabs>
          <w:tab w:val="left" w:pos="720"/>
        </w:tabs>
        <w:rPr>
          <w:rFonts w:cstheme="minorHAnsi"/>
        </w:rPr>
      </w:pPr>
      <w:r>
        <w:rPr>
          <w:rFonts w:cstheme="minorHAnsi"/>
        </w:rPr>
        <w:t>Session Initiation Protocol (SIP) Code 607 or 608, where the call terminates on an IP network;</w:t>
      </w:r>
      <w:r w:rsidR="003E4335">
        <w:rPr>
          <w:rFonts w:cstheme="minorHAnsi"/>
        </w:rPr>
        <w:t xml:space="preserve"> or</w:t>
      </w:r>
    </w:p>
    <w:p w:rsidR="00847D74" w:rsidP="00847D74" w14:paraId="1FA4EDE9" w14:textId="68FC3F22">
      <w:pPr>
        <w:pStyle w:val="ListParagraph"/>
        <w:numPr>
          <w:ilvl w:val="1"/>
          <w:numId w:val="17"/>
        </w:numPr>
        <w:tabs>
          <w:tab w:val="left" w:pos="720"/>
        </w:tabs>
        <w:rPr>
          <w:rFonts w:cstheme="minorHAnsi"/>
        </w:rPr>
      </w:pPr>
      <w:r>
        <w:rPr>
          <w:rFonts w:cstheme="minorHAnsi"/>
        </w:rPr>
        <w:t>ISDN User Part (ISUP) code 21 with cause location “user</w:t>
      </w:r>
      <w:r w:rsidR="003E4335">
        <w:rPr>
          <w:rFonts w:cstheme="minorHAnsi"/>
        </w:rPr>
        <w:t>,</w:t>
      </w:r>
      <w:r>
        <w:rPr>
          <w:rFonts w:cstheme="minorHAnsi"/>
        </w:rPr>
        <w:t>” where the call terminates on a non-IP network</w:t>
      </w:r>
      <w:r w:rsidR="003E4335">
        <w:rPr>
          <w:rFonts w:cstheme="minorHAnsi"/>
        </w:rPr>
        <w:t>.</w:t>
      </w:r>
    </w:p>
    <w:p w:rsidR="00847D74" w:rsidP="00847D74" w14:paraId="56612C54" w14:textId="30FDBDF7">
      <w:pPr>
        <w:pStyle w:val="ListParagraph"/>
        <w:numPr>
          <w:ilvl w:val="1"/>
          <w:numId w:val="17"/>
        </w:numPr>
        <w:tabs>
          <w:tab w:val="left" w:pos="720"/>
        </w:tabs>
        <w:rPr>
          <w:rFonts w:cstheme="minorHAnsi"/>
        </w:rPr>
      </w:pPr>
      <w:r>
        <w:rPr>
          <w:rFonts w:cstheme="minorHAnsi"/>
        </w:rPr>
        <w:t>These codes must appropriately map to each other in the network to ensure that, as a call moves from an IP network to a non-IP network, the code is properly translated and not lost.</w:t>
      </w:r>
    </w:p>
    <w:p w:rsidR="00847D74" w:rsidP="00847D74" w14:paraId="116D6C93" w14:textId="69BBFF6F">
      <w:pPr>
        <w:pStyle w:val="ListParagraph"/>
        <w:numPr>
          <w:ilvl w:val="0"/>
          <w:numId w:val="17"/>
        </w:numPr>
        <w:tabs>
          <w:tab w:val="left" w:pos="720"/>
        </w:tabs>
        <w:rPr>
          <w:rFonts w:cstheme="minorHAnsi"/>
        </w:rPr>
      </w:pPr>
      <w:r>
        <w:rPr>
          <w:rFonts w:cstheme="minorHAnsi"/>
        </w:rPr>
        <w:t>Under section 64.1200(k)(10)</w:t>
      </w:r>
      <w:r w:rsidR="003E4335">
        <w:rPr>
          <w:rFonts w:cstheme="minorHAnsi"/>
        </w:rPr>
        <w:t>,</w:t>
      </w:r>
      <w:r>
        <w:rPr>
          <w:rFonts w:cstheme="minorHAnsi"/>
        </w:rPr>
        <w:t xml:space="preserve"> any voice service provider that blocks on an opt-in or opt-out basis must</w:t>
      </w:r>
      <w:r w:rsidR="009C261D">
        <w:rPr>
          <w:rFonts w:cstheme="minorHAnsi"/>
        </w:rPr>
        <w:t xml:space="preserve"> provide a list of blocked calls that were intended for a specific number at the request of the subscriber to that number. </w:t>
      </w:r>
      <w:r w:rsidR="003E4335">
        <w:rPr>
          <w:rFonts w:cstheme="minorHAnsi"/>
        </w:rPr>
        <w:t xml:space="preserve"> </w:t>
      </w:r>
      <w:r w:rsidR="009C261D">
        <w:rPr>
          <w:rFonts w:cstheme="minorHAnsi"/>
        </w:rPr>
        <w:t>This list must:</w:t>
      </w:r>
    </w:p>
    <w:p w:rsidR="009C261D" w:rsidP="009C261D" w14:paraId="7CC45573" w14:textId="4837C891">
      <w:pPr>
        <w:pStyle w:val="ListParagraph"/>
        <w:numPr>
          <w:ilvl w:val="1"/>
          <w:numId w:val="17"/>
        </w:numPr>
        <w:tabs>
          <w:tab w:val="left" w:pos="720"/>
        </w:tabs>
        <w:rPr>
          <w:rFonts w:cstheme="minorHAnsi"/>
        </w:rPr>
      </w:pPr>
      <w:r>
        <w:rPr>
          <w:rFonts w:cstheme="minorHAnsi"/>
        </w:rPr>
        <w:t>Be provided within 3 business days of the request;</w:t>
      </w:r>
    </w:p>
    <w:p w:rsidR="009C261D" w:rsidP="009C261D" w14:paraId="1F163EB1" w14:textId="128426F2">
      <w:pPr>
        <w:pStyle w:val="ListParagraph"/>
        <w:numPr>
          <w:ilvl w:val="1"/>
          <w:numId w:val="17"/>
        </w:numPr>
        <w:tabs>
          <w:tab w:val="left" w:pos="720"/>
        </w:tabs>
        <w:rPr>
          <w:rFonts w:cstheme="minorHAnsi"/>
        </w:rPr>
      </w:pPr>
      <w:r>
        <w:rPr>
          <w:rFonts w:cstheme="minorHAnsi"/>
        </w:rPr>
        <w:t>Include the previous 28 days of blocked calls;</w:t>
      </w:r>
      <w:r w:rsidR="003E4335">
        <w:rPr>
          <w:rFonts w:cstheme="minorHAnsi"/>
        </w:rPr>
        <w:t xml:space="preserve"> and</w:t>
      </w:r>
    </w:p>
    <w:p w:rsidR="009C261D" w:rsidRPr="00EB3194" w:rsidP="009C261D" w14:paraId="0895CD66" w14:textId="04A7C368">
      <w:pPr>
        <w:pStyle w:val="ListParagraph"/>
        <w:numPr>
          <w:ilvl w:val="1"/>
          <w:numId w:val="17"/>
        </w:numPr>
        <w:tabs>
          <w:tab w:val="left" w:pos="720"/>
        </w:tabs>
        <w:rPr>
          <w:rFonts w:cstheme="minorHAnsi"/>
        </w:rPr>
      </w:pPr>
      <w:r>
        <w:rPr>
          <w:rFonts w:cstheme="minorHAnsi"/>
        </w:rPr>
        <w:t>Include the date, time, and calling number of every blocked call within that time frame.</w:t>
      </w:r>
    </w:p>
    <w:p w:rsidR="00DE567B" w:rsidRPr="009117EE" w:rsidP="00286EA8" w14:paraId="1759BBF7" w14:textId="4F7A5A5A">
      <w:pPr>
        <w:tabs>
          <w:tab w:val="left" w:pos="720"/>
        </w:tabs>
        <w:spacing w:after="0"/>
        <w:rPr>
          <w:rFonts w:cstheme="minorHAnsi"/>
          <w:b/>
        </w:rPr>
      </w:pPr>
      <w:r w:rsidRPr="009117EE">
        <w:rPr>
          <w:rFonts w:cstheme="minorHAnsi"/>
          <w:b/>
        </w:rPr>
        <w:t>I</w:t>
      </w:r>
      <w:r w:rsidRPr="009117EE" w:rsidR="00BA1697">
        <w:rPr>
          <w:rFonts w:cstheme="minorHAnsi"/>
          <w:b/>
        </w:rPr>
        <w:t>II.</w:t>
      </w:r>
      <w:r w:rsidRPr="009117EE" w:rsidR="00286EA8">
        <w:rPr>
          <w:rFonts w:cstheme="minorHAnsi"/>
          <w:b/>
        </w:rPr>
        <w:tab/>
      </w:r>
      <w:r w:rsidRPr="009117EE">
        <w:rPr>
          <w:rFonts w:cstheme="minorHAnsi"/>
          <w:b/>
        </w:rPr>
        <w:t xml:space="preserve">RECORDKEEPING </w:t>
      </w:r>
      <w:r w:rsidRPr="009117EE" w:rsidR="00292357">
        <w:rPr>
          <w:rFonts w:cstheme="minorHAnsi"/>
          <w:b/>
        </w:rPr>
        <w:t xml:space="preserve">AND REPORTING </w:t>
      </w:r>
      <w:r w:rsidRPr="009117EE">
        <w:rPr>
          <w:rFonts w:cstheme="minorHAnsi"/>
          <w:b/>
        </w:rPr>
        <w:t>REQUIREMENTS</w:t>
      </w:r>
    </w:p>
    <w:p w:rsidR="00034878" w:rsidRPr="009117EE" w:rsidP="007F0A80" w14:paraId="688CB6D7" w14:textId="77777777">
      <w:pPr>
        <w:spacing w:after="0"/>
        <w:rPr>
          <w:rFonts w:cstheme="minorHAnsi"/>
          <w:b/>
        </w:rPr>
      </w:pPr>
    </w:p>
    <w:p w:rsidR="001C691D" w:rsidP="00511023" w14:paraId="4B70669A" w14:textId="0A62E079">
      <w:pPr>
        <w:spacing w:after="0"/>
      </w:pPr>
      <w:r>
        <w:rPr>
          <w:rFonts w:cstheme="minorHAnsi"/>
          <w:color w:val="010101"/>
        </w:rPr>
        <w:t xml:space="preserve">The </w:t>
      </w:r>
      <w:r>
        <w:rPr>
          <w:rFonts w:cstheme="minorHAnsi"/>
          <w:i/>
          <w:iCs/>
          <w:color w:val="010101"/>
        </w:rPr>
        <w:t>Fourth Report and Order</w:t>
      </w:r>
      <w:r>
        <w:rPr>
          <w:rFonts w:cstheme="minorHAnsi"/>
          <w:color w:val="010101"/>
        </w:rPr>
        <w:t xml:space="preserve"> </w:t>
      </w:r>
      <w:r>
        <w:t>contains new information collection requirements for the effective mitigation requirement and the blocked calls list requirement.</w:t>
      </w:r>
    </w:p>
    <w:p w:rsidR="009C261D" w:rsidP="00511023" w14:paraId="0E4A3B5B" w14:textId="77777777">
      <w:pPr>
        <w:spacing w:after="0"/>
      </w:pPr>
    </w:p>
    <w:p w:rsidR="009C261D" w:rsidP="009C261D" w14:paraId="05981667" w14:textId="0AA29630">
      <w:pPr>
        <w:pStyle w:val="ListParagraph"/>
        <w:numPr>
          <w:ilvl w:val="0"/>
          <w:numId w:val="18"/>
        </w:numPr>
        <w:spacing w:after="0"/>
        <w:rPr>
          <w:rFonts w:cstheme="minorHAnsi"/>
          <w:color w:val="010101"/>
        </w:rPr>
      </w:pPr>
      <w:r>
        <w:rPr>
          <w:rFonts w:cstheme="minorHAnsi"/>
          <w:color w:val="010101"/>
        </w:rPr>
        <w:t xml:space="preserve">Requirement to Effectively Mitigate Illegal Traffic Upon Notification (47 CFR </w:t>
      </w:r>
      <w:r w:rsidRPr="009C261D">
        <w:rPr>
          <w:rFonts w:cstheme="minorHAnsi"/>
          <w:color w:val="010101"/>
        </w:rPr>
        <w:t>§</w:t>
      </w:r>
      <w:r>
        <w:rPr>
          <w:rFonts w:cstheme="minorHAnsi"/>
          <w:color w:val="010101"/>
        </w:rPr>
        <w:t xml:space="preserve"> 64.1200(n)(2))</w:t>
      </w:r>
    </w:p>
    <w:p w:rsidR="009C261D" w:rsidP="009C261D" w14:paraId="1A6854E7" w14:textId="44BC42F9">
      <w:pPr>
        <w:pStyle w:val="ListParagraph"/>
        <w:numPr>
          <w:ilvl w:val="1"/>
          <w:numId w:val="18"/>
        </w:numPr>
        <w:spacing w:after="0"/>
        <w:rPr>
          <w:rFonts w:cstheme="minorHAnsi"/>
          <w:color w:val="010101"/>
        </w:rPr>
      </w:pPr>
      <w:r>
        <w:rPr>
          <w:rFonts w:cstheme="minorHAnsi"/>
          <w:color w:val="010101"/>
        </w:rPr>
        <w:t xml:space="preserve">Voice service providers must, after taking steps to investigate and mitigate illegal traffic following notification by the Commission’s </w:t>
      </w:r>
      <w:r w:rsidR="003E4335">
        <w:rPr>
          <w:rFonts w:cstheme="minorHAnsi"/>
          <w:color w:val="010101"/>
        </w:rPr>
        <w:t xml:space="preserve">Enforcement </w:t>
      </w:r>
      <w:r>
        <w:rPr>
          <w:rFonts w:cstheme="minorHAnsi"/>
          <w:color w:val="010101"/>
        </w:rPr>
        <w:t>Bureau, report to the Enforcement Bureau regarding the result of that investigation and any mitigation steps taken.</w:t>
      </w:r>
    </w:p>
    <w:p w:rsidR="00FD069C" w:rsidP="009C261D" w14:paraId="30003A1B" w14:textId="4599FA46">
      <w:pPr>
        <w:pStyle w:val="ListParagraph"/>
        <w:numPr>
          <w:ilvl w:val="1"/>
          <w:numId w:val="18"/>
        </w:numPr>
        <w:spacing w:after="0"/>
        <w:rPr>
          <w:rFonts w:cstheme="minorHAnsi"/>
          <w:color w:val="010101"/>
        </w:rPr>
      </w:pPr>
      <w:r>
        <w:rPr>
          <w:rFonts w:cstheme="minorHAnsi"/>
          <w:color w:val="010101"/>
        </w:rPr>
        <w:t>Responses must be made promptly following any such notification by the Enforcement Bureau.</w:t>
      </w:r>
    </w:p>
    <w:p w:rsidR="00FD069C" w:rsidP="00FD069C" w14:paraId="3F231C9B" w14:textId="0350887F">
      <w:pPr>
        <w:pStyle w:val="ListParagraph"/>
        <w:numPr>
          <w:ilvl w:val="0"/>
          <w:numId w:val="18"/>
        </w:numPr>
        <w:spacing w:after="0"/>
        <w:rPr>
          <w:rFonts w:cstheme="minorHAnsi"/>
          <w:color w:val="010101"/>
        </w:rPr>
      </w:pPr>
      <w:r>
        <w:rPr>
          <w:rFonts w:cstheme="minorHAnsi"/>
          <w:color w:val="010101"/>
        </w:rPr>
        <w:t xml:space="preserve">Blocked Calls list Requirement (47 CFR </w:t>
      </w:r>
      <w:r w:rsidRPr="009C261D">
        <w:rPr>
          <w:rFonts w:cstheme="minorHAnsi"/>
          <w:color w:val="010101"/>
        </w:rPr>
        <w:t>§</w:t>
      </w:r>
      <w:r>
        <w:rPr>
          <w:rFonts w:cstheme="minorHAnsi"/>
          <w:color w:val="010101"/>
        </w:rPr>
        <w:t xml:space="preserve"> 64.1200(k)(10))</w:t>
      </w:r>
    </w:p>
    <w:p w:rsidR="00FD069C" w:rsidP="00FD069C" w14:paraId="43911F44" w14:textId="05621B02">
      <w:pPr>
        <w:pStyle w:val="ListParagraph"/>
        <w:numPr>
          <w:ilvl w:val="1"/>
          <w:numId w:val="18"/>
        </w:numPr>
        <w:spacing w:after="0"/>
        <w:rPr>
          <w:rFonts w:cstheme="minorHAnsi"/>
          <w:color w:val="010101"/>
        </w:rPr>
      </w:pPr>
      <w:r>
        <w:rPr>
          <w:rFonts w:cstheme="minorHAnsi"/>
          <w:color w:val="010101"/>
        </w:rPr>
        <w:t xml:space="preserve">Voice service providers that block calls on an opt-in or opt-out basis must, at the request of the subscriber to a particular number, provide a list of all calls </w:t>
      </w:r>
      <w:r w:rsidR="003E4335">
        <w:rPr>
          <w:rFonts w:cstheme="minorHAnsi"/>
          <w:color w:val="010101"/>
        </w:rPr>
        <w:t xml:space="preserve">intended for that number </w:t>
      </w:r>
      <w:r>
        <w:rPr>
          <w:rFonts w:cstheme="minorHAnsi"/>
          <w:color w:val="010101"/>
        </w:rPr>
        <w:t>that have been blocked on an opt-in or opt-out basis in the prior 28 days.</w:t>
      </w:r>
    </w:p>
    <w:p w:rsidR="00646745" w:rsidRPr="009C261D" w:rsidP="00FD069C" w14:paraId="33B6CBB1" w14:textId="1FB2D952">
      <w:pPr>
        <w:pStyle w:val="ListParagraph"/>
        <w:numPr>
          <w:ilvl w:val="1"/>
          <w:numId w:val="18"/>
        </w:numPr>
        <w:spacing w:after="0"/>
        <w:rPr>
          <w:rFonts w:cstheme="minorHAnsi"/>
          <w:color w:val="010101"/>
        </w:rPr>
      </w:pPr>
      <w:r>
        <w:rPr>
          <w:rFonts w:cstheme="minorHAnsi"/>
          <w:color w:val="010101"/>
        </w:rPr>
        <w:t>This list must be provided within 3 business days</w:t>
      </w:r>
      <w:r w:rsidR="003E4335">
        <w:rPr>
          <w:rFonts w:cstheme="minorHAnsi"/>
          <w:color w:val="010101"/>
        </w:rPr>
        <w:t>; it</w:t>
      </w:r>
      <w:r>
        <w:rPr>
          <w:rFonts w:cstheme="minorHAnsi"/>
          <w:color w:val="010101"/>
        </w:rPr>
        <w:t xml:space="preserve"> can be provided through any reasonable means.</w:t>
      </w:r>
    </w:p>
    <w:p w:rsidR="0003334C" w:rsidP="00286EA8" w14:paraId="7755D9FA" w14:textId="77777777">
      <w:pPr>
        <w:tabs>
          <w:tab w:val="left" w:pos="720"/>
        </w:tabs>
        <w:spacing w:after="0"/>
        <w:rPr>
          <w:rFonts w:cstheme="minorHAnsi"/>
          <w:b/>
        </w:rPr>
      </w:pPr>
    </w:p>
    <w:p w:rsidR="00066CB4" w:rsidRPr="009117EE" w:rsidP="00286EA8" w14:paraId="2F69183C" w14:textId="5682E9F2">
      <w:pPr>
        <w:tabs>
          <w:tab w:val="left" w:pos="720"/>
        </w:tabs>
        <w:spacing w:after="0"/>
        <w:rPr>
          <w:rFonts w:cstheme="minorHAnsi"/>
          <w:b/>
        </w:rPr>
      </w:pPr>
      <w:r w:rsidRPr="009117EE">
        <w:rPr>
          <w:rFonts w:cstheme="minorHAnsi"/>
          <w:b/>
        </w:rPr>
        <w:t>I</w:t>
      </w:r>
      <w:r w:rsidRPr="009117EE">
        <w:rPr>
          <w:rFonts w:cstheme="minorHAnsi"/>
          <w:b/>
        </w:rPr>
        <w:t xml:space="preserve">V. </w:t>
      </w:r>
      <w:r w:rsidRPr="009117EE" w:rsidR="00286EA8">
        <w:rPr>
          <w:rFonts w:cstheme="minorHAnsi"/>
          <w:b/>
        </w:rPr>
        <w:tab/>
      </w:r>
      <w:r w:rsidRPr="009117EE">
        <w:rPr>
          <w:rFonts w:cstheme="minorHAnsi"/>
          <w:b/>
        </w:rPr>
        <w:t>IMPLEMENTATION</w:t>
      </w:r>
      <w:r w:rsidRPr="009117EE" w:rsidR="00716724">
        <w:rPr>
          <w:rFonts w:cstheme="minorHAnsi"/>
          <w:b/>
        </w:rPr>
        <w:t xml:space="preserve"> DATE</w:t>
      </w:r>
    </w:p>
    <w:p w:rsidR="00066CB4" w:rsidRPr="009117EE" w:rsidP="007F0A80" w14:paraId="6DD3727C" w14:textId="77777777">
      <w:pPr>
        <w:spacing w:after="0"/>
        <w:rPr>
          <w:rFonts w:cstheme="minorHAnsi"/>
          <w:b/>
        </w:rPr>
      </w:pPr>
    </w:p>
    <w:p w:rsidR="00FF67B3" w:rsidP="00511023" w14:paraId="6F828518" w14:textId="2B47DE1B">
      <w:pPr>
        <w:pStyle w:val="ParaNum"/>
        <w:numPr>
          <w:ilvl w:val="0"/>
          <w:numId w:val="0"/>
        </w:numPr>
        <w:ind w:firstLine="720"/>
        <w:rPr>
          <w:rFonts w:asciiTheme="minorHAnsi" w:hAnsiTheme="minorHAnsi" w:cstheme="minorHAnsi"/>
          <w:szCs w:val="22"/>
        </w:rPr>
      </w:pPr>
      <w:r w:rsidRPr="009117EE">
        <w:rPr>
          <w:rFonts w:asciiTheme="minorHAnsi" w:hAnsiTheme="minorHAnsi" w:cstheme="minorHAnsi"/>
          <w:szCs w:val="22"/>
        </w:rPr>
        <w:t>T</w:t>
      </w:r>
      <w:r w:rsidRPr="009117EE" w:rsidR="00491F77">
        <w:rPr>
          <w:rFonts w:asciiTheme="minorHAnsi" w:hAnsiTheme="minorHAnsi" w:cstheme="minorHAnsi"/>
          <w:szCs w:val="22"/>
        </w:rPr>
        <w:t xml:space="preserve">he rules in the </w:t>
      </w:r>
      <w:r w:rsidR="00646745">
        <w:rPr>
          <w:rFonts w:asciiTheme="minorHAnsi" w:hAnsiTheme="minorHAnsi" w:cstheme="minorHAnsi"/>
          <w:i/>
          <w:iCs/>
          <w:szCs w:val="22"/>
        </w:rPr>
        <w:t xml:space="preserve">Fourth </w:t>
      </w:r>
      <w:r w:rsidRPr="009117EE" w:rsidR="00491F77">
        <w:rPr>
          <w:rFonts w:asciiTheme="minorHAnsi" w:hAnsiTheme="minorHAnsi" w:cstheme="minorHAnsi"/>
          <w:i/>
          <w:szCs w:val="22"/>
        </w:rPr>
        <w:t>Report and Order</w:t>
      </w:r>
      <w:r w:rsidRPr="009117EE" w:rsidR="00491F77">
        <w:rPr>
          <w:rFonts w:asciiTheme="minorHAnsi" w:hAnsiTheme="minorHAnsi" w:cstheme="minorHAnsi"/>
          <w:szCs w:val="22"/>
        </w:rPr>
        <w:t xml:space="preserve"> shall become effective </w:t>
      </w:r>
      <w:r w:rsidRPr="009117EE" w:rsidR="001C691D">
        <w:rPr>
          <w:rFonts w:asciiTheme="minorHAnsi" w:hAnsiTheme="minorHAnsi" w:cstheme="minorHAnsi"/>
          <w:szCs w:val="22"/>
        </w:rPr>
        <w:t>30</w:t>
      </w:r>
      <w:r w:rsidRPr="009117EE" w:rsidR="001338B0">
        <w:rPr>
          <w:rFonts w:asciiTheme="minorHAnsi" w:hAnsiTheme="minorHAnsi" w:cstheme="minorHAnsi"/>
          <w:szCs w:val="22"/>
        </w:rPr>
        <w:t xml:space="preserve"> </w:t>
      </w:r>
      <w:r w:rsidRPr="009117EE" w:rsidR="00491F77">
        <w:rPr>
          <w:rFonts w:asciiTheme="minorHAnsi" w:hAnsiTheme="minorHAnsi" w:cstheme="minorHAnsi"/>
          <w:szCs w:val="22"/>
        </w:rPr>
        <w:t xml:space="preserve">days after publication of the text or </w:t>
      </w:r>
      <w:r w:rsidR="009E6899">
        <w:rPr>
          <w:rFonts w:asciiTheme="minorHAnsi" w:hAnsiTheme="minorHAnsi" w:cstheme="minorHAnsi"/>
          <w:szCs w:val="22"/>
        </w:rPr>
        <w:t xml:space="preserve">a </w:t>
      </w:r>
      <w:r w:rsidRPr="009117EE" w:rsidR="00491F77">
        <w:rPr>
          <w:rFonts w:asciiTheme="minorHAnsi" w:hAnsiTheme="minorHAnsi" w:cstheme="minorHAnsi"/>
          <w:szCs w:val="22"/>
        </w:rPr>
        <w:t>summary t</w:t>
      </w:r>
      <w:r w:rsidRPr="009117EE" w:rsidR="001338B0">
        <w:rPr>
          <w:rFonts w:asciiTheme="minorHAnsi" w:hAnsiTheme="minorHAnsi" w:cstheme="minorHAnsi"/>
          <w:szCs w:val="22"/>
        </w:rPr>
        <w:t>hereof in the Federal Register</w:t>
      </w:r>
      <w:r w:rsidR="009E6899">
        <w:rPr>
          <w:rFonts w:asciiTheme="minorHAnsi" w:hAnsiTheme="minorHAnsi" w:cstheme="minorHAnsi"/>
          <w:szCs w:val="22"/>
        </w:rPr>
        <w:t>,</w:t>
      </w:r>
      <w:r w:rsidR="00646745">
        <w:rPr>
          <w:rFonts w:asciiTheme="minorHAnsi" w:hAnsiTheme="minorHAnsi" w:cstheme="minorHAnsi"/>
          <w:szCs w:val="22"/>
        </w:rPr>
        <w:t xml:space="preserve"> with the exception of sections 64.1200(k)(9), 64.1200(k)(10), and</w:t>
      </w:r>
      <w:r w:rsidR="009E6899">
        <w:rPr>
          <w:rFonts w:asciiTheme="minorHAnsi" w:hAnsiTheme="minorHAnsi" w:cstheme="minorHAnsi"/>
          <w:szCs w:val="22"/>
        </w:rPr>
        <w:t xml:space="preserve"> </w:t>
      </w:r>
      <w:r w:rsidR="00646745">
        <w:rPr>
          <w:rFonts w:asciiTheme="minorHAnsi" w:hAnsiTheme="minorHAnsi" w:cstheme="minorHAnsi"/>
          <w:szCs w:val="22"/>
        </w:rPr>
        <w:t>64.1200(n)(2)</w:t>
      </w:r>
      <w:r w:rsidRPr="009117EE" w:rsidR="001338B0">
        <w:rPr>
          <w:rFonts w:asciiTheme="minorHAnsi" w:hAnsiTheme="minorHAnsi" w:cstheme="minorHAnsi"/>
          <w:szCs w:val="22"/>
        </w:rPr>
        <w:t>.</w:t>
      </w:r>
      <w:r w:rsidRPr="009117EE" w:rsidR="00874BE9">
        <w:rPr>
          <w:rFonts w:asciiTheme="minorHAnsi" w:hAnsiTheme="minorHAnsi" w:cstheme="minorHAnsi"/>
          <w:szCs w:val="22"/>
        </w:rPr>
        <w:t xml:space="preserve">  </w:t>
      </w:r>
    </w:p>
    <w:p w:rsidR="0008038D" w:rsidP="00511023" w14:paraId="4129B60A" w14:textId="1490828A">
      <w:pPr>
        <w:pStyle w:val="ParaNum"/>
        <w:numPr>
          <w:ilvl w:val="0"/>
          <w:numId w:val="0"/>
        </w:numPr>
        <w:ind w:firstLine="720"/>
        <w:rPr>
          <w:rFonts w:asciiTheme="minorHAnsi" w:hAnsiTheme="minorHAnsi" w:cstheme="minorHAnsi"/>
          <w:szCs w:val="22"/>
        </w:rPr>
      </w:pPr>
      <w:r w:rsidRPr="00FF67B3">
        <w:rPr>
          <w:rFonts w:asciiTheme="minorHAnsi" w:hAnsiTheme="minorHAnsi" w:cstheme="minorHAnsi"/>
          <w:szCs w:val="22"/>
        </w:rPr>
        <w:t xml:space="preserve">The following </w:t>
      </w:r>
      <w:r>
        <w:rPr>
          <w:rFonts w:asciiTheme="minorHAnsi" w:hAnsiTheme="minorHAnsi" w:cstheme="minorHAnsi"/>
          <w:szCs w:val="22"/>
        </w:rPr>
        <w:t>rules</w:t>
      </w:r>
      <w:r w:rsidRPr="00FF67B3">
        <w:rPr>
          <w:rFonts w:asciiTheme="minorHAnsi" w:hAnsiTheme="minorHAnsi" w:cstheme="minorHAnsi"/>
          <w:szCs w:val="22"/>
        </w:rPr>
        <w:t xml:space="preserve"> require approval by the Office of Management and Budget (OMB) under the Paperwork Reduction Act:  47 CFR </w:t>
      </w:r>
      <w:r>
        <w:rPr>
          <w:rFonts w:asciiTheme="minorHAnsi" w:hAnsiTheme="minorHAnsi" w:cstheme="minorHAnsi"/>
          <w:szCs w:val="22"/>
        </w:rPr>
        <w:t>64.12000(</w:t>
      </w:r>
      <w:r>
        <w:rPr>
          <w:rFonts w:asciiTheme="minorHAnsi" w:hAnsiTheme="minorHAnsi" w:cstheme="minorHAnsi"/>
          <w:szCs w:val="22"/>
        </w:rPr>
        <w:t>k)(10) and</w:t>
      </w:r>
      <w:r w:rsidRPr="00FF67B3">
        <w:rPr>
          <w:rFonts w:asciiTheme="minorHAnsi" w:hAnsiTheme="minorHAnsi" w:cstheme="minorHAnsi"/>
          <w:szCs w:val="22"/>
        </w:rPr>
        <w:t xml:space="preserve"> 47 CFR </w:t>
      </w:r>
      <w:r>
        <w:rPr>
          <w:rFonts w:asciiTheme="minorHAnsi" w:hAnsiTheme="minorHAnsi" w:cstheme="minorHAnsi"/>
          <w:szCs w:val="22"/>
        </w:rPr>
        <w:t>64.1200(n)(2)</w:t>
      </w:r>
      <w:r w:rsidRPr="00FF67B3">
        <w:rPr>
          <w:rFonts w:asciiTheme="minorHAnsi" w:hAnsiTheme="minorHAnsi" w:cstheme="minorHAnsi"/>
          <w:szCs w:val="22"/>
        </w:rPr>
        <w:t>. These rules shall become effective after the Commission publishes a notice in the Federal Register announcing OMB approval and the relevant effective date.</w:t>
      </w:r>
    </w:p>
    <w:p w:rsidR="0008038D" w:rsidRPr="0008038D" w:rsidP="00511023" w14:paraId="50754572" w14:textId="2104E529">
      <w:pPr>
        <w:pStyle w:val="ParaNum"/>
        <w:numPr>
          <w:ilvl w:val="0"/>
          <w:numId w:val="0"/>
        </w:numPr>
        <w:ind w:firstLine="720"/>
        <w:rPr>
          <w:rFonts w:asciiTheme="minorHAnsi" w:hAnsiTheme="minorHAnsi" w:cstheme="minorHAnsi"/>
          <w:szCs w:val="22"/>
        </w:rPr>
      </w:pPr>
      <w:r>
        <w:rPr>
          <w:rFonts w:asciiTheme="minorHAnsi" w:hAnsiTheme="minorHAnsi" w:cstheme="minorHAnsi"/>
          <w:szCs w:val="22"/>
        </w:rPr>
        <w:t>47 CFR 64.1200(k)(9) shall be effective January 1, 2022.</w:t>
      </w:r>
    </w:p>
    <w:p w:rsidR="00AB1D1E" w:rsidRPr="009117EE" w:rsidP="00972776" w14:paraId="33EBBABA" w14:textId="77777777">
      <w:pPr>
        <w:spacing w:after="0"/>
        <w:rPr>
          <w:rFonts w:cstheme="minorHAnsi"/>
          <w:b/>
        </w:rPr>
      </w:pPr>
    </w:p>
    <w:p w:rsidR="00C5062A" w:rsidRPr="009117EE" w:rsidP="00286EA8" w14:paraId="79679D59" w14:textId="5FC232EB">
      <w:pPr>
        <w:tabs>
          <w:tab w:val="left" w:pos="720"/>
        </w:tabs>
        <w:spacing w:after="0"/>
        <w:rPr>
          <w:rFonts w:cstheme="minorHAnsi"/>
          <w:b/>
        </w:rPr>
      </w:pPr>
      <w:r w:rsidRPr="009117EE">
        <w:rPr>
          <w:rFonts w:cstheme="minorHAnsi"/>
          <w:b/>
        </w:rPr>
        <w:t>V.</w:t>
      </w:r>
      <w:r w:rsidRPr="009117EE">
        <w:rPr>
          <w:rFonts w:cstheme="minorHAnsi"/>
          <w:b/>
        </w:rPr>
        <w:tab/>
      </w:r>
      <w:r w:rsidRPr="009117EE">
        <w:rPr>
          <w:rFonts w:cstheme="minorHAnsi"/>
          <w:b/>
        </w:rPr>
        <w:t>INTERNET LINKS</w:t>
      </w:r>
    </w:p>
    <w:p w:rsidR="00233B90" w:rsidRPr="009117EE" w:rsidP="00C5062A" w14:paraId="170C5BF1" w14:textId="77777777">
      <w:pPr>
        <w:spacing w:after="0"/>
        <w:rPr>
          <w:rFonts w:cstheme="minorHAnsi"/>
          <w:bCs/>
        </w:rPr>
      </w:pPr>
    </w:p>
    <w:p w:rsidR="002973BD" w:rsidRPr="009117EE" w:rsidP="00C5062A" w14:paraId="5819B98F" w14:textId="06804E54">
      <w:pPr>
        <w:spacing w:after="0"/>
        <w:rPr>
          <w:rFonts w:cstheme="minorHAnsi"/>
        </w:rPr>
      </w:pPr>
      <w:r w:rsidRPr="009117EE">
        <w:rPr>
          <w:rFonts w:cstheme="minorHAnsi"/>
          <w:bCs/>
        </w:rPr>
        <w:t xml:space="preserve">A copy of the </w:t>
      </w:r>
      <w:r w:rsidR="00646745">
        <w:rPr>
          <w:rFonts w:cstheme="minorHAnsi"/>
          <w:bCs/>
          <w:i/>
          <w:iCs/>
        </w:rPr>
        <w:t>Fourth</w:t>
      </w:r>
      <w:r w:rsidRPr="009117EE" w:rsidR="001C691D">
        <w:rPr>
          <w:rFonts w:cstheme="minorHAnsi"/>
          <w:bCs/>
          <w:i/>
          <w:iCs/>
        </w:rPr>
        <w:t xml:space="preserve"> </w:t>
      </w:r>
      <w:r w:rsidRPr="009117EE" w:rsidR="001C691D">
        <w:rPr>
          <w:rFonts w:cstheme="minorHAnsi"/>
          <w:bCs/>
          <w:i/>
        </w:rPr>
        <w:t>Report and Order</w:t>
      </w:r>
      <w:r w:rsidRPr="009117EE">
        <w:rPr>
          <w:rFonts w:cstheme="minorHAnsi"/>
          <w:bCs/>
        </w:rPr>
        <w:t xml:space="preserve"> is available at:</w:t>
      </w:r>
      <w:r w:rsidRPr="009117EE">
        <w:rPr>
          <w:rFonts w:cstheme="minorHAnsi"/>
          <w:b/>
        </w:rPr>
        <w:t xml:space="preserve"> </w:t>
      </w:r>
      <w:hyperlink r:id="rId8" w:history="1">
        <w:r w:rsidRPr="00646745" w:rsidR="00646745">
          <w:rPr>
            <w:rStyle w:val="Hyperlink"/>
          </w:rPr>
          <w:t>https://docs.fcc.gov/public/attachments/FCC-20-187A1.pdf</w:t>
        </w:r>
      </w:hyperlink>
      <w:r w:rsidRPr="009117EE" w:rsidR="001C691D">
        <w:rPr>
          <w:rFonts w:cstheme="minorHAnsi"/>
        </w:rPr>
        <w:t>.</w:t>
      </w:r>
    </w:p>
    <w:p w:rsidR="004008B8" w:rsidRPr="009117EE" w:rsidP="00972776" w14:paraId="76D7AB80" w14:textId="03499DF9">
      <w:pPr>
        <w:spacing w:after="0"/>
        <w:rPr>
          <w:rFonts w:cstheme="minorHAnsi"/>
          <w:b/>
        </w:rPr>
      </w:pPr>
    </w:p>
    <w:sectPr w:rsidSect="001743EF">
      <w:headerReference w:type="default" r:id="rId9"/>
      <w:footerReference w:type="default" r:id="rId10"/>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ascii="Times New Roman" w:hAnsi="Times New Roman" w:cs="Times New Roman"/>
      </w:rP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350274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223F" w:rsidP="00034878" w14:paraId="0B886993" w14:textId="77777777">
      <w:pPr>
        <w:spacing w:after="0" w:line="240" w:lineRule="auto"/>
      </w:pPr>
      <w:r>
        <w:separator/>
      </w:r>
    </w:p>
  </w:footnote>
  <w:footnote w:type="continuationSeparator" w:id="1">
    <w:p w:rsidR="00E0223F" w:rsidP="00034878" w14:paraId="3ADC1755" w14:textId="77777777">
      <w:pPr>
        <w:spacing w:after="0" w:line="240" w:lineRule="auto"/>
      </w:pPr>
      <w:r>
        <w:continuationSeparator/>
      </w:r>
    </w:p>
  </w:footnote>
  <w:footnote w:id="2">
    <w:p w:rsidR="003A2A19" w14:paraId="72A494B8" w14:textId="66A3DB19">
      <w:pPr>
        <w:pStyle w:val="FootnoteText"/>
      </w:pPr>
      <w:r>
        <w:rPr>
          <w:rStyle w:val="FootnoteReference"/>
        </w:rPr>
        <w:footnoteRef/>
      </w:r>
      <w:r>
        <w:t xml:space="preserve"> </w:t>
      </w:r>
      <w:r w:rsidRPr="0003334C">
        <w:rPr>
          <w:i/>
          <w:iCs/>
        </w:rPr>
        <w:t>Advanced Methods to Target and Eliminate Unlawful Robocalls</w:t>
      </w:r>
      <w:r w:rsidRPr="003A2A19">
        <w:t>, CG Docket No. 17-59, Fourth Report and Order, 35 FCC Rcd 15221 (Dec. 2020) (</w:t>
      </w:r>
      <w:r w:rsidRPr="0003334C">
        <w:rPr>
          <w:i/>
          <w:iCs/>
        </w:rPr>
        <w:t>Fourth Report and Order</w:t>
      </w:r>
      <w:r w:rsidRPr="003A2A19">
        <w:t>).</w:t>
      </w:r>
    </w:p>
  </w:footnote>
  <w:footnote w:id="3">
    <w:p w:rsidR="0008038D" w:rsidRPr="003A2A19" w14:paraId="0BCD0C74" w14:textId="3D2CC7C6">
      <w:pPr>
        <w:pStyle w:val="FootnoteText"/>
      </w:pPr>
      <w:r>
        <w:rPr>
          <w:rStyle w:val="FootnoteReference"/>
        </w:rPr>
        <w:footnoteRef/>
      </w:r>
      <w:r>
        <w:t xml:space="preserve"> </w:t>
      </w:r>
      <w:r w:rsidR="003A2A19">
        <w:rPr>
          <w:i/>
          <w:iCs/>
        </w:rPr>
        <w:t>Id.</w:t>
      </w:r>
      <w:r w:rsidR="003A2A19">
        <w:t xml:space="preserve"> at 15227-34, paras. 14-38.</w:t>
      </w:r>
    </w:p>
  </w:footnote>
  <w:footnote w:id="4">
    <w:p w:rsidR="003A2A19" w:rsidRPr="003A2A19" w14:paraId="674379C6" w14:textId="2B6D7603">
      <w:pPr>
        <w:pStyle w:val="FootnoteText"/>
      </w:pPr>
      <w:r>
        <w:rPr>
          <w:rStyle w:val="FootnoteReference"/>
        </w:rPr>
        <w:footnoteRef/>
      </w:r>
      <w:r>
        <w:t xml:space="preserve"> </w:t>
      </w:r>
      <w:r>
        <w:rPr>
          <w:i/>
          <w:iCs/>
        </w:rPr>
        <w:t>Id.</w:t>
      </w:r>
      <w:r>
        <w:t xml:space="preserve"> at 15234-38, paras. 39-47.</w:t>
      </w:r>
    </w:p>
  </w:footnote>
  <w:footnote w:id="5">
    <w:p w:rsidR="003A2A19" w:rsidRPr="003A2A19" w14:paraId="5A658941" w14:textId="145F6532">
      <w:pPr>
        <w:pStyle w:val="FootnoteText"/>
      </w:pPr>
      <w:r>
        <w:rPr>
          <w:rStyle w:val="FootnoteReference"/>
        </w:rPr>
        <w:footnoteRef/>
      </w:r>
      <w:r>
        <w:t xml:space="preserve"> </w:t>
      </w:r>
      <w:r>
        <w:rPr>
          <w:i/>
          <w:iCs/>
        </w:rPr>
        <w:t>Id.</w:t>
      </w:r>
      <w:r>
        <w:t xml:space="preserve"> at 15238-47, paras. 48-78.</w:t>
      </w:r>
    </w:p>
  </w:footnote>
  <w:footnote w:id="6">
    <w:p w:rsidR="00466CFD" w14:paraId="01323C8A" w14:textId="1A3D02A6">
      <w:pPr>
        <w:pStyle w:val="FootnoteText"/>
      </w:pPr>
      <w:r>
        <w:rPr>
          <w:rStyle w:val="FootnoteReference"/>
        </w:rPr>
        <w:footnoteRef/>
      </w:r>
      <w:r>
        <w:t xml:space="preserve"> </w:t>
      </w:r>
      <w:r>
        <w:rPr>
          <w:i/>
          <w:iCs/>
        </w:rPr>
        <w:t>Id.</w:t>
      </w:r>
      <w:r>
        <w:t xml:space="preserve"> at 15227-34, paras. 14-38.</w:t>
      </w:r>
    </w:p>
  </w:footnote>
  <w:footnote w:id="7">
    <w:p w:rsidR="00466CFD" w:rsidRPr="00466CFD" w14:paraId="31763BA0" w14:textId="6B8B09B9">
      <w:pPr>
        <w:pStyle w:val="FootnoteText"/>
      </w:pPr>
      <w:r>
        <w:rPr>
          <w:rStyle w:val="FootnoteReference"/>
        </w:rPr>
        <w:footnoteRef/>
      </w:r>
      <w:r>
        <w:t xml:space="preserve"> </w:t>
      </w:r>
      <w:r>
        <w:rPr>
          <w:i/>
          <w:iCs/>
        </w:rPr>
        <w:t>Id.</w:t>
      </w:r>
      <w:r>
        <w:t xml:space="preserve"> at 15227-29, paras. 15-21.</w:t>
      </w:r>
    </w:p>
  </w:footnote>
  <w:footnote w:id="8">
    <w:p w:rsidR="00466CFD" w:rsidRPr="00466CFD" w14:paraId="4D36219E" w14:textId="4AAA985B">
      <w:pPr>
        <w:pStyle w:val="FootnoteText"/>
      </w:pPr>
      <w:r>
        <w:rPr>
          <w:rStyle w:val="FootnoteReference"/>
        </w:rPr>
        <w:footnoteRef/>
      </w:r>
      <w:r>
        <w:t xml:space="preserve"> </w:t>
      </w:r>
      <w:r>
        <w:rPr>
          <w:i/>
          <w:iCs/>
        </w:rPr>
        <w:t>Id.</w:t>
      </w:r>
      <w:r>
        <w:t xml:space="preserve"> at 15229-32, paras. 22-31.</w:t>
      </w:r>
    </w:p>
  </w:footnote>
  <w:footnote w:id="9">
    <w:p w:rsidR="00466CFD" w:rsidRPr="00466CFD" w14:paraId="5E50F6DA" w14:textId="7233ED54">
      <w:pPr>
        <w:pStyle w:val="FootnoteText"/>
      </w:pPr>
      <w:r>
        <w:rPr>
          <w:rStyle w:val="FootnoteReference"/>
        </w:rPr>
        <w:footnoteRef/>
      </w:r>
      <w:r>
        <w:t xml:space="preserve"> </w:t>
      </w:r>
      <w:r>
        <w:rPr>
          <w:i/>
          <w:iCs/>
        </w:rPr>
        <w:t>Id.</w:t>
      </w:r>
      <w:r>
        <w:t xml:space="preserve"> at 15232-33, paras. 32-36.</w:t>
      </w:r>
    </w:p>
  </w:footnote>
  <w:footnote w:id="10">
    <w:p w:rsidR="00466CFD" w14:paraId="45CB2BFC" w14:textId="1198377C">
      <w:pPr>
        <w:pStyle w:val="FootnoteText"/>
      </w:pPr>
      <w:r>
        <w:rPr>
          <w:rStyle w:val="FootnoteReference"/>
        </w:rPr>
        <w:footnoteRef/>
      </w:r>
      <w:r>
        <w:t xml:space="preserve"> </w:t>
      </w:r>
      <w:r>
        <w:rPr>
          <w:i/>
          <w:iCs/>
        </w:rPr>
        <w:t>Id.</w:t>
      </w:r>
      <w:r>
        <w:t xml:space="preserve"> at 15234-38, paras. 39-47.</w:t>
      </w:r>
    </w:p>
  </w:footnote>
  <w:footnote w:id="11">
    <w:p w:rsidR="00466CFD" w14:paraId="748D668F" w14:textId="360353B7">
      <w:pPr>
        <w:pStyle w:val="FootnoteText"/>
      </w:pPr>
      <w:r>
        <w:rPr>
          <w:rStyle w:val="FootnoteReference"/>
        </w:rPr>
        <w:footnoteRef/>
      </w:r>
      <w:r>
        <w:t xml:space="preserve"> </w:t>
      </w:r>
      <w:r>
        <w:rPr>
          <w:i/>
          <w:iCs/>
        </w:rPr>
        <w:t>Id.</w:t>
      </w:r>
      <w:r>
        <w:t xml:space="preserve"> at 15238-47, paras. 48-78.</w:t>
      </w:r>
    </w:p>
  </w:footnote>
  <w:footnote w:id="12">
    <w:p w:rsidR="00466CFD" w:rsidRPr="00466CFD" w14:paraId="3B1BEA51" w14:textId="1ECE8774">
      <w:pPr>
        <w:pStyle w:val="FootnoteText"/>
      </w:pPr>
      <w:r>
        <w:rPr>
          <w:rStyle w:val="FootnoteReference"/>
        </w:rPr>
        <w:footnoteRef/>
      </w:r>
      <w:r>
        <w:t xml:space="preserve"> </w:t>
      </w:r>
      <w:r>
        <w:rPr>
          <w:i/>
          <w:iCs/>
        </w:rPr>
        <w:t>Id.</w:t>
      </w:r>
      <w:r>
        <w:t xml:space="preserve"> at 15239-42, paras. 52-61.</w:t>
      </w:r>
    </w:p>
  </w:footnote>
  <w:footnote w:id="13">
    <w:p w:rsidR="00466CFD" w:rsidRPr="00466CFD" w14:paraId="4EBE222C" w14:textId="6AF239EA">
      <w:pPr>
        <w:pStyle w:val="FootnoteText"/>
      </w:pPr>
      <w:r>
        <w:rPr>
          <w:rStyle w:val="FootnoteReference"/>
        </w:rPr>
        <w:footnoteRef/>
      </w:r>
      <w:r>
        <w:t xml:space="preserve"> </w:t>
      </w:r>
      <w:r>
        <w:rPr>
          <w:i/>
          <w:iCs/>
        </w:rPr>
        <w:t>Id.</w:t>
      </w:r>
      <w:r>
        <w:t xml:space="preserve"> at 15242-45, paras. 62-70.</w:t>
      </w:r>
    </w:p>
  </w:footnote>
  <w:footnote w:id="14">
    <w:p w:rsidR="00466CFD" w:rsidRPr="00466CFD" w14:paraId="6ED6B412" w14:textId="400408FB">
      <w:pPr>
        <w:pStyle w:val="FootnoteText"/>
      </w:pPr>
      <w:r>
        <w:rPr>
          <w:rStyle w:val="FootnoteReference"/>
        </w:rPr>
        <w:footnoteRef/>
      </w:r>
      <w:r>
        <w:t xml:space="preserve"> </w:t>
      </w:r>
      <w:r>
        <w:rPr>
          <w:i/>
          <w:iCs/>
        </w:rPr>
        <w:t>Id.</w:t>
      </w:r>
      <w:r>
        <w:t xml:space="preserve"> at 15245-46, paras. 71-73.</w:t>
      </w:r>
    </w:p>
  </w:footnote>
  <w:footnote w:id="15">
    <w:p w:rsidR="00466CFD" w:rsidRPr="00466CFD" w14:paraId="2F3919B0" w14:textId="6F5BF593">
      <w:pPr>
        <w:pStyle w:val="FootnoteText"/>
      </w:pPr>
      <w:r>
        <w:rPr>
          <w:rStyle w:val="FootnoteReference"/>
        </w:rPr>
        <w:footnoteRef/>
      </w:r>
      <w:r>
        <w:t xml:space="preserve"> </w:t>
      </w:r>
      <w:r>
        <w:rPr>
          <w:i/>
          <w:iCs/>
        </w:rPr>
        <w:t>Id.</w:t>
      </w:r>
      <w:r>
        <w:t xml:space="preserve"> at </w:t>
      </w:r>
      <w:r w:rsidR="0003334C">
        <w:t xml:space="preserve">15245-47, paras. 74-78.  The Commission established the general point of contact requirement in an Order adopted in July 2020. </w:t>
      </w:r>
      <w:r w:rsidR="0003334C">
        <w:rPr>
          <w:i/>
          <w:iCs/>
        </w:rPr>
        <w:t>Advanced Methods to Target and Eliminate Unlawful Robocalls</w:t>
      </w:r>
      <w:r w:rsidR="0003334C">
        <w:t>, CG Docket No. 17-59, Third Report and Order, Order on Reconsideration, and Fourth Further Notice of Proposed Rulemaking, 35 FCC Rcd 7614, 7634-35, paras. 54-57 (2020)</w:t>
      </w:r>
      <w:r w:rsidR="006C1233">
        <w:t xml:space="preserve"> (</w:t>
      </w:r>
      <w:r w:rsidRPr="001E2A98" w:rsidR="006C1233">
        <w:rPr>
          <w:i/>
          <w:iCs/>
        </w:rPr>
        <w:t>Third Call Blocking Order</w:t>
      </w:r>
      <w:r w:rsidR="006C1233">
        <w:t>)</w:t>
      </w:r>
      <w:r w:rsidR="0003334C">
        <w:t>.</w:t>
      </w:r>
    </w:p>
  </w:footnote>
  <w:footnote w:id="16">
    <w:p w:rsidR="006C1233" w:rsidRPr="006C1233" w14:paraId="084095FC" w14:textId="55C25F7C">
      <w:pPr>
        <w:pStyle w:val="FootnoteText"/>
      </w:pPr>
      <w:r>
        <w:rPr>
          <w:rStyle w:val="FootnoteReference"/>
        </w:rPr>
        <w:footnoteRef/>
      </w:r>
      <w:r>
        <w:t xml:space="preserve"> </w:t>
      </w:r>
      <w:r>
        <w:rPr>
          <w:i/>
          <w:iCs/>
        </w:rPr>
        <w:t>See Third Call Blocking Order</w:t>
      </w:r>
      <w:r>
        <w:t xml:space="preserve">, 35 FCC Rcd </w:t>
      </w:r>
      <w:r w:rsidR="00614254">
        <w:t>at</w:t>
      </w:r>
      <w:r>
        <w:t xml:space="preserve"> 7634-35, paras. 54-57; 47 CFR </w:t>
      </w:r>
      <w:r w:rsidRPr="006C1233">
        <w:t>§ 64.1200(k)(</w:t>
      </w:r>
      <w:r>
        <w:t>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P="00121A4A" w14:paraId="0B5C5E41" w14:textId="77777777">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81562635" r:id="rId2"/>
      </w:pict>
    </w:r>
    <w:r>
      <w:rPr>
        <w:rFonts w:ascii="CG Times (W1)" w:hAnsi="CG Times (W1)"/>
        <w:sz w:val="28"/>
      </w:rPr>
      <w:t>Federal Communications Commission</w:t>
    </w:r>
  </w:p>
  <w:p w:rsidR="00121A4A" w:rsidP="00121A4A" w14:paraId="71989AC2" w14:textId="77777777">
    <w:pPr>
      <w:jc w:val="center"/>
      <w:rPr>
        <w:rFonts w:ascii="CG Times (W1)" w:hAnsi="CG Times (W1)"/>
        <w:sz w:val="28"/>
      </w:rPr>
    </w:pPr>
    <w:r>
      <w:rPr>
        <w:rFonts w:ascii="CG Times (W1)" w:hAnsi="CG Times (W1)"/>
        <w:sz w:val="28"/>
      </w:rPr>
      <w:t>Washington, D.C. 20554</w:t>
    </w:r>
  </w:p>
  <w:p w:rsidR="00121A4A" w:rsidRPr="003172B5" w:rsidP="00511023" w14:paraId="0675F8B2" w14:textId="76ECFE4A">
    <w:pPr>
      <w:jc w:val="center"/>
      <w:rPr>
        <w:sz w:val="24"/>
        <w:szCs w:val="24"/>
      </w:rPr>
    </w:pPr>
    <w:r>
      <w:rPr>
        <w:rFonts w:ascii="CG Times (W1)" w:hAnsi="CG Times (W1)"/>
        <w:sz w:val="24"/>
        <w:szCs w:val="24"/>
      </w:rPr>
      <w:t>May 3, 2021</w:t>
    </w:r>
    <w:r w:rsidRPr="003172B5">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369F38C9"/>
    <w:multiLevelType w:val="hybridMultilevel"/>
    <w:tmpl w:val="78F245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77E79B8"/>
    <w:multiLevelType w:val="hybridMultilevel"/>
    <w:tmpl w:val="1B0CDE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D6C1B77"/>
    <w:multiLevelType w:val="hybridMultilevel"/>
    <w:tmpl w:val="A87892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950427F"/>
    <w:multiLevelType w:val="hybridMultilevel"/>
    <w:tmpl w:val="6D3291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num>
  <w:num w:numId="2">
    <w:abstractNumId w:val="3"/>
  </w:num>
  <w:num w:numId="3">
    <w:abstractNumId w:val="9"/>
  </w:num>
  <w:num w:numId="4">
    <w:abstractNumId w:val="2"/>
  </w:num>
  <w:num w:numId="5">
    <w:abstractNumId w:val="13"/>
  </w:num>
  <w:num w:numId="6">
    <w:abstractNumId w:val="5"/>
  </w:num>
  <w:num w:numId="7">
    <w:abstractNumId w:val="0"/>
  </w:num>
  <w:num w:numId="8">
    <w:abstractNumId w:val="11"/>
  </w:num>
  <w:num w:numId="9">
    <w:abstractNumId w:val="8"/>
  </w:num>
  <w:num w:numId="10">
    <w:abstractNumId w:val="1"/>
  </w:num>
  <w:num w:numId="11">
    <w:abstractNumId w:val="7"/>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3"/>
    </w:lvlOverride>
  </w:num>
  <w:num w:numId="14">
    <w:abstractNumId w:val="15"/>
  </w:num>
  <w:num w:numId="15">
    <w:abstractNumId w:val="14"/>
  </w:num>
  <w:num w:numId="16">
    <w:abstractNumId w:val="12"/>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705E"/>
    <w:rsid w:val="00013982"/>
    <w:rsid w:val="0001453A"/>
    <w:rsid w:val="00016402"/>
    <w:rsid w:val="00025AB0"/>
    <w:rsid w:val="000320CC"/>
    <w:rsid w:val="0003334C"/>
    <w:rsid w:val="00034878"/>
    <w:rsid w:val="000601FD"/>
    <w:rsid w:val="00066CB4"/>
    <w:rsid w:val="00074CA4"/>
    <w:rsid w:val="0008038D"/>
    <w:rsid w:val="00087BBD"/>
    <w:rsid w:val="0009430B"/>
    <w:rsid w:val="000A51AA"/>
    <w:rsid w:val="000B4B7F"/>
    <w:rsid w:val="000B7E9D"/>
    <w:rsid w:val="000C1FA6"/>
    <w:rsid w:val="000C6A1D"/>
    <w:rsid w:val="000D2F0F"/>
    <w:rsid w:val="000D790A"/>
    <w:rsid w:val="000E4E16"/>
    <w:rsid w:val="000F616D"/>
    <w:rsid w:val="000F7BE7"/>
    <w:rsid w:val="00115515"/>
    <w:rsid w:val="00121A4A"/>
    <w:rsid w:val="00122AA5"/>
    <w:rsid w:val="00131CCC"/>
    <w:rsid w:val="001331E7"/>
    <w:rsid w:val="001338B0"/>
    <w:rsid w:val="00133CEE"/>
    <w:rsid w:val="00133D08"/>
    <w:rsid w:val="00144A39"/>
    <w:rsid w:val="00152909"/>
    <w:rsid w:val="001544BD"/>
    <w:rsid w:val="00173AB8"/>
    <w:rsid w:val="001743EF"/>
    <w:rsid w:val="00177835"/>
    <w:rsid w:val="001961AA"/>
    <w:rsid w:val="001A1EAC"/>
    <w:rsid w:val="001C691D"/>
    <w:rsid w:val="001D42BC"/>
    <w:rsid w:val="001D6690"/>
    <w:rsid w:val="001E2A98"/>
    <w:rsid w:val="001F23E5"/>
    <w:rsid w:val="00230205"/>
    <w:rsid w:val="00233B90"/>
    <w:rsid w:val="00243CE9"/>
    <w:rsid w:val="00247E1B"/>
    <w:rsid w:val="00265E5D"/>
    <w:rsid w:val="00282849"/>
    <w:rsid w:val="00286EA8"/>
    <w:rsid w:val="00292357"/>
    <w:rsid w:val="002973BD"/>
    <w:rsid w:val="002A57BD"/>
    <w:rsid w:val="002A73FE"/>
    <w:rsid w:val="002B11B3"/>
    <w:rsid w:val="002B6FD0"/>
    <w:rsid w:val="002C1EA9"/>
    <w:rsid w:val="002D0DED"/>
    <w:rsid w:val="002F683E"/>
    <w:rsid w:val="002F7376"/>
    <w:rsid w:val="003017A1"/>
    <w:rsid w:val="003050CB"/>
    <w:rsid w:val="003149AB"/>
    <w:rsid w:val="003172B5"/>
    <w:rsid w:val="00320D58"/>
    <w:rsid w:val="00330480"/>
    <w:rsid w:val="003322AF"/>
    <w:rsid w:val="00334EB4"/>
    <w:rsid w:val="003423E5"/>
    <w:rsid w:val="00344034"/>
    <w:rsid w:val="0034659A"/>
    <w:rsid w:val="00363D16"/>
    <w:rsid w:val="00364D35"/>
    <w:rsid w:val="00367858"/>
    <w:rsid w:val="003733F4"/>
    <w:rsid w:val="00374274"/>
    <w:rsid w:val="003837F4"/>
    <w:rsid w:val="003A2A19"/>
    <w:rsid w:val="003D1B5B"/>
    <w:rsid w:val="003D226E"/>
    <w:rsid w:val="003E344A"/>
    <w:rsid w:val="003E4335"/>
    <w:rsid w:val="003E562A"/>
    <w:rsid w:val="003F1DFC"/>
    <w:rsid w:val="003F5CB7"/>
    <w:rsid w:val="004008B8"/>
    <w:rsid w:val="0040311E"/>
    <w:rsid w:val="0041118F"/>
    <w:rsid w:val="004126D5"/>
    <w:rsid w:val="0041380C"/>
    <w:rsid w:val="00463A2A"/>
    <w:rsid w:val="00466CFD"/>
    <w:rsid w:val="004740BF"/>
    <w:rsid w:val="004749A4"/>
    <w:rsid w:val="004773C6"/>
    <w:rsid w:val="00483932"/>
    <w:rsid w:val="00485B77"/>
    <w:rsid w:val="00491D54"/>
    <w:rsid w:val="00491F77"/>
    <w:rsid w:val="004B6491"/>
    <w:rsid w:val="004B7242"/>
    <w:rsid w:val="004F3108"/>
    <w:rsid w:val="004F645D"/>
    <w:rsid w:val="004F68F6"/>
    <w:rsid w:val="005008FB"/>
    <w:rsid w:val="0050544C"/>
    <w:rsid w:val="00511023"/>
    <w:rsid w:val="00514667"/>
    <w:rsid w:val="005275C1"/>
    <w:rsid w:val="00527F85"/>
    <w:rsid w:val="005335CD"/>
    <w:rsid w:val="005355C1"/>
    <w:rsid w:val="005449FD"/>
    <w:rsid w:val="005717FB"/>
    <w:rsid w:val="005869BB"/>
    <w:rsid w:val="00592319"/>
    <w:rsid w:val="005A56F7"/>
    <w:rsid w:val="005B3852"/>
    <w:rsid w:val="005C1817"/>
    <w:rsid w:val="005C2319"/>
    <w:rsid w:val="005D2EA7"/>
    <w:rsid w:val="005E70B7"/>
    <w:rsid w:val="00610B56"/>
    <w:rsid w:val="00614254"/>
    <w:rsid w:val="006175DB"/>
    <w:rsid w:val="00637613"/>
    <w:rsid w:val="00646745"/>
    <w:rsid w:val="00657EA8"/>
    <w:rsid w:val="00677244"/>
    <w:rsid w:val="00683C2E"/>
    <w:rsid w:val="006A0193"/>
    <w:rsid w:val="006B4F31"/>
    <w:rsid w:val="006C1233"/>
    <w:rsid w:val="006E50A3"/>
    <w:rsid w:val="006E542F"/>
    <w:rsid w:val="006F117F"/>
    <w:rsid w:val="006F2901"/>
    <w:rsid w:val="006F411B"/>
    <w:rsid w:val="00701319"/>
    <w:rsid w:val="00702352"/>
    <w:rsid w:val="00716724"/>
    <w:rsid w:val="00734B5A"/>
    <w:rsid w:val="00735330"/>
    <w:rsid w:val="00740ED6"/>
    <w:rsid w:val="00765ABD"/>
    <w:rsid w:val="00780D0F"/>
    <w:rsid w:val="00791348"/>
    <w:rsid w:val="007E64DB"/>
    <w:rsid w:val="007F0A80"/>
    <w:rsid w:val="008104E2"/>
    <w:rsid w:val="008178D8"/>
    <w:rsid w:val="00821520"/>
    <w:rsid w:val="00831688"/>
    <w:rsid w:val="00847D74"/>
    <w:rsid w:val="008509A1"/>
    <w:rsid w:val="00864203"/>
    <w:rsid w:val="00874BE9"/>
    <w:rsid w:val="008C3B06"/>
    <w:rsid w:val="008D4AA5"/>
    <w:rsid w:val="008E2841"/>
    <w:rsid w:val="008F02BA"/>
    <w:rsid w:val="009117EE"/>
    <w:rsid w:val="009464B8"/>
    <w:rsid w:val="0095028B"/>
    <w:rsid w:val="0095132F"/>
    <w:rsid w:val="00951C24"/>
    <w:rsid w:val="00972776"/>
    <w:rsid w:val="00972B46"/>
    <w:rsid w:val="009827ED"/>
    <w:rsid w:val="00996590"/>
    <w:rsid w:val="009A61EC"/>
    <w:rsid w:val="009B3815"/>
    <w:rsid w:val="009B41FC"/>
    <w:rsid w:val="009C261D"/>
    <w:rsid w:val="009C5AF7"/>
    <w:rsid w:val="009C7F6E"/>
    <w:rsid w:val="009C7FC3"/>
    <w:rsid w:val="009E6899"/>
    <w:rsid w:val="00A33723"/>
    <w:rsid w:val="00A422B6"/>
    <w:rsid w:val="00A46A3C"/>
    <w:rsid w:val="00A470B3"/>
    <w:rsid w:val="00A653A3"/>
    <w:rsid w:val="00A810F6"/>
    <w:rsid w:val="00AA34B7"/>
    <w:rsid w:val="00AA7D23"/>
    <w:rsid w:val="00AB1D1E"/>
    <w:rsid w:val="00AB1E95"/>
    <w:rsid w:val="00AB74DD"/>
    <w:rsid w:val="00AC1A95"/>
    <w:rsid w:val="00AC5039"/>
    <w:rsid w:val="00AC6478"/>
    <w:rsid w:val="00AD0BD0"/>
    <w:rsid w:val="00AD7A25"/>
    <w:rsid w:val="00B0585E"/>
    <w:rsid w:val="00B06D94"/>
    <w:rsid w:val="00B12C82"/>
    <w:rsid w:val="00B15ED8"/>
    <w:rsid w:val="00B41399"/>
    <w:rsid w:val="00B47D0B"/>
    <w:rsid w:val="00B629FE"/>
    <w:rsid w:val="00B6527B"/>
    <w:rsid w:val="00B7401E"/>
    <w:rsid w:val="00B8024D"/>
    <w:rsid w:val="00B81F96"/>
    <w:rsid w:val="00B849ED"/>
    <w:rsid w:val="00BA1697"/>
    <w:rsid w:val="00BA72B7"/>
    <w:rsid w:val="00BB1633"/>
    <w:rsid w:val="00BE2B3B"/>
    <w:rsid w:val="00BE452C"/>
    <w:rsid w:val="00BF51F0"/>
    <w:rsid w:val="00BF682E"/>
    <w:rsid w:val="00C235FA"/>
    <w:rsid w:val="00C37AC8"/>
    <w:rsid w:val="00C44805"/>
    <w:rsid w:val="00C47CEF"/>
    <w:rsid w:val="00C5062A"/>
    <w:rsid w:val="00C67CA7"/>
    <w:rsid w:val="00C76CF1"/>
    <w:rsid w:val="00CC1EC9"/>
    <w:rsid w:val="00CC7874"/>
    <w:rsid w:val="00CD02BB"/>
    <w:rsid w:val="00CD3026"/>
    <w:rsid w:val="00CD59E5"/>
    <w:rsid w:val="00CD624E"/>
    <w:rsid w:val="00D25842"/>
    <w:rsid w:val="00D3573A"/>
    <w:rsid w:val="00D4618C"/>
    <w:rsid w:val="00D47DB5"/>
    <w:rsid w:val="00D95AB5"/>
    <w:rsid w:val="00DA51FF"/>
    <w:rsid w:val="00DA673B"/>
    <w:rsid w:val="00DA6B99"/>
    <w:rsid w:val="00DB4D1A"/>
    <w:rsid w:val="00DB60DB"/>
    <w:rsid w:val="00DB784D"/>
    <w:rsid w:val="00DC5B9C"/>
    <w:rsid w:val="00DD2774"/>
    <w:rsid w:val="00DE567B"/>
    <w:rsid w:val="00DE653F"/>
    <w:rsid w:val="00E0223F"/>
    <w:rsid w:val="00E154FC"/>
    <w:rsid w:val="00E174AE"/>
    <w:rsid w:val="00E2092F"/>
    <w:rsid w:val="00E446F0"/>
    <w:rsid w:val="00E47D90"/>
    <w:rsid w:val="00E56A46"/>
    <w:rsid w:val="00E97A21"/>
    <w:rsid w:val="00EA4DD4"/>
    <w:rsid w:val="00EB3194"/>
    <w:rsid w:val="00EB378B"/>
    <w:rsid w:val="00EB64E6"/>
    <w:rsid w:val="00EC30F1"/>
    <w:rsid w:val="00EC723E"/>
    <w:rsid w:val="00EC7E3C"/>
    <w:rsid w:val="00ED5EC2"/>
    <w:rsid w:val="00ED7745"/>
    <w:rsid w:val="00EF4B82"/>
    <w:rsid w:val="00F0469C"/>
    <w:rsid w:val="00F1379B"/>
    <w:rsid w:val="00F25963"/>
    <w:rsid w:val="00F41273"/>
    <w:rsid w:val="00F426F6"/>
    <w:rsid w:val="00F4281B"/>
    <w:rsid w:val="00F445A1"/>
    <w:rsid w:val="00F4551F"/>
    <w:rsid w:val="00F46CC9"/>
    <w:rsid w:val="00F75BD2"/>
    <w:rsid w:val="00FD069C"/>
    <w:rsid w:val="00FD1824"/>
    <w:rsid w:val="00FE04A2"/>
    <w:rsid w:val="00FE30EB"/>
    <w:rsid w:val="00FE346F"/>
    <w:rsid w:val="00FF67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072FB9"/>
  <w15:chartTrackingRefBased/>
  <w15:docId w15:val="{1DE64FBA-A8E6-49B6-A837-9CDF69D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rsid w:val="00034878"/>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sid w:val="001C691D"/>
    <w:rPr>
      <w:color w:val="605E5C"/>
      <w:shd w:val="clear" w:color="auto" w:fill="E1DFDD"/>
    </w:rPr>
  </w:style>
  <w:style w:type="paragraph" w:customStyle="1" w:styleId="Paratitle">
    <w:name w:val="Para title"/>
    <w:basedOn w:val="Normal"/>
    <w:rsid w:val="00A653A3"/>
    <w:pPr>
      <w:widowControl w:val="0"/>
      <w:tabs>
        <w:tab w:val="center" w:pos="9270"/>
      </w:tabs>
      <w:spacing w:after="240" w:line="240" w:lineRule="auto"/>
    </w:pPr>
    <w:rPr>
      <w:rFonts w:ascii="Times New Roman" w:eastAsia="Times New Roman" w:hAnsi="Times New Roman" w:cs="Times New Roman"/>
      <w:snapToGrid w:val="0"/>
      <w:spacing w:val="-2"/>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https://docs.fcc.gov/public/attachments/FCC-20-187A1.pdf" TargetMode="External" /><Relationship Id="rId9" Type="http://schemas.openxmlformats.org/officeDocument/2006/relationships/header" Target="head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