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411F68BA"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D017A97" w14:textId="77777777">
      <w:pPr>
        <w:pStyle w:val="StyleBoldCentered"/>
      </w:pPr>
      <w:r>
        <w:t>F</w:t>
      </w:r>
      <w:r>
        <w:rPr>
          <w:caps w:val="0"/>
        </w:rPr>
        <w:t>ederal Communications Commission</w:t>
      </w:r>
    </w:p>
    <w:p w:rsidR="004C2EE3" w:rsidP="00096D8C" w14:paraId="6CC8D695" w14:textId="77777777">
      <w:pPr>
        <w:pStyle w:val="StyleBoldCentered"/>
      </w:pPr>
      <w:r>
        <w:rPr>
          <w:caps w:val="0"/>
        </w:rPr>
        <w:t>Washington, D.C. 20554</w:t>
      </w:r>
    </w:p>
    <w:p w:rsidR="004C2EE3" w:rsidP="0070224F" w14:paraId="6FDD0956" w14:textId="77777777"/>
    <w:p w:rsidR="004C2EE3" w:rsidP="0070224F" w14:paraId="0DBC2826" w14:textId="77777777"/>
    <w:tbl>
      <w:tblPr>
        <w:tblW w:w="0" w:type="auto"/>
        <w:tblLayout w:type="fixed"/>
        <w:tblLook w:val="0000"/>
      </w:tblPr>
      <w:tblGrid>
        <w:gridCol w:w="4698"/>
        <w:gridCol w:w="630"/>
        <w:gridCol w:w="4248"/>
      </w:tblGrid>
      <w:tr w14:paraId="4CD719FF" w14:textId="77777777">
        <w:tblPrEx>
          <w:tblW w:w="0" w:type="auto"/>
          <w:tblLayout w:type="fixed"/>
          <w:tblLook w:val="0000"/>
        </w:tblPrEx>
        <w:tc>
          <w:tcPr>
            <w:tcW w:w="4698" w:type="dxa"/>
          </w:tcPr>
          <w:p w:rsidR="004C2EE3" w14:paraId="065CEFAF" w14:textId="77777777">
            <w:pPr>
              <w:tabs>
                <w:tab w:val="center" w:pos="4680"/>
              </w:tabs>
              <w:suppressAutoHyphens/>
              <w:rPr>
                <w:spacing w:val="-2"/>
              </w:rPr>
            </w:pPr>
            <w:r>
              <w:rPr>
                <w:spacing w:val="-2"/>
              </w:rPr>
              <w:t>In the Matter of</w:t>
            </w:r>
          </w:p>
          <w:p w:rsidR="004C2EE3" w14:paraId="3663B0B1" w14:textId="77777777">
            <w:pPr>
              <w:tabs>
                <w:tab w:val="center" w:pos="4680"/>
              </w:tabs>
              <w:suppressAutoHyphens/>
              <w:rPr>
                <w:spacing w:val="-2"/>
              </w:rPr>
            </w:pPr>
          </w:p>
          <w:p w:rsidR="00F60109" w:rsidP="007115F7" w14:paraId="2FB85A1C" w14:textId="77777777">
            <w:pPr>
              <w:tabs>
                <w:tab w:val="center" w:pos="4680"/>
              </w:tabs>
              <w:suppressAutoHyphens/>
              <w:rPr>
                <w:spacing w:val="-2"/>
              </w:rPr>
            </w:pPr>
            <w:r>
              <w:rPr>
                <w:spacing w:val="-2"/>
              </w:rPr>
              <w:t xml:space="preserve">Core Communications, Inc., et al. </w:t>
            </w:r>
          </w:p>
          <w:p w:rsidR="004C2EE3" w:rsidRPr="007115F7" w:rsidP="007115F7" w14:paraId="297E3EE8" w14:textId="235284AB">
            <w:pPr>
              <w:tabs>
                <w:tab w:val="center" w:pos="4680"/>
              </w:tabs>
              <w:suppressAutoHyphens/>
              <w:rPr>
                <w:spacing w:val="-2"/>
              </w:rPr>
            </w:pPr>
            <w:r>
              <w:rPr>
                <w:spacing w:val="-2"/>
              </w:rPr>
              <w:t>Tariff F.C.C. No. 3</w:t>
            </w:r>
          </w:p>
        </w:tc>
        <w:tc>
          <w:tcPr>
            <w:tcW w:w="630" w:type="dxa"/>
          </w:tcPr>
          <w:p w:rsidR="004C2EE3" w14:paraId="6B40247E" w14:textId="77777777">
            <w:pPr>
              <w:tabs>
                <w:tab w:val="center" w:pos="4680"/>
              </w:tabs>
              <w:suppressAutoHyphens/>
              <w:rPr>
                <w:b/>
                <w:spacing w:val="-2"/>
              </w:rPr>
            </w:pPr>
            <w:r>
              <w:rPr>
                <w:b/>
                <w:spacing w:val="-2"/>
              </w:rPr>
              <w:t>)</w:t>
            </w:r>
          </w:p>
          <w:p w:rsidR="004C2EE3" w14:paraId="16C4EA4A" w14:textId="77777777">
            <w:pPr>
              <w:tabs>
                <w:tab w:val="center" w:pos="4680"/>
              </w:tabs>
              <w:suppressAutoHyphens/>
              <w:rPr>
                <w:b/>
                <w:spacing w:val="-2"/>
              </w:rPr>
            </w:pPr>
            <w:r>
              <w:rPr>
                <w:b/>
                <w:spacing w:val="-2"/>
              </w:rPr>
              <w:t>)</w:t>
            </w:r>
          </w:p>
          <w:p w:rsidR="004C2EE3" w14:paraId="1B5CDDBF" w14:textId="77777777">
            <w:pPr>
              <w:tabs>
                <w:tab w:val="center" w:pos="4680"/>
              </w:tabs>
              <w:suppressAutoHyphens/>
              <w:rPr>
                <w:b/>
                <w:spacing w:val="-2"/>
              </w:rPr>
            </w:pPr>
            <w:r>
              <w:rPr>
                <w:b/>
                <w:spacing w:val="-2"/>
              </w:rPr>
              <w:t>)</w:t>
            </w:r>
          </w:p>
          <w:p w:rsidR="004C2EE3" w14:paraId="54B39917" w14:textId="77777777">
            <w:pPr>
              <w:tabs>
                <w:tab w:val="center" w:pos="4680"/>
              </w:tabs>
              <w:suppressAutoHyphens/>
              <w:rPr>
                <w:b/>
                <w:spacing w:val="-2"/>
              </w:rPr>
            </w:pPr>
            <w:r>
              <w:rPr>
                <w:b/>
                <w:spacing w:val="-2"/>
              </w:rPr>
              <w:t>)</w:t>
            </w:r>
          </w:p>
          <w:p w:rsidR="004C2EE3" w:rsidRPr="00D247E4" w14:paraId="4487E110" w14:textId="168D5A14">
            <w:pPr>
              <w:tabs>
                <w:tab w:val="center" w:pos="4680"/>
              </w:tabs>
              <w:suppressAutoHyphens/>
              <w:rPr>
                <w:b/>
                <w:spacing w:val="-2"/>
              </w:rPr>
            </w:pPr>
            <w:r>
              <w:rPr>
                <w:b/>
                <w:spacing w:val="-2"/>
              </w:rPr>
              <w:t>)</w:t>
            </w:r>
          </w:p>
        </w:tc>
        <w:tc>
          <w:tcPr>
            <w:tcW w:w="4248" w:type="dxa"/>
          </w:tcPr>
          <w:p w:rsidR="004C2EE3" w14:paraId="2BD20B1D" w14:textId="77777777">
            <w:pPr>
              <w:tabs>
                <w:tab w:val="center" w:pos="4680"/>
              </w:tabs>
              <w:suppressAutoHyphens/>
              <w:rPr>
                <w:spacing w:val="-2"/>
              </w:rPr>
            </w:pPr>
          </w:p>
          <w:p w:rsidR="004C2EE3" w14:paraId="2A4FF85F" w14:textId="1FEC2F55">
            <w:pPr>
              <w:tabs>
                <w:tab w:val="center" w:pos="4680"/>
              </w:tabs>
              <w:suppressAutoHyphens/>
              <w:rPr>
                <w:spacing w:val="-2"/>
              </w:rPr>
            </w:pPr>
            <w:r>
              <w:rPr>
                <w:spacing w:val="-2"/>
              </w:rPr>
              <w:t>WC Docket No. 21-</w:t>
            </w:r>
            <w:r w:rsidR="00EE17F2">
              <w:rPr>
                <w:spacing w:val="-2"/>
              </w:rPr>
              <w:t>191</w:t>
            </w:r>
          </w:p>
          <w:p w:rsidR="00E60DE8" w14:paraId="74DEEE21" w14:textId="77777777">
            <w:pPr>
              <w:tabs>
                <w:tab w:val="center" w:pos="4680"/>
              </w:tabs>
              <w:suppressAutoHyphens/>
              <w:rPr>
                <w:spacing w:val="-2"/>
              </w:rPr>
            </w:pPr>
          </w:p>
          <w:p w:rsidR="00B61F6F" w14:paraId="2BEA0BE5" w14:textId="741F40F0">
            <w:pPr>
              <w:tabs>
                <w:tab w:val="center" w:pos="4680"/>
              </w:tabs>
              <w:suppressAutoHyphens/>
              <w:rPr>
                <w:spacing w:val="-2"/>
              </w:rPr>
            </w:pPr>
            <w:r>
              <w:rPr>
                <w:spacing w:val="-2"/>
              </w:rPr>
              <w:t>Transmittal No. 1</w:t>
            </w:r>
            <w:r w:rsidR="00FC512B">
              <w:rPr>
                <w:spacing w:val="-2"/>
              </w:rPr>
              <w:t>7</w:t>
            </w:r>
          </w:p>
        </w:tc>
      </w:tr>
    </w:tbl>
    <w:p w:rsidR="004C2EE3" w:rsidP="0070224F" w14:paraId="730D2240" w14:textId="77777777"/>
    <w:p w:rsidR="00841AB1" w:rsidP="00F021FA" w14:paraId="59E7F08D" w14:textId="7DE4137B">
      <w:pPr>
        <w:pStyle w:val="StyleBoldCentered"/>
      </w:pPr>
      <w:r>
        <w:t>ORder</w:t>
      </w:r>
    </w:p>
    <w:p w:rsidR="004C2EE3" w14:paraId="32044271" w14:textId="77777777">
      <w:pPr>
        <w:tabs>
          <w:tab w:val="left" w:pos="-720"/>
        </w:tabs>
        <w:suppressAutoHyphens/>
        <w:spacing w:line="227" w:lineRule="auto"/>
        <w:rPr>
          <w:spacing w:val="-2"/>
        </w:rPr>
      </w:pPr>
    </w:p>
    <w:p w:rsidR="004C2EE3" w:rsidP="00133F79" w14:paraId="6875AE22" w14:textId="7718C034">
      <w:pPr>
        <w:tabs>
          <w:tab w:val="left" w:pos="720"/>
          <w:tab w:val="right" w:pos="9360"/>
        </w:tabs>
        <w:suppressAutoHyphens/>
        <w:spacing w:line="227" w:lineRule="auto"/>
        <w:rPr>
          <w:spacing w:val="-2"/>
        </w:rPr>
      </w:pPr>
      <w:r>
        <w:rPr>
          <w:b/>
          <w:spacing w:val="-2"/>
        </w:rPr>
        <w:t xml:space="preserve">Adopted:  </w:t>
      </w:r>
      <w:r w:rsidR="00FC512B">
        <w:rPr>
          <w:b/>
          <w:spacing w:val="-2"/>
        </w:rPr>
        <w:t xml:space="preserve">May </w:t>
      </w:r>
      <w:r w:rsidR="009B30FD">
        <w:rPr>
          <w:b/>
          <w:spacing w:val="-2"/>
        </w:rPr>
        <w:t>6</w:t>
      </w:r>
      <w:r w:rsidR="00D95B11">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C512B">
        <w:rPr>
          <w:b/>
          <w:spacing w:val="-2"/>
        </w:rPr>
        <w:t xml:space="preserve">May </w:t>
      </w:r>
      <w:r w:rsidR="009B30FD">
        <w:rPr>
          <w:b/>
          <w:spacing w:val="-2"/>
        </w:rPr>
        <w:t>6</w:t>
      </w:r>
      <w:r w:rsidR="00D95B11">
        <w:rPr>
          <w:b/>
          <w:spacing w:val="-2"/>
        </w:rPr>
        <w:t>, 2021</w:t>
      </w:r>
    </w:p>
    <w:p w:rsidR="00822CE0" w14:paraId="05A63A54" w14:textId="77777777"/>
    <w:p w:rsidR="00F60109" w14:paraId="1B88D6E4" w14:textId="77777777">
      <w:r>
        <w:t xml:space="preserve">By </w:t>
      </w:r>
      <w:r w:rsidR="004E4A22">
        <w:t>the</w:t>
      </w:r>
      <w:r w:rsidR="002A2D2E">
        <w:t xml:space="preserve"> </w:t>
      </w:r>
      <w:r>
        <w:t>Chief, Pricing Policy Division:</w:t>
      </w:r>
    </w:p>
    <w:p w:rsidR="00822CE0" w14:paraId="211561E4" w14:textId="77777777">
      <w:pPr>
        <w:rPr>
          <w:spacing w:val="-2"/>
        </w:rPr>
      </w:pPr>
    </w:p>
    <w:p w:rsidR="00412FC5" w:rsidP="00C36B4C" w14:paraId="4C591DA0" w14:textId="5E909CE2">
      <w:pPr>
        <w:pStyle w:val="Heading1"/>
      </w:pPr>
      <w:r>
        <w:t>introduction</w:t>
      </w:r>
    </w:p>
    <w:p w:rsidR="00F60109" w:rsidP="00F60109" w14:paraId="6CDF67FC" w14:textId="00B4A221">
      <w:pPr>
        <w:pStyle w:val="ParaNum"/>
      </w:pPr>
      <w:r>
        <w:t xml:space="preserve">On </w:t>
      </w:r>
      <w:r w:rsidR="00FC512B">
        <w:t>April 22</w:t>
      </w:r>
      <w:r>
        <w:t>, 2021, Core Communications, Inc., et al. (Core)</w:t>
      </w:r>
      <w:r w:rsidR="000817DF">
        <w:t>,</w:t>
      </w:r>
      <w:r>
        <w:t xml:space="preserve"> filed Transmittal No. 1</w:t>
      </w:r>
      <w:r w:rsidR="00FC512B">
        <w:t xml:space="preserve">7 </w:t>
      </w:r>
      <w:r>
        <w:t>proposing revisions to its interstate switched access service Tar</w:t>
      </w:r>
      <w:r w:rsidR="00DE73F2">
        <w:t>i</w:t>
      </w:r>
      <w:r>
        <w:t>ff F.C.C. No. 3 to revise</w:t>
      </w:r>
      <w:r w:rsidR="006F74B5">
        <w:t xml:space="preserve"> several tariff </w:t>
      </w:r>
      <w:r>
        <w:t xml:space="preserve"> </w:t>
      </w:r>
      <w:r w:rsidR="006F74B5">
        <w:t xml:space="preserve"> </w:t>
      </w:r>
      <w:r>
        <w:t>provisions</w:t>
      </w:r>
      <w:r w:rsidR="006A61C3">
        <w:t xml:space="preserve"> </w:t>
      </w:r>
      <w:r w:rsidR="007A17DF">
        <w:t>(</w:t>
      </w:r>
      <w:r w:rsidR="00D737A8">
        <w:t xml:space="preserve">proposed </w:t>
      </w:r>
      <w:r w:rsidR="006A61C3">
        <w:t>tariff revisions)</w:t>
      </w:r>
      <w:r>
        <w:t>.</w:t>
      </w:r>
      <w:r>
        <w:rPr>
          <w:rStyle w:val="FootnoteReference"/>
        </w:rPr>
        <w:footnoteReference w:id="3"/>
      </w:r>
      <w:r w:rsidR="0056563C">
        <w:t xml:space="preserve">  </w:t>
      </w:r>
      <w:r w:rsidR="000817DF">
        <w:t xml:space="preserve">The proposed </w:t>
      </w:r>
      <w:r w:rsidR="004F6A13">
        <w:t xml:space="preserve">tariff </w:t>
      </w:r>
      <w:r w:rsidR="000817DF">
        <w:t xml:space="preserve">revisions are scheduled to become effective </w:t>
      </w:r>
      <w:r w:rsidR="00FC512B">
        <w:t>May 7</w:t>
      </w:r>
      <w:r w:rsidR="000817DF">
        <w:t xml:space="preserve">, 2021.  </w:t>
      </w:r>
      <w:r w:rsidR="0056563C">
        <w:t>Because we conclude</w:t>
      </w:r>
      <w:r w:rsidR="004F6A13">
        <w:t>, on our own motion,</w:t>
      </w:r>
      <w:r>
        <w:rPr>
          <w:rStyle w:val="FootnoteReference"/>
        </w:rPr>
        <w:footnoteReference w:id="4"/>
      </w:r>
      <w:r w:rsidR="0056563C">
        <w:t xml:space="preserve"> that substantial questions of lawfulness exist regarding Core’s proposed tariff revisions, we suspend the proposed </w:t>
      </w:r>
      <w:r w:rsidR="00941907">
        <w:t xml:space="preserve">tariff </w:t>
      </w:r>
      <w:r w:rsidR="0056563C">
        <w:t>revisions for one day</w:t>
      </w:r>
      <w:r>
        <w:rPr>
          <w:rStyle w:val="FootnoteReference"/>
        </w:rPr>
        <w:footnoteReference w:id="5"/>
      </w:r>
      <w:r w:rsidR="0056563C">
        <w:t xml:space="preserve"> and set for investigation the question of whether the proposed revisions comply with the</w:t>
      </w:r>
      <w:r w:rsidR="00107E04">
        <w:t xml:space="preserve"> </w:t>
      </w:r>
      <w:r w:rsidRPr="005725E4" w:rsidR="00107E04">
        <w:rPr>
          <w:i/>
          <w:iCs/>
        </w:rPr>
        <w:t>8YY Access Charge Reform Order</w:t>
      </w:r>
      <w:r w:rsidR="00107E04">
        <w:t>,</w:t>
      </w:r>
      <w:r>
        <w:rPr>
          <w:rStyle w:val="FootnoteReference"/>
        </w:rPr>
        <w:footnoteReference w:id="6"/>
      </w:r>
      <w:r w:rsidR="0056563C">
        <w:t xml:space="preserve"> </w:t>
      </w:r>
      <w:r w:rsidR="003A2E39">
        <w:t xml:space="preserve">the </w:t>
      </w:r>
      <w:r w:rsidR="0056563C">
        <w:t>Communications Act of 1934, as amended (Act),</w:t>
      </w:r>
      <w:r>
        <w:rPr>
          <w:rStyle w:val="FootnoteReference"/>
        </w:rPr>
        <w:footnoteReference w:id="7"/>
      </w:r>
      <w:r w:rsidR="0056563C">
        <w:t xml:space="preserve"> and the Commission’s rules.</w:t>
      </w:r>
    </w:p>
    <w:p w:rsidR="00E464F8" w:rsidP="00E464F8" w14:paraId="77BBE4B9" w14:textId="7470F3B6">
      <w:pPr>
        <w:pStyle w:val="Heading1"/>
      </w:pPr>
      <w:r>
        <w:t>BACKGROUND</w:t>
      </w:r>
    </w:p>
    <w:p w:rsidR="00E464F8" w:rsidP="00731324" w14:paraId="229F238F" w14:textId="4C2A3385">
      <w:pPr>
        <w:pStyle w:val="ParaNum"/>
      </w:pPr>
      <w:r>
        <w:t>A</w:t>
      </w:r>
      <w:r w:rsidR="005725E4">
        <w:t xml:space="preserve">s a competitive </w:t>
      </w:r>
      <w:r w:rsidR="005F5D5E">
        <w:t>local exchange carrier (</w:t>
      </w:r>
      <w:r w:rsidR="005725E4">
        <w:t>LEC</w:t>
      </w:r>
      <w:r w:rsidR="005F5D5E">
        <w:t>)</w:t>
      </w:r>
      <w:r w:rsidR="005725E4">
        <w:t xml:space="preserve">, Core </w:t>
      </w:r>
      <w:r w:rsidR="002732DA">
        <w:t>may</w:t>
      </w:r>
      <w:r w:rsidR="005725E4">
        <w:t xml:space="preserve"> file tariffs with the Commission for its interstate switched access services</w:t>
      </w:r>
      <w:r w:rsidR="00731324">
        <w:t>.</w:t>
      </w:r>
      <w:r>
        <w:rPr>
          <w:rStyle w:val="FootnoteReference"/>
        </w:rPr>
        <w:footnoteReference w:id="8"/>
      </w:r>
      <w:r w:rsidR="00731324">
        <w:t xml:space="preserve">  S</w:t>
      </w:r>
      <w:r w:rsidR="006A61C3">
        <w:t xml:space="preserve">uch tariffs </w:t>
      </w:r>
      <w:r w:rsidR="001A03B0">
        <w:t xml:space="preserve">must </w:t>
      </w:r>
      <w:r w:rsidR="005725E4">
        <w:t xml:space="preserve">comply with the Act and </w:t>
      </w:r>
      <w:r w:rsidR="007A17DF">
        <w:t xml:space="preserve">the </w:t>
      </w:r>
      <w:r w:rsidR="005725E4">
        <w:t xml:space="preserve">Commission’s </w:t>
      </w:r>
      <w:r w:rsidR="007A17DF">
        <w:t>rules governing competitive LECs</w:t>
      </w:r>
      <w:r w:rsidR="00731324">
        <w:t>’</w:t>
      </w:r>
      <w:r w:rsidR="007A17DF">
        <w:t xml:space="preserve"> tariffs, a</w:t>
      </w:r>
      <w:r w:rsidR="00731324">
        <w:t xml:space="preserve">s well as </w:t>
      </w:r>
      <w:r w:rsidR="007A17DF">
        <w:t>those that govern tariffs more generally</w:t>
      </w:r>
      <w:r w:rsidR="005725E4">
        <w:t xml:space="preserve">. </w:t>
      </w:r>
      <w:r w:rsidR="00731324">
        <w:t xml:space="preserve"> Section 61.26 of the Commission’s rules sets forth the requirements for competitive LECs’ tariffing of interstate switched access services.</w:t>
      </w:r>
      <w:r>
        <w:rPr>
          <w:rStyle w:val="FootnoteReference"/>
        </w:rPr>
        <w:footnoteReference w:id="9"/>
      </w:r>
      <w:r w:rsidRPr="00731324" w:rsidR="00731324">
        <w:t xml:space="preserve"> </w:t>
      </w:r>
      <w:r w:rsidR="00731324">
        <w:t xml:space="preserve"> While section 61.2(a) requires all tariffs to contain “clear </w:t>
      </w:r>
      <w:r w:rsidR="00731324">
        <w:t>and explicit explanatory statements regarding the rates and regulations” to “remove all doubt as to their proper application.”</w:t>
      </w:r>
      <w:r>
        <w:rPr>
          <w:rStyle w:val="FootnoteReference"/>
        </w:rPr>
        <w:footnoteReference w:id="10"/>
      </w:r>
      <w:r w:rsidR="00731324">
        <w:t xml:space="preserve">  </w:t>
      </w:r>
    </w:p>
    <w:p w:rsidR="00210580" w:rsidP="003B095B" w14:paraId="174F440C" w14:textId="778A7F2C">
      <w:pPr>
        <w:pStyle w:val="ParaNum"/>
      </w:pPr>
      <w:r>
        <w:t>Core’s</w:t>
      </w:r>
      <w:r w:rsidR="00D737A8">
        <w:t xml:space="preserve"> proposed</w:t>
      </w:r>
      <w:r>
        <w:t xml:space="preserve"> </w:t>
      </w:r>
      <w:r w:rsidR="00B61F6F">
        <w:t xml:space="preserve">tariff revisions </w:t>
      </w:r>
      <w:r w:rsidR="009333AD">
        <w:t xml:space="preserve">propose changes to the terms and conditions of its tariff, including </w:t>
      </w:r>
      <w:r w:rsidR="00A532B1">
        <w:t>changes to section 2.10.4</w:t>
      </w:r>
      <w:r w:rsidR="00834CE6">
        <w:t>.A</w:t>
      </w:r>
      <w:r w:rsidR="00A532B1">
        <w:t xml:space="preserve"> </w:t>
      </w:r>
      <w:r w:rsidR="006A61C3">
        <w:t xml:space="preserve">which governs </w:t>
      </w:r>
      <w:r w:rsidR="009333AD">
        <w:t>“good faith” billing disputes</w:t>
      </w:r>
      <w:r w:rsidR="00834CE6">
        <w:t>,</w:t>
      </w:r>
      <w:r w:rsidR="009333AD">
        <w:t xml:space="preserve"> and </w:t>
      </w:r>
      <w:r w:rsidR="00A532B1">
        <w:t xml:space="preserve">section 2.10.5 </w:t>
      </w:r>
      <w:r w:rsidR="006A61C3">
        <w:t xml:space="preserve">which governs </w:t>
      </w:r>
      <w:r w:rsidR="009333AD">
        <w:t>late payment fees.</w:t>
      </w:r>
      <w:r>
        <w:rPr>
          <w:rStyle w:val="FootnoteReference"/>
        </w:rPr>
        <w:footnoteReference w:id="11"/>
      </w:r>
      <w:r w:rsidR="009333AD">
        <w:t xml:space="preserve"> </w:t>
      </w:r>
      <w:r w:rsidR="00A532B1">
        <w:t xml:space="preserve"> </w:t>
      </w:r>
      <w:r w:rsidR="009333AD">
        <w:t>Core</w:t>
      </w:r>
      <w:r w:rsidR="00B61F6F">
        <w:t xml:space="preserve"> </w:t>
      </w:r>
      <w:r w:rsidR="009333AD">
        <w:t>also propose</w:t>
      </w:r>
      <w:r w:rsidR="004F6A13">
        <w:t>s</w:t>
      </w:r>
      <w:r w:rsidR="009333AD">
        <w:t xml:space="preserve"> changes to </w:t>
      </w:r>
      <w:r w:rsidR="00A532B1">
        <w:t>section 2.13.3</w:t>
      </w:r>
      <w:r w:rsidR="00834CE6">
        <w:t>.H,</w:t>
      </w:r>
      <w:r w:rsidR="009333AD">
        <w:t xml:space="preserve"> </w:t>
      </w:r>
      <w:r w:rsidR="00E622FC">
        <w:t>which provides that</w:t>
      </w:r>
      <w:r w:rsidR="009333AD">
        <w:t xml:space="preserve"> </w:t>
      </w:r>
      <w:r w:rsidR="00E622FC">
        <w:t>if Core</w:t>
      </w:r>
      <w:r w:rsidR="009333AD">
        <w:t xml:space="preserve"> “discontinues service, </w:t>
      </w:r>
      <w:r w:rsidR="0014466C">
        <w:t>it will provide, in connection with access traffic associated with the discontinued Customer, only those minimal functions necessary to identify the Customer as being the relevant carrier (i.e., 8YY database queries)</w:t>
      </w:r>
      <w:r w:rsidR="009333AD">
        <w:t>.”</w:t>
      </w:r>
      <w:r>
        <w:rPr>
          <w:rStyle w:val="FootnoteReference"/>
        </w:rPr>
        <w:footnoteReference w:id="12"/>
      </w:r>
      <w:r w:rsidR="009333AD">
        <w:t xml:space="preserve"> </w:t>
      </w:r>
      <w:r w:rsidR="00A532B1">
        <w:t xml:space="preserve"> Core</w:t>
      </w:r>
      <w:r w:rsidR="006A61C3">
        <w:t xml:space="preserve"> also </w:t>
      </w:r>
      <w:r w:rsidR="00A532B1">
        <w:t>proposes revisions to section 2.21 regarding obligations with respect to “fraudulent or otherwise illegal traffic.”</w:t>
      </w:r>
      <w:r>
        <w:rPr>
          <w:rStyle w:val="FootnoteReference"/>
        </w:rPr>
        <w:footnoteReference w:id="13"/>
      </w:r>
      <w:r w:rsidR="00A532B1">
        <w:t xml:space="preserve"> </w:t>
      </w:r>
      <w:r w:rsidR="00107E04">
        <w:t xml:space="preserve"> </w:t>
      </w:r>
      <w:r w:rsidR="003B095B">
        <w:t>Finally, Core propose</w:t>
      </w:r>
      <w:r w:rsidR="00D737A8">
        <w:t>s</w:t>
      </w:r>
      <w:r w:rsidR="003B095B">
        <w:t xml:space="preserve"> changes to section 3.3.5 to define when an</w:t>
      </w:r>
      <w:r w:rsidR="00F03C3C">
        <w:t xml:space="preserve"> interexchange carrier</w:t>
      </w:r>
      <w:r w:rsidR="003B095B">
        <w:t xml:space="preserve"> </w:t>
      </w:r>
      <w:r w:rsidR="00F03C3C">
        <w:t>(</w:t>
      </w:r>
      <w:r w:rsidR="003B095B">
        <w:t>IXC</w:t>
      </w:r>
      <w:r w:rsidR="00F03C3C">
        <w:t>)</w:t>
      </w:r>
      <w:r w:rsidR="003B095B">
        <w:t xml:space="preserve"> will be charged for an 8YY database query and </w:t>
      </w:r>
      <w:r w:rsidR="00ED2D56">
        <w:t xml:space="preserve">declare </w:t>
      </w:r>
      <w:r w:rsidR="003B095B">
        <w:t>that IXCs will be “assessed a charge for a completed data base query even if the underlying call is not completed (i.e., the call for which the data base query was made).”</w:t>
      </w:r>
      <w:r>
        <w:rPr>
          <w:rStyle w:val="FootnoteReference"/>
        </w:rPr>
        <w:footnoteReference w:id="14"/>
      </w:r>
    </w:p>
    <w:p w:rsidR="00F03C3C" w:rsidP="00F03C3C" w14:paraId="778F6339" w14:textId="534D8DDF">
      <w:pPr>
        <w:pStyle w:val="ParaNum"/>
      </w:pPr>
      <w:r>
        <w:t xml:space="preserve">On </w:t>
      </w:r>
      <w:r w:rsidR="005417D4">
        <w:t>April 28</w:t>
      </w:r>
      <w:r>
        <w:t>, 2021, Verizon and AT&amp;T Services, Inc. (</w:t>
      </w:r>
      <w:r w:rsidR="0005530B">
        <w:t>Petitioners</w:t>
      </w:r>
      <w:r>
        <w:t xml:space="preserve">) filed a </w:t>
      </w:r>
      <w:r w:rsidR="002C1C47">
        <w:t>P</w:t>
      </w:r>
      <w:r>
        <w:t>etition requesting that the Commission suspend and investigate or reject Core’s proposed tariff revisions.</w:t>
      </w:r>
      <w:r>
        <w:rPr>
          <w:rStyle w:val="FootnoteReference"/>
        </w:rPr>
        <w:footnoteReference w:id="15"/>
      </w:r>
      <w:r>
        <w:t xml:space="preserve"> </w:t>
      </w:r>
      <w:r w:rsidR="0021650C">
        <w:t xml:space="preserve"> </w:t>
      </w:r>
      <w:r w:rsidR="0005530B">
        <w:t>Petitioners</w:t>
      </w:r>
      <w:r w:rsidR="000760BD">
        <w:t xml:space="preserve"> argue that Core’s </w:t>
      </w:r>
      <w:r w:rsidR="00B61F6F">
        <w:t xml:space="preserve">proposed </w:t>
      </w:r>
      <w:r w:rsidR="000760BD">
        <w:t xml:space="preserve">tariff </w:t>
      </w:r>
      <w:r w:rsidR="00B61F6F">
        <w:t>revisions are</w:t>
      </w:r>
      <w:r w:rsidR="000760BD">
        <w:t xml:space="preserve"> unlawful.  </w:t>
      </w:r>
      <w:r w:rsidR="00052D73">
        <w:t xml:space="preserve">They contend </w:t>
      </w:r>
      <w:r w:rsidR="005D61F5">
        <w:t xml:space="preserve">that </w:t>
      </w:r>
      <w:r w:rsidR="000760BD">
        <w:t>“sections 2.10.4(A) and 2.21 are unlawful because they establish a presumption that all 8YY traffic that Core sends to IXCs is lawful if the IXCs do not block it in real time, and provide that an IXC cannot raise a dispute in good faith about such calls unless it first credits its 8YY customer for any charges on those calls.”</w:t>
      </w:r>
      <w:r>
        <w:rPr>
          <w:rStyle w:val="FootnoteReference"/>
        </w:rPr>
        <w:footnoteReference w:id="16"/>
      </w:r>
      <w:r w:rsidR="000760BD">
        <w:t xml:space="preserve">  </w:t>
      </w:r>
      <w:r w:rsidR="00725305">
        <w:t xml:space="preserve">Petitioners </w:t>
      </w:r>
      <w:r w:rsidR="00052D73">
        <w:t xml:space="preserve">also </w:t>
      </w:r>
      <w:r w:rsidR="00725305">
        <w:t xml:space="preserve">consider the </w:t>
      </w:r>
      <w:r w:rsidR="00052D73">
        <w:t xml:space="preserve">proposed </w:t>
      </w:r>
      <w:r w:rsidR="00725305">
        <w:t xml:space="preserve">late payment fee in section 2.10.5 </w:t>
      </w:r>
      <w:r w:rsidR="00052D73">
        <w:t xml:space="preserve">to be </w:t>
      </w:r>
      <w:r w:rsidR="00725305">
        <w:t>usurious</w:t>
      </w:r>
      <w:r>
        <w:rPr>
          <w:rStyle w:val="FootnoteReference"/>
        </w:rPr>
        <w:footnoteReference w:id="17"/>
      </w:r>
      <w:r w:rsidR="00725305">
        <w:t xml:space="preserve"> and </w:t>
      </w:r>
      <w:r w:rsidR="005D61F5">
        <w:t xml:space="preserve">argue that </w:t>
      </w:r>
      <w:r w:rsidR="000760BD">
        <w:t>“section 2.10.4(A) is unlawful because it makes Core the sole judge of whether an IXC’s dispute is in good faith</w:t>
      </w:r>
      <w:r w:rsidR="006F0228">
        <w:t>,</w:t>
      </w:r>
      <w:r w:rsidR="000760BD">
        <w:t xml:space="preserve">” in </w:t>
      </w:r>
      <w:r w:rsidR="000F62F8">
        <w:t>conflict with Commission</w:t>
      </w:r>
      <w:r w:rsidR="003A2E39">
        <w:t xml:space="preserve"> precedent</w:t>
      </w:r>
      <w:r w:rsidR="00B3228C">
        <w:t>.</w:t>
      </w:r>
      <w:r>
        <w:rPr>
          <w:rStyle w:val="FootnoteReference"/>
        </w:rPr>
        <w:footnoteReference w:id="18"/>
      </w:r>
      <w:r w:rsidR="000F62F8">
        <w:t xml:space="preserve">  </w:t>
      </w:r>
      <w:r w:rsidR="00725305">
        <w:t>Finally</w:t>
      </w:r>
      <w:r w:rsidR="000F62F8">
        <w:t xml:space="preserve">, </w:t>
      </w:r>
      <w:r w:rsidR="005D61F5">
        <w:t xml:space="preserve">Petitioners argue that </w:t>
      </w:r>
      <w:r w:rsidR="00B3228C">
        <w:t xml:space="preserve">sections </w:t>
      </w:r>
      <w:r w:rsidR="000F62F8">
        <w:t>“</w:t>
      </w:r>
      <w:r w:rsidR="00B3228C">
        <w:t>2.13.3(H) and 3.3.5 are unlawful because they purport to allow Core to continue to profit from its 8YY arbitrage schemes through database query charges even after it has terminated service to a customer for nonpayment and even when neither it nor any other entity completes the underlying 8YY call</w:t>
      </w:r>
      <w:r w:rsidR="00531D6B">
        <w:t>.</w:t>
      </w:r>
      <w:r w:rsidR="000F62F8">
        <w:t>”</w:t>
      </w:r>
      <w:r>
        <w:rPr>
          <w:rStyle w:val="FootnoteReference"/>
        </w:rPr>
        <w:footnoteReference w:id="19"/>
      </w:r>
      <w:r w:rsidR="003A2E39">
        <w:t xml:space="preserve">  </w:t>
      </w:r>
    </w:p>
    <w:p w:rsidR="000760BD" w:rsidP="00941907" w14:paraId="1778371B" w14:textId="5586F805">
      <w:pPr>
        <w:pStyle w:val="ParaNum"/>
        <w:widowControl/>
      </w:pPr>
      <w:r>
        <w:t>Core</w:t>
      </w:r>
      <w:r w:rsidRPr="009A3DE3">
        <w:t xml:space="preserve"> filed a </w:t>
      </w:r>
      <w:r w:rsidR="00531D6B">
        <w:t>Reply</w:t>
      </w:r>
      <w:r w:rsidRPr="009A3DE3" w:rsidR="00531D6B">
        <w:t xml:space="preserve"> </w:t>
      </w:r>
      <w:r w:rsidRPr="009A3DE3">
        <w:t xml:space="preserve">to the </w:t>
      </w:r>
      <w:r w:rsidR="00A53DEC">
        <w:t>P</w:t>
      </w:r>
      <w:r w:rsidRPr="009A3DE3">
        <w:t xml:space="preserve">etition on </w:t>
      </w:r>
      <w:r>
        <w:t>May 4, 2021</w:t>
      </w:r>
      <w:r w:rsidRPr="009A3DE3">
        <w:t xml:space="preserve">, requesting that the </w:t>
      </w:r>
      <w:r w:rsidR="00531D6B">
        <w:t>P</w:t>
      </w:r>
      <w:r w:rsidRPr="009A3DE3">
        <w:t>etition be denied</w:t>
      </w:r>
      <w:r>
        <w:t>.</w:t>
      </w:r>
      <w:r>
        <w:rPr>
          <w:rStyle w:val="FootnoteReference"/>
        </w:rPr>
        <w:footnoteReference w:id="20"/>
      </w:r>
      <w:r w:rsidR="00A53DEC">
        <w:t xml:space="preserve">  Core </w:t>
      </w:r>
      <w:r w:rsidR="00531D6B">
        <w:t>claims</w:t>
      </w:r>
      <w:r w:rsidR="00A53DEC">
        <w:t xml:space="preserve"> that the Petition</w:t>
      </w:r>
      <w:r w:rsidR="00725305">
        <w:t>ers</w:t>
      </w:r>
      <w:r w:rsidR="00A53DEC">
        <w:t xml:space="preserve"> present no “credible basis” to </w:t>
      </w:r>
      <w:r w:rsidR="00531D6B">
        <w:t xml:space="preserve">support </w:t>
      </w:r>
      <w:r w:rsidR="00A53DEC">
        <w:t>suspension or rejection of the proposed tariff revisions.</w:t>
      </w:r>
      <w:r>
        <w:rPr>
          <w:rStyle w:val="FootnoteReference"/>
        </w:rPr>
        <w:footnoteReference w:id="21"/>
      </w:r>
      <w:r w:rsidR="00A53DEC">
        <w:t xml:space="preserve">  Core </w:t>
      </w:r>
      <w:r w:rsidR="00D737A8">
        <w:t xml:space="preserve">also </w:t>
      </w:r>
      <w:r w:rsidR="00A53DEC">
        <w:t>argue</w:t>
      </w:r>
      <w:r w:rsidR="00725305">
        <w:t>s</w:t>
      </w:r>
      <w:r w:rsidR="00A53DEC">
        <w:t xml:space="preserve"> that the Commission should reject the Petition </w:t>
      </w:r>
      <w:r w:rsidR="00531D6B">
        <w:t>because</w:t>
      </w:r>
      <w:r w:rsidR="00A53DEC">
        <w:t xml:space="preserve"> </w:t>
      </w:r>
      <w:r w:rsidR="005B4676">
        <w:t xml:space="preserve">Petitioners </w:t>
      </w:r>
      <w:r w:rsidR="00A53DEC">
        <w:t>fail</w:t>
      </w:r>
      <w:r w:rsidR="005B4676">
        <w:t>ed</w:t>
      </w:r>
      <w:r w:rsidR="00A53DEC">
        <w:t xml:space="preserve"> </w:t>
      </w:r>
      <w:r w:rsidR="005B4676">
        <w:t>“</w:t>
      </w:r>
      <w:r w:rsidR="00A53DEC">
        <w:t>to satisfy the four-part test set forth in 47 C.F.R. § 1.773(a)(ii)</w:t>
      </w:r>
      <w:r w:rsidR="005B4676">
        <w:t xml:space="preserve">” </w:t>
      </w:r>
      <w:r w:rsidR="00731324">
        <w:t xml:space="preserve">which governs </w:t>
      </w:r>
      <w:r w:rsidR="00731324">
        <w:t xml:space="preserve">petitions for suspension or rejection of tariff fillings, </w:t>
      </w:r>
      <w:r w:rsidR="005B4676">
        <w:t>and</w:t>
      </w:r>
      <w:r w:rsidR="00F37FFB">
        <w:t xml:space="preserve"> </w:t>
      </w:r>
      <w:r w:rsidR="00731324">
        <w:t xml:space="preserve">that Petitioners </w:t>
      </w:r>
      <w:r w:rsidR="00F37FFB">
        <w:t xml:space="preserve">inadequately support their substantive challenges to the </w:t>
      </w:r>
      <w:r w:rsidR="00731324">
        <w:t xml:space="preserve">proposed </w:t>
      </w:r>
      <w:r w:rsidR="00F37FFB">
        <w:t>tariff revisions</w:t>
      </w:r>
      <w:r w:rsidR="005B4676">
        <w:t>.</w:t>
      </w:r>
      <w:r>
        <w:rPr>
          <w:rStyle w:val="FootnoteReference"/>
        </w:rPr>
        <w:footnoteReference w:id="22"/>
      </w:r>
    </w:p>
    <w:p w:rsidR="00DC7CAD" w:rsidP="000760BD" w14:paraId="1138C978" w14:textId="066623CE">
      <w:pPr>
        <w:pStyle w:val="Heading1"/>
      </w:pPr>
      <w:r>
        <w:t>DISCUSSION</w:t>
      </w:r>
    </w:p>
    <w:p w:rsidR="00E94933" w:rsidP="004F6A13" w14:paraId="6B0D7F20" w14:textId="14F49563">
      <w:pPr>
        <w:pStyle w:val="ParaNum"/>
      </w:pPr>
      <w:r>
        <w:t>We</w:t>
      </w:r>
      <w:r w:rsidR="00D737A8">
        <w:t xml:space="preserve"> find that t</w:t>
      </w:r>
      <w:r w:rsidR="001A03B0">
        <w:t xml:space="preserve">here are substantial questions regarding the lawfulness of Core’s </w:t>
      </w:r>
      <w:r w:rsidR="004F6A13">
        <w:t xml:space="preserve">proposed </w:t>
      </w:r>
      <w:r w:rsidR="001A03B0">
        <w:t>tariff revisions that require further investigation</w:t>
      </w:r>
      <w:r w:rsidR="002A7482">
        <w:t>.</w:t>
      </w:r>
      <w:r>
        <w:rPr>
          <w:rStyle w:val="FootnoteReference"/>
        </w:rPr>
        <w:footnoteReference w:id="23"/>
      </w:r>
      <w:r w:rsidR="002A7482">
        <w:t xml:space="preserve">  </w:t>
      </w:r>
      <w:r>
        <w:t xml:space="preserve">In reviewing the proposed tariff revisions, we are guided by the Communications Act, and the Commission’s rules, as well as the Commission’s orders.  </w:t>
      </w:r>
      <w:r w:rsidR="00E872EE">
        <w:t>In t</w:t>
      </w:r>
      <w:r>
        <w:t xml:space="preserve">he </w:t>
      </w:r>
      <w:r w:rsidRPr="00E94933">
        <w:rPr>
          <w:i/>
          <w:iCs/>
        </w:rPr>
        <w:t>8YY Access Charge Reform Order</w:t>
      </w:r>
      <w:r>
        <w:t>,</w:t>
      </w:r>
      <w:r w:rsidR="00E872EE">
        <w:t xml:space="preserve"> </w:t>
      </w:r>
      <w:r>
        <w:t>the Commission, among other actions, limited toll free 8YY database query charges to a single charge per call is particularly relevant here.</w:t>
      </w:r>
      <w:r>
        <w:rPr>
          <w:rStyle w:val="FootnoteReference"/>
        </w:rPr>
        <w:footnoteReference w:id="24"/>
      </w:r>
      <w:r w:rsidR="008A218D">
        <w:t xml:space="preserve">  Based on the current record, we question whether the proposed tariff revisions comply with the </w:t>
      </w:r>
      <w:r w:rsidRPr="00E94933" w:rsidR="008A218D">
        <w:rPr>
          <w:i/>
          <w:iCs/>
        </w:rPr>
        <w:t>8YY Access Charge Reform Order</w:t>
      </w:r>
      <w:r w:rsidR="008A218D">
        <w:t xml:space="preserve">, the Act, </w:t>
      </w:r>
      <w:r w:rsidRPr="001A03B0" w:rsidR="008A218D">
        <w:t>and</w:t>
      </w:r>
      <w:r w:rsidR="008A218D">
        <w:t xml:space="preserve"> the Commission’s rules.</w:t>
      </w:r>
    </w:p>
    <w:p w:rsidR="001A03B0" w:rsidP="007A17DF" w14:paraId="107BE047" w14:textId="733C66A6">
      <w:pPr>
        <w:pStyle w:val="ParaNum"/>
        <w:widowControl/>
      </w:pPr>
      <w:r>
        <w:t xml:space="preserve">We find worthy of investigation </w:t>
      </w:r>
      <w:r>
        <w:t>Petitioners</w:t>
      </w:r>
      <w:r>
        <w:t>’</w:t>
      </w:r>
      <w:r>
        <w:t xml:space="preserve"> </w:t>
      </w:r>
      <w:r w:rsidR="008923F2">
        <w:t>suggest</w:t>
      </w:r>
      <w:r>
        <w:t>ion</w:t>
      </w:r>
      <w:r w:rsidR="008923F2">
        <w:t xml:space="preserve"> that by filing th</w:t>
      </w:r>
      <w:r w:rsidR="008E29EE">
        <w:t>ese</w:t>
      </w:r>
      <w:r w:rsidR="008923F2">
        <w:t xml:space="preserve"> proposed tariff </w:t>
      </w:r>
      <w:r w:rsidR="008E29EE">
        <w:t>revisions</w:t>
      </w:r>
      <w:r w:rsidR="008923F2">
        <w:t xml:space="preserve"> </w:t>
      </w:r>
      <w:r>
        <w:t>Core</w:t>
      </w:r>
      <w:r w:rsidR="008923F2">
        <w:t xml:space="preserve"> i</w:t>
      </w:r>
      <w:r>
        <w:t>s attempt</w:t>
      </w:r>
      <w:r w:rsidR="008923F2">
        <w:t>ing</w:t>
      </w:r>
      <w:r>
        <w:t xml:space="preserve"> to “profit from 8YY arbitrage schemes that the Commission has sought to end, while denying IXCs the meaningful ability to challenge those practices and the charges that flow from them.”</w:t>
      </w:r>
      <w:r>
        <w:rPr>
          <w:rStyle w:val="FootnoteReference"/>
        </w:rPr>
        <w:footnoteReference w:id="25"/>
      </w:r>
      <w:r w:rsidRPr="001A03B0">
        <w:t xml:space="preserve"> </w:t>
      </w:r>
      <w:r>
        <w:t xml:space="preserve"> </w:t>
      </w:r>
      <w:r>
        <w:t>We also have significant concerns about whether Core</w:t>
      </w:r>
      <w:r w:rsidR="004F6A13">
        <w:t>’</w:t>
      </w:r>
      <w:r>
        <w:t>s proposed tariff revisions contain “clear and explicit explanatory statements regarding the rates and regulations” to “remove all doubt as to their proper application.”</w:t>
      </w:r>
      <w:r>
        <w:rPr>
          <w:rStyle w:val="FootnoteReference"/>
        </w:rPr>
        <w:footnoteReference w:id="26"/>
      </w:r>
    </w:p>
    <w:p w:rsidR="00DC7CAD" w:rsidP="00D737A8" w14:paraId="4C66AD76" w14:textId="3B94679A">
      <w:pPr>
        <w:pStyle w:val="ParaNum"/>
        <w:widowControl/>
      </w:pPr>
      <w:r>
        <w:t xml:space="preserve">Having found that substantial questions exist regarding the lawfulness of Core’s proposed tariff revisions, </w:t>
      </w:r>
      <w:r w:rsidR="00286800">
        <w:t xml:space="preserve">we suspend </w:t>
      </w:r>
      <w:r w:rsidR="00336036">
        <w:t>Core’s</w:t>
      </w:r>
      <w:r w:rsidR="00286800">
        <w:t xml:space="preserve"> proposed</w:t>
      </w:r>
      <w:r w:rsidR="004336AB">
        <w:t xml:space="preserve"> tariff</w:t>
      </w:r>
      <w:r w:rsidR="00286800">
        <w:t xml:space="preserve"> revisions for one day, impose an accounting order, and initiate an investigation into the lawfulness of the proposed </w:t>
      </w:r>
      <w:r>
        <w:t xml:space="preserve">tariff </w:t>
      </w:r>
      <w:r w:rsidR="00286800">
        <w:t>revisions.</w:t>
      </w:r>
      <w:r>
        <w:rPr>
          <w:rStyle w:val="FootnoteReference"/>
        </w:rPr>
        <w:footnoteReference w:id="27"/>
      </w:r>
      <w:r w:rsidR="00286800">
        <w:t xml:space="preserve">  We will identify the specific issues that are the subject of the investigation in an upcoming designation order.  Those issues may include, but not be limited to, the issues identified in this Order.  We may also, by order, identify </w:t>
      </w:r>
      <w:r w:rsidR="00B61F6F">
        <w:t xml:space="preserve">other </w:t>
      </w:r>
      <w:r w:rsidR="00286800">
        <w:t>discrete issues that warrant further investigation.</w:t>
      </w:r>
    </w:p>
    <w:p w:rsidR="00F77F04" w:rsidP="00F77F04" w14:paraId="048D1493" w14:textId="438F83D2">
      <w:pPr>
        <w:pStyle w:val="Heading1"/>
      </w:pPr>
      <w:r w:rsidRPr="00F77F04">
        <w:rPr>
          <w:i/>
          <w:iCs/>
        </w:rPr>
        <w:t>ex parte</w:t>
      </w:r>
      <w:r>
        <w:t xml:space="preserve"> requirements</w:t>
      </w:r>
    </w:p>
    <w:p w:rsidR="00F77F04" w:rsidRPr="003A3E0A" w:rsidP="00F77F04" w14:paraId="1D1E9508" w14:textId="7C4CFCED">
      <w:pPr>
        <w:pStyle w:val="ParaNum"/>
        <w:tabs>
          <w:tab w:val="clear" w:pos="1440"/>
        </w:tabs>
      </w:pPr>
      <w:r>
        <w:t xml:space="preserve">This </w:t>
      </w:r>
      <w:r w:rsidRPr="00FD0ED4">
        <w:t xml:space="preserve">proceeding shall be treated as a “permit-but-disclose” proceeding in accordance with the Commission’s </w:t>
      </w:r>
      <w:r w:rsidRPr="00265983">
        <w:rPr>
          <w:i/>
          <w:iCs/>
        </w:rPr>
        <w:t xml:space="preserve">ex </w:t>
      </w:r>
      <w:r w:rsidRPr="00265983">
        <w:rPr>
          <w:i/>
          <w:iCs/>
        </w:rPr>
        <w:t>parte</w:t>
      </w:r>
      <w:r w:rsidRPr="00265983">
        <w:rPr>
          <w:i/>
          <w:iCs/>
        </w:rPr>
        <w:t xml:space="preserve"> </w:t>
      </w:r>
      <w:r w:rsidRPr="00FD0ED4">
        <w:t>rules.</w:t>
      </w:r>
      <w:r>
        <w:rPr>
          <w:rStyle w:val="FootnoteReference"/>
        </w:rPr>
        <w:footnoteReference w:id="28"/>
      </w:r>
      <w:r w:rsidRPr="00FD0ED4">
        <w:t xml:space="preserve">  Persons making </w:t>
      </w:r>
      <w:r w:rsidRPr="00265983">
        <w:rPr>
          <w:i/>
        </w:rPr>
        <w:t xml:space="preserve">ex </w:t>
      </w:r>
      <w:r w:rsidRPr="00265983">
        <w:rPr>
          <w:i/>
        </w:rPr>
        <w:t>parte</w:t>
      </w:r>
      <w:r w:rsidRPr="00265983">
        <w:rPr>
          <w:i/>
        </w:rPr>
        <w:t xml:space="preserve"> </w:t>
      </w:r>
      <w:r w:rsidRPr="00FD0ED4">
        <w:t xml:space="preserve">presentations must file </w:t>
      </w:r>
      <w:r>
        <w:t xml:space="preserve">in </w:t>
      </w:r>
      <w:r w:rsidRPr="00941907">
        <w:t xml:space="preserve">WC Docket </w:t>
      </w:r>
      <w:r w:rsidRPr="00941907" w:rsidR="002D5706">
        <w:t xml:space="preserve">No. </w:t>
      </w:r>
      <w:r w:rsidRPr="00941907" w:rsidR="00941907">
        <w:t>21-191</w:t>
      </w:r>
      <w:r w:rsidRPr="00941907">
        <w:t xml:space="preserve"> </w:t>
      </w:r>
      <w:r w:rsidRPr="00FD0ED4">
        <w:t xml:space="preserve">a copy of any written presentation or a memorandum summarizing any oral presentation within two business days after the presentation (unless a different deadline applicable to the Sunshine period applies).  Persons making oral </w:t>
      </w:r>
      <w:r w:rsidRPr="00265983">
        <w:rPr>
          <w:i/>
          <w:iCs/>
        </w:rPr>
        <w:t xml:space="preserve">ex </w:t>
      </w:r>
      <w:r w:rsidRPr="00265983">
        <w:rPr>
          <w:i/>
          <w:iCs/>
        </w:rPr>
        <w:t>parte</w:t>
      </w:r>
      <w:r w:rsidRPr="00265983">
        <w:rPr>
          <w:i/>
          <w:iCs/>
        </w:rPr>
        <w:t xml:space="preserve"> </w:t>
      </w:r>
      <w:r w:rsidRPr="00FD0ED4">
        <w:t>presentations are reminded that memoranda summarizing the presentation must (1)</w:t>
      </w:r>
      <w:r>
        <w:t> </w:t>
      </w:r>
      <w:r w:rsidRPr="00FD0ED4">
        <w:t xml:space="preserve">list all persons attending or otherwise participating in the meeting at which the </w:t>
      </w:r>
      <w:r w:rsidRPr="00265983">
        <w:rPr>
          <w:i/>
          <w:iCs/>
        </w:rPr>
        <w:t xml:space="preserve">ex </w:t>
      </w:r>
      <w:r w:rsidRPr="00265983">
        <w:rPr>
          <w:i/>
          <w:iCs/>
        </w:rPr>
        <w:t>parte</w:t>
      </w:r>
      <w:r w:rsidRPr="00265983">
        <w:rPr>
          <w:i/>
          <w:iCs/>
        </w:rPr>
        <w:t xml:space="preserve"> </w:t>
      </w:r>
      <w:r w:rsidRPr="00FD0ED4">
        <w:t>presentation was made, and (2)</w:t>
      </w:r>
      <w:r>
        <w:t> </w:t>
      </w:r>
      <w:r w:rsidRPr="00FD0ED4">
        <w:t xml:space="preserve">summarize all data presented and arguments made during the </w:t>
      </w:r>
      <w:r w:rsidRPr="00FD0ED4">
        <w:t xml:space="preserve">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265983">
        <w:rPr>
          <w:i/>
          <w:iCs/>
        </w:rPr>
        <w:t xml:space="preserve">ex </w:t>
      </w:r>
      <w:r w:rsidRPr="00265983">
        <w:rPr>
          <w:i/>
          <w:iCs/>
        </w:rPr>
        <w:t>parte</w:t>
      </w:r>
      <w:r w:rsidRPr="00265983">
        <w:rPr>
          <w:i/>
          <w:iCs/>
        </w:rPr>
        <w:t xml:space="preserve"> </w:t>
      </w:r>
      <w:r w:rsidRPr="00FD0ED4">
        <w:t xml:space="preserve">meetings are deemed to be written </w:t>
      </w:r>
      <w:r w:rsidRPr="00265983">
        <w:rPr>
          <w:i/>
          <w:iCs/>
        </w:rPr>
        <w:t xml:space="preserve">ex </w:t>
      </w:r>
      <w:r w:rsidRPr="00265983">
        <w:rPr>
          <w:i/>
          <w:iCs/>
        </w:rPr>
        <w:t>parte</w:t>
      </w:r>
      <w:r w:rsidRPr="00FD0ED4">
        <w:t xml:space="preserve"> presentations and must be filed consistent with rule 1.1206(b).  In proceedings governed by rule 1.49(f)</w:t>
      </w:r>
      <w:r>
        <w:t>,</w:t>
      </w:r>
      <w:r w:rsidRPr="00FD0ED4">
        <w:t xml:space="preserve"> or for which the Commission has made available a method of electronic filing, written </w:t>
      </w:r>
      <w:r w:rsidRPr="00265983">
        <w:rPr>
          <w:i/>
          <w:iCs/>
        </w:rPr>
        <w:t xml:space="preserve">ex </w:t>
      </w:r>
      <w:r w:rsidRPr="00265983">
        <w:rPr>
          <w:i/>
          <w:iCs/>
        </w:rPr>
        <w:t>parte</w:t>
      </w:r>
      <w:r w:rsidRPr="00265983">
        <w:rPr>
          <w:i/>
          <w:iCs/>
        </w:rPr>
        <w:t xml:space="preserve"> </w:t>
      </w:r>
      <w:r w:rsidRPr="00FD0ED4">
        <w:t xml:space="preserve">presentations and memoranda summarizing oral </w:t>
      </w:r>
      <w:r w:rsidRPr="00265983">
        <w:rPr>
          <w:i/>
          <w:iCs/>
        </w:rPr>
        <w:t xml:space="preserve">ex </w:t>
      </w:r>
      <w:r w:rsidRPr="00265983">
        <w:rPr>
          <w:i/>
          <w:iCs/>
        </w:rPr>
        <w:t>parte</w:t>
      </w:r>
      <w:r w:rsidRPr="00265983">
        <w:rPr>
          <w:i/>
          <w:iCs/>
        </w:rPr>
        <w:t xml:space="preserve"> </w:t>
      </w:r>
      <w:r w:rsidRPr="00FD0ED4">
        <w:t>presentations, and all attachments thereto, must be filed through the electronic comment filing system available for that proceeding, and must be filed in their native format (</w:t>
      </w:r>
      <w:r w:rsidRPr="0051246A">
        <w:rPr>
          <w:iCs/>
        </w:rPr>
        <w:t>e.g.</w:t>
      </w:r>
      <w:r w:rsidRPr="00710F60">
        <w:t>,</w:t>
      </w:r>
      <w:r w:rsidRPr="00FD0ED4">
        <w:t xml:space="preserve"> .doc, .xml, .ppt, searchable .pdf).  Participants in this proceeding should familiarize themselves with the Commission’s </w:t>
      </w:r>
      <w:r w:rsidRPr="00265983">
        <w:rPr>
          <w:i/>
          <w:iCs/>
        </w:rPr>
        <w:t xml:space="preserve">ex </w:t>
      </w:r>
      <w:r w:rsidRPr="00265983">
        <w:rPr>
          <w:i/>
          <w:iCs/>
        </w:rPr>
        <w:t>parte</w:t>
      </w:r>
      <w:r>
        <w:rPr>
          <w:iCs/>
        </w:rPr>
        <w:t xml:space="preserve"> rules.</w:t>
      </w:r>
    </w:p>
    <w:p w:rsidR="0085285B" w:rsidP="007305B7" w14:paraId="4A85F51E" w14:textId="401038C0">
      <w:pPr>
        <w:pStyle w:val="Heading1"/>
      </w:pPr>
      <w:r>
        <w:t>ORDERING CLAUSES</w:t>
      </w:r>
    </w:p>
    <w:p w:rsidR="0085285B" w:rsidP="0085285B" w14:paraId="730C3C35" w14:textId="6E7277DA">
      <w:pPr>
        <w:pStyle w:val="ParaNum"/>
        <w:tabs>
          <w:tab w:val="clear" w:pos="1440"/>
        </w:tabs>
      </w:pPr>
      <w:r w:rsidRPr="00A81848">
        <w:t>Accordingly, IT IS ORDERED that, pursuant to section 204(a) of the Communications Act of 1934, as amended, 47 U.S.C. §</w:t>
      </w:r>
      <w:r>
        <w:t> </w:t>
      </w:r>
      <w:r w:rsidRPr="00A81848">
        <w:t>204(a), and through the authority delegated pursuant to sections 0.91 and 0.291 of the Commission’s rules, 47 CFR §§</w:t>
      </w:r>
      <w:r>
        <w:t> </w:t>
      </w:r>
      <w:r w:rsidRPr="00A81848">
        <w:t>0.91</w:t>
      </w:r>
      <w:r>
        <w:t>,</w:t>
      </w:r>
      <w:r w:rsidRPr="00A81848">
        <w:t xml:space="preserve"> 0.291, </w:t>
      </w:r>
      <w:r w:rsidRPr="001802B5">
        <w:t>t</w:t>
      </w:r>
      <w:r>
        <w:t xml:space="preserve">he effective date of the revisions of </w:t>
      </w:r>
      <w:r w:rsidR="007305B7">
        <w:t>Core Communications, Inc., et al.,</w:t>
      </w:r>
      <w:r>
        <w:t xml:space="preserve"> contained in Transmittal No. </w:t>
      </w:r>
      <w:r w:rsidR="007305B7">
        <w:t>1</w:t>
      </w:r>
      <w:r w:rsidR="00BF2766">
        <w:t>7</w:t>
      </w:r>
      <w:r>
        <w:t xml:space="preserve"> IS</w:t>
      </w:r>
      <w:r w:rsidRPr="00A81848">
        <w:t xml:space="preserve"> </w:t>
      </w:r>
      <w:r w:rsidR="002B10D3">
        <w:t xml:space="preserve">ADVANCED </w:t>
      </w:r>
      <w:r>
        <w:t xml:space="preserve">for one day to </w:t>
      </w:r>
      <w:r w:rsidR="00C575FB">
        <w:t xml:space="preserve">May </w:t>
      </w:r>
      <w:r w:rsidR="00FB0EF7">
        <w:t>6</w:t>
      </w:r>
      <w:r w:rsidR="007305B7">
        <w:t>, 2021</w:t>
      </w:r>
      <w:r>
        <w:t xml:space="preserve">, and then </w:t>
      </w:r>
      <w:r w:rsidRPr="00A81848">
        <w:t xml:space="preserve">SUSPENDED for </w:t>
      </w:r>
      <w:r>
        <w:t>one day</w:t>
      </w:r>
      <w:r w:rsidRPr="00A81848">
        <w:t xml:space="preserve"> </w:t>
      </w:r>
      <w:r>
        <w:t xml:space="preserve">until </w:t>
      </w:r>
      <w:r w:rsidR="00C575FB">
        <w:t xml:space="preserve">May </w:t>
      </w:r>
      <w:r w:rsidR="00FB0EF7">
        <w:t>7</w:t>
      </w:r>
      <w:r w:rsidR="007305B7">
        <w:t>, 2021</w:t>
      </w:r>
      <w:r>
        <w:t xml:space="preserve">, </w:t>
      </w:r>
      <w:r w:rsidRPr="00A81848">
        <w:t>and an investigation</w:t>
      </w:r>
      <w:r>
        <w:t xml:space="preserve"> </w:t>
      </w:r>
      <w:r w:rsidRPr="00A81848">
        <w:t>IS INSTITUTED.</w:t>
      </w:r>
    </w:p>
    <w:p w:rsidR="0085285B" w:rsidP="0085285B" w14:paraId="376EA93A" w14:textId="3D67E5AA">
      <w:pPr>
        <w:pStyle w:val="ParaNum"/>
        <w:tabs>
          <w:tab w:val="clear" w:pos="1440"/>
        </w:tabs>
      </w:pPr>
      <w:r w:rsidRPr="00A81848">
        <w:t xml:space="preserve">IT IS FURTHER ORDERED that </w:t>
      </w:r>
      <w:r w:rsidR="007305B7">
        <w:t xml:space="preserve">Core Communications, Inc., et al., </w:t>
      </w:r>
      <w:r>
        <w:t xml:space="preserve">SHALL FILE a supplement within five business days from the release date of this Order reflecting this suspension.  </w:t>
      </w:r>
      <w:r w:rsidR="007305B7">
        <w:t>Core Communications, Inc., et al.</w:t>
      </w:r>
      <w:r w:rsidR="004971BA">
        <w:t>,</w:t>
      </w:r>
      <w:r w:rsidRPr="00291D5E">
        <w:t xml:space="preserve"> </w:t>
      </w:r>
      <w:r>
        <w:t>should cite the “DA” number on the instant Order as the authority for its filing.</w:t>
      </w:r>
    </w:p>
    <w:p w:rsidR="0085285B" w:rsidP="007305B7" w14:paraId="72B0E020" w14:textId="0EAF5531">
      <w:pPr>
        <w:pStyle w:val="ParaNum"/>
        <w:tabs>
          <w:tab w:val="clear" w:pos="1440"/>
        </w:tabs>
      </w:pPr>
      <w:r w:rsidRPr="00D12B10">
        <w:t>IT IS FURTHER ORDERED that, pursuant to sections 4(</w:t>
      </w:r>
      <w:r w:rsidRPr="00D12B10">
        <w:t>i</w:t>
      </w:r>
      <w:r w:rsidRPr="00D12B10">
        <w:t>) and 204(a) of the Communications Act of 1934, as amended, 47 U.S.C. §§ 154(</w:t>
      </w:r>
      <w:r w:rsidRPr="00D12B10">
        <w:t>i</w:t>
      </w:r>
      <w:r w:rsidRPr="00D12B10">
        <w:t>)</w:t>
      </w:r>
      <w:r>
        <w:t>,</w:t>
      </w:r>
      <w:r w:rsidRPr="00D12B10">
        <w:t xml:space="preserve"> 204(a), and pursuant to the authority delegated by sections 0.91 and 0.291 of the Commission’s rules, 47 CFR §§ 0.91</w:t>
      </w:r>
      <w:r>
        <w:t>,</w:t>
      </w:r>
      <w:r w:rsidRPr="00D12B10">
        <w:t xml:space="preserve"> 0.291, </w:t>
      </w:r>
      <w:r w:rsidR="007305B7">
        <w:t xml:space="preserve">Core Communications, Inc., et al., </w:t>
      </w:r>
      <w:r w:rsidRPr="00D12B10">
        <w:t>SHALL KEEP ACCURATE ACCOUNT of all amounts receiv</w:t>
      </w:r>
      <w:r>
        <w:t xml:space="preserve">ed and paid that are associated with the </w:t>
      </w:r>
      <w:r w:rsidR="00585634">
        <w:t xml:space="preserve">tariff </w:t>
      </w:r>
      <w:r w:rsidR="008923F2">
        <w:t>provisions</w:t>
      </w:r>
      <w:r>
        <w:t xml:space="preserve"> that are</w:t>
      </w:r>
      <w:r w:rsidRPr="00D12B10">
        <w:t xml:space="preserve"> subject to this investigation.</w:t>
      </w:r>
    </w:p>
    <w:p w:rsidR="00107E04" w:rsidP="007305B7" w14:paraId="4F5AABAB" w14:textId="5B76D48C">
      <w:pPr>
        <w:pStyle w:val="ParaNum"/>
        <w:tabs>
          <w:tab w:val="clear" w:pos="1440"/>
        </w:tabs>
      </w:pPr>
      <w:r>
        <w:t xml:space="preserve">IT IS FURTHER ORDERED that, the Petition of Verizon and AT&amp;T to Suspend or Reject Core’s Revised Tariff </w:t>
      </w:r>
      <w:r w:rsidR="001F2578">
        <w:t>is GRANTED to the extent indicated herein.</w:t>
      </w:r>
      <w:r>
        <w:t xml:space="preserve"> </w:t>
      </w:r>
    </w:p>
    <w:p w:rsidR="002B10D3" w:rsidP="0085285B" w14:paraId="2EA6C92D" w14:textId="77777777">
      <w:pPr>
        <w:pStyle w:val="ParaNum"/>
        <w:numPr>
          <w:ilvl w:val="0"/>
          <w:numId w:val="0"/>
        </w:numPr>
      </w:pPr>
    </w:p>
    <w:p w:rsidR="0085285B" w:rsidRPr="00A81848" w:rsidP="0085285B" w14:paraId="06932A08" w14:textId="2FCEE152">
      <w:pPr>
        <w:pStyle w:val="ParaNum"/>
        <w:numPr>
          <w:ilvl w:val="0"/>
          <w:numId w:val="0"/>
        </w:numPr>
      </w:pPr>
      <w:r w:rsidRPr="00A81848">
        <w:tab/>
      </w:r>
      <w:r w:rsidRPr="00A81848">
        <w:tab/>
      </w:r>
      <w:r w:rsidRPr="00A81848">
        <w:tab/>
      </w:r>
      <w:r w:rsidRPr="00A81848">
        <w:tab/>
      </w:r>
      <w:r w:rsidRPr="00A81848">
        <w:tab/>
        <w:t>FEDERAL COMMUNICATIONS COMMISSION</w:t>
      </w:r>
      <w:r w:rsidRPr="00A81848">
        <w:tab/>
      </w:r>
    </w:p>
    <w:p w:rsidR="0085285B" w:rsidP="0085285B" w14:paraId="56C038DD" w14:textId="77777777">
      <w:pPr>
        <w:pStyle w:val="ParaNum"/>
        <w:numPr>
          <w:ilvl w:val="0"/>
          <w:numId w:val="0"/>
        </w:numPr>
      </w:pPr>
      <w:r w:rsidRPr="00A81848">
        <w:tab/>
      </w:r>
    </w:p>
    <w:p w:rsidR="0085285B" w:rsidP="0085285B" w14:paraId="27526CD3" w14:textId="77777777">
      <w:pPr>
        <w:pStyle w:val="ParaNum"/>
        <w:numPr>
          <w:ilvl w:val="0"/>
          <w:numId w:val="0"/>
        </w:numPr>
      </w:pPr>
    </w:p>
    <w:p w:rsidR="0085285B" w:rsidP="0085285B" w14:paraId="20259BC4" w14:textId="77777777">
      <w:pPr>
        <w:pStyle w:val="ParaNum"/>
        <w:numPr>
          <w:ilvl w:val="0"/>
          <w:numId w:val="0"/>
        </w:numPr>
      </w:pPr>
    </w:p>
    <w:p w:rsidR="0085285B" w:rsidP="0085285B" w14:paraId="5DD5821F" w14:textId="77777777">
      <w:pPr>
        <w:pStyle w:val="ParaNum"/>
        <w:numPr>
          <w:ilvl w:val="0"/>
          <w:numId w:val="0"/>
        </w:numPr>
        <w:spacing w:after="0"/>
      </w:pPr>
      <w:r w:rsidRPr="00A81848">
        <w:tab/>
      </w:r>
      <w:r w:rsidRPr="00A81848">
        <w:tab/>
      </w:r>
      <w:r w:rsidRPr="00A81848">
        <w:tab/>
      </w:r>
      <w:r w:rsidRPr="00A81848">
        <w:tab/>
      </w:r>
      <w:r w:rsidRPr="00A81848">
        <w:tab/>
      </w:r>
      <w:r>
        <w:t>Gil M. Strobel</w:t>
      </w:r>
    </w:p>
    <w:p w:rsidR="0085285B" w:rsidP="0085285B" w14:paraId="62EDC9E2" w14:textId="08C78EBD">
      <w:pPr>
        <w:pStyle w:val="ParaNum"/>
        <w:numPr>
          <w:ilvl w:val="0"/>
          <w:numId w:val="0"/>
        </w:numPr>
        <w:spacing w:after="0"/>
      </w:pPr>
      <w:r w:rsidRPr="00A81848">
        <w:tab/>
      </w:r>
      <w:r w:rsidRPr="00A81848">
        <w:tab/>
      </w:r>
      <w:r w:rsidRPr="00A81848">
        <w:tab/>
      </w:r>
      <w:r w:rsidRPr="00A81848">
        <w:tab/>
      </w:r>
      <w:r w:rsidRPr="00A81848">
        <w:tab/>
      </w:r>
      <w:r>
        <w:t>Chief, Pricing Policy Division</w:t>
      </w:r>
    </w:p>
    <w:p w:rsidR="00F77F04" w:rsidRPr="00DC7CAD" w:rsidP="00D15AE7" w14:paraId="1273524B" w14:textId="2C0CF3BD">
      <w:pPr>
        <w:pStyle w:val="ParaNum"/>
        <w:numPr>
          <w:ilvl w:val="0"/>
          <w:numId w:val="0"/>
        </w:numPr>
        <w:spacing w:after="0"/>
        <w:ind w:left="3600"/>
      </w:pPr>
      <w:r>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D884E2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12B99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027BCF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F88B90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69960A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05AD5" w14:paraId="5E137B58" w14:textId="77777777">
      <w:r>
        <w:separator/>
      </w:r>
    </w:p>
  </w:footnote>
  <w:footnote w:type="continuationSeparator" w:id="1">
    <w:p w:rsidR="00605AD5" w:rsidP="00C721AC" w14:paraId="55BE271C" w14:textId="77777777">
      <w:pPr>
        <w:spacing w:before="120"/>
        <w:rPr>
          <w:sz w:val="20"/>
        </w:rPr>
      </w:pPr>
      <w:r>
        <w:rPr>
          <w:sz w:val="20"/>
        </w:rPr>
        <w:t xml:space="preserve">(Continued from previous page)  </w:t>
      </w:r>
      <w:r>
        <w:rPr>
          <w:sz w:val="20"/>
        </w:rPr>
        <w:separator/>
      </w:r>
    </w:p>
  </w:footnote>
  <w:footnote w:type="continuationNotice" w:id="2">
    <w:p w:rsidR="00605AD5" w:rsidP="00C721AC" w14:paraId="493D5BCF" w14:textId="77777777">
      <w:pPr>
        <w:jc w:val="right"/>
        <w:rPr>
          <w:sz w:val="20"/>
        </w:rPr>
      </w:pPr>
      <w:r>
        <w:rPr>
          <w:sz w:val="20"/>
        </w:rPr>
        <w:t>(continued….)</w:t>
      </w:r>
    </w:p>
  </w:footnote>
  <w:footnote w:id="3">
    <w:p w:rsidR="00F60109" w14:paraId="734046EA" w14:textId="1700C883">
      <w:pPr>
        <w:pStyle w:val="FootnoteText"/>
      </w:pPr>
      <w:r>
        <w:rPr>
          <w:rStyle w:val="FootnoteReference"/>
        </w:rPr>
        <w:footnoteRef/>
      </w:r>
      <w:r>
        <w:t xml:space="preserve"> </w:t>
      </w:r>
      <w:r w:rsidR="00687830">
        <w:t xml:space="preserve">Letter from Carey </w:t>
      </w:r>
      <w:r w:rsidR="00687830">
        <w:t>Roesel</w:t>
      </w:r>
      <w:r w:rsidR="00687830">
        <w:t xml:space="preserve">, </w:t>
      </w:r>
      <w:r w:rsidR="00687830">
        <w:t>Inteserra</w:t>
      </w:r>
      <w:r w:rsidR="00687830">
        <w:t xml:space="preserve"> Consulting Group, to Secretary, FCC, Transmittal No. 1</w:t>
      </w:r>
      <w:r w:rsidR="00FC512B">
        <w:t>7</w:t>
      </w:r>
      <w:r w:rsidR="00687830">
        <w:t xml:space="preserve"> (filed </w:t>
      </w:r>
      <w:r w:rsidR="00FC512B">
        <w:t>Apr. 22</w:t>
      </w:r>
      <w:r w:rsidR="00687830">
        <w:t>, 2021)</w:t>
      </w:r>
      <w:r w:rsidR="001C3727">
        <w:t xml:space="preserve">; Core Communications, Inc., et al., </w:t>
      </w:r>
      <w:r w:rsidR="005B28A1">
        <w:t>Transmittal No. 1</w:t>
      </w:r>
      <w:r w:rsidR="00FC512B">
        <w:t>7</w:t>
      </w:r>
      <w:r w:rsidR="005B28A1">
        <w:t xml:space="preserve">, </w:t>
      </w:r>
      <w:r w:rsidR="001C3727">
        <w:t xml:space="preserve">Tariff F.C.C. No. 3, </w:t>
      </w:r>
      <w:r w:rsidR="00FC512B">
        <w:t>10</w:t>
      </w:r>
      <w:r w:rsidR="001C3727">
        <w:t xml:space="preserve">th Rev. Page No. 28, § 2.10.4.A (filed </w:t>
      </w:r>
      <w:r w:rsidR="00FC512B">
        <w:t>Apr. 22</w:t>
      </w:r>
      <w:r w:rsidR="001C3727">
        <w:t>, 2021)</w:t>
      </w:r>
      <w:r w:rsidR="00CB5B73">
        <w:t xml:space="preserve"> (Transmittal No. 17)</w:t>
      </w:r>
      <w:r w:rsidR="001C3727">
        <w:t xml:space="preserve">; </w:t>
      </w:r>
      <w:r w:rsidRPr="001C3727" w:rsidR="001C3727">
        <w:rPr>
          <w:i/>
          <w:iCs/>
        </w:rPr>
        <w:t>id</w:t>
      </w:r>
      <w:r w:rsidR="001C3727">
        <w:t xml:space="preserve">., </w:t>
      </w:r>
      <w:r w:rsidR="00FC512B">
        <w:t>3rd</w:t>
      </w:r>
      <w:r w:rsidR="001C3727">
        <w:t xml:space="preserve"> Rev. Page No. 29, § 2.10.5; </w:t>
      </w:r>
      <w:r w:rsidRPr="001C3727" w:rsidR="001C3727">
        <w:rPr>
          <w:i/>
          <w:iCs/>
        </w:rPr>
        <w:t>id</w:t>
      </w:r>
      <w:r w:rsidR="001C3727">
        <w:t xml:space="preserve">., </w:t>
      </w:r>
      <w:r w:rsidR="00FC512B">
        <w:t>3rd</w:t>
      </w:r>
      <w:r w:rsidR="001C3727">
        <w:t xml:space="preserve"> Rev. Page. No. 33, § 2.13.3.H; </w:t>
      </w:r>
      <w:r w:rsidRPr="001C3727" w:rsidR="001C3727">
        <w:rPr>
          <w:i/>
          <w:iCs/>
        </w:rPr>
        <w:t>id</w:t>
      </w:r>
      <w:r w:rsidR="001C3727">
        <w:t xml:space="preserve">., </w:t>
      </w:r>
      <w:r w:rsidR="00FC512B">
        <w:t>3d</w:t>
      </w:r>
      <w:r w:rsidR="001C3727">
        <w:t xml:space="preserve"> Rev. Page. No. 40, </w:t>
      </w:r>
      <w:r w:rsidR="002B0E2C">
        <w:t xml:space="preserve">§ </w:t>
      </w:r>
      <w:r w:rsidR="001C3727">
        <w:t>2.21</w:t>
      </w:r>
      <w:r w:rsidR="000B11F5">
        <w:t xml:space="preserve">; </w:t>
      </w:r>
      <w:r w:rsidR="000B11F5">
        <w:rPr>
          <w:i/>
          <w:iCs/>
        </w:rPr>
        <w:t>id.</w:t>
      </w:r>
      <w:r w:rsidR="000B11F5">
        <w:t xml:space="preserve">, </w:t>
      </w:r>
      <w:r w:rsidRPr="000B11F5" w:rsidR="000B11F5">
        <w:t>1st Rev</w:t>
      </w:r>
      <w:r w:rsidR="000B11F5">
        <w:t>.</w:t>
      </w:r>
      <w:r w:rsidRPr="000B11F5" w:rsidR="000B11F5">
        <w:t xml:space="preserve"> Page No. 43.1</w:t>
      </w:r>
      <w:r w:rsidR="000B11F5">
        <w:t xml:space="preserve">, </w:t>
      </w:r>
      <w:r w:rsidR="003B095B">
        <w:t xml:space="preserve">§ </w:t>
      </w:r>
      <w:r w:rsidR="00107E04">
        <w:t>3.3.5.</w:t>
      </w:r>
    </w:p>
  </w:footnote>
  <w:footnote w:id="4">
    <w:p w:rsidR="004F6A13" w:rsidP="004F6A13" w14:paraId="7A45354A" w14:textId="3FA78B1A">
      <w:pPr>
        <w:pStyle w:val="FootnoteText"/>
      </w:pPr>
      <w:r>
        <w:rPr>
          <w:rStyle w:val="FootnoteReference"/>
        </w:rPr>
        <w:footnoteRef/>
      </w:r>
      <w:r>
        <w:t xml:space="preserve"> </w:t>
      </w:r>
      <w:r w:rsidRPr="00286800">
        <w:rPr>
          <w:i/>
          <w:iCs/>
        </w:rPr>
        <w:t>See</w:t>
      </w:r>
      <w:r>
        <w:t xml:space="preserve"> 47 U.S.C. § 204(a)</w:t>
      </w:r>
      <w:r w:rsidR="00E61943">
        <w:t>(1)</w:t>
      </w:r>
      <w:r>
        <w:t xml:space="preserve"> (“</w:t>
      </w:r>
      <w:r w:rsidRPr="00286800">
        <w:t>Whenever there is filed with the Commission any new or revised charge, classification, regulation, or practice, the Commission may either upon complaint or upon its own initiative without complaint, upon reasonable notice, enter upon a hearing concerning the lawfulness thereof</w:t>
      </w:r>
      <w:r>
        <w:t>.”).</w:t>
      </w:r>
    </w:p>
  </w:footnote>
  <w:footnote w:id="5">
    <w:p w:rsidR="00FB0EF7" w14:paraId="60936F23" w14:textId="2CBC73ED">
      <w:pPr>
        <w:pStyle w:val="FootnoteText"/>
      </w:pPr>
      <w:r>
        <w:rPr>
          <w:rStyle w:val="FootnoteReference"/>
        </w:rPr>
        <w:footnoteRef/>
      </w:r>
      <w:r>
        <w:t xml:space="preserve"> When a tariff is advanced for a day, the effective date listed in the tariff is moved to one day earlier so that the suspension of the tariff </w:t>
      </w:r>
      <w:r w:rsidR="00941907">
        <w:t>c</w:t>
      </w:r>
      <w:r>
        <w:t>an occur on that day, thereby allowing the tariff to become effective on the original effective date.</w:t>
      </w:r>
    </w:p>
  </w:footnote>
  <w:footnote w:id="6">
    <w:p w:rsidR="00107E04" w14:paraId="29BD2AC1" w14:textId="2D2EA89D">
      <w:pPr>
        <w:pStyle w:val="FootnoteText"/>
      </w:pPr>
      <w:r>
        <w:rPr>
          <w:rStyle w:val="FootnoteReference"/>
        </w:rPr>
        <w:footnoteRef/>
      </w:r>
      <w:r>
        <w:t xml:space="preserve"> </w:t>
      </w:r>
      <w:r w:rsidRPr="009468E3" w:rsidR="003B095B">
        <w:rPr>
          <w:i/>
          <w:iCs/>
        </w:rPr>
        <w:t>8YY Access Charge Reform</w:t>
      </w:r>
      <w:r w:rsidRPr="009468E3" w:rsidR="003B095B">
        <w:t>, WC Docket No. 18-156, Report and Order, FCC 20-143, at 10, para. 25 (Oct. 9, 2020) (</w:t>
      </w:r>
      <w:r w:rsidRPr="009468E3" w:rsidR="003B095B">
        <w:rPr>
          <w:i/>
          <w:iCs/>
        </w:rPr>
        <w:t>8YY Access Charge Reform Order</w:t>
      </w:r>
      <w:r w:rsidRPr="009468E3" w:rsidR="003B095B">
        <w:t>); 85 Fed. Reg. 75894 (Nov. 27, 2020).</w:t>
      </w:r>
    </w:p>
  </w:footnote>
  <w:footnote w:id="7">
    <w:p w:rsidR="007A17DF" w14:paraId="1C431FF6" w14:textId="67979C55">
      <w:pPr>
        <w:pStyle w:val="FootnoteText"/>
      </w:pPr>
      <w:r w:rsidRPr="00CD2993">
        <w:rPr>
          <w:rStyle w:val="FootnoteReference"/>
        </w:rPr>
        <w:footnoteRef/>
      </w:r>
      <w:r w:rsidRPr="00CD2993">
        <w:t xml:space="preserve"> 47 U</w:t>
      </w:r>
      <w:r w:rsidR="00CD2993">
        <w:t>.</w:t>
      </w:r>
      <w:r w:rsidRPr="00CD2993">
        <w:t>S</w:t>
      </w:r>
      <w:r w:rsidR="00CD2993">
        <w:t>.</w:t>
      </w:r>
      <w:r w:rsidRPr="00CD2993">
        <w:t>C</w:t>
      </w:r>
      <w:r w:rsidR="00CD2993">
        <w:t>. §</w:t>
      </w:r>
      <w:r w:rsidRPr="00CD2993">
        <w:t xml:space="preserve"> 151 et. seq.</w:t>
      </w:r>
      <w:r w:rsidR="004F6A13">
        <w:t xml:space="preserve">   </w:t>
      </w:r>
    </w:p>
  </w:footnote>
  <w:footnote w:id="8">
    <w:p w:rsidR="00731324" w:rsidRPr="00FB0EF7" w14:paraId="094F8822" w14:textId="2046B2E2">
      <w:pPr>
        <w:pStyle w:val="FootnoteText"/>
      </w:pPr>
      <w:r>
        <w:rPr>
          <w:rStyle w:val="FootnoteReference"/>
        </w:rPr>
        <w:footnoteRef/>
      </w:r>
      <w:r>
        <w:t xml:space="preserve"> </w:t>
      </w:r>
      <w:r w:rsidR="00E872EE">
        <w:rPr>
          <w:i/>
          <w:iCs/>
        </w:rPr>
        <w:t>See</w:t>
      </w:r>
      <w:r w:rsidR="00E872EE">
        <w:t xml:space="preserve"> </w:t>
      </w:r>
      <w:r w:rsidR="00E872EE">
        <w:rPr>
          <w:i/>
          <w:iCs/>
        </w:rPr>
        <w:t>Hyperion Telecommunications, Inc. Petition for Forbearance</w:t>
      </w:r>
      <w:r w:rsidR="00E872EE">
        <w:t xml:space="preserve">, Memorandum Opinion and Order, 12 FCC </w:t>
      </w:r>
      <w:r w:rsidR="00E872EE">
        <w:t>Rcd</w:t>
      </w:r>
      <w:r w:rsidR="00E872EE">
        <w:t xml:space="preserve"> 8596 (1997) (establishing permissive </w:t>
      </w:r>
      <w:r w:rsidR="00E872EE">
        <w:t>detariffing</w:t>
      </w:r>
      <w:r w:rsidR="00E872EE">
        <w:t xml:space="preserve"> for non-incumbent LEC providers of interstate exchange access services).</w:t>
      </w:r>
    </w:p>
  </w:footnote>
  <w:footnote w:id="9">
    <w:p w:rsidR="00731324" w14:paraId="1CEDAE15" w14:textId="47E8DA71">
      <w:pPr>
        <w:pStyle w:val="FootnoteText"/>
      </w:pPr>
      <w:r>
        <w:rPr>
          <w:rStyle w:val="FootnoteReference"/>
        </w:rPr>
        <w:footnoteRef/>
      </w:r>
      <w:r>
        <w:t xml:space="preserve"> 47 CFR § 61.26.</w:t>
      </w:r>
    </w:p>
  </w:footnote>
  <w:footnote w:id="10">
    <w:p w:rsidR="00731324" w:rsidP="00731324" w14:paraId="32F887E4" w14:textId="77777777">
      <w:pPr>
        <w:pStyle w:val="FootnoteText"/>
      </w:pPr>
      <w:r>
        <w:rPr>
          <w:rStyle w:val="FootnoteReference"/>
        </w:rPr>
        <w:footnoteRef/>
      </w:r>
      <w:r>
        <w:t xml:space="preserve"> 47 CFR § 61.2(a). </w:t>
      </w:r>
    </w:p>
  </w:footnote>
  <w:footnote w:id="11">
    <w:p w:rsidR="001D1BBD" w:rsidRPr="00910FE3" w14:paraId="6AEFDD96" w14:textId="05E4AF0B">
      <w:pPr>
        <w:pStyle w:val="FootnoteText"/>
      </w:pPr>
      <w:r>
        <w:rPr>
          <w:rStyle w:val="FootnoteReference"/>
        </w:rPr>
        <w:footnoteRef/>
      </w:r>
      <w:r>
        <w:t xml:space="preserve"> </w:t>
      </w:r>
      <w:r w:rsidRPr="009333AD">
        <w:t>Transmittal No. 1</w:t>
      </w:r>
      <w:r w:rsidR="0014466C">
        <w:t>7</w:t>
      </w:r>
      <w:r w:rsidRPr="009333AD">
        <w:t>,</w:t>
      </w:r>
      <w:r>
        <w:t xml:space="preserve"> </w:t>
      </w:r>
      <w:r w:rsidR="0014466C">
        <w:t>10</w:t>
      </w:r>
      <w:r>
        <w:t xml:space="preserve">th Rev. Page No. 28, § 2.10.4.A; </w:t>
      </w:r>
      <w:r w:rsidRPr="001C3727">
        <w:rPr>
          <w:i/>
          <w:iCs/>
        </w:rPr>
        <w:t>id</w:t>
      </w:r>
      <w:r>
        <w:t xml:space="preserve">., </w:t>
      </w:r>
      <w:r w:rsidR="0014466C">
        <w:t>3rd</w:t>
      </w:r>
      <w:r>
        <w:t xml:space="preserve"> Rev. Page No. 29, § 2.10.5.</w:t>
      </w:r>
    </w:p>
  </w:footnote>
  <w:footnote w:id="12">
    <w:p w:rsidR="009333AD" w14:paraId="0E4E6897" w14:textId="26341E9C">
      <w:pPr>
        <w:pStyle w:val="FootnoteText"/>
      </w:pPr>
      <w:r>
        <w:rPr>
          <w:rStyle w:val="FootnoteReference"/>
        </w:rPr>
        <w:footnoteRef/>
      </w:r>
      <w:r>
        <w:t xml:space="preserve"> </w:t>
      </w:r>
      <w:r w:rsidRPr="00A532B1" w:rsidR="00A532B1">
        <w:rPr>
          <w:i/>
          <w:iCs/>
        </w:rPr>
        <w:t>Id</w:t>
      </w:r>
      <w:r w:rsidR="00A532B1">
        <w:t>.</w:t>
      </w:r>
      <w:r>
        <w:t xml:space="preserve">, </w:t>
      </w:r>
      <w:r w:rsidR="0014466C">
        <w:t>3rd</w:t>
      </w:r>
      <w:r>
        <w:t xml:space="preserve"> Rev. Page. No. 33, § 2.13.3.H</w:t>
      </w:r>
      <w:r w:rsidR="00A532B1">
        <w:t>.</w:t>
      </w:r>
    </w:p>
  </w:footnote>
  <w:footnote w:id="13">
    <w:p w:rsidR="00A532B1" w14:paraId="4BA12A6C" w14:textId="020D8F45">
      <w:pPr>
        <w:pStyle w:val="FootnoteText"/>
      </w:pPr>
      <w:r>
        <w:rPr>
          <w:rStyle w:val="FootnoteReference"/>
        </w:rPr>
        <w:footnoteRef/>
      </w:r>
      <w:r>
        <w:t xml:space="preserve"> </w:t>
      </w:r>
      <w:r>
        <w:rPr>
          <w:i/>
          <w:iCs/>
        </w:rPr>
        <w:t>I</w:t>
      </w:r>
      <w:r w:rsidRPr="001C3727">
        <w:rPr>
          <w:i/>
          <w:iCs/>
        </w:rPr>
        <w:t>d</w:t>
      </w:r>
      <w:r>
        <w:t xml:space="preserve">., </w:t>
      </w:r>
      <w:r w:rsidR="0014466C">
        <w:t>3rd</w:t>
      </w:r>
      <w:r>
        <w:t xml:space="preserve"> Rev. Page. No. 40, § 2.21.</w:t>
      </w:r>
    </w:p>
  </w:footnote>
  <w:footnote w:id="14">
    <w:p w:rsidR="003B095B" w14:paraId="7D2A9713" w14:textId="34498D8D">
      <w:pPr>
        <w:pStyle w:val="FootnoteText"/>
      </w:pPr>
      <w:r>
        <w:rPr>
          <w:rStyle w:val="FootnoteReference"/>
        </w:rPr>
        <w:footnoteRef/>
      </w:r>
      <w:r>
        <w:t xml:space="preserve"> </w:t>
      </w:r>
      <w:r>
        <w:rPr>
          <w:i/>
          <w:iCs/>
        </w:rPr>
        <w:t>I</w:t>
      </w:r>
      <w:r w:rsidRPr="001C3727">
        <w:rPr>
          <w:i/>
          <w:iCs/>
        </w:rPr>
        <w:t>d</w:t>
      </w:r>
      <w:r>
        <w:t>., 1st Rev. Page. No. 43.1, § 3.3.5.</w:t>
      </w:r>
    </w:p>
  </w:footnote>
  <w:footnote w:id="15">
    <w:p w:rsidR="00EB76E5" w14:paraId="2074FF42" w14:textId="17968395">
      <w:pPr>
        <w:pStyle w:val="FootnoteText"/>
      </w:pPr>
      <w:r>
        <w:rPr>
          <w:rStyle w:val="FootnoteReference"/>
        </w:rPr>
        <w:footnoteRef/>
      </w:r>
      <w:r>
        <w:t xml:space="preserve"> </w:t>
      </w:r>
      <w:r w:rsidR="0021650C">
        <w:t xml:space="preserve">Petition of Verizon and AT&amp;T to Suspend or Reject Core’s Revised Tariff, </w:t>
      </w:r>
      <w:r w:rsidRPr="00EE17F2" w:rsidR="0021650C">
        <w:t>WC Docket No. 21-</w:t>
      </w:r>
      <w:r w:rsidR="00EE17F2">
        <w:t>191</w:t>
      </w:r>
      <w:r w:rsidR="0021650C">
        <w:t xml:space="preserve"> (filed </w:t>
      </w:r>
      <w:r w:rsidR="006A5B6C">
        <w:t>Apr.</w:t>
      </w:r>
      <w:r w:rsidR="00F417AC">
        <w:t xml:space="preserve"> </w:t>
      </w:r>
      <w:r w:rsidR="006A5B6C">
        <w:t>28</w:t>
      </w:r>
      <w:r w:rsidR="0021650C">
        <w:t xml:space="preserve">, 2021) (Petition).  </w:t>
      </w:r>
    </w:p>
  </w:footnote>
  <w:footnote w:id="16">
    <w:p w:rsidR="000760BD" w14:paraId="4D27EC00" w14:textId="0F529146">
      <w:pPr>
        <w:pStyle w:val="FootnoteText"/>
      </w:pPr>
      <w:r>
        <w:rPr>
          <w:rStyle w:val="FootnoteReference"/>
        </w:rPr>
        <w:footnoteRef/>
      </w:r>
      <w:r>
        <w:t xml:space="preserve"> </w:t>
      </w:r>
      <w:r w:rsidR="009A3DE3">
        <w:rPr>
          <w:i/>
          <w:iCs/>
        </w:rPr>
        <w:t>Id.</w:t>
      </w:r>
      <w:r w:rsidR="009A3DE3">
        <w:t xml:space="preserve"> </w:t>
      </w:r>
      <w:r>
        <w:t xml:space="preserve">at 2, </w:t>
      </w:r>
      <w:r w:rsidR="00FB541B">
        <w:t>6-7</w:t>
      </w:r>
      <w:r>
        <w:t>.</w:t>
      </w:r>
    </w:p>
  </w:footnote>
  <w:footnote w:id="17">
    <w:p w:rsidR="00725305" w:rsidRPr="00725305" w14:paraId="788C18DC" w14:textId="6644E784">
      <w:pPr>
        <w:pStyle w:val="FootnoteText"/>
      </w:pPr>
      <w:r>
        <w:rPr>
          <w:rStyle w:val="FootnoteReference"/>
        </w:rPr>
        <w:footnoteRef/>
      </w:r>
      <w:r>
        <w:t xml:space="preserve"> </w:t>
      </w:r>
      <w:r>
        <w:rPr>
          <w:i/>
          <w:iCs/>
        </w:rPr>
        <w:t>Id</w:t>
      </w:r>
      <w:r>
        <w:t>. at 2, 8-9.</w:t>
      </w:r>
    </w:p>
  </w:footnote>
  <w:footnote w:id="18">
    <w:p w:rsidR="000F62F8" w:rsidRPr="00E60DE8" w14:paraId="43652CD9" w14:textId="01E755D7">
      <w:pPr>
        <w:pStyle w:val="FootnoteText"/>
        <w:rPr>
          <w:i/>
          <w:iCs/>
        </w:rPr>
      </w:pPr>
      <w:r>
        <w:rPr>
          <w:rStyle w:val="FootnoteReference"/>
        </w:rPr>
        <w:footnoteRef/>
      </w:r>
      <w:r>
        <w:t xml:space="preserve"> </w:t>
      </w:r>
      <w:r w:rsidRPr="000F62F8">
        <w:rPr>
          <w:i/>
          <w:iCs/>
        </w:rPr>
        <w:t>Id</w:t>
      </w:r>
      <w:r>
        <w:t xml:space="preserve">. at 2, </w:t>
      </w:r>
      <w:r w:rsidR="00FB541B">
        <w:t>7</w:t>
      </w:r>
      <w:r>
        <w:t>-8</w:t>
      </w:r>
      <w:r w:rsidR="00625FA4">
        <w:t xml:space="preserve"> (</w:t>
      </w:r>
      <w:r w:rsidR="00915121">
        <w:rPr>
          <w:i/>
          <w:iCs/>
        </w:rPr>
        <w:t>citing</w:t>
      </w:r>
      <w:r w:rsidR="00625FA4">
        <w:rPr>
          <w:i/>
          <w:iCs/>
        </w:rPr>
        <w:t xml:space="preserve"> </w:t>
      </w:r>
      <w:r w:rsidRPr="00210580" w:rsidR="00625FA4">
        <w:rPr>
          <w:i/>
          <w:iCs/>
        </w:rPr>
        <w:t>Sprint Communications Company L.P., Complain</w:t>
      </w:r>
      <w:r w:rsidR="00625FA4">
        <w:rPr>
          <w:i/>
          <w:iCs/>
        </w:rPr>
        <w:t>an</w:t>
      </w:r>
      <w:r w:rsidRPr="00210580" w:rsidR="00625FA4">
        <w:rPr>
          <w:i/>
          <w:iCs/>
        </w:rPr>
        <w:t>t, v. Northern Valley Communications, LLC, Defendant</w:t>
      </w:r>
      <w:r w:rsidR="00625FA4">
        <w:t xml:space="preserve">, File No. EB-11-MD-003, Memorandum Opinion and Order, 26 FCC </w:t>
      </w:r>
      <w:r w:rsidR="00625FA4">
        <w:t>Rcd</w:t>
      </w:r>
      <w:r w:rsidR="00625FA4">
        <w:t xml:space="preserve"> 10780, </w:t>
      </w:r>
      <w:r w:rsidR="00A620D0">
        <w:t>10786-87, para. 14</w:t>
      </w:r>
      <w:r w:rsidR="00625FA4">
        <w:t xml:space="preserve"> (2011)</w:t>
      </w:r>
      <w:r w:rsidR="00A620D0">
        <w:t>)</w:t>
      </w:r>
      <w:r w:rsidR="00625FA4">
        <w:t xml:space="preserve">.  </w:t>
      </w:r>
      <w:r w:rsidR="00915A65">
        <w:rPr>
          <w:i/>
          <w:iCs/>
        </w:rPr>
        <w:t xml:space="preserve"> </w:t>
      </w:r>
    </w:p>
  </w:footnote>
  <w:footnote w:id="19">
    <w:p w:rsidR="000F62F8" w14:paraId="48F01674" w14:textId="12CD3A3A">
      <w:pPr>
        <w:pStyle w:val="FootnoteText"/>
      </w:pPr>
      <w:r>
        <w:rPr>
          <w:rStyle w:val="FootnoteReference"/>
        </w:rPr>
        <w:footnoteRef/>
      </w:r>
      <w:r>
        <w:t xml:space="preserve"> </w:t>
      </w:r>
      <w:r w:rsidR="009A3DE3">
        <w:t>Petition</w:t>
      </w:r>
      <w:r>
        <w:t xml:space="preserve"> at 2, </w:t>
      </w:r>
      <w:r w:rsidR="00FB541B">
        <w:t>9-10</w:t>
      </w:r>
      <w:r>
        <w:t>.</w:t>
      </w:r>
    </w:p>
  </w:footnote>
  <w:footnote w:id="20">
    <w:p w:rsidR="009A3DE3" w:rsidP="009A3DE3" w14:paraId="1496FBA8" w14:textId="29B67DC6">
      <w:pPr>
        <w:pStyle w:val="FootnoteText"/>
      </w:pPr>
      <w:r>
        <w:rPr>
          <w:rStyle w:val="FootnoteReference"/>
        </w:rPr>
        <w:footnoteRef/>
      </w:r>
      <w:r>
        <w:t xml:space="preserve"> </w:t>
      </w:r>
      <w:r w:rsidRPr="009A3DE3">
        <w:t>Core Communications, Inc</w:t>
      </w:r>
      <w:r>
        <w:t xml:space="preserve">.’s Response to Petition of Verizon and AT&amp;T to Suspend or Reject Core’s Revised Tariff, </w:t>
      </w:r>
      <w:r w:rsidRPr="00EE17F2">
        <w:t>WC Docket No. 21-</w:t>
      </w:r>
      <w:r w:rsidR="00EE17F2">
        <w:t>191</w:t>
      </w:r>
      <w:r>
        <w:t xml:space="preserve"> (filed May 4, 2021)</w:t>
      </w:r>
      <w:r w:rsidR="00531D6B">
        <w:t xml:space="preserve"> (Reply)</w:t>
      </w:r>
      <w:r>
        <w:t>.</w:t>
      </w:r>
    </w:p>
  </w:footnote>
  <w:footnote w:id="21">
    <w:p w:rsidR="00A53DEC" w:rsidRPr="00A53DEC" w14:paraId="739AC2AC" w14:textId="60B93BDB">
      <w:pPr>
        <w:pStyle w:val="FootnoteText"/>
      </w:pPr>
      <w:r>
        <w:rPr>
          <w:rStyle w:val="FootnoteReference"/>
        </w:rPr>
        <w:footnoteRef/>
      </w:r>
      <w:r>
        <w:t xml:space="preserve"> </w:t>
      </w:r>
      <w:r>
        <w:rPr>
          <w:i/>
          <w:iCs/>
        </w:rPr>
        <w:t>Id.</w:t>
      </w:r>
      <w:r>
        <w:t xml:space="preserve"> at 1.</w:t>
      </w:r>
    </w:p>
  </w:footnote>
  <w:footnote w:id="22">
    <w:p w:rsidR="005B4676" w:rsidRPr="005B4676" w14:paraId="006553A5" w14:textId="39A71AAF">
      <w:pPr>
        <w:pStyle w:val="FootnoteText"/>
      </w:pPr>
      <w:r>
        <w:rPr>
          <w:rStyle w:val="FootnoteReference"/>
        </w:rPr>
        <w:footnoteRef/>
      </w:r>
      <w:r>
        <w:t xml:space="preserve"> </w:t>
      </w:r>
      <w:r>
        <w:rPr>
          <w:i/>
          <w:iCs/>
        </w:rPr>
        <w:t>Id.</w:t>
      </w:r>
      <w:r>
        <w:t xml:space="preserve"> at 1</w:t>
      </w:r>
      <w:r w:rsidR="00531D6B">
        <w:t>5</w:t>
      </w:r>
      <w:r w:rsidR="00700A59">
        <w:t>.</w:t>
      </w:r>
    </w:p>
  </w:footnote>
  <w:footnote w:id="23">
    <w:p w:rsidR="00FB7931" w:rsidRPr="00364BE4" w14:paraId="1BA4FA43" w14:textId="03AF132A">
      <w:pPr>
        <w:pStyle w:val="FootnoteText"/>
      </w:pPr>
      <w:r>
        <w:rPr>
          <w:rStyle w:val="FootnoteReference"/>
        </w:rPr>
        <w:footnoteRef/>
      </w:r>
      <w:r>
        <w:t xml:space="preserve"> </w:t>
      </w:r>
      <w:r w:rsidR="008A218D">
        <w:t xml:space="preserve">Whether there are substantial questions regarding the lawfulness of proposed tariff revisions is the standard we use for determining whether to suspend a tariff.  </w:t>
      </w:r>
      <w:r>
        <w:rPr>
          <w:i/>
          <w:iCs/>
        </w:rPr>
        <w:t>See e.g.</w:t>
      </w:r>
      <w:r>
        <w:t xml:space="preserve">, </w:t>
      </w:r>
      <w:r>
        <w:rPr>
          <w:i/>
          <w:iCs/>
        </w:rPr>
        <w:t>July 1, 2018 Annual Access Charge Tariff Filings; South Dakota Network, LLC Tariff F.C.C. No. 1</w:t>
      </w:r>
      <w:r>
        <w:t xml:space="preserve">, WC Docket No. 18-100, Transmittal No. 13, Order, </w:t>
      </w:r>
      <w:r w:rsidR="00E872EE">
        <w:t>DA 18-1004</w:t>
      </w:r>
      <w:r>
        <w:t xml:space="preserve"> (WCB </w:t>
      </w:r>
      <w:r w:rsidR="002D75D8">
        <w:t xml:space="preserve">rel. Oct. 1, </w:t>
      </w:r>
      <w:r>
        <w:t xml:space="preserve">2018); </w:t>
      </w:r>
      <w:r w:rsidR="00364BE4">
        <w:rPr>
          <w:i/>
          <w:iCs/>
        </w:rPr>
        <w:t>Northern Valley Communications, LLC Tariff F.C.C. No. 3</w:t>
      </w:r>
      <w:r w:rsidR="00364BE4">
        <w:t xml:space="preserve">, WC Docket No. 20-11, Transmittal No. 12, Order, 35 FCC </w:t>
      </w:r>
      <w:r w:rsidR="00364BE4">
        <w:t>Rcd</w:t>
      </w:r>
      <w:r w:rsidR="00364BE4">
        <w:t xml:space="preserve"> 402 (WCB 2020).</w:t>
      </w:r>
      <w:r w:rsidR="008A218D">
        <w:t xml:space="preserve">  The Commission may initiate tariff investigations on its own initiative.  </w:t>
      </w:r>
      <w:r w:rsidRPr="00060F0C" w:rsidR="008A218D">
        <w:rPr>
          <w:i/>
          <w:iCs/>
        </w:rPr>
        <w:t>See</w:t>
      </w:r>
      <w:r w:rsidR="008A218D">
        <w:t xml:space="preserve"> 47 U.S.C. § 204(a)(1) (“</w:t>
      </w:r>
      <w:r w:rsidRPr="00286800" w:rsidR="008A218D">
        <w:t>Whenever there is filed with the Commission any new or revised charge, classification, regulation, or practice, the Commission may either upon complaint or upon its own initiative without complaint, upon reasonable notice, enter upon a hearing concerning the lawfulness thereof</w:t>
      </w:r>
      <w:r w:rsidR="008A218D">
        <w:t>.”)</w:t>
      </w:r>
      <w:r w:rsidR="00E872EE">
        <w:t xml:space="preserve">.  </w:t>
      </w:r>
      <w:r w:rsidR="008A218D">
        <w:t xml:space="preserve">We, therefore, do not need to reach Core’s argument that the Petition should be rejected because it does not meet the requirements of section 1.773(a)(ii) of the Commission’s </w:t>
      </w:r>
      <w:r w:rsidR="00E872EE">
        <w:t>r</w:t>
      </w:r>
      <w:r w:rsidR="008A218D">
        <w:t xml:space="preserve">ules. </w:t>
      </w:r>
      <w:r w:rsidR="00FD51FA">
        <w:t xml:space="preserve"> Reply at 3-4;</w:t>
      </w:r>
      <w:r w:rsidR="008A218D">
        <w:t xml:space="preserve"> </w:t>
      </w:r>
      <w:r w:rsidR="00941907">
        <w:t>47 CFR § 1.773(a)(ii).</w:t>
      </w:r>
    </w:p>
  </w:footnote>
  <w:footnote w:id="24">
    <w:p w:rsidR="00E94933" w:rsidP="00E94933" w14:paraId="4EFE605C" w14:textId="4B9BECBC">
      <w:pPr>
        <w:pStyle w:val="FootnoteText"/>
      </w:pPr>
      <w:r>
        <w:rPr>
          <w:rStyle w:val="FootnoteReference"/>
        </w:rPr>
        <w:footnoteRef/>
      </w:r>
      <w:r>
        <w:t xml:space="preserve"> </w:t>
      </w:r>
      <w:r w:rsidRPr="009468E3" w:rsidR="00E61943">
        <w:rPr>
          <w:i/>
          <w:iCs/>
        </w:rPr>
        <w:t>8YY Access Charge Reform Order</w:t>
      </w:r>
      <w:r w:rsidRPr="006310A3">
        <w:t xml:space="preserve"> at 33, </w:t>
      </w:r>
      <w:r>
        <w:t xml:space="preserve">36-38, </w:t>
      </w:r>
      <w:r w:rsidRPr="006310A3">
        <w:t>para</w:t>
      </w:r>
      <w:r>
        <w:t>s</w:t>
      </w:r>
      <w:r w:rsidRPr="006310A3">
        <w:t>. 72</w:t>
      </w:r>
      <w:r>
        <w:t>, 82-84</w:t>
      </w:r>
      <w:r w:rsidRPr="006310A3">
        <w:t>.</w:t>
      </w:r>
      <w:r>
        <w:t xml:space="preserve"> </w:t>
      </w:r>
    </w:p>
  </w:footnote>
  <w:footnote w:id="25">
    <w:p w:rsidR="001A03B0" w14:paraId="292392C8" w14:textId="4A17039F">
      <w:pPr>
        <w:pStyle w:val="FootnoteText"/>
      </w:pPr>
      <w:r>
        <w:rPr>
          <w:rStyle w:val="FootnoteReference"/>
        </w:rPr>
        <w:footnoteRef/>
      </w:r>
      <w:r>
        <w:t xml:space="preserve"> Petition at 2.</w:t>
      </w:r>
    </w:p>
  </w:footnote>
  <w:footnote w:id="26">
    <w:p w:rsidR="007A17DF" w:rsidP="007A17DF" w14:paraId="6897CF94" w14:textId="77777777">
      <w:pPr>
        <w:pStyle w:val="FootnoteText"/>
      </w:pPr>
      <w:r>
        <w:rPr>
          <w:rStyle w:val="FootnoteReference"/>
        </w:rPr>
        <w:footnoteRef/>
      </w:r>
      <w:r>
        <w:t xml:space="preserve"> 47 CFR § 61.2(a). </w:t>
      </w:r>
    </w:p>
  </w:footnote>
  <w:footnote w:id="27">
    <w:p w:rsidR="00286800" w:rsidP="00286800" w14:paraId="2972AC9E" w14:textId="5C3A073A">
      <w:pPr>
        <w:pStyle w:val="FootnoteText"/>
      </w:pPr>
      <w:r>
        <w:rPr>
          <w:rStyle w:val="FootnoteReference"/>
        </w:rPr>
        <w:footnoteRef/>
      </w:r>
      <w:r>
        <w:t xml:space="preserve"> </w:t>
      </w:r>
      <w:r w:rsidR="00941907">
        <w:rPr>
          <w:i/>
          <w:iCs/>
        </w:rPr>
        <w:t xml:space="preserve">See </w:t>
      </w:r>
      <w:r>
        <w:t xml:space="preserve">47 U.S.C. § 204. </w:t>
      </w:r>
    </w:p>
  </w:footnote>
  <w:footnote w:id="28">
    <w:p w:rsidR="00F77F04" w:rsidP="00F77F04" w14:paraId="3948062F" w14:textId="77777777">
      <w:pPr>
        <w:pStyle w:val="FootnoteText"/>
        <w:tabs>
          <w:tab w:val="left" w:pos="5772"/>
        </w:tabs>
      </w:pPr>
      <w:r>
        <w:rPr>
          <w:rStyle w:val="FootnoteReference"/>
        </w:rPr>
        <w:footnoteRef/>
      </w:r>
      <w:r>
        <w:t xml:space="preserve"> 47 CFR §§ 1.1200 </w:t>
      </w:r>
      <w:r w:rsidRPr="008E16DF">
        <w:rPr>
          <w:i/>
          <w:iCs/>
        </w:rPr>
        <w:t>et seq</w:t>
      </w:r>
      <w:r>
        <w:rPr>
          <w:i/>
          <w:iCs/>
        </w:rPr>
        <w:t>.</w:t>
      </w:r>
      <w:r>
        <w:rPr>
          <w:i/>
          <w:iCs/>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25A65F8" w14:textId="4420DD65">
    <w:pPr>
      <w:pStyle w:val="Header"/>
      <w:rPr>
        <w:b w:val="0"/>
      </w:rPr>
    </w:pPr>
    <w:r>
      <w:tab/>
      <w:t>Federal Communications Commission</w:t>
    </w:r>
    <w:r>
      <w:tab/>
    </w:r>
    <w:r w:rsidR="00293254">
      <w:t>DA 21-</w:t>
    </w:r>
    <w:r w:rsidR="00AC5C95">
      <w:t>528</w:t>
    </w:r>
  </w:p>
  <w:p w:rsidR="00D25FB5" w14:paraId="4106CD49" w14:textId="39AD5199">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CFE3C7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903B2BC" w14:textId="63A67D0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93254">
      <w:rPr>
        <w:spacing w:val="-2"/>
      </w:rPr>
      <w:t>DA 21-</w:t>
    </w:r>
    <w:r w:rsidR="00AC5C95">
      <w:rPr>
        <w:spacing w:val="-2"/>
      </w:rPr>
      <w:t>528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109"/>
    <w:rsid w:val="000222AD"/>
    <w:rsid w:val="000316EA"/>
    <w:rsid w:val="00036039"/>
    <w:rsid w:val="00037F90"/>
    <w:rsid w:val="00052D73"/>
    <w:rsid w:val="0005530B"/>
    <w:rsid w:val="00060F0C"/>
    <w:rsid w:val="0006394E"/>
    <w:rsid w:val="000760BD"/>
    <w:rsid w:val="000817DF"/>
    <w:rsid w:val="000875BF"/>
    <w:rsid w:val="00096D8C"/>
    <w:rsid w:val="000B11F5"/>
    <w:rsid w:val="000C0B65"/>
    <w:rsid w:val="000E05FE"/>
    <w:rsid w:val="000E3D42"/>
    <w:rsid w:val="000F62F8"/>
    <w:rsid w:val="001048A9"/>
    <w:rsid w:val="00107E04"/>
    <w:rsid w:val="00122BD5"/>
    <w:rsid w:val="00133F79"/>
    <w:rsid w:val="0014466C"/>
    <w:rsid w:val="001802B5"/>
    <w:rsid w:val="00194A66"/>
    <w:rsid w:val="001A03B0"/>
    <w:rsid w:val="001C3727"/>
    <w:rsid w:val="001D1BBD"/>
    <w:rsid w:val="001D6BCF"/>
    <w:rsid w:val="001E01CA"/>
    <w:rsid w:val="001E546D"/>
    <w:rsid w:val="001F2578"/>
    <w:rsid w:val="00210580"/>
    <w:rsid w:val="0021650C"/>
    <w:rsid w:val="00265983"/>
    <w:rsid w:val="002732DA"/>
    <w:rsid w:val="00275CF5"/>
    <w:rsid w:val="00276386"/>
    <w:rsid w:val="0028301F"/>
    <w:rsid w:val="00285017"/>
    <w:rsid w:val="00286800"/>
    <w:rsid w:val="00291D5E"/>
    <w:rsid w:val="00293254"/>
    <w:rsid w:val="00296B75"/>
    <w:rsid w:val="002A01C8"/>
    <w:rsid w:val="002A2D2E"/>
    <w:rsid w:val="002A7482"/>
    <w:rsid w:val="002B0E2C"/>
    <w:rsid w:val="002B10D3"/>
    <w:rsid w:val="002B3170"/>
    <w:rsid w:val="002C00E8"/>
    <w:rsid w:val="002C1C47"/>
    <w:rsid w:val="002D5706"/>
    <w:rsid w:val="002D75D8"/>
    <w:rsid w:val="002E3ACB"/>
    <w:rsid w:val="00313195"/>
    <w:rsid w:val="003348C8"/>
    <w:rsid w:val="00336036"/>
    <w:rsid w:val="00343749"/>
    <w:rsid w:val="00364BE4"/>
    <w:rsid w:val="003660ED"/>
    <w:rsid w:val="00387363"/>
    <w:rsid w:val="003A2E39"/>
    <w:rsid w:val="003A3303"/>
    <w:rsid w:val="003A3E0A"/>
    <w:rsid w:val="003B0550"/>
    <w:rsid w:val="003B095B"/>
    <w:rsid w:val="003B694F"/>
    <w:rsid w:val="003C4AA5"/>
    <w:rsid w:val="003F171C"/>
    <w:rsid w:val="004028F8"/>
    <w:rsid w:val="00412FC5"/>
    <w:rsid w:val="004168C5"/>
    <w:rsid w:val="00422276"/>
    <w:rsid w:val="004242F1"/>
    <w:rsid w:val="004257D7"/>
    <w:rsid w:val="004336AB"/>
    <w:rsid w:val="00445A00"/>
    <w:rsid w:val="00451B0F"/>
    <w:rsid w:val="00456A65"/>
    <w:rsid w:val="00476F97"/>
    <w:rsid w:val="004971BA"/>
    <w:rsid w:val="004C2EE3"/>
    <w:rsid w:val="004C7AE3"/>
    <w:rsid w:val="004E4A22"/>
    <w:rsid w:val="004F6A13"/>
    <w:rsid w:val="00511968"/>
    <w:rsid w:val="0051246A"/>
    <w:rsid w:val="00527BCD"/>
    <w:rsid w:val="00530DE8"/>
    <w:rsid w:val="00531D6B"/>
    <w:rsid w:val="005417D4"/>
    <w:rsid w:val="0055614C"/>
    <w:rsid w:val="0056563C"/>
    <w:rsid w:val="00566D06"/>
    <w:rsid w:val="005725E4"/>
    <w:rsid w:val="00585634"/>
    <w:rsid w:val="00591E14"/>
    <w:rsid w:val="005A106B"/>
    <w:rsid w:val="005A28CE"/>
    <w:rsid w:val="005B28A1"/>
    <w:rsid w:val="005B4676"/>
    <w:rsid w:val="005D6037"/>
    <w:rsid w:val="005D61F5"/>
    <w:rsid w:val="005E14C2"/>
    <w:rsid w:val="005F5D5E"/>
    <w:rsid w:val="00605AD5"/>
    <w:rsid w:val="00607BA5"/>
    <w:rsid w:val="0061180A"/>
    <w:rsid w:val="00625FA4"/>
    <w:rsid w:val="00626EB6"/>
    <w:rsid w:val="006310A3"/>
    <w:rsid w:val="00655D03"/>
    <w:rsid w:val="00683388"/>
    <w:rsid w:val="00683F84"/>
    <w:rsid w:val="006857E0"/>
    <w:rsid w:val="00687830"/>
    <w:rsid w:val="00697017"/>
    <w:rsid w:val="006A5B6C"/>
    <w:rsid w:val="006A61C3"/>
    <w:rsid w:val="006A6A81"/>
    <w:rsid w:val="006F0228"/>
    <w:rsid w:val="006F596A"/>
    <w:rsid w:val="006F7393"/>
    <w:rsid w:val="006F74B5"/>
    <w:rsid w:val="00700A59"/>
    <w:rsid w:val="0070224F"/>
    <w:rsid w:val="00710F60"/>
    <w:rsid w:val="007115F7"/>
    <w:rsid w:val="00725305"/>
    <w:rsid w:val="00725E0C"/>
    <w:rsid w:val="007305B7"/>
    <w:rsid w:val="00731324"/>
    <w:rsid w:val="00785689"/>
    <w:rsid w:val="0079754B"/>
    <w:rsid w:val="007A17DF"/>
    <w:rsid w:val="007A1E6D"/>
    <w:rsid w:val="007B0EB2"/>
    <w:rsid w:val="00810B6F"/>
    <w:rsid w:val="00822CE0"/>
    <w:rsid w:val="008307CA"/>
    <w:rsid w:val="00834CE6"/>
    <w:rsid w:val="008369A9"/>
    <w:rsid w:val="00841AB1"/>
    <w:rsid w:val="0085285B"/>
    <w:rsid w:val="00877CEA"/>
    <w:rsid w:val="008923F2"/>
    <w:rsid w:val="008A218D"/>
    <w:rsid w:val="008C68F1"/>
    <w:rsid w:val="008D2B09"/>
    <w:rsid w:val="008E16DF"/>
    <w:rsid w:val="008E29EE"/>
    <w:rsid w:val="00910FE3"/>
    <w:rsid w:val="00913E2C"/>
    <w:rsid w:val="00915121"/>
    <w:rsid w:val="00915A65"/>
    <w:rsid w:val="00921803"/>
    <w:rsid w:val="00926503"/>
    <w:rsid w:val="009333AD"/>
    <w:rsid w:val="00941907"/>
    <w:rsid w:val="00942895"/>
    <w:rsid w:val="009468E3"/>
    <w:rsid w:val="00947560"/>
    <w:rsid w:val="00952457"/>
    <w:rsid w:val="0096692F"/>
    <w:rsid w:val="009726D8"/>
    <w:rsid w:val="00975B62"/>
    <w:rsid w:val="009A3DE3"/>
    <w:rsid w:val="009B30FD"/>
    <w:rsid w:val="009D1BF2"/>
    <w:rsid w:val="009D7308"/>
    <w:rsid w:val="009F2848"/>
    <w:rsid w:val="009F76DB"/>
    <w:rsid w:val="00A03715"/>
    <w:rsid w:val="00A32C3B"/>
    <w:rsid w:val="00A42914"/>
    <w:rsid w:val="00A45F4F"/>
    <w:rsid w:val="00A532B1"/>
    <w:rsid w:val="00A53DEC"/>
    <w:rsid w:val="00A600A9"/>
    <w:rsid w:val="00A620D0"/>
    <w:rsid w:val="00A67E5F"/>
    <w:rsid w:val="00A81848"/>
    <w:rsid w:val="00A91281"/>
    <w:rsid w:val="00A96F7B"/>
    <w:rsid w:val="00AA55B7"/>
    <w:rsid w:val="00AA5B9E"/>
    <w:rsid w:val="00AB2407"/>
    <w:rsid w:val="00AB53DF"/>
    <w:rsid w:val="00AC5C95"/>
    <w:rsid w:val="00AD2DC6"/>
    <w:rsid w:val="00B07E5C"/>
    <w:rsid w:val="00B3228C"/>
    <w:rsid w:val="00B52431"/>
    <w:rsid w:val="00B61F6F"/>
    <w:rsid w:val="00B65E81"/>
    <w:rsid w:val="00B811F7"/>
    <w:rsid w:val="00B9433C"/>
    <w:rsid w:val="00BA5DC6"/>
    <w:rsid w:val="00BA6196"/>
    <w:rsid w:val="00BB1397"/>
    <w:rsid w:val="00BB53C1"/>
    <w:rsid w:val="00BC6D8C"/>
    <w:rsid w:val="00BF0A50"/>
    <w:rsid w:val="00BF2766"/>
    <w:rsid w:val="00C02140"/>
    <w:rsid w:val="00C327D6"/>
    <w:rsid w:val="00C34006"/>
    <w:rsid w:val="00C36B4C"/>
    <w:rsid w:val="00C426B1"/>
    <w:rsid w:val="00C54EF1"/>
    <w:rsid w:val="00C575FB"/>
    <w:rsid w:val="00C66160"/>
    <w:rsid w:val="00C721AC"/>
    <w:rsid w:val="00C90D6A"/>
    <w:rsid w:val="00CA10C5"/>
    <w:rsid w:val="00CA247E"/>
    <w:rsid w:val="00CA6D21"/>
    <w:rsid w:val="00CB5B73"/>
    <w:rsid w:val="00CC72B6"/>
    <w:rsid w:val="00CC777D"/>
    <w:rsid w:val="00CD2993"/>
    <w:rsid w:val="00D0218D"/>
    <w:rsid w:val="00D12B10"/>
    <w:rsid w:val="00D15AE7"/>
    <w:rsid w:val="00D247E4"/>
    <w:rsid w:val="00D25FB5"/>
    <w:rsid w:val="00D44223"/>
    <w:rsid w:val="00D720EA"/>
    <w:rsid w:val="00D737A8"/>
    <w:rsid w:val="00D95B11"/>
    <w:rsid w:val="00DA2529"/>
    <w:rsid w:val="00DB11E9"/>
    <w:rsid w:val="00DB130A"/>
    <w:rsid w:val="00DB2EBB"/>
    <w:rsid w:val="00DC10A1"/>
    <w:rsid w:val="00DC1558"/>
    <w:rsid w:val="00DC47F2"/>
    <w:rsid w:val="00DC4C20"/>
    <w:rsid w:val="00DC655F"/>
    <w:rsid w:val="00DC7CAD"/>
    <w:rsid w:val="00DD0B59"/>
    <w:rsid w:val="00DD7EBD"/>
    <w:rsid w:val="00DE73F2"/>
    <w:rsid w:val="00DF62B6"/>
    <w:rsid w:val="00E07225"/>
    <w:rsid w:val="00E07288"/>
    <w:rsid w:val="00E20ED4"/>
    <w:rsid w:val="00E464F8"/>
    <w:rsid w:val="00E5409F"/>
    <w:rsid w:val="00E60DE8"/>
    <w:rsid w:val="00E61943"/>
    <w:rsid w:val="00E622FC"/>
    <w:rsid w:val="00E872EE"/>
    <w:rsid w:val="00E94933"/>
    <w:rsid w:val="00E97D04"/>
    <w:rsid w:val="00EB76E5"/>
    <w:rsid w:val="00ED2D56"/>
    <w:rsid w:val="00EE17F2"/>
    <w:rsid w:val="00EE6488"/>
    <w:rsid w:val="00F021FA"/>
    <w:rsid w:val="00F03C3C"/>
    <w:rsid w:val="00F173FF"/>
    <w:rsid w:val="00F274F7"/>
    <w:rsid w:val="00F37FFB"/>
    <w:rsid w:val="00F417AC"/>
    <w:rsid w:val="00F60109"/>
    <w:rsid w:val="00F62E97"/>
    <w:rsid w:val="00F64209"/>
    <w:rsid w:val="00F77F04"/>
    <w:rsid w:val="00F93BF5"/>
    <w:rsid w:val="00FB0EF7"/>
    <w:rsid w:val="00FB541B"/>
    <w:rsid w:val="00FB7931"/>
    <w:rsid w:val="00FC512B"/>
    <w:rsid w:val="00FD0ED4"/>
    <w:rsid w:val="00FD3F1C"/>
    <w:rsid w:val="00FD51F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BC6B67E"/>
  <w15:chartTrackingRefBased/>
  <w15:docId w15:val="{529E2344-D649-4BEE-BF44-7C73E529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
    <w:link w:val="FootnoteTextChar2"/>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286800"/>
  </w:style>
  <w:style w:type="character" w:customStyle="1" w:styleId="ParaNumCharChar1">
    <w:name w:val="ParaNum Char Char1"/>
    <w:link w:val="ParaNum"/>
    <w:locked/>
    <w:rsid w:val="00F77F04"/>
    <w:rPr>
      <w:snapToGrid w:val="0"/>
      <w:kern w:val="28"/>
      <w:sz w:val="22"/>
    </w:rPr>
  </w:style>
  <w:style w:type="paragraph" w:styleId="BalloonText">
    <w:name w:val="Balloon Text"/>
    <w:basedOn w:val="Normal"/>
    <w:link w:val="BalloonTextChar"/>
    <w:rsid w:val="00E07288"/>
    <w:rPr>
      <w:rFonts w:ascii="Segoe UI" w:hAnsi="Segoe UI" w:cs="Segoe UI"/>
      <w:sz w:val="18"/>
      <w:szCs w:val="18"/>
    </w:rPr>
  </w:style>
  <w:style w:type="character" w:customStyle="1" w:styleId="BalloonTextChar">
    <w:name w:val="Balloon Text Char"/>
    <w:basedOn w:val="DefaultParagraphFont"/>
    <w:link w:val="BalloonText"/>
    <w:rsid w:val="00E07288"/>
    <w:rPr>
      <w:rFonts w:ascii="Segoe UI" w:hAnsi="Segoe UI" w:cs="Segoe UI"/>
      <w:snapToGrid w:val="0"/>
      <w:kern w:val="28"/>
      <w:sz w:val="18"/>
      <w:szCs w:val="18"/>
    </w:rPr>
  </w:style>
  <w:style w:type="character" w:styleId="CommentReference">
    <w:name w:val="annotation reference"/>
    <w:basedOn w:val="DefaultParagraphFont"/>
    <w:rsid w:val="00834CE6"/>
    <w:rPr>
      <w:sz w:val="16"/>
      <w:szCs w:val="16"/>
    </w:rPr>
  </w:style>
  <w:style w:type="paragraph" w:styleId="CommentText">
    <w:name w:val="annotation text"/>
    <w:basedOn w:val="Normal"/>
    <w:link w:val="CommentTextChar"/>
    <w:rsid w:val="00834CE6"/>
    <w:rPr>
      <w:sz w:val="20"/>
    </w:rPr>
  </w:style>
  <w:style w:type="character" w:customStyle="1" w:styleId="CommentTextChar">
    <w:name w:val="Comment Text Char"/>
    <w:basedOn w:val="DefaultParagraphFont"/>
    <w:link w:val="CommentText"/>
    <w:rsid w:val="00834CE6"/>
    <w:rPr>
      <w:snapToGrid w:val="0"/>
      <w:kern w:val="28"/>
    </w:rPr>
  </w:style>
  <w:style w:type="paragraph" w:styleId="CommentSubject">
    <w:name w:val="annotation subject"/>
    <w:basedOn w:val="CommentText"/>
    <w:next w:val="CommentText"/>
    <w:link w:val="CommentSubjectChar"/>
    <w:rsid w:val="00834CE6"/>
    <w:rPr>
      <w:b/>
      <w:bCs/>
    </w:rPr>
  </w:style>
  <w:style w:type="character" w:customStyle="1" w:styleId="CommentSubjectChar">
    <w:name w:val="Comment Subject Char"/>
    <w:basedOn w:val="CommentTextChar"/>
    <w:link w:val="CommentSubject"/>
    <w:rsid w:val="00834CE6"/>
    <w:rPr>
      <w:b/>
      <w:bCs/>
      <w:snapToGrid w:val="0"/>
      <w:kern w:val="28"/>
    </w:rPr>
  </w:style>
  <w:style w:type="character" w:customStyle="1" w:styleId="cosearchwithinterm">
    <w:name w:val="co_searchwithinterm"/>
    <w:basedOn w:val="DefaultParagraphFont"/>
    <w:rsid w:val="00FB0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