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D9149D" w:rsidRPr="00440420" w:rsidP="00D9149D" w14:paraId="22C5785A" w14:textId="7E6D0822">
      <w:pPr>
        <w:jc w:val="center"/>
        <w:rPr>
          <w:b/>
        </w:rPr>
      </w:pPr>
      <w:bookmarkStart w:id="0" w:name="_GoBack"/>
      <w:bookmarkEnd w:id="0"/>
      <w:r w:rsidRPr="00440420">
        <w:rPr>
          <w:b/>
          <w:kern w:val="0"/>
          <w:szCs w:val="22"/>
        </w:rPr>
        <w:t>Before</w:t>
      </w:r>
      <w:r w:rsidRPr="00440420">
        <w:rPr>
          <w:b/>
        </w:rPr>
        <w:t xml:space="preserve"> the</w:t>
      </w:r>
    </w:p>
    <w:p w:rsidR="00D9149D" w:rsidRPr="00440420" w:rsidP="00D9149D" w14:paraId="0CA6EB17" w14:textId="77777777">
      <w:pPr>
        <w:jc w:val="center"/>
        <w:rPr>
          <w:b/>
          <w:bCs/>
          <w:caps/>
          <w:szCs w:val="22"/>
        </w:rPr>
      </w:pPr>
      <w:r w:rsidRPr="00440420">
        <w:rPr>
          <w:b/>
          <w:bCs/>
          <w:caps/>
          <w:szCs w:val="22"/>
        </w:rPr>
        <w:t>F</w:t>
      </w:r>
      <w:r w:rsidRPr="00440420">
        <w:rPr>
          <w:b/>
          <w:bCs/>
          <w:szCs w:val="22"/>
        </w:rPr>
        <w:t>ederal Communications Commission</w:t>
      </w:r>
    </w:p>
    <w:p w:rsidR="00D9149D" w:rsidRPr="00440420" w:rsidP="00D9149D" w14:paraId="7A959563" w14:textId="77777777">
      <w:pPr>
        <w:jc w:val="center"/>
        <w:rPr>
          <w:b/>
          <w:bCs/>
          <w:caps/>
          <w:szCs w:val="22"/>
        </w:rPr>
      </w:pPr>
      <w:r w:rsidRPr="00440420">
        <w:rPr>
          <w:b/>
          <w:bCs/>
          <w:szCs w:val="22"/>
        </w:rPr>
        <w:t>Washington, D.C. 20554</w:t>
      </w:r>
    </w:p>
    <w:p w:rsidR="00D9149D" w:rsidRPr="00440420" w:rsidP="00D9149D" w14:paraId="5790F478" w14:textId="77777777"/>
    <w:p w:rsidR="00D9149D" w:rsidRPr="00440420" w:rsidP="00D9149D" w14:paraId="6EFF8305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11BDDEB5" w14:textId="77777777" w:rsidTr="00E97685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D9149D" w:rsidRPr="00440420" w:rsidP="00D9149D" w14:paraId="5B52587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40420">
              <w:rPr>
                <w:spacing w:val="-2"/>
              </w:rPr>
              <w:t>In the Matter of</w:t>
            </w:r>
          </w:p>
          <w:p w:rsidR="00D9149D" w:rsidRPr="00440420" w:rsidP="00D9149D" w14:paraId="0117CA2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9149D" w:rsidRPr="00440420" w:rsidP="00D9149D" w14:paraId="08B42C78" w14:textId="7120B87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40420">
              <w:rPr>
                <w:spacing w:val="-2"/>
              </w:rPr>
              <w:t>Reallocation of 470-512 MHz (T-Band) Spectrum</w:t>
            </w:r>
            <w:r w:rsidRPr="00440420">
              <w:rPr>
                <w:spacing w:val="-2"/>
              </w:rPr>
              <w:t xml:space="preserve"> </w:t>
            </w:r>
          </w:p>
        </w:tc>
        <w:tc>
          <w:tcPr>
            <w:tcW w:w="630" w:type="dxa"/>
          </w:tcPr>
          <w:p w:rsidR="00D9149D" w:rsidRPr="00440420" w:rsidP="00D9149D" w14:paraId="031A9E5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440420">
              <w:rPr>
                <w:b/>
                <w:spacing w:val="-2"/>
              </w:rPr>
              <w:t>)</w:t>
            </w:r>
          </w:p>
          <w:p w:rsidR="00D9149D" w:rsidRPr="00440420" w:rsidP="00D9149D" w14:paraId="2F3904B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440420">
              <w:rPr>
                <w:b/>
                <w:spacing w:val="-2"/>
              </w:rPr>
              <w:t>)</w:t>
            </w:r>
          </w:p>
          <w:p w:rsidR="00D9149D" w:rsidRPr="00440420" w:rsidP="00D9149D" w14:paraId="397612B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440420">
              <w:rPr>
                <w:b/>
                <w:spacing w:val="-2"/>
              </w:rPr>
              <w:t>)</w:t>
            </w:r>
          </w:p>
          <w:p w:rsidR="00D9149D" w:rsidRPr="00440420" w:rsidP="004A5FD5" w14:paraId="3202C535" w14:textId="507F56E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40420"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D9149D" w:rsidRPr="00440420" w:rsidP="00D9149D" w14:paraId="2F544CC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9149D" w:rsidRPr="00440420" w:rsidP="00D9149D" w14:paraId="0A669F0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9149D" w:rsidRPr="00440420" w:rsidP="00D9149D" w14:paraId="3459B8E9" w14:textId="70FEE51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40420">
              <w:rPr>
                <w:spacing w:val="-2"/>
              </w:rPr>
              <w:t xml:space="preserve">PS Docket </w:t>
            </w:r>
            <w:r w:rsidRPr="00440420" w:rsidR="000B1BC3">
              <w:rPr>
                <w:spacing w:val="-2"/>
              </w:rPr>
              <w:t xml:space="preserve">No. </w:t>
            </w:r>
            <w:r w:rsidRPr="00440420">
              <w:rPr>
                <w:spacing w:val="-2"/>
              </w:rPr>
              <w:t>13-42</w:t>
            </w:r>
          </w:p>
          <w:p w:rsidR="001D6DF2" w:rsidRPr="00440420" w:rsidP="00D9149D" w14:paraId="14DA3206" w14:textId="2BC246B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440420">
              <w:rPr>
                <w:spacing w:val="-2"/>
              </w:rPr>
              <w:t>(Terminated)</w:t>
            </w:r>
          </w:p>
        </w:tc>
      </w:tr>
    </w:tbl>
    <w:p w:rsidR="00D9149D" w:rsidRPr="00440420" w:rsidP="00D9149D" w14:paraId="3C158704" w14:textId="77777777"/>
    <w:p w:rsidR="00D9149D" w:rsidRPr="00440420" w:rsidP="00D9149D" w14:paraId="20E98650" w14:textId="431F8CA9">
      <w:pPr>
        <w:jc w:val="center"/>
        <w:rPr>
          <w:b/>
          <w:bCs/>
          <w:caps/>
          <w:szCs w:val="22"/>
        </w:rPr>
      </w:pPr>
      <w:r w:rsidRPr="00440420">
        <w:rPr>
          <w:b/>
          <w:bCs/>
          <w:caps/>
          <w:szCs w:val="22"/>
        </w:rPr>
        <w:t>order</w:t>
      </w:r>
    </w:p>
    <w:p w:rsidR="001D6DF2" w:rsidRPr="00440420" w:rsidP="00D9149D" w14:paraId="2C6405F0" w14:textId="77777777">
      <w:pPr>
        <w:jc w:val="center"/>
        <w:rPr>
          <w:b/>
          <w:bCs/>
          <w:caps/>
          <w:szCs w:val="22"/>
        </w:rPr>
      </w:pPr>
    </w:p>
    <w:p w:rsidR="001D6DF2" w:rsidRPr="00440420" w:rsidP="00D9149D" w14:paraId="6B7F9C42" w14:textId="2C7C99A8">
      <w:pPr>
        <w:jc w:val="center"/>
        <w:rPr>
          <w:b/>
          <w:bCs/>
          <w:caps/>
          <w:szCs w:val="22"/>
        </w:rPr>
      </w:pPr>
      <w:r w:rsidRPr="00440420">
        <w:rPr>
          <w:b/>
          <w:bCs/>
          <w:caps/>
          <w:szCs w:val="22"/>
        </w:rPr>
        <w:t>(T</w:t>
      </w:r>
      <w:r w:rsidRPr="00440420">
        <w:rPr>
          <w:b/>
          <w:bCs/>
          <w:kern w:val="0"/>
          <w:szCs w:val="22"/>
        </w:rPr>
        <w:t>erminating Proceeding)</w:t>
      </w:r>
    </w:p>
    <w:p w:rsidR="00D9149D" w:rsidRPr="00440420" w:rsidP="00D9149D" w14:paraId="39D26715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D9149D" w:rsidRPr="00440420" w:rsidP="00D9149D" w14:paraId="57C9570F" w14:textId="0FA72FE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 w:rsidRPr="00440420">
        <w:rPr>
          <w:b/>
          <w:spacing w:val="-2"/>
        </w:rPr>
        <w:t xml:space="preserve">Adopted:  </w:t>
      </w:r>
      <w:r w:rsidR="00010C17">
        <w:rPr>
          <w:b/>
          <w:spacing w:val="-2"/>
        </w:rPr>
        <w:t>January 13, 2021</w:t>
      </w:r>
      <w:r w:rsidRPr="00440420">
        <w:rPr>
          <w:b/>
          <w:spacing w:val="-2"/>
        </w:rPr>
        <w:tab/>
        <w:t xml:space="preserve">Released:  </w:t>
      </w:r>
      <w:r w:rsidR="00010C17">
        <w:rPr>
          <w:b/>
          <w:spacing w:val="-2"/>
        </w:rPr>
        <w:t>January 13, 2021</w:t>
      </w:r>
    </w:p>
    <w:p w:rsidR="00D9149D" w:rsidRPr="00440420" w:rsidP="00D9149D" w14:paraId="621DD0C2" w14:textId="77777777"/>
    <w:p w:rsidR="00D9149D" w:rsidRPr="00440420" w:rsidP="00D9149D" w14:paraId="2CDE9B6A" w14:textId="13509225">
      <w:pPr>
        <w:rPr>
          <w:spacing w:val="-2"/>
        </w:rPr>
      </w:pPr>
      <w:r w:rsidRPr="00440420">
        <w:t>By the Chief, Wireless Telecommunications Bureau</w:t>
      </w:r>
      <w:r w:rsidRPr="00440420" w:rsidR="000A3AE5">
        <w:t>,</w:t>
      </w:r>
      <w:r w:rsidRPr="00440420">
        <w:t xml:space="preserve"> and Chief</w:t>
      </w:r>
      <w:r w:rsidRPr="00440420" w:rsidR="003362F2">
        <w:t>,</w:t>
      </w:r>
      <w:r w:rsidRPr="00440420">
        <w:t xml:space="preserve"> Public Safety and Homeland Security Bureau</w:t>
      </w:r>
      <w:r w:rsidRPr="00440420">
        <w:rPr>
          <w:spacing w:val="-2"/>
        </w:rPr>
        <w:t>:</w:t>
      </w:r>
    </w:p>
    <w:p w:rsidR="00D9149D" w:rsidRPr="00440420" w:rsidP="00D9149D" w14:paraId="72FCEB6D" w14:textId="77777777">
      <w:pPr>
        <w:rPr>
          <w:spacing w:val="-2"/>
        </w:rPr>
      </w:pPr>
    </w:p>
    <w:p w:rsidR="00507AB4" w:rsidRPr="00B95381" w:rsidP="00B955B0" w14:paraId="493B0355" w14:textId="1D531B2D">
      <w:pPr>
        <w:pStyle w:val="ParaNum"/>
      </w:pPr>
      <w:r w:rsidRPr="00622355">
        <w:t>On December 27, 2020</w:t>
      </w:r>
      <w:r w:rsidRPr="00622355" w:rsidR="000A14A1">
        <w:t>,</w:t>
      </w:r>
      <w:r w:rsidRPr="00622355">
        <w:t xml:space="preserve"> the President signed the</w:t>
      </w:r>
      <w:r w:rsidRPr="00622355" w:rsidR="009B2B0D">
        <w:t xml:space="preserve"> Don’t Break Up the T-Band Act (T-Band Act) into law as part of the</w:t>
      </w:r>
      <w:r w:rsidRPr="00622355">
        <w:t xml:space="preserve"> Consolidated Appropriations Act</w:t>
      </w:r>
      <w:r w:rsidRPr="00622355" w:rsidR="008F23D2">
        <w:t>,</w:t>
      </w:r>
      <w:r w:rsidRPr="00622355">
        <w:t xml:space="preserve"> 2021</w:t>
      </w:r>
      <w:r w:rsidRPr="00622355" w:rsidR="00FF4983">
        <w:t>.</w:t>
      </w:r>
      <w:r>
        <w:rPr>
          <w:vertAlign w:val="superscript"/>
        </w:rPr>
        <w:footnoteReference w:id="3"/>
      </w:r>
      <w:r w:rsidRPr="00622355" w:rsidR="0083416C">
        <w:t xml:space="preserve"> </w:t>
      </w:r>
      <w:r w:rsidRPr="00622355" w:rsidR="00EC32C1">
        <w:t xml:space="preserve"> T</w:t>
      </w:r>
      <w:r w:rsidRPr="00622355">
        <w:t>he T-Band Act repeal</w:t>
      </w:r>
      <w:r w:rsidRPr="00622355" w:rsidR="00664725">
        <w:t>s</w:t>
      </w:r>
      <w:r w:rsidRPr="00622355">
        <w:t xml:space="preserve"> section 6103 of the Middle Class Tax Relief and Job Creation Act of 2012</w:t>
      </w:r>
      <w:r w:rsidRPr="00622355" w:rsidR="00664725">
        <w:t>,</w:t>
      </w:r>
      <w:r w:rsidRPr="00622355">
        <w:t xml:space="preserve"> which had mandated that the Commission reallocate and auction frequencies </w:t>
      </w:r>
      <w:r w:rsidRPr="00622355" w:rsidR="00CD0B2A">
        <w:t xml:space="preserve">used by public safety eligibles </w:t>
      </w:r>
      <w:r w:rsidRPr="00622355">
        <w:t>in the 470-512 MHz spectrum band</w:t>
      </w:r>
      <w:r w:rsidRPr="00622355" w:rsidR="00ED72B6">
        <w:t xml:space="preserve"> (</w:t>
      </w:r>
      <w:r w:rsidRPr="00622355">
        <w:t>T-Band</w:t>
      </w:r>
      <w:r w:rsidRPr="00622355" w:rsidR="008B5A60">
        <w:t xml:space="preserve"> Mandate</w:t>
      </w:r>
      <w:r w:rsidRPr="00622355" w:rsidR="00ED72B6">
        <w:t>)</w:t>
      </w:r>
      <w:r w:rsidRPr="00622355">
        <w:t>.</w:t>
      </w:r>
      <w:r>
        <w:rPr>
          <w:rStyle w:val="FootnoteReference"/>
        </w:rPr>
        <w:footnoteReference w:id="4"/>
      </w:r>
      <w:r w:rsidRPr="00622355">
        <w:t xml:space="preserve"> </w:t>
      </w:r>
      <w:r w:rsidRPr="00622355" w:rsidR="006217FF">
        <w:t xml:space="preserve"> </w:t>
      </w:r>
    </w:p>
    <w:p w:rsidR="00C927CE" w:rsidRPr="00507AB4" w:rsidP="00820810" w14:paraId="6C0DDCE1" w14:textId="44971D00">
      <w:pPr>
        <w:pStyle w:val="ParaNum"/>
        <w:rPr>
          <w:color w:val="1D2B3E"/>
          <w:szCs w:val="22"/>
        </w:rPr>
      </w:pPr>
      <w:r w:rsidRPr="00440420">
        <w:t xml:space="preserve">In June 2020, the Commission </w:t>
      </w:r>
      <w:r w:rsidRPr="00440420" w:rsidR="00D20096">
        <w:t xml:space="preserve">adopted a Notice of Proposed Rulemaking in </w:t>
      </w:r>
      <w:r w:rsidRPr="00440420">
        <w:t>the above-captioned proceeding</w:t>
      </w:r>
      <w:r w:rsidR="00507AB4">
        <w:t>.</w:t>
      </w:r>
      <w:r>
        <w:rPr>
          <w:rStyle w:val="FootnoteReference"/>
        </w:rPr>
        <w:footnoteReference w:id="5"/>
      </w:r>
      <w:r w:rsidRPr="00440420">
        <w:t xml:space="preserve">  </w:t>
      </w:r>
      <w:r w:rsidRPr="00440420" w:rsidR="006D354D">
        <w:t xml:space="preserve">The Commission adopted the </w:t>
      </w:r>
      <w:r w:rsidRPr="00507AB4" w:rsidR="006D354D">
        <w:rPr>
          <w:i/>
          <w:iCs/>
        </w:rPr>
        <w:t>T-Band NPRM</w:t>
      </w:r>
      <w:r w:rsidRPr="00440420" w:rsidR="006D354D">
        <w:t xml:space="preserve"> as “the commencement of the process to meet each of the statutory deadlines and directives” in the T-Band Mandate.</w:t>
      </w:r>
      <w:r>
        <w:rPr>
          <w:rStyle w:val="FootnoteReference"/>
        </w:rPr>
        <w:footnoteReference w:id="6"/>
      </w:r>
      <w:r w:rsidRPr="00440420" w:rsidR="006D354D">
        <w:t xml:space="preserve">  In initiating the </w:t>
      </w:r>
      <w:r w:rsidRPr="00440420" w:rsidR="003F1F20">
        <w:t>ru</w:t>
      </w:r>
      <w:r w:rsidRPr="00440420" w:rsidR="00284197">
        <w:t>l</w:t>
      </w:r>
      <w:r w:rsidRPr="00440420" w:rsidR="003F1F20">
        <w:t>emaking</w:t>
      </w:r>
      <w:r w:rsidRPr="00440420" w:rsidR="006D354D">
        <w:t>, the Commission noted that implementing the T-Band Mandate posed significant challenges and potential harm to first responder communications, and that multiple bills had been introduced in Congress to repeal the Mandate.</w:t>
      </w:r>
      <w:r>
        <w:rPr>
          <w:rStyle w:val="FootnoteReference"/>
        </w:rPr>
        <w:footnoteReference w:id="7"/>
      </w:r>
      <w:r w:rsidRPr="00440420" w:rsidR="006D354D">
        <w:t xml:space="preserve">  The T-Band Act has now repealed the T-Band Mandate in its entirety, thus eliminating </w:t>
      </w:r>
      <w:r w:rsidRPr="00440420" w:rsidR="00627965">
        <w:t xml:space="preserve">the </w:t>
      </w:r>
      <w:r w:rsidRPr="00440420" w:rsidR="00407ED3">
        <w:t xml:space="preserve">statutory </w:t>
      </w:r>
      <w:r w:rsidRPr="00440420" w:rsidR="00627965">
        <w:t xml:space="preserve">mandate </w:t>
      </w:r>
      <w:r w:rsidRPr="00440420" w:rsidR="00F34F6E">
        <w:t xml:space="preserve">to </w:t>
      </w:r>
      <w:r w:rsidRPr="00440420" w:rsidR="00F44928">
        <w:t>reallocat</w:t>
      </w:r>
      <w:r w:rsidRPr="00440420" w:rsidR="00C728FB">
        <w:t>e</w:t>
      </w:r>
      <w:r w:rsidRPr="00440420" w:rsidR="00F44928">
        <w:t xml:space="preserve"> and auction T-Band spectrum</w:t>
      </w:r>
      <w:r w:rsidRPr="00440420" w:rsidR="00FA31C4">
        <w:t xml:space="preserve"> occupied by public safety licensees</w:t>
      </w:r>
      <w:r w:rsidRPr="00440420" w:rsidR="00937355">
        <w:t xml:space="preserve">. </w:t>
      </w:r>
      <w:r w:rsidRPr="00440420" w:rsidR="006F6B2F">
        <w:t xml:space="preserve"> </w:t>
      </w:r>
      <w:r w:rsidRPr="00440420" w:rsidR="00937355">
        <w:t xml:space="preserve">In the absence of the statutory </w:t>
      </w:r>
      <w:r w:rsidRPr="00440420" w:rsidR="00F725AC">
        <w:t xml:space="preserve">mandate that was the </w:t>
      </w:r>
      <w:r w:rsidRPr="00440420" w:rsidR="00937355">
        <w:t xml:space="preserve">predicate </w:t>
      </w:r>
      <w:r w:rsidRPr="00440420" w:rsidR="00F725AC">
        <w:t xml:space="preserve">for the </w:t>
      </w:r>
      <w:r w:rsidRPr="00507AB4" w:rsidR="00F725AC">
        <w:rPr>
          <w:i/>
          <w:iCs/>
        </w:rPr>
        <w:t>T-Band NPRM</w:t>
      </w:r>
      <w:r w:rsidRPr="00440420" w:rsidR="00C728FB">
        <w:t>, we therefore terminate this proceeding</w:t>
      </w:r>
      <w:r w:rsidRPr="00440420" w:rsidR="00F44928">
        <w:t>.</w:t>
      </w:r>
      <w:r>
        <w:rPr>
          <w:rStyle w:val="FootnoteReference"/>
        </w:rPr>
        <w:footnoteReference w:id="8"/>
      </w:r>
    </w:p>
    <w:p w:rsidR="00B95381" w:rsidP="006E0FDC" w14:paraId="6E191C51" w14:textId="68424C7D">
      <w:pPr>
        <w:pStyle w:val="ParaNum"/>
        <w:rPr>
          <w:szCs w:val="22"/>
          <w:shd w:val="clear" w:color="auto" w:fill="FFFFFF"/>
        </w:rPr>
      </w:pPr>
      <w:r w:rsidRPr="00440420">
        <w:t xml:space="preserve">Accordingly, </w:t>
      </w:r>
      <w:r w:rsidRPr="00440420">
        <w:rPr>
          <w:b/>
          <w:bCs/>
        </w:rPr>
        <w:t>IT IS ORDERED</w:t>
      </w:r>
      <w:r w:rsidRPr="00440420">
        <w:t>, that</w:t>
      </w:r>
      <w:r w:rsidRPr="00440420" w:rsidR="005813D0">
        <w:t xml:space="preserve"> PS Docket No. 13-42</w:t>
      </w:r>
      <w:r w:rsidRPr="00440420" w:rsidR="00AA2101">
        <w:t xml:space="preserve"> </w:t>
      </w:r>
      <w:r w:rsidRPr="00440420" w:rsidR="005813D0">
        <w:rPr>
          <w:b/>
          <w:bCs/>
        </w:rPr>
        <w:t>IS TERMINATED</w:t>
      </w:r>
      <w:r w:rsidRPr="00440420" w:rsidR="000C3669">
        <w:rPr>
          <w:b/>
          <w:bCs/>
        </w:rPr>
        <w:t xml:space="preserve">, </w:t>
      </w:r>
      <w:r w:rsidRPr="00440420" w:rsidR="000C3669">
        <w:t>effective as of the release date of this order</w:t>
      </w:r>
      <w:r w:rsidRPr="00440420" w:rsidR="00AA2101">
        <w:t>.</w:t>
      </w:r>
      <w:r w:rsidRPr="00440420" w:rsidR="000B4C48">
        <w:rPr>
          <w:szCs w:val="22"/>
          <w:shd w:val="clear" w:color="auto" w:fill="FFFFFF"/>
        </w:rPr>
        <w:t xml:space="preserve"> </w:t>
      </w:r>
    </w:p>
    <w:p w:rsidR="00761D34" w:rsidRPr="00440420" w:rsidP="00B95381" w14:paraId="0F772139" w14:textId="37BC3143">
      <w:pPr>
        <w:widowControl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br w:type="page"/>
      </w:r>
    </w:p>
    <w:p w:rsidR="00D9149D" w:rsidRPr="00440420" w:rsidP="00B95381" w14:paraId="5496EAD9" w14:textId="6EEFF156">
      <w:pPr>
        <w:pStyle w:val="ParaNum"/>
      </w:pPr>
      <w:r w:rsidRPr="00440420">
        <w:t xml:space="preserve">This action is taken under delegated authority pursuant to </w:t>
      </w:r>
      <w:r w:rsidRPr="00440420" w:rsidR="006A5217">
        <w:t>s</w:t>
      </w:r>
      <w:r w:rsidRPr="00440420">
        <w:t>ections</w:t>
      </w:r>
      <w:r w:rsidRPr="00440420" w:rsidR="00BE3787">
        <w:t xml:space="preserve"> </w:t>
      </w:r>
      <w:r w:rsidR="00292225">
        <w:t xml:space="preserve">4(j) and 303(r) of the Communications Act of 1934, as amended, 47 U.S.C. sections 4(j), 303(r); </w:t>
      </w:r>
      <w:r w:rsidRPr="00292225" w:rsidR="00292225">
        <w:t>section 902 of the Consolidated Appropriations Act, 2021</w:t>
      </w:r>
      <w:r w:rsidR="00292225">
        <w:t xml:space="preserve">, </w:t>
      </w:r>
      <w:hyperlink r:id="rId5" w:history="1">
        <w:r w:rsidRPr="00B95381" w:rsidR="00292225">
          <w:rPr>
            <w:rStyle w:val="Hyperlink"/>
            <w:color w:val="000000" w:themeColor="text1"/>
            <w:u w:val="none"/>
          </w:rPr>
          <w:t>Pub. L. No. 116-</w:t>
        </w:r>
        <w:r w:rsidRPr="00B95381" w:rsidR="00292225">
          <w:rPr>
            <w:rStyle w:val="Hyperlink"/>
            <w:color w:val="000000" w:themeColor="text1"/>
            <w:u w:val="none"/>
          </w:rPr>
          <w:t xml:space="preserve"> </w:t>
        </w:r>
        <w:r w:rsidRPr="00B95381" w:rsidR="00292225">
          <w:rPr>
            <w:rStyle w:val="Hyperlink"/>
            <w:color w:val="000000" w:themeColor="text1"/>
            <w:u w:val="none"/>
          </w:rPr>
          <w:t>260,</w:t>
        </w:r>
      </w:hyperlink>
      <w:r w:rsidRPr="00292225" w:rsidR="00292225">
        <w:t xml:space="preserve"> </w:t>
      </w:r>
      <w:r w:rsidR="00805961">
        <w:t xml:space="preserve">and sections </w:t>
      </w:r>
      <w:r w:rsidRPr="00440420" w:rsidR="00BE3787">
        <w:t>0.131,</w:t>
      </w:r>
      <w:r w:rsidRPr="00440420">
        <w:t xml:space="preserve"> 0.191(a)</w:t>
      </w:r>
      <w:r w:rsidRPr="00440420" w:rsidR="00BE3787">
        <w:t>, 0.331</w:t>
      </w:r>
      <w:r w:rsidRPr="00440420">
        <w:t xml:space="preserve"> and 0.392 of the Commission</w:t>
      </w:r>
      <w:r w:rsidRPr="00440420" w:rsidR="00BE3787">
        <w:t>’</w:t>
      </w:r>
      <w:r w:rsidRPr="00440420">
        <w:t>s Rules, </w:t>
      </w:r>
      <w:hyperlink r:id="rId6" w:anchor="co_pp_8b3b0000958a4" w:history="1">
        <w:r w:rsidRPr="00440420">
          <w:t>47 CFR</w:t>
        </w:r>
        <w:r w:rsidR="00292225">
          <w:t xml:space="preserve"> sections</w:t>
        </w:r>
        <w:r w:rsidRPr="00440420">
          <w:t xml:space="preserve"> </w:t>
        </w:r>
        <w:r w:rsidRPr="00440420" w:rsidR="00BE3787">
          <w:t xml:space="preserve">0.131, </w:t>
        </w:r>
        <w:r w:rsidRPr="00440420">
          <w:t>0.191(a)</w:t>
        </w:r>
      </w:hyperlink>
      <w:r w:rsidRPr="00440420">
        <w:t>, </w:t>
      </w:r>
      <w:r w:rsidRPr="00440420" w:rsidR="00BE3787">
        <w:t xml:space="preserve">0.331, </w:t>
      </w:r>
      <w:hyperlink r:id="rId7" w:history="1">
        <w:r w:rsidRPr="00440420">
          <w:t>0.392</w:t>
        </w:r>
      </w:hyperlink>
      <w:r w:rsidRPr="00440420">
        <w:t>.</w:t>
      </w:r>
    </w:p>
    <w:p w:rsidR="00D9149D" w:rsidRPr="00440420" w:rsidP="00D9149D" w14:paraId="621D345E" w14:textId="156EF14A">
      <w:pPr>
        <w:pStyle w:val="ParaNum"/>
        <w:numPr>
          <w:ilvl w:val="0"/>
          <w:numId w:val="0"/>
        </w:numPr>
        <w:ind w:firstLine="720"/>
      </w:pPr>
    </w:p>
    <w:p w:rsidR="00D9149D" w:rsidRPr="00440420" w:rsidP="00D9149D" w14:paraId="7F3E6919" w14:textId="2610A386">
      <w:pPr>
        <w:pStyle w:val="ParaNum"/>
        <w:numPr>
          <w:ilvl w:val="0"/>
          <w:numId w:val="0"/>
        </w:numPr>
        <w:ind w:left="2880" w:firstLine="720"/>
      </w:pPr>
      <w:r w:rsidRPr="00440420">
        <w:t xml:space="preserve">               FEDERAL COMMUNICATIONS COMMISSION</w:t>
      </w:r>
    </w:p>
    <w:p w:rsidR="00D9149D" w:rsidRPr="00440420" w:rsidP="00D9149D" w14:paraId="1E9DB147" w14:textId="675E00A7">
      <w:pPr>
        <w:pStyle w:val="ParaNum"/>
        <w:numPr>
          <w:ilvl w:val="0"/>
          <w:numId w:val="0"/>
        </w:numPr>
        <w:ind w:left="2880" w:firstLine="720"/>
      </w:pPr>
    </w:p>
    <w:p w:rsidR="00D9149D" w:rsidRPr="00440420" w:rsidP="00D9149D" w14:paraId="1C4BF09E" w14:textId="77777777">
      <w:pPr>
        <w:pStyle w:val="ParaNum"/>
        <w:numPr>
          <w:ilvl w:val="0"/>
          <w:numId w:val="0"/>
        </w:numPr>
        <w:ind w:left="2880" w:firstLine="720"/>
      </w:pPr>
    </w:p>
    <w:tbl>
      <w:tblPr>
        <w:tblStyle w:val="TableGrid"/>
        <w:tblW w:w="48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4681"/>
      </w:tblGrid>
      <w:tr w14:paraId="7D53AD08" w14:textId="77777777" w:rsidTr="00EB587B">
        <w:tblPrEx>
          <w:tblW w:w="4808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400" w:type="pct"/>
          </w:tcPr>
          <w:p w:rsidR="00D9149D" w:rsidRPr="00440420" w:rsidP="00D9149D" w14:paraId="1CDC18DD" w14:textId="6A142433">
            <w:pPr>
              <w:tabs>
                <w:tab w:val="left" w:pos="5291"/>
              </w:tabs>
            </w:pPr>
            <w:r w:rsidRPr="00440420">
              <w:t>_______________________________</w:t>
            </w:r>
          </w:p>
          <w:p w:rsidR="00D9149D" w:rsidRPr="00440420" w:rsidP="00D9149D" w14:paraId="1FE86C63" w14:textId="4A81BFBD">
            <w:pPr>
              <w:tabs>
                <w:tab w:val="left" w:pos="5291"/>
              </w:tabs>
            </w:pPr>
            <w:r w:rsidRPr="00440420">
              <w:t>Donald Stockdale, Chief</w:t>
            </w:r>
          </w:p>
          <w:p w:rsidR="00D9149D" w:rsidRPr="00440420" w:rsidP="00D9149D" w14:paraId="76F44198" w14:textId="55739F86">
            <w:pPr>
              <w:tabs>
                <w:tab w:val="left" w:pos="5291"/>
              </w:tabs>
            </w:pPr>
            <w:r w:rsidRPr="00440420">
              <w:t>Wireless Telecommunications Bureau</w:t>
            </w:r>
          </w:p>
        </w:tc>
        <w:tc>
          <w:tcPr>
            <w:tcW w:w="2600" w:type="pct"/>
          </w:tcPr>
          <w:p w:rsidR="00D9149D" w:rsidRPr="00440420" w:rsidP="00D9149D" w14:paraId="4CB3C7C8" w14:textId="3F984901">
            <w:pPr>
              <w:tabs>
                <w:tab w:val="left" w:pos="5291"/>
              </w:tabs>
            </w:pPr>
            <w:r w:rsidRPr="00440420">
              <w:t>____________________________________</w:t>
            </w:r>
          </w:p>
          <w:p w:rsidR="00D9149D" w:rsidRPr="00440420" w:rsidP="00D9149D" w14:paraId="4302E060" w14:textId="524B7C8C">
            <w:pPr>
              <w:tabs>
                <w:tab w:val="left" w:pos="5291"/>
              </w:tabs>
            </w:pPr>
            <w:r w:rsidRPr="00440420">
              <w:t xml:space="preserve">Lisa </w:t>
            </w:r>
            <w:r w:rsidRPr="00440420" w:rsidR="00A44B9B">
              <w:t xml:space="preserve">M. </w:t>
            </w:r>
            <w:r w:rsidRPr="00440420">
              <w:t xml:space="preserve">Fowlkes, </w:t>
            </w:r>
            <w:r w:rsidRPr="00440420">
              <w:t>Chief</w:t>
            </w:r>
          </w:p>
          <w:p w:rsidR="00D9149D" w:rsidRPr="00440420" w:rsidP="00D9149D" w14:paraId="1385567D" w14:textId="4BB64C71">
            <w:pPr>
              <w:tabs>
                <w:tab w:val="left" w:pos="5291"/>
              </w:tabs>
            </w:pPr>
            <w:r w:rsidRPr="00440420">
              <w:t xml:space="preserve">Public Safety and Homeland Security Bureau </w:t>
            </w:r>
          </w:p>
        </w:tc>
      </w:tr>
    </w:tbl>
    <w:p w:rsidR="00D9149D" w:rsidRPr="00440420" w:rsidP="00D9149D" w14:paraId="3921C922" w14:textId="51E2A771">
      <w:pPr>
        <w:tabs>
          <w:tab w:val="left" w:pos="5291"/>
        </w:tabs>
      </w:pPr>
    </w:p>
    <w:p w:rsidR="00D9149D" w:rsidRPr="00440420" w:rsidP="00D9149D" w14:paraId="14B4478C" w14:textId="2B9F6AA9"/>
    <w:sectPr w:rsidSect="005561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E0E91F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002D1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01CF43D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076B00C1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B3E5712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F3A39" w14:paraId="5058E6CA" w14:textId="77777777">
      <w:r>
        <w:separator/>
      </w:r>
    </w:p>
  </w:footnote>
  <w:footnote w:type="continuationSeparator" w:id="1">
    <w:p w:rsidR="00FF3A39" w:rsidP="00C721AC" w14:paraId="30A3E483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F3A39" w:rsidP="00C721AC" w14:paraId="11A45DD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3362F2" w:rsidP="003362F2" w14:paraId="4D26608C" w14:textId="71E321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16C" w:rsidR="0083416C">
        <w:t>Consolidated Appropriations Act, 2021, </w:t>
      </w:r>
      <w:hyperlink r:id="rId1" w:history="1">
        <w:r w:rsidRPr="0083416C" w:rsidR="0083416C">
          <w:rPr>
            <w:rStyle w:val="Hyperlink"/>
            <w:color w:val="auto"/>
            <w:u w:val="none"/>
          </w:rPr>
          <w:t xml:space="preserve">Pub. L. No. </w:t>
        </w:r>
        <w:r w:rsidR="00292225">
          <w:rPr>
            <w:rStyle w:val="Hyperlink"/>
            <w:color w:val="auto"/>
            <w:u w:val="none"/>
          </w:rPr>
          <w:t>116-260,</w:t>
        </w:r>
      </w:hyperlink>
      <w:r w:rsidRPr="0083416C" w:rsidR="0083416C">
        <w:t xml:space="preserve"> </w:t>
      </w:r>
      <w:r w:rsidR="008F23D2">
        <w:t xml:space="preserve">Division FF, Title IX, </w:t>
      </w:r>
      <w:r w:rsidR="00805961">
        <w:t>s</w:t>
      </w:r>
      <w:r w:rsidR="00FF4983">
        <w:t>ection 902</w:t>
      </w:r>
      <w:r w:rsidR="00292225">
        <w:t xml:space="preserve"> (2020).</w:t>
      </w:r>
    </w:p>
  </w:footnote>
  <w:footnote w:id="4">
    <w:p w:rsidR="00207CFD" w:rsidP="00207CFD" w14:paraId="6C075DC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16C">
        <w:t>Middle Class Tax Relief and Job Creation Act of 2012, </w:t>
      </w:r>
      <w:hyperlink r:id="rId1" w:history="1">
        <w:r w:rsidRPr="0083416C">
          <w:rPr>
            <w:rStyle w:val="Hyperlink"/>
            <w:color w:val="auto"/>
            <w:u w:val="none"/>
          </w:rPr>
          <w:t>Pub. L. No. 112-96</w:t>
        </w:r>
      </w:hyperlink>
      <w:r w:rsidRPr="0083416C">
        <w:t>, Title VI, 125 Stat. 156 (2012).</w:t>
      </w:r>
      <w:r>
        <w:t xml:space="preserve">  Section 6103 was codified as 47 U.S.C. § 1413.</w:t>
      </w:r>
    </w:p>
  </w:footnote>
  <w:footnote w:id="5">
    <w:p w:rsidR="006217FF" w:rsidP="006217FF" w14:paraId="792D516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416C">
        <w:rPr>
          <w:i/>
          <w:iCs/>
        </w:rPr>
        <w:t>Reallocation of 470-512 MHz (T-Band) Spectrum</w:t>
      </w:r>
      <w:r>
        <w:t xml:space="preserve">, </w:t>
      </w:r>
      <w:r w:rsidRPr="0083416C">
        <w:t>Notice of Proposed Rulemaking, PS Docket No. 13-42, FCC 20-89, 35 FCC Rcd 6896 (2020)</w:t>
      </w:r>
      <w:r>
        <w:t xml:space="preserve"> (</w:t>
      </w:r>
      <w:r w:rsidRPr="00CB26F9">
        <w:rPr>
          <w:i/>
          <w:iCs/>
        </w:rPr>
        <w:t>T-Band NPRM</w:t>
      </w:r>
      <w:r>
        <w:t>).</w:t>
      </w:r>
    </w:p>
  </w:footnote>
  <w:footnote w:id="6">
    <w:p w:rsidR="006D354D" w:rsidRPr="00D066BE" w:rsidP="006D354D" w14:paraId="6342CF31" w14:textId="285FC3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T-Band NPRM</w:t>
      </w:r>
      <w:r>
        <w:t>, 35 FCC Rcd at</w:t>
      </w:r>
      <w:r w:rsidR="00683459">
        <w:t xml:space="preserve"> 6897 para. 2</w:t>
      </w:r>
      <w:r>
        <w:t xml:space="preserve">.  </w:t>
      </w:r>
    </w:p>
  </w:footnote>
  <w:footnote w:id="7">
    <w:p w:rsidR="006D354D" w:rsidRPr="00AA30E8" w:rsidP="006D354D" w14:paraId="15137D38" w14:textId="5D4AFC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3080" w:rsidR="00693080">
        <w:rPr>
          <w:i/>
          <w:iCs/>
        </w:rPr>
        <w:t xml:space="preserve">Id. </w:t>
      </w:r>
      <w:r w:rsidRPr="00693080" w:rsidR="00693080">
        <w:t xml:space="preserve">at 6901 para. 11. </w:t>
      </w:r>
    </w:p>
  </w:footnote>
  <w:footnote w:id="8">
    <w:p w:rsidR="00F44928" w14:paraId="09B2CD8A" w14:textId="318DB6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459" w:rsidR="00683459">
        <w:rPr>
          <w:i/>
          <w:iCs/>
        </w:rPr>
        <w:t>See</w:t>
      </w:r>
      <w:r w:rsidRPr="00683459" w:rsidR="00683459">
        <w:t xml:space="preserve"> </w:t>
      </w:r>
      <w:r w:rsidRPr="00683459" w:rsidR="00683459">
        <w:rPr>
          <w:i/>
          <w:iCs/>
        </w:rPr>
        <w:t xml:space="preserve">id. </w:t>
      </w:r>
      <w:r w:rsidR="00AE7A98">
        <w:rPr>
          <w:i/>
          <w:iCs/>
        </w:rPr>
        <w:t xml:space="preserve"> </w:t>
      </w:r>
      <w:r w:rsidRPr="00683459" w:rsidR="00683459">
        <w:rPr>
          <w:i/>
          <w:iCs/>
        </w:rPr>
        <w:t>See also</w:t>
      </w:r>
      <w:r w:rsidRPr="00683459" w:rsidR="00683459">
        <w:t xml:space="preserve"> 47 CFR § 90.303.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8B11CF1" w14:textId="4197DEB7">
    <w:pPr>
      <w:pStyle w:val="Header"/>
      <w:rPr>
        <w:b w:val="0"/>
      </w:rPr>
    </w:pPr>
    <w:r>
      <w:tab/>
      <w:t>Federal Communications Commission</w:t>
    </w:r>
    <w:r>
      <w:tab/>
    </w:r>
    <w:r w:rsidR="00010C17">
      <w:t>DA 21-</w:t>
    </w:r>
    <w:r w:rsidR="008F533A">
      <w:t>52</w:t>
    </w:r>
  </w:p>
  <w:p w:rsidR="00D25FB5" w14:paraId="7DB0257C" w14:textId="17D490A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699B0160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7ABBA5B" w14:textId="17DFE568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010C17">
      <w:rPr>
        <w:spacing w:val="-2"/>
      </w:rPr>
      <w:t>DA 21-</w:t>
    </w:r>
    <w:r w:rsidR="008F533A">
      <w:rPr>
        <w:spacing w:val="-2"/>
      </w:rPr>
      <w:t>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148A1"/>
    <w:multiLevelType w:val="hybridMultilevel"/>
    <w:tmpl w:val="2C0886C8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5461343"/>
    <w:multiLevelType w:val="hybridMultilevel"/>
    <w:tmpl w:val="53EE5B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925"/>
    <w:multiLevelType w:val="singleLevel"/>
    <w:tmpl w:val="7A48A46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2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9D"/>
    <w:rsid w:val="00010C17"/>
    <w:rsid w:val="00011012"/>
    <w:rsid w:val="00016B0F"/>
    <w:rsid w:val="00034E56"/>
    <w:rsid w:val="00036039"/>
    <w:rsid w:val="00037F90"/>
    <w:rsid w:val="00063020"/>
    <w:rsid w:val="000658F3"/>
    <w:rsid w:val="00074039"/>
    <w:rsid w:val="00080F52"/>
    <w:rsid w:val="000875BF"/>
    <w:rsid w:val="00096D8C"/>
    <w:rsid w:val="000A14A1"/>
    <w:rsid w:val="000A3AE5"/>
    <w:rsid w:val="000B1BC3"/>
    <w:rsid w:val="000B4C48"/>
    <w:rsid w:val="000C0B65"/>
    <w:rsid w:val="000C3669"/>
    <w:rsid w:val="000E05FE"/>
    <w:rsid w:val="000E3D42"/>
    <w:rsid w:val="000F026A"/>
    <w:rsid w:val="00122BD5"/>
    <w:rsid w:val="00133F79"/>
    <w:rsid w:val="00147DBA"/>
    <w:rsid w:val="00152BF7"/>
    <w:rsid w:val="00171B44"/>
    <w:rsid w:val="00175113"/>
    <w:rsid w:val="00194A66"/>
    <w:rsid w:val="001D6BCF"/>
    <w:rsid w:val="001D6DF2"/>
    <w:rsid w:val="001E01CA"/>
    <w:rsid w:val="001F3A83"/>
    <w:rsid w:val="00207CFD"/>
    <w:rsid w:val="00227D6D"/>
    <w:rsid w:val="00232D86"/>
    <w:rsid w:val="0025791D"/>
    <w:rsid w:val="002627DF"/>
    <w:rsid w:val="00267671"/>
    <w:rsid w:val="00275CF5"/>
    <w:rsid w:val="0028301F"/>
    <w:rsid w:val="00284197"/>
    <w:rsid w:val="00285017"/>
    <w:rsid w:val="00292225"/>
    <w:rsid w:val="002A2D2E"/>
    <w:rsid w:val="002B31DC"/>
    <w:rsid w:val="002C00E8"/>
    <w:rsid w:val="0031050F"/>
    <w:rsid w:val="003256E9"/>
    <w:rsid w:val="003362F2"/>
    <w:rsid w:val="00342413"/>
    <w:rsid w:val="00342573"/>
    <w:rsid w:val="00343749"/>
    <w:rsid w:val="00350547"/>
    <w:rsid w:val="003660ED"/>
    <w:rsid w:val="0037220E"/>
    <w:rsid w:val="0037730B"/>
    <w:rsid w:val="003A3372"/>
    <w:rsid w:val="003A4856"/>
    <w:rsid w:val="003B0550"/>
    <w:rsid w:val="003B694F"/>
    <w:rsid w:val="003D044C"/>
    <w:rsid w:val="003D74F5"/>
    <w:rsid w:val="003E2BE2"/>
    <w:rsid w:val="003E6779"/>
    <w:rsid w:val="003F171C"/>
    <w:rsid w:val="003F1F20"/>
    <w:rsid w:val="00407ED3"/>
    <w:rsid w:val="00412FC5"/>
    <w:rsid w:val="00413E13"/>
    <w:rsid w:val="00416861"/>
    <w:rsid w:val="00421DE8"/>
    <w:rsid w:val="00422276"/>
    <w:rsid w:val="004242F1"/>
    <w:rsid w:val="004336A3"/>
    <w:rsid w:val="00440420"/>
    <w:rsid w:val="00445A00"/>
    <w:rsid w:val="0045146E"/>
    <w:rsid w:val="00451B0F"/>
    <w:rsid w:val="00462135"/>
    <w:rsid w:val="0046569A"/>
    <w:rsid w:val="00496F32"/>
    <w:rsid w:val="004A2475"/>
    <w:rsid w:val="004A5FD5"/>
    <w:rsid w:val="004C2EE3"/>
    <w:rsid w:val="004C5FCB"/>
    <w:rsid w:val="004E4A22"/>
    <w:rsid w:val="004F7D44"/>
    <w:rsid w:val="00507AB4"/>
    <w:rsid w:val="00511968"/>
    <w:rsid w:val="00512731"/>
    <w:rsid w:val="00513FB6"/>
    <w:rsid w:val="00537E6E"/>
    <w:rsid w:val="0055614C"/>
    <w:rsid w:val="0055710B"/>
    <w:rsid w:val="0056192B"/>
    <w:rsid w:val="00566D06"/>
    <w:rsid w:val="005813D0"/>
    <w:rsid w:val="00592621"/>
    <w:rsid w:val="005B0032"/>
    <w:rsid w:val="005B0ECD"/>
    <w:rsid w:val="005B6370"/>
    <w:rsid w:val="005C4D68"/>
    <w:rsid w:val="005E14C2"/>
    <w:rsid w:val="005F3608"/>
    <w:rsid w:val="006054EF"/>
    <w:rsid w:val="00607BA5"/>
    <w:rsid w:val="0061180A"/>
    <w:rsid w:val="006217FF"/>
    <w:rsid w:val="00622355"/>
    <w:rsid w:val="00626EB6"/>
    <w:rsid w:val="00627965"/>
    <w:rsid w:val="00627B31"/>
    <w:rsid w:val="00632274"/>
    <w:rsid w:val="00647243"/>
    <w:rsid w:val="00655D03"/>
    <w:rsid w:val="00664725"/>
    <w:rsid w:val="00674086"/>
    <w:rsid w:val="00683388"/>
    <w:rsid w:val="00683459"/>
    <w:rsid w:val="00683F84"/>
    <w:rsid w:val="00691BA6"/>
    <w:rsid w:val="00693080"/>
    <w:rsid w:val="006A5217"/>
    <w:rsid w:val="006A6A81"/>
    <w:rsid w:val="006C1E12"/>
    <w:rsid w:val="006C2928"/>
    <w:rsid w:val="006D354D"/>
    <w:rsid w:val="006D423B"/>
    <w:rsid w:val="006E0FDC"/>
    <w:rsid w:val="006F4A7A"/>
    <w:rsid w:val="006F6B2F"/>
    <w:rsid w:val="006F7393"/>
    <w:rsid w:val="0070224F"/>
    <w:rsid w:val="007115F7"/>
    <w:rsid w:val="00753466"/>
    <w:rsid w:val="00760142"/>
    <w:rsid w:val="00761006"/>
    <w:rsid w:val="00761D34"/>
    <w:rsid w:val="00773430"/>
    <w:rsid w:val="00785689"/>
    <w:rsid w:val="0079754B"/>
    <w:rsid w:val="007A1E6D"/>
    <w:rsid w:val="007B0EB2"/>
    <w:rsid w:val="007C1A7B"/>
    <w:rsid w:val="007D61DB"/>
    <w:rsid w:val="007F2913"/>
    <w:rsid w:val="007F760D"/>
    <w:rsid w:val="00805961"/>
    <w:rsid w:val="00810B6F"/>
    <w:rsid w:val="00820810"/>
    <w:rsid w:val="00822CE0"/>
    <w:rsid w:val="00826BC6"/>
    <w:rsid w:val="00833369"/>
    <w:rsid w:val="0083416C"/>
    <w:rsid w:val="00841AB1"/>
    <w:rsid w:val="00841B0A"/>
    <w:rsid w:val="008543A4"/>
    <w:rsid w:val="00867DD0"/>
    <w:rsid w:val="008703BA"/>
    <w:rsid w:val="008B5A60"/>
    <w:rsid w:val="008C68F1"/>
    <w:rsid w:val="008F23D2"/>
    <w:rsid w:val="008F533A"/>
    <w:rsid w:val="00921803"/>
    <w:rsid w:val="00926503"/>
    <w:rsid w:val="00937355"/>
    <w:rsid w:val="009726D8"/>
    <w:rsid w:val="00974728"/>
    <w:rsid w:val="009A2FBB"/>
    <w:rsid w:val="009B2B0D"/>
    <w:rsid w:val="009D4C67"/>
    <w:rsid w:val="009D7308"/>
    <w:rsid w:val="009F76DB"/>
    <w:rsid w:val="00A32C3B"/>
    <w:rsid w:val="00A44B9B"/>
    <w:rsid w:val="00A45F4F"/>
    <w:rsid w:val="00A517BC"/>
    <w:rsid w:val="00A600A9"/>
    <w:rsid w:val="00A60BF4"/>
    <w:rsid w:val="00A775C9"/>
    <w:rsid w:val="00AA2101"/>
    <w:rsid w:val="00AA30E8"/>
    <w:rsid w:val="00AA55B7"/>
    <w:rsid w:val="00AA5B9E"/>
    <w:rsid w:val="00AA748F"/>
    <w:rsid w:val="00AB2407"/>
    <w:rsid w:val="00AB3962"/>
    <w:rsid w:val="00AB53DF"/>
    <w:rsid w:val="00AC7AED"/>
    <w:rsid w:val="00AD2771"/>
    <w:rsid w:val="00AD6BE5"/>
    <w:rsid w:val="00AE220C"/>
    <w:rsid w:val="00AE426D"/>
    <w:rsid w:val="00AE5F91"/>
    <w:rsid w:val="00AE7A98"/>
    <w:rsid w:val="00AF3EC0"/>
    <w:rsid w:val="00AF5D56"/>
    <w:rsid w:val="00B07E5C"/>
    <w:rsid w:val="00B179F0"/>
    <w:rsid w:val="00B27EA1"/>
    <w:rsid w:val="00B44CE4"/>
    <w:rsid w:val="00B516FA"/>
    <w:rsid w:val="00B811F7"/>
    <w:rsid w:val="00B95381"/>
    <w:rsid w:val="00B955B0"/>
    <w:rsid w:val="00BA4ACA"/>
    <w:rsid w:val="00BA5DC6"/>
    <w:rsid w:val="00BA6196"/>
    <w:rsid w:val="00BC6D8C"/>
    <w:rsid w:val="00BE3787"/>
    <w:rsid w:val="00BF2F0D"/>
    <w:rsid w:val="00C26463"/>
    <w:rsid w:val="00C34006"/>
    <w:rsid w:val="00C36B4C"/>
    <w:rsid w:val="00C41265"/>
    <w:rsid w:val="00C426B1"/>
    <w:rsid w:val="00C66160"/>
    <w:rsid w:val="00C721AC"/>
    <w:rsid w:val="00C728FB"/>
    <w:rsid w:val="00C77004"/>
    <w:rsid w:val="00C81566"/>
    <w:rsid w:val="00C90D6A"/>
    <w:rsid w:val="00C9152E"/>
    <w:rsid w:val="00C927CE"/>
    <w:rsid w:val="00C96017"/>
    <w:rsid w:val="00CA05FA"/>
    <w:rsid w:val="00CA247E"/>
    <w:rsid w:val="00CA6D21"/>
    <w:rsid w:val="00CB264C"/>
    <w:rsid w:val="00CB26F9"/>
    <w:rsid w:val="00CC72B6"/>
    <w:rsid w:val="00CD0B2A"/>
    <w:rsid w:val="00CD2A58"/>
    <w:rsid w:val="00CD6DFE"/>
    <w:rsid w:val="00D0218D"/>
    <w:rsid w:val="00D066BE"/>
    <w:rsid w:val="00D20096"/>
    <w:rsid w:val="00D25FB5"/>
    <w:rsid w:val="00D44223"/>
    <w:rsid w:val="00D56BAB"/>
    <w:rsid w:val="00D802CC"/>
    <w:rsid w:val="00D9149D"/>
    <w:rsid w:val="00DA2025"/>
    <w:rsid w:val="00DA2529"/>
    <w:rsid w:val="00DB130A"/>
    <w:rsid w:val="00DB2EBB"/>
    <w:rsid w:val="00DB6AAF"/>
    <w:rsid w:val="00DB719F"/>
    <w:rsid w:val="00DC10A1"/>
    <w:rsid w:val="00DC655F"/>
    <w:rsid w:val="00DD0B59"/>
    <w:rsid w:val="00DD7EBD"/>
    <w:rsid w:val="00DF62B6"/>
    <w:rsid w:val="00DF6B70"/>
    <w:rsid w:val="00E07225"/>
    <w:rsid w:val="00E5409F"/>
    <w:rsid w:val="00EB587B"/>
    <w:rsid w:val="00EC167B"/>
    <w:rsid w:val="00EC32C1"/>
    <w:rsid w:val="00EC7522"/>
    <w:rsid w:val="00ED54E4"/>
    <w:rsid w:val="00ED72B6"/>
    <w:rsid w:val="00EE51F1"/>
    <w:rsid w:val="00EE6488"/>
    <w:rsid w:val="00EE6DFF"/>
    <w:rsid w:val="00EF1384"/>
    <w:rsid w:val="00F021FA"/>
    <w:rsid w:val="00F34495"/>
    <w:rsid w:val="00F34F6E"/>
    <w:rsid w:val="00F424E5"/>
    <w:rsid w:val="00F44928"/>
    <w:rsid w:val="00F62E97"/>
    <w:rsid w:val="00F64209"/>
    <w:rsid w:val="00F725AC"/>
    <w:rsid w:val="00F93BF5"/>
    <w:rsid w:val="00FA31C4"/>
    <w:rsid w:val="00FA7243"/>
    <w:rsid w:val="00FC2DAE"/>
    <w:rsid w:val="00FC6428"/>
    <w:rsid w:val="00FE7FFA"/>
    <w:rsid w:val="00FF3A39"/>
    <w:rsid w:val="00FF43B0"/>
    <w:rsid w:val="00FF4983"/>
    <w:rsid w:val="00FF5B57"/>
    <w:rsid w:val="00FF78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49D"/>
    <w:rPr>
      <w:color w:val="605E5C"/>
      <w:shd w:val="clear" w:color="auto" w:fill="E1DFDD"/>
    </w:rPr>
  </w:style>
  <w:style w:type="table" w:styleId="TableGrid">
    <w:name w:val="Table Grid"/>
    <w:basedOn w:val="TableNormal"/>
    <w:rsid w:val="00D9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1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14A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0A1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4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A14A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A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4A1"/>
    <w:rPr>
      <w:b/>
      <w:bCs/>
      <w:snapToGrid w:val="0"/>
      <w:kern w:val="28"/>
    </w:rPr>
  </w:style>
  <w:style w:type="character" w:customStyle="1" w:styleId="cosearchterm">
    <w:name w:val="co_searchterm"/>
    <w:basedOn w:val="DefaultParagraphFont"/>
    <w:rsid w:val="00760142"/>
  </w:style>
  <w:style w:type="paragraph" w:styleId="Revision">
    <w:name w:val="Revision"/>
    <w:hidden/>
    <w:uiPriority w:val="99"/>
    <w:semiHidden/>
    <w:rsid w:val="00B516F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1.next.westlaw.com/Link/Document/FullText?findType=l&amp;pubNum=1077005&amp;cite=UUID(IE76C68205D-6F11E1953ED-0FCCD72A401)&amp;originatingDoc=Ie61ae2459e5011e2a555d241dae65084&amp;refType=SL&amp;originationContext=document&amp;transitionType=DocumentItem&amp;contextData=(sc.Search)" TargetMode="External" /><Relationship Id="rId6" Type="http://schemas.openxmlformats.org/officeDocument/2006/relationships/hyperlink" Target="https://1.next.westlaw.com/Link/Document/FullText?findType=L&amp;pubNum=1000547&amp;cite=47CFRS0.191&amp;originatingDoc=Ic43242b8e77311e3b4bafa136b480ad2&amp;refType=RB&amp;originationContext=document&amp;transitionType=DocumentItem&amp;contextData=(sc.Search)" TargetMode="External" /><Relationship Id="rId7" Type="http://schemas.openxmlformats.org/officeDocument/2006/relationships/hyperlink" Target="https://1.next.westlaw.com/Link/Document/FullText?findType=L&amp;pubNum=1000547&amp;cite=47CFRS0.392&amp;originatingDoc=Ic43242b8e77311e3b4bafa136b480ad2&amp;refType=LQ&amp;originationContext=document&amp;transitionType=DocumentItem&amp;contextData=(sc.Search)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1.next.westlaw.com/Link/Document/FullText?findType=l&amp;pubNum=1077005&amp;cite=UUID(IE76C68205D-6F11E1953ED-0FCCD72A401)&amp;originatingDoc=Ie61ae2459e5011e2a555d241dae65084&amp;refType=SL&amp;originationContext=document&amp;transitionType=DocumentItem&amp;contextData=(sc.Search)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