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B71F2" w:rsidP="00B73B55" w14:paraId="1B1B90DA" w14:textId="77777777">
      <w:pPr>
        <w:pStyle w:val="Title"/>
        <w:rPr>
          <w:szCs w:val="22"/>
        </w:rPr>
      </w:pPr>
      <w:r>
        <w:rPr>
          <w:szCs w:val="22"/>
        </w:rPr>
        <w:t>Before the</w:t>
      </w:r>
    </w:p>
    <w:p w:rsidR="00AB71F2" w:rsidP="00AB71F2" w14:paraId="0B90BAF6" w14:textId="77777777">
      <w:pPr>
        <w:pStyle w:val="Subtitle"/>
        <w:ind w:firstLine="0"/>
        <w:rPr>
          <w:szCs w:val="22"/>
        </w:rPr>
      </w:pPr>
      <w:r>
        <w:rPr>
          <w:szCs w:val="22"/>
        </w:rPr>
        <w:t>Federal Communications Commission</w:t>
      </w:r>
    </w:p>
    <w:p w:rsidR="00AB71F2" w:rsidP="00AB71F2" w14:paraId="4A6138F2" w14:textId="77777777">
      <w:pPr>
        <w:jc w:val="center"/>
        <w:rPr>
          <w:b/>
          <w:szCs w:val="22"/>
        </w:rPr>
      </w:pPr>
      <w:r>
        <w:rPr>
          <w:b/>
          <w:szCs w:val="22"/>
        </w:rPr>
        <w:t>Washington, D.C. 20554</w:t>
      </w:r>
    </w:p>
    <w:p w:rsidR="00AB71F2" w:rsidP="00AB71F2" w14:paraId="0ED283FE" w14:textId="77777777">
      <w:pPr>
        <w:tabs>
          <w:tab w:val="left" w:pos="-720"/>
        </w:tabs>
        <w:suppressAutoHyphens/>
        <w:spacing w:line="225" w:lineRule="auto"/>
        <w:rPr>
          <w:spacing w:val="-2"/>
          <w:szCs w:val="22"/>
        </w:rPr>
      </w:pPr>
    </w:p>
    <w:p w:rsidR="00AB71F2" w:rsidP="00AB71F2" w14:paraId="3D1E6637"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08FD4D7D" w14:textId="77777777" w:rsidTr="00AB71F2">
        <w:tblPrEx>
          <w:tblW w:w="0" w:type="auto"/>
          <w:tblLayout w:type="fixed"/>
          <w:tblLook w:val="04A0"/>
        </w:tblPrEx>
        <w:tc>
          <w:tcPr>
            <w:tcW w:w="4698" w:type="dxa"/>
          </w:tcPr>
          <w:p w:rsidR="00AB71F2" w14:paraId="524415A2" w14:textId="77777777">
            <w:pPr>
              <w:pStyle w:val="TOAHeading"/>
              <w:tabs>
                <w:tab w:val="center" w:pos="4680"/>
              </w:tabs>
              <w:rPr>
                <w:spacing w:val="-2"/>
                <w:szCs w:val="22"/>
              </w:rPr>
            </w:pPr>
            <w:r>
              <w:rPr>
                <w:spacing w:val="-2"/>
                <w:szCs w:val="22"/>
              </w:rPr>
              <w:t>In the Matter of</w:t>
            </w:r>
          </w:p>
          <w:p w:rsidR="00AB71F2" w14:paraId="18FED6E6" w14:textId="77777777">
            <w:pPr>
              <w:tabs>
                <w:tab w:val="center" w:pos="4680"/>
              </w:tabs>
              <w:suppressAutoHyphens/>
              <w:rPr>
                <w:spacing w:val="-2"/>
                <w:szCs w:val="22"/>
              </w:rPr>
            </w:pPr>
          </w:p>
          <w:p w:rsidR="00AB71F2" w14:paraId="0386F061" w14:textId="77777777">
            <w:pPr>
              <w:tabs>
                <w:tab w:val="center" w:pos="4680"/>
              </w:tabs>
              <w:suppressAutoHyphens/>
              <w:rPr>
                <w:szCs w:val="22"/>
              </w:rPr>
            </w:pPr>
            <w:r>
              <w:rPr>
                <w:szCs w:val="22"/>
              </w:rPr>
              <w:t>Clear Rate</w:t>
            </w:r>
            <w:r>
              <w:rPr>
                <w:szCs w:val="22"/>
              </w:rPr>
              <w:t xml:space="preserve"> Communications</w:t>
            </w:r>
            <w:r w:rsidR="00D97FFA">
              <w:rPr>
                <w:szCs w:val="22"/>
              </w:rPr>
              <w:t>, Inc.</w:t>
            </w:r>
          </w:p>
          <w:p w:rsidR="00AB71F2" w14:paraId="6AC05CE7" w14:textId="77777777">
            <w:pPr>
              <w:tabs>
                <w:tab w:val="center" w:pos="4680"/>
              </w:tabs>
              <w:suppressAutoHyphens/>
              <w:rPr>
                <w:szCs w:val="22"/>
              </w:rPr>
            </w:pPr>
          </w:p>
          <w:p w:rsidR="00AB71F2" w14:paraId="70B8F570" w14:textId="77777777">
            <w:pPr>
              <w:pStyle w:val="TOAHeading"/>
              <w:tabs>
                <w:tab w:val="center" w:pos="4680"/>
              </w:tabs>
              <w:rPr>
                <w:szCs w:val="22"/>
              </w:rPr>
            </w:pPr>
            <w:r>
              <w:rPr>
                <w:szCs w:val="22"/>
              </w:rPr>
              <w:t xml:space="preserve">Complaint Regarding </w:t>
            </w:r>
          </w:p>
          <w:p w:rsidR="00AB71F2" w14:paraId="02ACBCA2" w14:textId="77777777">
            <w:pPr>
              <w:pStyle w:val="TOAHeading"/>
              <w:tabs>
                <w:tab w:val="center" w:pos="4680"/>
              </w:tabs>
              <w:rPr>
                <w:szCs w:val="22"/>
              </w:rPr>
            </w:pPr>
            <w:r>
              <w:rPr>
                <w:szCs w:val="22"/>
              </w:rPr>
              <w:t>Unauthorized Change of</w:t>
            </w:r>
          </w:p>
          <w:p w:rsidR="00AB71F2" w14:paraId="37CD388B" w14:textId="77777777">
            <w:pPr>
              <w:pStyle w:val="TOAHeading"/>
              <w:tabs>
                <w:tab w:val="center" w:pos="4680"/>
              </w:tabs>
              <w:rPr>
                <w:szCs w:val="22"/>
              </w:rPr>
            </w:pPr>
            <w:r>
              <w:rPr>
                <w:szCs w:val="22"/>
              </w:rPr>
              <w:t>Subscriber’s Telecommunications Carrier</w:t>
            </w:r>
          </w:p>
        </w:tc>
        <w:tc>
          <w:tcPr>
            <w:tcW w:w="630" w:type="dxa"/>
          </w:tcPr>
          <w:p w:rsidR="00AB71F2" w14:paraId="56FEEDFC" w14:textId="77777777">
            <w:pPr>
              <w:tabs>
                <w:tab w:val="center" w:pos="4680"/>
              </w:tabs>
              <w:suppressAutoHyphens/>
              <w:rPr>
                <w:b/>
                <w:spacing w:val="-2"/>
                <w:szCs w:val="22"/>
              </w:rPr>
            </w:pPr>
            <w:r>
              <w:rPr>
                <w:b/>
                <w:spacing w:val="-2"/>
                <w:szCs w:val="22"/>
              </w:rPr>
              <w:t>)</w:t>
            </w:r>
          </w:p>
          <w:p w:rsidR="00AB71F2" w14:paraId="0CFCC3F4" w14:textId="77777777">
            <w:pPr>
              <w:tabs>
                <w:tab w:val="center" w:pos="4680"/>
              </w:tabs>
              <w:suppressAutoHyphens/>
              <w:rPr>
                <w:b/>
                <w:spacing w:val="-2"/>
                <w:szCs w:val="22"/>
              </w:rPr>
            </w:pPr>
            <w:r>
              <w:rPr>
                <w:b/>
                <w:spacing w:val="-2"/>
                <w:szCs w:val="22"/>
              </w:rPr>
              <w:t>)</w:t>
            </w:r>
          </w:p>
          <w:p w:rsidR="00AB71F2" w14:paraId="57F60E3A" w14:textId="77777777">
            <w:pPr>
              <w:tabs>
                <w:tab w:val="center" w:pos="4680"/>
              </w:tabs>
              <w:suppressAutoHyphens/>
              <w:rPr>
                <w:b/>
                <w:spacing w:val="-2"/>
                <w:szCs w:val="22"/>
              </w:rPr>
            </w:pPr>
            <w:r>
              <w:rPr>
                <w:b/>
                <w:spacing w:val="-2"/>
                <w:szCs w:val="22"/>
              </w:rPr>
              <w:t>)</w:t>
            </w:r>
          </w:p>
          <w:p w:rsidR="00AB71F2" w14:paraId="158CB5D1" w14:textId="77777777">
            <w:pPr>
              <w:tabs>
                <w:tab w:val="center" w:pos="4680"/>
              </w:tabs>
              <w:suppressAutoHyphens/>
              <w:rPr>
                <w:b/>
                <w:spacing w:val="-2"/>
                <w:szCs w:val="22"/>
              </w:rPr>
            </w:pPr>
            <w:r>
              <w:rPr>
                <w:b/>
                <w:spacing w:val="-2"/>
                <w:szCs w:val="22"/>
              </w:rPr>
              <w:t>)</w:t>
            </w:r>
          </w:p>
          <w:p w:rsidR="00AB71F2" w14:paraId="5227D83C" w14:textId="77777777">
            <w:pPr>
              <w:tabs>
                <w:tab w:val="center" w:pos="4680"/>
              </w:tabs>
              <w:suppressAutoHyphens/>
              <w:rPr>
                <w:b/>
                <w:spacing w:val="-2"/>
                <w:szCs w:val="22"/>
              </w:rPr>
            </w:pPr>
            <w:r>
              <w:rPr>
                <w:b/>
                <w:spacing w:val="-2"/>
                <w:szCs w:val="22"/>
              </w:rPr>
              <w:t>)</w:t>
            </w:r>
          </w:p>
          <w:p w:rsidR="00AB71F2" w14:paraId="5D9F504F" w14:textId="77777777">
            <w:pPr>
              <w:tabs>
                <w:tab w:val="center" w:pos="4680"/>
              </w:tabs>
              <w:suppressAutoHyphens/>
              <w:rPr>
                <w:b/>
                <w:spacing w:val="-2"/>
                <w:szCs w:val="22"/>
              </w:rPr>
            </w:pPr>
            <w:r>
              <w:rPr>
                <w:b/>
                <w:spacing w:val="-2"/>
                <w:szCs w:val="22"/>
              </w:rPr>
              <w:t>)</w:t>
            </w:r>
          </w:p>
          <w:p w:rsidR="00AB71F2" w14:paraId="43D8D0B9" w14:textId="77777777">
            <w:pPr>
              <w:tabs>
                <w:tab w:val="center" w:pos="4680"/>
              </w:tabs>
              <w:suppressAutoHyphens/>
              <w:rPr>
                <w:b/>
                <w:spacing w:val="-2"/>
                <w:szCs w:val="22"/>
              </w:rPr>
            </w:pPr>
            <w:r>
              <w:rPr>
                <w:b/>
                <w:spacing w:val="-2"/>
                <w:szCs w:val="22"/>
              </w:rPr>
              <w:t>)</w:t>
            </w:r>
          </w:p>
          <w:p w:rsidR="00AB71F2" w14:paraId="6FCC23DE" w14:textId="77777777">
            <w:pPr>
              <w:tabs>
                <w:tab w:val="center" w:pos="4680"/>
              </w:tabs>
              <w:suppressAutoHyphens/>
              <w:rPr>
                <w:spacing w:val="-2"/>
                <w:szCs w:val="22"/>
              </w:rPr>
            </w:pPr>
          </w:p>
        </w:tc>
        <w:tc>
          <w:tcPr>
            <w:tcW w:w="4248" w:type="dxa"/>
          </w:tcPr>
          <w:p w:rsidR="00AB71F2" w14:paraId="0588F39D" w14:textId="77777777">
            <w:pPr>
              <w:tabs>
                <w:tab w:val="center" w:pos="4680"/>
              </w:tabs>
              <w:suppressAutoHyphens/>
              <w:rPr>
                <w:spacing w:val="-2"/>
                <w:szCs w:val="22"/>
              </w:rPr>
            </w:pPr>
          </w:p>
          <w:p w:rsidR="00AB71F2" w14:paraId="71F67A2A" w14:textId="77777777">
            <w:pPr>
              <w:tabs>
                <w:tab w:val="center" w:pos="4680"/>
              </w:tabs>
              <w:suppressAutoHyphens/>
              <w:rPr>
                <w:spacing w:val="-2"/>
                <w:szCs w:val="22"/>
              </w:rPr>
            </w:pPr>
          </w:p>
          <w:p w:rsidR="00AB71F2" w:rsidRPr="00B83BA2" w:rsidP="00B83BA2" w14:paraId="17B99CF0" w14:textId="5033AE6A">
            <w:pPr>
              <w:pStyle w:val="TOAHeading"/>
              <w:rPr>
                <w:szCs w:val="22"/>
              </w:rPr>
            </w:pPr>
            <w:r>
              <w:rPr>
                <w:szCs w:val="22"/>
              </w:rPr>
              <w:t xml:space="preserve">Complaint No. </w:t>
            </w:r>
            <w:r w:rsidR="007402FD">
              <w:t>4</w:t>
            </w:r>
            <w:r w:rsidR="00183A11">
              <w:t>626555</w:t>
            </w:r>
          </w:p>
          <w:p w:rsidR="00AB71F2" w14:paraId="46C66A72" w14:textId="77777777">
            <w:pPr>
              <w:rPr>
                <w:szCs w:val="22"/>
              </w:rPr>
            </w:pPr>
            <w:r>
              <w:rPr>
                <w:szCs w:val="22"/>
              </w:rPr>
              <w:t xml:space="preserve">                  </w:t>
            </w:r>
          </w:p>
          <w:p w:rsidR="00AB71F2" w14:paraId="44EE674A" w14:textId="77777777">
            <w:pPr>
              <w:pStyle w:val="TOAHeading"/>
              <w:rPr>
                <w:szCs w:val="22"/>
              </w:rPr>
            </w:pPr>
          </w:p>
        </w:tc>
      </w:tr>
      <w:tr w14:paraId="2756A77F" w14:textId="77777777" w:rsidTr="00AB71F2">
        <w:tblPrEx>
          <w:tblW w:w="0" w:type="auto"/>
          <w:tblLayout w:type="fixed"/>
          <w:tblLook w:val="04A0"/>
        </w:tblPrEx>
        <w:trPr>
          <w:trHeight w:val="117"/>
        </w:trPr>
        <w:tc>
          <w:tcPr>
            <w:tcW w:w="4698" w:type="dxa"/>
          </w:tcPr>
          <w:p w:rsidR="00AB71F2" w14:paraId="78927273" w14:textId="77777777">
            <w:pPr>
              <w:pStyle w:val="TOAHeading"/>
              <w:tabs>
                <w:tab w:val="center" w:pos="4680"/>
              </w:tabs>
              <w:rPr>
                <w:spacing w:val="-2"/>
                <w:szCs w:val="22"/>
              </w:rPr>
            </w:pPr>
          </w:p>
        </w:tc>
        <w:tc>
          <w:tcPr>
            <w:tcW w:w="630" w:type="dxa"/>
          </w:tcPr>
          <w:p w:rsidR="00AB71F2" w14:paraId="253D8EE7" w14:textId="77777777">
            <w:pPr>
              <w:tabs>
                <w:tab w:val="center" w:pos="4680"/>
              </w:tabs>
              <w:suppressAutoHyphens/>
              <w:rPr>
                <w:b/>
                <w:spacing w:val="-2"/>
                <w:szCs w:val="22"/>
              </w:rPr>
            </w:pPr>
          </w:p>
        </w:tc>
        <w:tc>
          <w:tcPr>
            <w:tcW w:w="4248" w:type="dxa"/>
          </w:tcPr>
          <w:p w:rsidR="00AB71F2" w14:paraId="45A007C3" w14:textId="77777777">
            <w:pPr>
              <w:tabs>
                <w:tab w:val="center" w:pos="4680"/>
              </w:tabs>
              <w:suppressAutoHyphens/>
              <w:rPr>
                <w:spacing w:val="-2"/>
                <w:szCs w:val="22"/>
              </w:rPr>
            </w:pPr>
          </w:p>
        </w:tc>
      </w:tr>
    </w:tbl>
    <w:p w:rsidR="00AB71F2" w:rsidP="00AB71F2" w14:paraId="42647CF1" w14:textId="77777777">
      <w:pPr>
        <w:tabs>
          <w:tab w:val="left" w:pos="-720"/>
        </w:tabs>
        <w:suppressAutoHyphens/>
        <w:spacing w:line="225" w:lineRule="auto"/>
        <w:rPr>
          <w:spacing w:val="-2"/>
          <w:szCs w:val="22"/>
        </w:rPr>
      </w:pPr>
    </w:p>
    <w:p w:rsidR="00AB71F2" w:rsidP="00AB71F2" w14:paraId="241A002B" w14:textId="77777777">
      <w:pPr>
        <w:jc w:val="center"/>
        <w:rPr>
          <w:b/>
          <w:szCs w:val="22"/>
        </w:rPr>
      </w:pPr>
      <w:r>
        <w:rPr>
          <w:b/>
          <w:szCs w:val="22"/>
        </w:rPr>
        <w:t>ORDER</w:t>
      </w:r>
    </w:p>
    <w:p w:rsidR="00AB71F2" w:rsidP="00AB71F2" w14:paraId="14854A90" w14:textId="77777777">
      <w:pPr>
        <w:tabs>
          <w:tab w:val="left" w:pos="-720"/>
        </w:tabs>
        <w:suppressAutoHyphens/>
        <w:spacing w:line="225" w:lineRule="auto"/>
        <w:ind w:left="720"/>
        <w:rPr>
          <w:spacing w:val="-2"/>
          <w:szCs w:val="22"/>
        </w:rPr>
      </w:pPr>
    </w:p>
    <w:p w:rsidR="00AB71F2" w:rsidP="00AB71F2" w14:paraId="588A4117" w14:textId="5A67EE6C">
      <w:pPr>
        <w:tabs>
          <w:tab w:val="left" w:pos="0"/>
          <w:tab w:val="left" w:pos="5760"/>
        </w:tabs>
        <w:suppressAutoHyphens/>
        <w:spacing w:line="225" w:lineRule="auto"/>
        <w:rPr>
          <w:spacing w:val="-2"/>
          <w:szCs w:val="22"/>
        </w:rPr>
      </w:pPr>
      <w:r>
        <w:rPr>
          <w:b/>
          <w:spacing w:val="-2"/>
          <w:szCs w:val="22"/>
        </w:rPr>
        <w:t xml:space="preserve">Adopted: </w:t>
      </w:r>
      <w:r w:rsidR="00183A11">
        <w:rPr>
          <w:b/>
          <w:spacing w:val="-2"/>
          <w:szCs w:val="22"/>
        </w:rPr>
        <w:t>M</w:t>
      </w:r>
      <w:r w:rsidR="00755BFC">
        <w:rPr>
          <w:b/>
          <w:spacing w:val="-2"/>
          <w:szCs w:val="22"/>
        </w:rPr>
        <w:t>ay 7</w:t>
      </w:r>
      <w:r>
        <w:rPr>
          <w:b/>
          <w:spacing w:val="-2"/>
          <w:szCs w:val="22"/>
        </w:rPr>
        <w:t>, 20</w:t>
      </w:r>
      <w:r w:rsidR="007402FD">
        <w:rPr>
          <w:b/>
          <w:spacing w:val="-2"/>
          <w:szCs w:val="22"/>
        </w:rPr>
        <w:t>2</w:t>
      </w:r>
      <w:r w:rsidR="00183A11">
        <w:rPr>
          <w:b/>
          <w:spacing w:val="-2"/>
          <w:szCs w:val="22"/>
        </w:rPr>
        <w:t>1</w:t>
      </w:r>
      <w:r>
        <w:rPr>
          <w:b/>
          <w:spacing w:val="-2"/>
          <w:szCs w:val="22"/>
        </w:rPr>
        <w:tab/>
      </w:r>
      <w:r>
        <w:rPr>
          <w:b/>
          <w:spacing w:val="-2"/>
          <w:szCs w:val="22"/>
        </w:rPr>
        <w:tab/>
        <w:t>Released:</w:t>
      </w:r>
      <w:r w:rsidR="00DF0EC4">
        <w:rPr>
          <w:b/>
          <w:spacing w:val="-2"/>
          <w:szCs w:val="22"/>
        </w:rPr>
        <w:t xml:space="preserve"> </w:t>
      </w:r>
      <w:r w:rsidR="00183A11">
        <w:rPr>
          <w:b/>
          <w:spacing w:val="-2"/>
          <w:szCs w:val="22"/>
        </w:rPr>
        <w:t>M</w:t>
      </w:r>
      <w:r w:rsidR="00755BFC">
        <w:rPr>
          <w:b/>
          <w:spacing w:val="-2"/>
          <w:szCs w:val="22"/>
        </w:rPr>
        <w:t>ay 7</w:t>
      </w:r>
      <w:r>
        <w:rPr>
          <w:b/>
          <w:spacing w:val="-2"/>
          <w:szCs w:val="22"/>
        </w:rPr>
        <w:t>, 20</w:t>
      </w:r>
      <w:r w:rsidR="007402FD">
        <w:rPr>
          <w:b/>
          <w:spacing w:val="-2"/>
          <w:szCs w:val="22"/>
        </w:rPr>
        <w:t>2</w:t>
      </w:r>
      <w:r w:rsidR="00183A11">
        <w:rPr>
          <w:b/>
          <w:spacing w:val="-2"/>
          <w:szCs w:val="22"/>
        </w:rPr>
        <w:t>1</w:t>
      </w:r>
    </w:p>
    <w:p w:rsidR="00AB71F2" w:rsidP="00AB71F2" w14:paraId="4AEFF3D5" w14:textId="77777777">
      <w:pPr>
        <w:rPr>
          <w:szCs w:val="22"/>
        </w:rPr>
      </w:pPr>
    </w:p>
    <w:p w:rsidR="00AB71F2" w:rsidP="00B73B55" w14:paraId="726A2278" w14:textId="77777777">
      <w:pPr>
        <w:spacing w:after="120"/>
        <w:rPr>
          <w:szCs w:val="22"/>
        </w:rPr>
      </w:pPr>
      <w:r>
        <w:rPr>
          <w:szCs w:val="22"/>
        </w:rPr>
        <w:t>By the Chief, Consumer Policy Division, Consumer and Governmental Affairs Bureau:</w:t>
      </w:r>
    </w:p>
    <w:p w:rsidR="00AB71F2" w:rsidP="00B73B55" w14:paraId="6CB94B9A" w14:textId="77777777">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sidR="007402FD">
        <w:rPr>
          <w:szCs w:val="22"/>
        </w:rPr>
        <w:t>Clear Rate</w:t>
      </w:r>
      <w:r>
        <w:rPr>
          <w:szCs w:val="22"/>
        </w:rPr>
        <w:t xml:space="preserve"> Communications</w:t>
      </w:r>
      <w:r w:rsidR="00D97FFA">
        <w:rPr>
          <w:szCs w:val="22"/>
        </w:rPr>
        <w:t>, Inc.</w:t>
      </w:r>
      <w:r>
        <w:rPr>
          <w:szCs w:val="22"/>
        </w:rPr>
        <w:t xml:space="preserve"> (</w:t>
      </w:r>
      <w:r w:rsidR="007402FD">
        <w:rPr>
          <w:szCs w:val="22"/>
        </w:rPr>
        <w:t>Clear Rate</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7402FD">
        <w:rPr>
          <w:szCs w:val="22"/>
        </w:rPr>
        <w:t>Clear Rate</w:t>
      </w:r>
      <w:r w:rsidRPr="00237F60" w:rsidR="00B83BA2">
        <w:rPr>
          <w:szCs w:val="22"/>
        </w:rPr>
        <w:t>’s actions violated the Commission’s slamming rules, and we therefore grant Complainant</w:t>
      </w:r>
      <w:r w:rsidR="00B83BA2">
        <w:rPr>
          <w:szCs w:val="22"/>
        </w:rPr>
        <w:t>’s</w:t>
      </w:r>
      <w:r w:rsidRPr="00237F60" w:rsidR="00B83BA2">
        <w:rPr>
          <w:szCs w:val="22"/>
        </w:rPr>
        <w:t xml:space="preserve"> complaint.</w:t>
      </w:r>
    </w:p>
    <w:p w:rsidR="00B83BA2" w:rsidP="00B73B55" w14:paraId="1B965672" w14:textId="4E62285F">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w:t>
      </w:r>
      <w:r w:rsidR="00B320AE">
        <w:rPr>
          <w:szCs w:val="22"/>
        </w:rPr>
        <w:t>n unauthorized</w:t>
      </w:r>
      <w:r>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14:paraId="717F24DC" w14:textId="75FEA210">
      <w:pPr>
        <w:numPr>
          <w:ilvl w:val="0"/>
          <w:numId w:val="7"/>
        </w:numPr>
        <w:snapToGrid w:val="0"/>
        <w:spacing w:after="120"/>
        <w:ind w:left="0" w:firstLine="720"/>
        <w:rPr>
          <w:szCs w:val="22"/>
        </w:rPr>
      </w:pPr>
      <w:r>
        <w:rPr>
          <w:szCs w:val="22"/>
        </w:rPr>
        <w:t>In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recording</w:t>
      </w:r>
      <w:r w:rsidR="00910BBB">
        <w:rPr>
          <w:szCs w:val="22"/>
        </w:rPr>
        <w:t xml:space="preserve"> (TPV)</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EE67D0" w:rsidRPr="00EE67D0" w:rsidP="00EE67D0" w14:paraId="35B5F6C5" w14:textId="39958F4B">
      <w:pPr>
        <w:numPr>
          <w:ilvl w:val="0"/>
          <w:numId w:val="7"/>
        </w:numPr>
        <w:snapToGrid w:val="0"/>
        <w:spacing w:after="120"/>
        <w:ind w:left="0" w:firstLine="720"/>
        <w:rPr>
          <w:snapToGrid/>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007402FD">
        <w:rPr>
          <w:szCs w:val="22"/>
        </w:rPr>
        <w:t>Clear Rate</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Pr>
          <w:szCs w:val="22"/>
        </w:rPr>
        <w:t xml:space="preserve"> In the complaint, Complainant also alleges tha</w:t>
      </w:r>
      <w:r w:rsidR="00AF5356">
        <w:rPr>
          <w:szCs w:val="22"/>
        </w:rPr>
        <w:t xml:space="preserve">t </w:t>
      </w:r>
      <w:r w:rsidR="009150D7">
        <w:rPr>
          <w:szCs w:val="22"/>
        </w:rPr>
        <w:t>at the time she was</w:t>
      </w:r>
      <w:r w:rsidR="00AF5356">
        <w:rPr>
          <w:szCs w:val="22"/>
        </w:rPr>
        <w:t xml:space="preserve"> </w:t>
      </w:r>
      <w:r w:rsidR="00BE08CA">
        <w:rPr>
          <w:szCs w:val="22"/>
        </w:rPr>
        <w:t>switch</w:t>
      </w:r>
      <w:r w:rsidR="00CE4112">
        <w:rPr>
          <w:szCs w:val="22"/>
        </w:rPr>
        <w:t>ing her service</w:t>
      </w:r>
      <w:r w:rsidR="00BE08CA">
        <w:rPr>
          <w:szCs w:val="22"/>
        </w:rPr>
        <w:t xml:space="preserve"> to a</w:t>
      </w:r>
      <w:r w:rsidR="00CE4112">
        <w:rPr>
          <w:szCs w:val="22"/>
        </w:rPr>
        <w:t>nother</w:t>
      </w:r>
      <w:r w:rsidR="00BE08CA">
        <w:rPr>
          <w:szCs w:val="22"/>
        </w:rPr>
        <w:t xml:space="preserve"> provider, </w:t>
      </w:r>
      <w:r>
        <w:rPr>
          <w:szCs w:val="22"/>
        </w:rPr>
        <w:t>Clear Rate’s telemarketer</w:t>
      </w:r>
      <w:r w:rsidR="00AF5356">
        <w:rPr>
          <w:szCs w:val="22"/>
        </w:rPr>
        <w:t xml:space="preserve"> contacted her and</w:t>
      </w:r>
      <w:r>
        <w:rPr>
          <w:szCs w:val="22"/>
        </w:rPr>
        <w:t xml:space="preserve"> </w:t>
      </w:r>
      <w:r w:rsidR="00183A11">
        <w:rPr>
          <w:szCs w:val="22"/>
        </w:rPr>
        <w:t>led her to believe</w:t>
      </w:r>
      <w:r w:rsidR="00F71C58">
        <w:rPr>
          <w:szCs w:val="22"/>
        </w:rPr>
        <w:t xml:space="preserve"> </w:t>
      </w:r>
      <w:r w:rsidR="00BE08CA">
        <w:rPr>
          <w:szCs w:val="22"/>
        </w:rPr>
        <w:t>she was speaking with</w:t>
      </w:r>
      <w:r w:rsidR="00183A11">
        <w:rPr>
          <w:szCs w:val="22"/>
        </w:rPr>
        <w:t xml:space="preserve"> </w:t>
      </w:r>
      <w:r w:rsidR="00AF5356">
        <w:rPr>
          <w:szCs w:val="22"/>
        </w:rPr>
        <w:t>the</w:t>
      </w:r>
      <w:r w:rsidR="00183A11">
        <w:rPr>
          <w:szCs w:val="22"/>
        </w:rPr>
        <w:t xml:space="preserve"> new </w:t>
      </w:r>
      <w:r w:rsidR="003C5902">
        <w:rPr>
          <w:szCs w:val="22"/>
        </w:rPr>
        <w:t>provider</w:t>
      </w:r>
      <w:r w:rsidR="00183A11">
        <w:rPr>
          <w:szCs w:val="22"/>
        </w:rPr>
        <w:t xml:space="preserve">, </w:t>
      </w:r>
      <w:r w:rsidR="00DA1819">
        <w:rPr>
          <w:szCs w:val="22"/>
        </w:rPr>
        <w:t>[</w:t>
      </w:r>
      <w:r w:rsidR="00183A11">
        <w:rPr>
          <w:szCs w:val="22"/>
        </w:rPr>
        <w:t>and</w:t>
      </w:r>
      <w:r w:rsidR="00DA1819">
        <w:rPr>
          <w:szCs w:val="22"/>
        </w:rPr>
        <w:t>]</w:t>
      </w:r>
      <w:r w:rsidR="00183A11">
        <w:rPr>
          <w:szCs w:val="22"/>
        </w:rPr>
        <w:t xml:space="preserve"> </w:t>
      </w:r>
      <w:r w:rsidR="00BE08CA">
        <w:rPr>
          <w:szCs w:val="22"/>
        </w:rPr>
        <w:t>“</w:t>
      </w:r>
      <w:r w:rsidR="00183A11">
        <w:rPr>
          <w:szCs w:val="22"/>
        </w:rPr>
        <w:t>tricked her into a one year contract</w:t>
      </w:r>
      <w:r w:rsidR="001D59F7">
        <w:rPr>
          <w:szCs w:val="22"/>
        </w:rPr>
        <w:t>.</w:t>
      </w:r>
      <w:r w:rsidR="00BE08CA">
        <w:rPr>
          <w:szCs w:val="22"/>
        </w:rPr>
        <w:t>”</w:t>
      </w:r>
      <w:r>
        <w:rPr>
          <w:rStyle w:val="FootnoteReference"/>
          <w:szCs w:val="22"/>
        </w:rPr>
        <w:footnoteReference w:id="12"/>
      </w:r>
    </w:p>
    <w:p w:rsidR="00F71C58" w:rsidP="00F71C58" w14:paraId="3F3B7764" w14:textId="6FDB5567">
      <w:pPr>
        <w:widowControl/>
        <w:numPr>
          <w:ilvl w:val="0"/>
          <w:numId w:val="8"/>
        </w:numPr>
        <w:tabs>
          <w:tab w:val="clear" w:pos="1440"/>
        </w:tabs>
        <w:spacing w:after="120"/>
        <w:ind w:left="0" w:firstLine="720"/>
      </w:pPr>
      <w:r>
        <w:rPr>
          <w:szCs w:val="22"/>
        </w:rPr>
        <w:t xml:space="preserve"> </w:t>
      </w:r>
      <w:r w:rsidRPr="009A29DA" w:rsidR="00AB71F2">
        <w:rPr>
          <w:szCs w:val="22"/>
        </w:rPr>
        <w:t xml:space="preserve">Pursuant to our rules, we notified </w:t>
      </w:r>
      <w:r w:rsidRPr="009A29DA" w:rsidR="007402FD">
        <w:rPr>
          <w:szCs w:val="22"/>
        </w:rPr>
        <w:t>Clear Rate</w:t>
      </w:r>
      <w:r w:rsidRPr="009A29DA" w:rsidR="00AB71F2">
        <w:rPr>
          <w:szCs w:val="22"/>
        </w:rPr>
        <w:t xml:space="preserve"> of the complaint</w:t>
      </w:r>
      <w:r w:rsidR="00910BBB">
        <w:rPr>
          <w:szCs w:val="22"/>
        </w:rPr>
        <w:t xml:space="preserve"> </w:t>
      </w:r>
      <w:r w:rsidR="003C5902">
        <w:rPr>
          <w:szCs w:val="22"/>
        </w:rPr>
        <w:t xml:space="preserve">which included </w:t>
      </w:r>
      <w:r w:rsidR="00910BBB">
        <w:rPr>
          <w:szCs w:val="22"/>
        </w:rPr>
        <w:t>Complainant’s allegation</w:t>
      </w:r>
      <w:r w:rsidR="0070207F">
        <w:rPr>
          <w:szCs w:val="22"/>
        </w:rPr>
        <w:t xml:space="preserve"> of misrepresentation</w:t>
      </w:r>
      <w:r w:rsidRPr="009A29DA" w:rsidR="005D1258">
        <w:rPr>
          <w:szCs w:val="22"/>
        </w:rPr>
        <w:t>.</w:t>
      </w:r>
      <w:r>
        <w:rPr>
          <w:rStyle w:val="FootnoteReference"/>
          <w:szCs w:val="22"/>
        </w:rPr>
        <w:footnoteReference w:id="13"/>
      </w:r>
      <w:r w:rsidRPr="009A29DA" w:rsidR="002B63B8">
        <w:rPr>
          <w:szCs w:val="22"/>
        </w:rPr>
        <w:t xml:space="preserve"> </w:t>
      </w:r>
      <w:r w:rsidRPr="009A29DA" w:rsidR="00AB71F2">
        <w:rPr>
          <w:szCs w:val="22"/>
        </w:rPr>
        <w:t xml:space="preserve"> </w:t>
      </w:r>
      <w:r w:rsidRPr="009A29DA" w:rsidR="007402FD">
        <w:rPr>
          <w:szCs w:val="22"/>
        </w:rPr>
        <w:t>Clear Rate</w:t>
      </w:r>
      <w:r w:rsidRPr="009A29DA" w:rsidR="00AB71F2">
        <w:rPr>
          <w:szCs w:val="22"/>
        </w:rPr>
        <w:t xml:space="preserve"> responded</w:t>
      </w:r>
      <w:r w:rsidRPr="009A29DA" w:rsidR="005D1258">
        <w:rPr>
          <w:szCs w:val="22"/>
        </w:rPr>
        <w:t xml:space="preserve"> to the complaint, </w:t>
      </w:r>
      <w:r w:rsidRPr="009A29DA" w:rsidR="00AB71F2">
        <w:rPr>
          <w:szCs w:val="22"/>
        </w:rPr>
        <w:t>stat</w:t>
      </w:r>
      <w:r w:rsidRPr="009A29DA" w:rsidR="005D1258">
        <w:rPr>
          <w:szCs w:val="22"/>
        </w:rPr>
        <w:t>ing</w:t>
      </w:r>
      <w:r w:rsidRPr="009A29DA" w:rsidR="00AB71F2">
        <w:rPr>
          <w:szCs w:val="22"/>
        </w:rPr>
        <w:t xml:space="preserve"> that </w:t>
      </w:r>
      <w:r w:rsidR="00B91009">
        <w:rPr>
          <w:szCs w:val="22"/>
        </w:rPr>
        <w:t xml:space="preserve">Complainant’s </w:t>
      </w:r>
      <w:r w:rsidRPr="009A29DA" w:rsidR="00AB71F2">
        <w:rPr>
          <w:szCs w:val="22"/>
        </w:rPr>
        <w:t xml:space="preserve">authorization was received and confirmed through </w:t>
      </w:r>
      <w:r w:rsidRPr="009A29DA" w:rsidR="00305DCB">
        <w:rPr>
          <w:szCs w:val="22"/>
        </w:rPr>
        <w:t xml:space="preserve">a </w:t>
      </w:r>
      <w:r w:rsidRPr="009A29DA" w:rsidR="00AB71F2">
        <w:rPr>
          <w:szCs w:val="22"/>
        </w:rPr>
        <w:t>TPV.</w:t>
      </w:r>
      <w:r>
        <w:rPr>
          <w:rStyle w:val="FootnoteReference"/>
          <w:szCs w:val="22"/>
        </w:rPr>
        <w:footnoteReference w:id="14"/>
      </w:r>
      <w:r w:rsidR="00BE0B0D">
        <w:rPr>
          <w:szCs w:val="22"/>
        </w:rPr>
        <w:t xml:space="preserve">  </w:t>
      </w:r>
      <w:r w:rsidR="00AF77EB">
        <w:rPr>
          <w:szCs w:val="22"/>
        </w:rPr>
        <w:t>Clear Rate did not</w:t>
      </w:r>
      <w:r w:rsidR="00BE0B0D">
        <w:rPr>
          <w:szCs w:val="22"/>
        </w:rPr>
        <w:t>, however,</w:t>
      </w:r>
      <w:r w:rsidR="00AF77EB">
        <w:rPr>
          <w:szCs w:val="22"/>
        </w:rPr>
        <w:t xml:space="preserve"> provide </w:t>
      </w:r>
      <w:r w:rsidR="00DA1819">
        <w:rPr>
          <w:szCs w:val="22"/>
        </w:rPr>
        <w:t xml:space="preserve">the TPV or </w:t>
      </w:r>
      <w:r w:rsidR="00834721">
        <w:rPr>
          <w:szCs w:val="22"/>
        </w:rPr>
        <w:t>a</w:t>
      </w:r>
      <w:r w:rsidR="00AF77EB">
        <w:rPr>
          <w:szCs w:val="22"/>
        </w:rPr>
        <w:t xml:space="preserve"> </w:t>
      </w:r>
      <w:r w:rsidR="001A2658">
        <w:rPr>
          <w:szCs w:val="22"/>
        </w:rPr>
        <w:t xml:space="preserve">recording of the </w:t>
      </w:r>
      <w:r w:rsidR="00AF77EB">
        <w:rPr>
          <w:szCs w:val="22"/>
        </w:rPr>
        <w:t xml:space="preserve">sales call. </w:t>
      </w:r>
      <w:r w:rsidR="008A59F3">
        <w:rPr>
          <w:szCs w:val="22"/>
        </w:rPr>
        <w:t xml:space="preserve"> </w:t>
      </w:r>
      <w:r w:rsidR="005607EC">
        <w:t xml:space="preserve">Clear Rate provided </w:t>
      </w:r>
      <w:r w:rsidR="008A59F3">
        <w:t xml:space="preserve">only </w:t>
      </w:r>
      <w:r w:rsidR="005607EC">
        <w:t xml:space="preserve">what it described as a </w:t>
      </w:r>
      <w:r w:rsidR="008A59F3">
        <w:t xml:space="preserve">recording of a </w:t>
      </w:r>
      <w:r w:rsidR="005607EC">
        <w:t xml:space="preserve">“quality assurance call” </w:t>
      </w:r>
      <w:r w:rsidR="008A59F3">
        <w:t xml:space="preserve">it allegedly made </w:t>
      </w:r>
      <w:r w:rsidR="007D751F">
        <w:t xml:space="preserve">to the consumer after the initial sales call and TPV </w:t>
      </w:r>
      <w:r w:rsidR="008A59F3">
        <w:t>were</w:t>
      </w:r>
      <w:r w:rsidR="007D751F">
        <w:t xml:space="preserve"> completed.  On the recording Clear Rate’s representative explains a calling plan</w:t>
      </w:r>
      <w:r w:rsidR="008A59F3">
        <w:t xml:space="preserve"> for the consumer</w:t>
      </w:r>
      <w:r w:rsidR="007D751F">
        <w:t xml:space="preserve"> but does not confirm that the consumer </w:t>
      </w:r>
      <w:r w:rsidR="003D20F8">
        <w:t xml:space="preserve">has the authority to change carriers, wishes to change carriers, and understands that he or she is authorizing a carrier change as required by </w:t>
      </w:r>
      <w:r w:rsidR="008A59F3">
        <w:t xml:space="preserve">Commission </w:t>
      </w:r>
      <w:r w:rsidR="003D20F8">
        <w:t>rules.</w:t>
      </w:r>
      <w:r>
        <w:rPr>
          <w:rStyle w:val="FootnoteReference"/>
        </w:rPr>
        <w:footnoteReference w:id="15"/>
      </w:r>
      <w:r w:rsidR="00AF77EB">
        <w:rPr>
          <w:szCs w:val="22"/>
        </w:rPr>
        <w:t xml:space="preserve"> </w:t>
      </w:r>
      <w:r w:rsidR="00E55DC5">
        <w:rPr>
          <w:szCs w:val="22"/>
        </w:rPr>
        <w:t xml:space="preserve"> </w:t>
      </w:r>
      <w:r>
        <w:t>The failure of Clear Rate</w:t>
      </w:r>
      <w:r w:rsidRPr="006D6CC3">
        <w:t xml:space="preserve"> </w:t>
      </w:r>
      <w:r>
        <w:t>to provide proof of</w:t>
      </w:r>
      <w:r w:rsidR="00834721">
        <w:t xml:space="preserve"> </w:t>
      </w:r>
      <w:r>
        <w:t>verified authorization is presumed to be clear and convincing evidence of a violation.</w:t>
      </w:r>
      <w:r>
        <w:rPr>
          <w:rStyle w:val="FootnoteReference"/>
        </w:rPr>
        <w:footnoteReference w:id="16"/>
      </w:r>
      <w:r>
        <w:t xml:space="preserve">  Therefore, we find that Clear Rate’s actions violated our slamming rules, and we discuss Clear Rate’s liability below.</w:t>
      </w:r>
      <w:r>
        <w:rPr>
          <w:rStyle w:val="FootnoteReference"/>
        </w:rPr>
        <w:footnoteReference w:id="17"/>
      </w:r>
      <w:r w:rsidRPr="00142D97">
        <w:t xml:space="preserve"> </w:t>
      </w:r>
    </w:p>
    <w:p w:rsidR="00D20DC8" w:rsidRPr="00D20DC8" w:rsidP="00EA4AE1" w14:paraId="50398EE7" w14:textId="77777777">
      <w:pPr>
        <w:widowControl/>
        <w:numPr>
          <w:ilvl w:val="0"/>
          <w:numId w:val="7"/>
        </w:numPr>
        <w:snapToGrid w:val="0"/>
        <w:spacing w:after="120"/>
        <w:ind w:left="0" w:firstLine="720"/>
        <w:rPr>
          <w:szCs w:val="22"/>
        </w:rPr>
      </w:pPr>
      <w:r>
        <w:rPr>
          <w:szCs w:val="22"/>
        </w:rPr>
        <w:t>Clear Rate</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8"/>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Clear Rate</w:t>
      </w:r>
      <w:r>
        <w:rPr>
          <w:szCs w:val="22"/>
        </w:rPr>
        <w:t xml:space="preserve"> may pursue any collection against Complainant for those charges.</w:t>
      </w:r>
      <w:r>
        <w:rPr>
          <w:rStyle w:val="FootnoteReference"/>
          <w:szCs w:val="22"/>
        </w:rPr>
        <w:footnoteReference w:id="19"/>
      </w:r>
      <w:r>
        <w:rPr>
          <w:szCs w:val="22"/>
        </w:rPr>
        <w:t xml:space="preserve">  Any charges imposed by </w:t>
      </w:r>
      <w:r>
        <w:rPr>
          <w:szCs w:val="22"/>
        </w:rPr>
        <w:t>Clear Rate</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0"/>
      </w:r>
    </w:p>
    <w:p w:rsidR="00AB71F2" w:rsidP="00305DCB" w14:paraId="4B2C0238" w14:textId="77777777">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sidR="007402FD">
        <w:rPr>
          <w:szCs w:val="22"/>
        </w:rPr>
        <w:t>Clear Rate</w:t>
      </w:r>
      <w:r>
        <w:rPr>
          <w:szCs w:val="22"/>
        </w:rPr>
        <w:t xml:space="preserve"> Communications</w:t>
      </w:r>
      <w:r w:rsidR="0012074E">
        <w:rPr>
          <w:szCs w:val="22"/>
        </w:rPr>
        <w:t>, Inc.</w:t>
      </w:r>
      <w:r>
        <w:rPr>
          <w:szCs w:val="22"/>
        </w:rPr>
        <w:t xml:space="preserve"> </w:t>
      </w:r>
      <w:r w:rsidR="00A87E8F">
        <w:rPr>
          <w:szCs w:val="22"/>
        </w:rPr>
        <w:t>IS</w:t>
      </w:r>
      <w:r>
        <w:rPr>
          <w:szCs w:val="22"/>
        </w:rPr>
        <w:t xml:space="preserve"> </w:t>
      </w:r>
      <w:r w:rsidR="00A87E8F">
        <w:rPr>
          <w:szCs w:val="22"/>
        </w:rPr>
        <w:t>GRANTED</w:t>
      </w:r>
      <w:r>
        <w:rPr>
          <w:szCs w:val="22"/>
        </w:rPr>
        <w:t>.</w:t>
      </w:r>
    </w:p>
    <w:p w:rsidR="00AB71F2" w:rsidRPr="002C36F1" w:rsidP="00847D23" w14:paraId="725DF110" w14:textId="77777777">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sidR="007402FD">
        <w:rPr>
          <w:szCs w:val="22"/>
        </w:rPr>
        <w:t>Clear Rate</w:t>
      </w:r>
      <w:r>
        <w:rPr>
          <w:szCs w:val="22"/>
        </w:rPr>
        <w:t xml:space="preserve"> Communications</w:t>
      </w:r>
      <w:r w:rsidR="0012074E">
        <w:rPr>
          <w:szCs w:val="22"/>
        </w:rPr>
        <w:t>, Inc.</w:t>
      </w:r>
      <w:r w:rsidRPr="00FD2C3C">
        <w:rPr>
          <w:szCs w:val="22"/>
        </w:rPr>
        <w:t xml:space="preserve"> may not pursue any collection against Complainant for those charges.</w:t>
      </w:r>
    </w:p>
    <w:p w:rsidR="00AB71F2" w:rsidRPr="00305DCB" w:rsidP="00305DCB" w14:paraId="18F5E109" w14:textId="77777777">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BE0B0D" w14:paraId="2BC6D13D" w14:textId="77777777">
      <w:pPr>
        <w:spacing w:after="120"/>
        <w:ind w:left="4320" w:right="270"/>
        <w:rPr>
          <w:szCs w:val="22"/>
        </w:rPr>
      </w:pPr>
      <w:r>
        <w:rPr>
          <w:szCs w:val="22"/>
        </w:rPr>
        <w:t>FEDERAL COMMUNICATIONS COMMISSION</w:t>
      </w:r>
    </w:p>
    <w:p w:rsidR="00AB71F2" w:rsidP="005328A1" w14:paraId="0555E921" w14:textId="77777777">
      <w:pPr>
        <w:ind w:right="270"/>
        <w:rPr>
          <w:szCs w:val="22"/>
        </w:rPr>
      </w:pPr>
      <w:r>
        <w:rPr>
          <w:szCs w:val="22"/>
        </w:rPr>
        <w:tab/>
      </w:r>
      <w:r>
        <w:rPr>
          <w:szCs w:val="22"/>
        </w:rPr>
        <w:tab/>
      </w:r>
      <w:r>
        <w:rPr>
          <w:szCs w:val="22"/>
        </w:rPr>
        <w:tab/>
      </w:r>
      <w:r>
        <w:rPr>
          <w:szCs w:val="22"/>
        </w:rPr>
        <w:tab/>
      </w:r>
      <w:r>
        <w:rPr>
          <w:szCs w:val="22"/>
        </w:rPr>
        <w:tab/>
      </w:r>
    </w:p>
    <w:p w:rsidR="009A29DA" w:rsidP="005328A1" w14:paraId="4BDD53E8" w14:textId="77777777">
      <w:pPr>
        <w:ind w:right="270"/>
        <w:rPr>
          <w:szCs w:val="22"/>
        </w:rPr>
      </w:pPr>
    </w:p>
    <w:p w:rsidR="009A29DA" w:rsidP="005328A1" w14:paraId="04E8B89C" w14:textId="77777777">
      <w:pPr>
        <w:ind w:right="270"/>
        <w:rPr>
          <w:szCs w:val="22"/>
        </w:rPr>
      </w:pPr>
    </w:p>
    <w:p w:rsidR="009A29DA" w:rsidP="005328A1" w14:paraId="6EFEFD87" w14:textId="77777777">
      <w:pPr>
        <w:ind w:right="270"/>
        <w:rPr>
          <w:szCs w:val="22"/>
        </w:rPr>
      </w:pPr>
    </w:p>
    <w:p w:rsidR="009305B8" w:rsidRPr="009305B8" w:rsidP="00BE0B0D" w14:paraId="47512179" w14:textId="77777777">
      <w:pPr>
        <w:ind w:left="4320" w:right="270"/>
        <w:rPr>
          <w:szCs w:val="22"/>
        </w:rPr>
      </w:pPr>
      <w:r w:rsidRPr="009305B8">
        <w:rPr>
          <w:szCs w:val="22"/>
        </w:rPr>
        <w:t>Kurt A. Schroeder</w:t>
      </w:r>
    </w:p>
    <w:p w:rsidR="009305B8" w:rsidRPr="009305B8" w:rsidP="00BE0B0D" w14:paraId="0E7DFB7F" w14:textId="77777777">
      <w:pPr>
        <w:ind w:left="4320" w:right="270"/>
        <w:rPr>
          <w:szCs w:val="22"/>
        </w:rPr>
      </w:pPr>
      <w:r w:rsidRPr="009305B8">
        <w:rPr>
          <w:szCs w:val="22"/>
        </w:rPr>
        <w:t>Chief</w:t>
      </w:r>
    </w:p>
    <w:p w:rsidR="009305B8" w:rsidRPr="009305B8" w:rsidP="00BE0B0D" w14:paraId="1225F721" w14:textId="77777777">
      <w:pPr>
        <w:ind w:left="4320" w:right="270"/>
        <w:rPr>
          <w:szCs w:val="22"/>
        </w:rPr>
      </w:pPr>
      <w:r w:rsidRPr="009305B8">
        <w:rPr>
          <w:szCs w:val="22"/>
        </w:rPr>
        <w:t>Consumer Policy Division</w:t>
      </w:r>
    </w:p>
    <w:p w:rsidR="009305B8" w:rsidRPr="009305B8" w:rsidP="00BE0B0D" w14:paraId="5586651C" w14:textId="77777777">
      <w:pPr>
        <w:ind w:left="4320" w:right="270"/>
        <w:rPr>
          <w:szCs w:val="22"/>
        </w:rPr>
      </w:pPr>
      <w:r w:rsidRPr="009305B8">
        <w:rPr>
          <w:szCs w:val="22"/>
        </w:rPr>
        <w:t>Consumer and Governmental Affairs Bureau</w:t>
      </w:r>
    </w:p>
    <w:p w:rsidR="009A29DA" w:rsidP="00BE0B0D" w14:paraId="1FE1BEE3" w14:textId="77777777">
      <w:pPr>
        <w:ind w:right="270"/>
        <w:rPr>
          <w:szCs w:val="22"/>
        </w:rPr>
      </w:pPr>
    </w:p>
    <w:p w:rsidR="00EB19A2" w:rsidP="005328A1" w14:paraId="3264CA88" w14:textId="77777777">
      <w:pPr>
        <w:ind w:right="270"/>
        <w:rPr>
          <w:szCs w:val="22"/>
        </w:rPr>
      </w:pPr>
    </w:p>
    <w:p w:rsidR="00AB71F2" w:rsidP="00AB71F2" w14:paraId="5FBA827F" w14:textId="77777777">
      <w:pPr>
        <w:ind w:left="540"/>
        <w:rPr>
          <w:szCs w:val="22"/>
        </w:rPr>
      </w:pPr>
    </w:p>
    <w:p w:rsidR="00AB71F2" w:rsidP="00AB71F2" w14:paraId="112D19BB" w14:textId="77777777">
      <w:pPr>
        <w:ind w:right="270"/>
        <w:jc w:val="cente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0A8D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6E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2025E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FECE0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3282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742E" w14:paraId="58582F03" w14:textId="77777777">
      <w:r>
        <w:separator/>
      </w:r>
    </w:p>
  </w:footnote>
  <w:footnote w:type="continuationSeparator" w:id="1">
    <w:p w:rsidR="00AE742E" w:rsidP="00C721AC" w14:paraId="731A29A9" w14:textId="77777777">
      <w:pPr>
        <w:spacing w:before="120"/>
        <w:rPr>
          <w:sz w:val="20"/>
        </w:rPr>
      </w:pPr>
      <w:r>
        <w:rPr>
          <w:sz w:val="20"/>
        </w:rPr>
        <w:t xml:space="preserve">(Continued from previous page)  </w:t>
      </w:r>
      <w:r>
        <w:rPr>
          <w:sz w:val="20"/>
        </w:rPr>
        <w:separator/>
      </w:r>
    </w:p>
  </w:footnote>
  <w:footnote w:type="continuationNotice" w:id="2">
    <w:p w:rsidR="00AE742E" w:rsidP="00C721AC" w14:paraId="70170CFB" w14:textId="77777777">
      <w:pPr>
        <w:jc w:val="right"/>
        <w:rPr>
          <w:sz w:val="20"/>
        </w:rPr>
      </w:pPr>
      <w:r>
        <w:rPr>
          <w:sz w:val="20"/>
        </w:rPr>
        <w:t>(continued….)</w:t>
      </w:r>
    </w:p>
  </w:footnote>
  <w:footnote w:id="3">
    <w:p w:rsidR="00AB71F2" w:rsidP="00AB71F2" w14:paraId="3D647656" w14:textId="377D4EF1">
      <w:pPr>
        <w:pStyle w:val="FootnoteText"/>
      </w:pPr>
      <w:r>
        <w:rPr>
          <w:rStyle w:val="FootnoteReference"/>
        </w:rPr>
        <w:footnoteRef/>
      </w:r>
      <w:r>
        <w:t xml:space="preserve"> </w:t>
      </w:r>
      <w:r w:rsidR="006533AA">
        <w:rPr>
          <w:i/>
        </w:rPr>
        <w:t>See</w:t>
      </w:r>
      <w:r w:rsidR="006533AA">
        <w:t xml:space="preserve"> Informal Complaint No. </w:t>
      </w:r>
      <w:r w:rsidR="007402FD">
        <w:t>4</w:t>
      </w:r>
      <w:r w:rsidR="00183A11">
        <w:t>626555</w:t>
      </w:r>
      <w:r w:rsidR="006533AA">
        <w:t xml:space="preserve"> (filed </w:t>
      </w:r>
      <w:r w:rsidR="00183A11">
        <w:t>Mar</w:t>
      </w:r>
      <w:r w:rsidR="00DA1819">
        <w:t>.</w:t>
      </w:r>
      <w:r w:rsidR="007402FD">
        <w:t xml:space="preserve"> </w:t>
      </w:r>
      <w:r w:rsidR="00DA1819">
        <w:t>16</w:t>
      </w:r>
      <w:r w:rsidR="007402FD">
        <w:t>, 202</w:t>
      </w:r>
      <w:r w:rsidR="00183A11">
        <w:t>1</w:t>
      </w:r>
      <w:r w:rsidR="006533AA">
        <w:t xml:space="preserve">); </w:t>
      </w:r>
      <w:r w:rsidR="006533AA">
        <w:rPr>
          <w:i/>
        </w:rPr>
        <w:t>s</w:t>
      </w:r>
      <w:r>
        <w:rPr>
          <w:i/>
        </w:rPr>
        <w:t>ee</w:t>
      </w:r>
      <w:r w:rsidR="006533AA">
        <w:rPr>
          <w:i/>
        </w:rPr>
        <w:t xml:space="preserve"> also</w:t>
      </w:r>
      <w:r>
        <w:t xml:space="preserve"> 47 CFR §§ 64.1100 – 64.1190.</w:t>
      </w:r>
    </w:p>
  </w:footnote>
  <w:footnote w:id="4">
    <w:p w:rsidR="00AB71F2" w:rsidP="00AB71F2" w14:paraId="521CA160" w14:textId="77777777">
      <w:pPr>
        <w:pStyle w:val="FootnoteText"/>
      </w:pPr>
      <w:r>
        <w:rPr>
          <w:rStyle w:val="FootnoteReference"/>
        </w:rPr>
        <w:footnoteRef/>
      </w:r>
      <w:r>
        <w:t xml:space="preserve"> 47 U.S.C. § 258(a).</w:t>
      </w:r>
    </w:p>
  </w:footnote>
  <w:footnote w:id="5">
    <w:p w:rsidR="00AB71F2" w:rsidP="00AB71F2" w14:paraId="2F67BB70"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14:paraId="398E902E" w14:textId="77777777">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14:paraId="2D3DFC0B" w14:textId="77777777">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14:paraId="3DFB08D7" w14:textId="77777777">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14:paraId="628EE796" w14:textId="130CE09C">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 xml:space="preserve">)(A). </w:t>
      </w:r>
    </w:p>
  </w:footnote>
  <w:footnote w:id="10">
    <w:p w:rsidR="00305DCB" w14:paraId="1F574A46"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14:paraId="72C91EAB" w14:textId="53B0DF2E">
      <w:pPr>
        <w:pStyle w:val="FootnoteText"/>
      </w:pPr>
      <w:r>
        <w:rPr>
          <w:rStyle w:val="FootnoteReference"/>
        </w:rPr>
        <w:footnoteRef/>
      </w:r>
      <w:r>
        <w:t xml:space="preserve"> </w:t>
      </w:r>
      <w:r w:rsidRPr="00305DCB">
        <w:rPr>
          <w:i/>
        </w:rPr>
        <w:t>See</w:t>
      </w:r>
      <w:r>
        <w:t xml:space="preserve"> Informal Complaint No. </w:t>
      </w:r>
      <w:r w:rsidR="009A29DA">
        <w:t>4</w:t>
      </w:r>
      <w:r w:rsidR="00453E30">
        <w:t>626555</w:t>
      </w:r>
      <w:r>
        <w:t>.</w:t>
      </w:r>
    </w:p>
  </w:footnote>
  <w:footnote w:id="12">
    <w:p w:rsidR="00EE67D0" w14:paraId="28AA6BA7" w14:textId="77777777">
      <w:pPr>
        <w:pStyle w:val="FootnoteText"/>
      </w:pPr>
      <w:r>
        <w:rPr>
          <w:rStyle w:val="FootnoteReference"/>
        </w:rPr>
        <w:footnoteRef/>
      </w:r>
      <w:r>
        <w:t xml:space="preserve"> </w:t>
      </w:r>
      <w:r w:rsidRPr="00EE67D0">
        <w:rPr>
          <w:i/>
          <w:iCs/>
        </w:rPr>
        <w:t>Id</w:t>
      </w:r>
      <w:r>
        <w:t>.</w:t>
      </w:r>
    </w:p>
  </w:footnote>
  <w:footnote w:id="13">
    <w:p w:rsidR="002B63B8" w:rsidP="002B63B8" w14:paraId="2CF09DF1" w14:textId="5F2D8B8B">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r w:rsidR="003146CD">
        <w:t xml:space="preserve"> </w:t>
      </w:r>
    </w:p>
  </w:footnote>
  <w:footnote w:id="14">
    <w:p w:rsidR="002B63B8" w14:paraId="25E7E9D7" w14:textId="7428E474">
      <w:pPr>
        <w:pStyle w:val="FootnoteText"/>
      </w:pPr>
      <w:r>
        <w:rPr>
          <w:rStyle w:val="FootnoteReference"/>
        </w:rPr>
        <w:footnoteRef/>
      </w:r>
      <w:r>
        <w:t xml:space="preserve"> </w:t>
      </w:r>
      <w:r w:rsidR="007402FD">
        <w:t>Clear Rate</w:t>
      </w:r>
      <w:r>
        <w:t xml:space="preserve"> Response to Informal Complaint No. </w:t>
      </w:r>
      <w:r w:rsidR="00453E30">
        <w:t>4626555</w:t>
      </w:r>
      <w:r>
        <w:t xml:space="preserve"> (filed </w:t>
      </w:r>
      <w:r w:rsidR="00453E30">
        <w:t>Apr</w:t>
      </w:r>
      <w:r w:rsidR="00834721">
        <w:t>.</w:t>
      </w:r>
      <w:r w:rsidR="009A29DA">
        <w:t xml:space="preserve"> </w:t>
      </w:r>
      <w:r w:rsidR="00453E30">
        <w:t>19</w:t>
      </w:r>
      <w:r w:rsidR="009A29DA">
        <w:t>, 202</w:t>
      </w:r>
      <w:r w:rsidR="00453E30">
        <w:t>1</w:t>
      </w:r>
      <w:r>
        <w:t>).</w:t>
      </w:r>
    </w:p>
  </w:footnote>
  <w:footnote w:id="15">
    <w:p w:rsidR="003D20F8" w:rsidP="003D20F8" w14:paraId="1FC2AAF2" w14:textId="77777777">
      <w:pPr>
        <w:pStyle w:val="FootnoteText"/>
      </w:pPr>
      <w:r>
        <w:rPr>
          <w:rStyle w:val="FootnoteReference"/>
        </w:rPr>
        <w:footnoteRef/>
      </w:r>
      <w:r>
        <w:t xml:space="preserve"> </w:t>
      </w:r>
      <w:r w:rsidR="00AF1C3B">
        <w:rPr>
          <w:iCs/>
        </w:rPr>
        <w:t>47 CFR</w:t>
      </w:r>
      <w:r>
        <w:t xml:space="preserve"> § 64.1120(c)(3)(iii).</w:t>
      </w:r>
    </w:p>
  </w:footnote>
  <w:footnote w:id="16">
    <w:p w:rsidR="00F71C58" w:rsidRPr="003D1861" w:rsidP="00F71C58" w14:paraId="6A76FC30" w14:textId="4ADFA852">
      <w:pPr>
        <w:pStyle w:val="FootnoteText"/>
      </w:pPr>
      <w:r>
        <w:rPr>
          <w:rStyle w:val="FootnoteReference"/>
        </w:rPr>
        <w:footnoteRef/>
      </w:r>
      <w:r>
        <w:t xml:space="preserve"> </w:t>
      </w:r>
      <w:r w:rsidRPr="003D1861">
        <w:rPr>
          <w:i/>
        </w:rPr>
        <w:t>See</w:t>
      </w:r>
      <w:r>
        <w:rPr>
          <w:iCs/>
        </w:rPr>
        <w:t xml:space="preserve"> </w:t>
      </w:r>
      <w:r w:rsidR="00AF1C3B">
        <w:rPr>
          <w:i/>
        </w:rPr>
        <w:t>id.</w:t>
      </w:r>
      <w:r>
        <w:t xml:space="preserve"> § 64.1150(d).  We also find Complainant’s allegation of a sales call mis</w:t>
      </w:r>
      <w:r w:rsidR="00834721">
        <w:t>re</w:t>
      </w:r>
      <w:r>
        <w:t>presentation to be credible</w:t>
      </w:r>
      <w:r w:rsidR="00834721">
        <w:t>,</w:t>
      </w:r>
      <w:r>
        <w:t xml:space="preserve"> and that Clear Rate failed to provide persuasive evidence to rebut Complainant’s claim of misrepresentation.  Thus, even if Clear Rate had provided a facially valid TPV, Complainant’s authorization would not be considered binding.  </w:t>
      </w:r>
      <w:r w:rsidRPr="00F71C58">
        <w:rPr>
          <w:i/>
          <w:iCs/>
        </w:rPr>
        <w:t xml:space="preserve">See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7">
    <w:p w:rsidR="00F71C58" w:rsidP="00F71C58" w14:paraId="71B5B8B1" w14:textId="7E1B9756">
      <w:pPr>
        <w:pStyle w:val="FootnoteText"/>
        <w:tabs>
          <w:tab w:val="left" w:pos="0"/>
        </w:tabs>
      </w:pPr>
      <w:r>
        <w:rPr>
          <w:rStyle w:val="FootnoteReference"/>
        </w:rPr>
        <w:footnoteRef/>
      </w:r>
      <w:r>
        <w:t xml:space="preserve"> If Complainant is unsatisfied with the resolution of its complaint, Complainant may file a formal complaint with the Commission pursuant to Section 1.721 of the Commission’s rules.  </w:t>
      </w:r>
      <w:r w:rsidR="00BA621C">
        <w:rPr>
          <w:iCs/>
        </w:rPr>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8">
    <w:p w:rsidR="00D20DC8" w:rsidP="00D20DC8" w14:paraId="75B51085" w14:textId="77777777">
      <w:pPr>
        <w:pStyle w:val="FootnoteText"/>
      </w:pPr>
      <w:r>
        <w:rPr>
          <w:rStyle w:val="FootnoteReference"/>
        </w:rPr>
        <w:footnoteRef/>
      </w:r>
      <w:r>
        <w:t xml:space="preserve"> </w:t>
      </w:r>
      <w:r>
        <w:rPr>
          <w:i/>
        </w:rPr>
        <w:t xml:space="preserve">See id. </w:t>
      </w:r>
      <w:r>
        <w:t>§ 64.1160(b).</w:t>
      </w:r>
    </w:p>
  </w:footnote>
  <w:footnote w:id="19">
    <w:p w:rsidR="00D20DC8" w:rsidP="00D20DC8" w14:paraId="3E47A259" w14:textId="77777777">
      <w:pPr>
        <w:pStyle w:val="FootnoteText"/>
      </w:pPr>
      <w:r>
        <w:rPr>
          <w:rStyle w:val="FootnoteReference"/>
        </w:rPr>
        <w:footnoteRef/>
      </w:r>
      <w:r>
        <w:t xml:space="preserve"> </w:t>
      </w:r>
      <w:r>
        <w:rPr>
          <w:i/>
        </w:rPr>
        <w:t xml:space="preserve">See id. </w:t>
      </w:r>
      <w:r>
        <w:t>§ 64.1160(d).</w:t>
      </w:r>
    </w:p>
  </w:footnote>
  <w:footnote w:id="20">
    <w:p w:rsidR="00D20DC8" w:rsidP="00D20DC8" w14:paraId="5D2BF6B0" w14:textId="77777777">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6BFA9" w14:textId="24735FA3">
    <w:pPr>
      <w:pStyle w:val="Header"/>
      <w:rPr>
        <w:b w:val="0"/>
      </w:rPr>
    </w:pPr>
    <w:r>
      <w:tab/>
      <w:t>Federal Communications Commission</w:t>
    </w:r>
    <w:r>
      <w:tab/>
    </w:r>
    <w:r w:rsidR="00A138E2">
      <w:t xml:space="preserve">DA </w:t>
    </w:r>
    <w:r w:rsidR="007402FD">
      <w:t>2</w:t>
    </w:r>
    <w:r w:rsidR="00183A11">
      <w:t>1</w:t>
    </w:r>
    <w:r w:rsidR="00A138E2">
      <w:t>-</w:t>
    </w:r>
    <w:r w:rsidR="00755BFC">
      <w:t>531</w:t>
    </w:r>
  </w:p>
  <w:p w:rsidR="00D25FB5" w14:paraId="0A24C42F" w14:textId="3FDFE164">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4256DF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5AFAED" w14:textId="678AA4C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A138E2">
      <w:rPr>
        <w:spacing w:val="-2"/>
      </w:rPr>
      <w:t xml:space="preserve">DA </w:t>
    </w:r>
    <w:r w:rsidR="007402FD">
      <w:rPr>
        <w:spacing w:val="-2"/>
      </w:rPr>
      <w:t>2</w:t>
    </w:r>
    <w:r w:rsidR="00183A11">
      <w:rPr>
        <w:spacing w:val="-2"/>
      </w:rPr>
      <w:t>1</w:t>
    </w:r>
    <w:r w:rsidR="00A138E2">
      <w:rPr>
        <w:spacing w:val="-2"/>
      </w:rPr>
      <w:t>-</w:t>
    </w:r>
    <w:r w:rsidR="00755BFC">
      <w:rPr>
        <w:spacing w:val="-2"/>
      </w:rPr>
      <w:t>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04940"/>
    <w:rsid w:val="00005C3D"/>
    <w:rsid w:val="000237AB"/>
    <w:rsid w:val="00036039"/>
    <w:rsid w:val="00037F90"/>
    <w:rsid w:val="000460DE"/>
    <w:rsid w:val="000535F6"/>
    <w:rsid w:val="00060FC4"/>
    <w:rsid w:val="00081BB4"/>
    <w:rsid w:val="00086ACF"/>
    <w:rsid w:val="000875BF"/>
    <w:rsid w:val="00092CF6"/>
    <w:rsid w:val="00096D8C"/>
    <w:rsid w:val="000B22F5"/>
    <w:rsid w:val="000B4543"/>
    <w:rsid w:val="000C0B65"/>
    <w:rsid w:val="000C3E16"/>
    <w:rsid w:val="000C4F78"/>
    <w:rsid w:val="000C5F90"/>
    <w:rsid w:val="000E05FE"/>
    <w:rsid w:val="000E3D42"/>
    <w:rsid w:val="00106F6E"/>
    <w:rsid w:val="0012074E"/>
    <w:rsid w:val="00122BD5"/>
    <w:rsid w:val="00133F79"/>
    <w:rsid w:val="00142D97"/>
    <w:rsid w:val="00183A11"/>
    <w:rsid w:val="00194A66"/>
    <w:rsid w:val="001A2658"/>
    <w:rsid w:val="001A53ED"/>
    <w:rsid w:val="001A6685"/>
    <w:rsid w:val="001B1CAF"/>
    <w:rsid w:val="001B5468"/>
    <w:rsid w:val="001B7EAB"/>
    <w:rsid w:val="001C0B77"/>
    <w:rsid w:val="001D02F5"/>
    <w:rsid w:val="001D59F7"/>
    <w:rsid w:val="001D6BCF"/>
    <w:rsid w:val="001D73F3"/>
    <w:rsid w:val="001E01CA"/>
    <w:rsid w:val="002253B7"/>
    <w:rsid w:val="00237F60"/>
    <w:rsid w:val="00263A71"/>
    <w:rsid w:val="0027255B"/>
    <w:rsid w:val="00275CF5"/>
    <w:rsid w:val="0028301F"/>
    <w:rsid w:val="00285017"/>
    <w:rsid w:val="002A2D2E"/>
    <w:rsid w:val="002A45AF"/>
    <w:rsid w:val="002B140C"/>
    <w:rsid w:val="002B63B8"/>
    <w:rsid w:val="002B6E9B"/>
    <w:rsid w:val="002C00B4"/>
    <w:rsid w:val="002C00E8"/>
    <w:rsid w:val="002C36F1"/>
    <w:rsid w:val="002F09DF"/>
    <w:rsid w:val="00301DE3"/>
    <w:rsid w:val="00305DCB"/>
    <w:rsid w:val="00311848"/>
    <w:rsid w:val="003146CD"/>
    <w:rsid w:val="00324EF7"/>
    <w:rsid w:val="00342416"/>
    <w:rsid w:val="00343749"/>
    <w:rsid w:val="0034525B"/>
    <w:rsid w:val="00357AA1"/>
    <w:rsid w:val="003660ED"/>
    <w:rsid w:val="00380442"/>
    <w:rsid w:val="003B0550"/>
    <w:rsid w:val="003B3670"/>
    <w:rsid w:val="003B694F"/>
    <w:rsid w:val="003C5902"/>
    <w:rsid w:val="003D1861"/>
    <w:rsid w:val="003D20F8"/>
    <w:rsid w:val="003D6481"/>
    <w:rsid w:val="003F171C"/>
    <w:rsid w:val="003F2A11"/>
    <w:rsid w:val="003F6DFB"/>
    <w:rsid w:val="00412FC5"/>
    <w:rsid w:val="00422276"/>
    <w:rsid w:val="004242F1"/>
    <w:rsid w:val="00427A5D"/>
    <w:rsid w:val="00445A00"/>
    <w:rsid w:val="00451B0F"/>
    <w:rsid w:val="00453E30"/>
    <w:rsid w:val="00470EAA"/>
    <w:rsid w:val="004851C4"/>
    <w:rsid w:val="004C2EE3"/>
    <w:rsid w:val="004C7C92"/>
    <w:rsid w:val="004D22BB"/>
    <w:rsid w:val="004E4A22"/>
    <w:rsid w:val="004E65EF"/>
    <w:rsid w:val="004F7A19"/>
    <w:rsid w:val="005047E6"/>
    <w:rsid w:val="00506B4B"/>
    <w:rsid w:val="00511968"/>
    <w:rsid w:val="005146FB"/>
    <w:rsid w:val="00530827"/>
    <w:rsid w:val="005328A1"/>
    <w:rsid w:val="0055614C"/>
    <w:rsid w:val="005607EC"/>
    <w:rsid w:val="0056611F"/>
    <w:rsid w:val="0056687D"/>
    <w:rsid w:val="00566D06"/>
    <w:rsid w:val="005937C4"/>
    <w:rsid w:val="00595EB8"/>
    <w:rsid w:val="005C37E9"/>
    <w:rsid w:val="005D1258"/>
    <w:rsid w:val="005D20F0"/>
    <w:rsid w:val="005D5735"/>
    <w:rsid w:val="005E14C2"/>
    <w:rsid w:val="00607BA5"/>
    <w:rsid w:val="0061180A"/>
    <w:rsid w:val="00626EB6"/>
    <w:rsid w:val="00641F04"/>
    <w:rsid w:val="006533AA"/>
    <w:rsid w:val="00655D03"/>
    <w:rsid w:val="00666634"/>
    <w:rsid w:val="0067532A"/>
    <w:rsid w:val="00683388"/>
    <w:rsid w:val="00683F84"/>
    <w:rsid w:val="006A6A81"/>
    <w:rsid w:val="006B1727"/>
    <w:rsid w:val="006D19EC"/>
    <w:rsid w:val="006D44BD"/>
    <w:rsid w:val="006D6CC3"/>
    <w:rsid w:val="006D7353"/>
    <w:rsid w:val="006F7393"/>
    <w:rsid w:val="0070207F"/>
    <w:rsid w:val="0070224F"/>
    <w:rsid w:val="007115F7"/>
    <w:rsid w:val="007402FD"/>
    <w:rsid w:val="00741B47"/>
    <w:rsid w:val="00747C81"/>
    <w:rsid w:val="00755BFC"/>
    <w:rsid w:val="0077476A"/>
    <w:rsid w:val="00785689"/>
    <w:rsid w:val="0079754B"/>
    <w:rsid w:val="007A1E6D"/>
    <w:rsid w:val="007B0EB2"/>
    <w:rsid w:val="007D10ED"/>
    <w:rsid w:val="007D357A"/>
    <w:rsid w:val="007D3C07"/>
    <w:rsid w:val="007D751F"/>
    <w:rsid w:val="00810B6F"/>
    <w:rsid w:val="00822CE0"/>
    <w:rsid w:val="00834721"/>
    <w:rsid w:val="00841AB1"/>
    <w:rsid w:val="00847D23"/>
    <w:rsid w:val="00856C22"/>
    <w:rsid w:val="00894893"/>
    <w:rsid w:val="008A59F3"/>
    <w:rsid w:val="008C05AC"/>
    <w:rsid w:val="008C68F1"/>
    <w:rsid w:val="008E3ACB"/>
    <w:rsid w:val="008F5FAB"/>
    <w:rsid w:val="008F7313"/>
    <w:rsid w:val="00910BBB"/>
    <w:rsid w:val="00912AF3"/>
    <w:rsid w:val="009150D7"/>
    <w:rsid w:val="00921803"/>
    <w:rsid w:val="00926503"/>
    <w:rsid w:val="009305B8"/>
    <w:rsid w:val="0093379B"/>
    <w:rsid w:val="009726D8"/>
    <w:rsid w:val="00982D35"/>
    <w:rsid w:val="009971D7"/>
    <w:rsid w:val="009A29DA"/>
    <w:rsid w:val="009B44FB"/>
    <w:rsid w:val="009B7731"/>
    <w:rsid w:val="009D4E1C"/>
    <w:rsid w:val="009D72F3"/>
    <w:rsid w:val="009D7308"/>
    <w:rsid w:val="009E714E"/>
    <w:rsid w:val="009F6F0E"/>
    <w:rsid w:val="009F76DB"/>
    <w:rsid w:val="00A10275"/>
    <w:rsid w:val="00A133FC"/>
    <w:rsid w:val="00A138E2"/>
    <w:rsid w:val="00A32C3B"/>
    <w:rsid w:val="00A37BE7"/>
    <w:rsid w:val="00A447E0"/>
    <w:rsid w:val="00A45F4F"/>
    <w:rsid w:val="00A54926"/>
    <w:rsid w:val="00A600A9"/>
    <w:rsid w:val="00A87E8F"/>
    <w:rsid w:val="00AA55B7"/>
    <w:rsid w:val="00AA5B9E"/>
    <w:rsid w:val="00AB2407"/>
    <w:rsid w:val="00AB53DF"/>
    <w:rsid w:val="00AB71F2"/>
    <w:rsid w:val="00AD126E"/>
    <w:rsid w:val="00AE3A7B"/>
    <w:rsid w:val="00AE742E"/>
    <w:rsid w:val="00AF1C3B"/>
    <w:rsid w:val="00AF5356"/>
    <w:rsid w:val="00AF77EB"/>
    <w:rsid w:val="00B07E5C"/>
    <w:rsid w:val="00B320AE"/>
    <w:rsid w:val="00B32DB6"/>
    <w:rsid w:val="00B3671E"/>
    <w:rsid w:val="00B55F90"/>
    <w:rsid w:val="00B73B55"/>
    <w:rsid w:val="00B76B8B"/>
    <w:rsid w:val="00B76BB9"/>
    <w:rsid w:val="00B811F7"/>
    <w:rsid w:val="00B83BA2"/>
    <w:rsid w:val="00B85F3F"/>
    <w:rsid w:val="00B91009"/>
    <w:rsid w:val="00BA5BB7"/>
    <w:rsid w:val="00BA5DC6"/>
    <w:rsid w:val="00BA6196"/>
    <w:rsid w:val="00BA621C"/>
    <w:rsid w:val="00BA7C1E"/>
    <w:rsid w:val="00BC6D8C"/>
    <w:rsid w:val="00BE08CA"/>
    <w:rsid w:val="00BE0B0D"/>
    <w:rsid w:val="00BF1E19"/>
    <w:rsid w:val="00C0474C"/>
    <w:rsid w:val="00C34006"/>
    <w:rsid w:val="00C36B4C"/>
    <w:rsid w:val="00C426B1"/>
    <w:rsid w:val="00C66160"/>
    <w:rsid w:val="00C721AC"/>
    <w:rsid w:val="00C74A8A"/>
    <w:rsid w:val="00C80625"/>
    <w:rsid w:val="00C82624"/>
    <w:rsid w:val="00C90D6A"/>
    <w:rsid w:val="00CA247E"/>
    <w:rsid w:val="00CA6D21"/>
    <w:rsid w:val="00CA752A"/>
    <w:rsid w:val="00CC5A9C"/>
    <w:rsid w:val="00CC72B6"/>
    <w:rsid w:val="00CE27A1"/>
    <w:rsid w:val="00CE4112"/>
    <w:rsid w:val="00CE5BF4"/>
    <w:rsid w:val="00CF2AA9"/>
    <w:rsid w:val="00D0218D"/>
    <w:rsid w:val="00D20DC8"/>
    <w:rsid w:val="00D25FB5"/>
    <w:rsid w:val="00D26A9E"/>
    <w:rsid w:val="00D33E46"/>
    <w:rsid w:val="00D44223"/>
    <w:rsid w:val="00D46AA1"/>
    <w:rsid w:val="00D54B97"/>
    <w:rsid w:val="00D54E72"/>
    <w:rsid w:val="00D7648A"/>
    <w:rsid w:val="00D77547"/>
    <w:rsid w:val="00D828A7"/>
    <w:rsid w:val="00D97FFA"/>
    <w:rsid w:val="00DA1819"/>
    <w:rsid w:val="00DA2529"/>
    <w:rsid w:val="00DB130A"/>
    <w:rsid w:val="00DB138B"/>
    <w:rsid w:val="00DB2EBB"/>
    <w:rsid w:val="00DB3243"/>
    <w:rsid w:val="00DB4AEC"/>
    <w:rsid w:val="00DB58F8"/>
    <w:rsid w:val="00DC10A1"/>
    <w:rsid w:val="00DC300A"/>
    <w:rsid w:val="00DC655F"/>
    <w:rsid w:val="00DD0B59"/>
    <w:rsid w:val="00DD7EBD"/>
    <w:rsid w:val="00DF0EC4"/>
    <w:rsid w:val="00DF62B6"/>
    <w:rsid w:val="00E015BA"/>
    <w:rsid w:val="00E02BC7"/>
    <w:rsid w:val="00E03D88"/>
    <w:rsid w:val="00E07225"/>
    <w:rsid w:val="00E342E6"/>
    <w:rsid w:val="00E5409F"/>
    <w:rsid w:val="00E55DC5"/>
    <w:rsid w:val="00E9403B"/>
    <w:rsid w:val="00EA4AE1"/>
    <w:rsid w:val="00EB19A2"/>
    <w:rsid w:val="00EC6863"/>
    <w:rsid w:val="00EE6488"/>
    <w:rsid w:val="00EE67D0"/>
    <w:rsid w:val="00EF3395"/>
    <w:rsid w:val="00F021FA"/>
    <w:rsid w:val="00F053DA"/>
    <w:rsid w:val="00F16BEA"/>
    <w:rsid w:val="00F22472"/>
    <w:rsid w:val="00F36DE1"/>
    <w:rsid w:val="00F576B9"/>
    <w:rsid w:val="00F61D10"/>
    <w:rsid w:val="00F62E97"/>
    <w:rsid w:val="00F64209"/>
    <w:rsid w:val="00F71C58"/>
    <w:rsid w:val="00F75885"/>
    <w:rsid w:val="00F93BF5"/>
    <w:rsid w:val="00FD2C3C"/>
    <w:rsid w:val="00FD493B"/>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E59D1"/>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