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pPr>
        <w:jc w:val="right"/>
        <w:rPr>
          <w:sz w:val="24"/>
        </w:rPr>
      </w:pPr>
    </w:p>
    <w:p w:rsidR="00013A8B" w:rsidRPr="00B20363" w:rsidP="00013A8B">
      <w:pPr>
        <w:jc w:val="right"/>
        <w:rPr>
          <w:b/>
          <w:sz w:val="24"/>
        </w:rPr>
      </w:pPr>
      <w:r>
        <w:rPr>
          <w:b/>
          <w:sz w:val="24"/>
        </w:rPr>
        <w:t>DA 21-53</w:t>
      </w:r>
    </w:p>
    <w:p w:rsidR="00013A8B" w:rsidRPr="00B20363" w:rsidP="00013A8B">
      <w:pPr>
        <w:spacing w:before="60"/>
        <w:jc w:val="right"/>
        <w:rPr>
          <w:b/>
          <w:sz w:val="24"/>
        </w:rPr>
      </w:pPr>
      <w:r>
        <w:rPr>
          <w:b/>
          <w:sz w:val="24"/>
        </w:rPr>
        <w:t xml:space="preserve">Released:  </w:t>
      </w:r>
      <w:r w:rsidR="00E31AAD">
        <w:rPr>
          <w:b/>
          <w:sz w:val="24"/>
        </w:rPr>
        <w:t>January 13, 2021</w:t>
      </w:r>
    </w:p>
    <w:p w:rsidR="00013A8B" w:rsidP="00013A8B">
      <w:pPr>
        <w:jc w:val="right"/>
        <w:rPr>
          <w:sz w:val="24"/>
        </w:rPr>
      </w:pPr>
    </w:p>
    <w:p w:rsidR="00DF6DE0" w:rsidRPr="00DF6DE0" w:rsidP="00DF6DE0">
      <w:pPr>
        <w:widowControl/>
        <w:jc w:val="center"/>
        <w:rPr>
          <w:rFonts w:eastAsia="Calibri"/>
          <w:b/>
          <w:caps/>
          <w:snapToGrid/>
          <w:kern w:val="0"/>
          <w:szCs w:val="22"/>
        </w:rPr>
      </w:pPr>
      <w:bookmarkStart w:id="0" w:name="_Hlk519509475"/>
      <w:bookmarkStart w:id="1" w:name="_Hlk502044717"/>
      <w:bookmarkStart w:id="2" w:name="_Hlk516578398"/>
      <w:r w:rsidRPr="00DF6DE0">
        <w:rPr>
          <w:b/>
          <w:bCs/>
          <w:snapToGrid/>
          <w:kern w:val="0"/>
          <w:szCs w:val="22"/>
        </w:rPr>
        <w:t xml:space="preserve">DOMESTIC </w:t>
      </w:r>
      <w:r w:rsidRPr="00DF6DE0">
        <w:rPr>
          <w:b/>
          <w:bCs/>
          <w:caps/>
          <w:snapToGrid/>
          <w:kern w:val="0"/>
          <w:szCs w:val="22"/>
        </w:rPr>
        <w:t>SECTION</w:t>
      </w:r>
      <w:r w:rsidRPr="00DF6DE0">
        <w:rPr>
          <w:b/>
          <w:bCs/>
          <w:snapToGrid/>
          <w:kern w:val="0"/>
          <w:szCs w:val="22"/>
        </w:rPr>
        <w:t xml:space="preserve"> 214 APPLICATION FILED FOR THE TRANSFER OF CONTROL OF</w:t>
      </w:r>
      <w:bookmarkEnd w:id="0"/>
      <w:bookmarkEnd w:id="1"/>
      <w:bookmarkEnd w:id="2"/>
      <w:r w:rsidRPr="00DF6DE0">
        <w:rPr>
          <w:b/>
          <w:bCs/>
          <w:snapToGrid/>
          <w:kern w:val="0"/>
          <w:szCs w:val="22"/>
        </w:rPr>
        <w:t xml:space="preserve"> AMERICAN BROADBAND COMMUNICATIONS, LLC TO ABC ACQUISITION INC.    </w:t>
      </w:r>
    </w:p>
    <w:p w:rsidR="00DF6DE0" w:rsidRPr="00DF6DE0" w:rsidP="00DF6DE0">
      <w:pPr>
        <w:widowControl/>
        <w:autoSpaceDE w:val="0"/>
        <w:autoSpaceDN w:val="0"/>
        <w:adjustRightInd w:val="0"/>
        <w:jc w:val="right"/>
        <w:rPr>
          <w:b/>
          <w:bCs/>
          <w:snapToGrid/>
          <w:kern w:val="0"/>
          <w:szCs w:val="22"/>
        </w:rPr>
      </w:pPr>
    </w:p>
    <w:p w:rsidR="00DF6DE0" w:rsidRPr="00DF6DE0" w:rsidP="00DF6DE0">
      <w:pPr>
        <w:widowControl/>
        <w:jc w:val="center"/>
        <w:rPr>
          <w:b/>
          <w:snapToGrid/>
          <w:kern w:val="0"/>
          <w:szCs w:val="22"/>
        </w:rPr>
      </w:pPr>
      <w:r w:rsidRPr="00DF6DE0">
        <w:rPr>
          <w:b/>
          <w:bCs/>
          <w:snapToGrid/>
          <w:kern w:val="0"/>
          <w:szCs w:val="22"/>
        </w:rPr>
        <w:t>STREA</w:t>
      </w:r>
      <w:r w:rsidRPr="00DF6DE0">
        <w:rPr>
          <w:b/>
          <w:snapToGrid/>
          <w:kern w:val="0"/>
          <w:szCs w:val="22"/>
        </w:rPr>
        <w:t>MLINED PLEADING CYCLE ESTABLISHED</w:t>
      </w:r>
    </w:p>
    <w:p w:rsidR="00DF6DE0" w:rsidRPr="00DF6DE0" w:rsidP="00DF6DE0">
      <w:pPr>
        <w:widowControl/>
        <w:jc w:val="center"/>
        <w:rPr>
          <w:b/>
          <w:snapToGrid/>
          <w:kern w:val="0"/>
          <w:szCs w:val="22"/>
        </w:rPr>
      </w:pPr>
    </w:p>
    <w:p w:rsidR="00DF6DE0" w:rsidRPr="00DF6DE0" w:rsidP="00DF6DE0">
      <w:pPr>
        <w:widowControl/>
        <w:jc w:val="center"/>
        <w:rPr>
          <w:b/>
          <w:snapToGrid/>
          <w:kern w:val="0"/>
          <w:szCs w:val="22"/>
        </w:rPr>
      </w:pPr>
      <w:r w:rsidRPr="00DF6DE0">
        <w:rPr>
          <w:b/>
          <w:snapToGrid/>
          <w:kern w:val="0"/>
          <w:szCs w:val="22"/>
        </w:rPr>
        <w:t xml:space="preserve"> WC Docket No. 20-438</w:t>
      </w:r>
    </w:p>
    <w:p w:rsidR="00F96F63" w:rsidRPr="00930ECF" w:rsidP="00F96F63">
      <w:pPr>
        <w:rPr>
          <w:sz w:val="24"/>
        </w:rPr>
      </w:pPr>
      <w:bookmarkStart w:id="3" w:name="TOChere"/>
    </w:p>
    <w:bookmarkEnd w:id="3"/>
    <w:p w:rsidR="00DF6DE0" w:rsidRPr="00DF6DE0" w:rsidP="00DF6DE0">
      <w:pPr>
        <w:widowControl/>
        <w:rPr>
          <w:b/>
          <w:snapToGrid/>
          <w:kern w:val="0"/>
          <w:szCs w:val="22"/>
        </w:rPr>
      </w:pPr>
      <w:r w:rsidRPr="00DF6DE0">
        <w:rPr>
          <w:b/>
          <w:snapToGrid/>
          <w:kern w:val="0"/>
          <w:szCs w:val="22"/>
        </w:rPr>
        <w:t xml:space="preserve">Comments Due:  January </w:t>
      </w:r>
      <w:r w:rsidR="00E31AAD">
        <w:rPr>
          <w:b/>
          <w:snapToGrid/>
          <w:kern w:val="0"/>
          <w:szCs w:val="22"/>
        </w:rPr>
        <w:t>27,</w:t>
      </w:r>
      <w:r w:rsidRPr="00DF6DE0">
        <w:rPr>
          <w:b/>
          <w:snapToGrid/>
          <w:kern w:val="0"/>
          <w:szCs w:val="22"/>
        </w:rPr>
        <w:t xml:space="preserve"> 2021</w:t>
      </w:r>
    </w:p>
    <w:p w:rsidR="00DF6DE0" w:rsidRPr="00DF6DE0" w:rsidP="00DF6DE0">
      <w:pPr>
        <w:widowControl/>
        <w:rPr>
          <w:b/>
          <w:snapToGrid/>
          <w:kern w:val="0"/>
          <w:szCs w:val="22"/>
        </w:rPr>
      </w:pPr>
      <w:r w:rsidRPr="00DF6DE0">
        <w:rPr>
          <w:b/>
          <w:snapToGrid/>
          <w:kern w:val="0"/>
          <w:szCs w:val="22"/>
        </w:rPr>
        <w:t xml:space="preserve">Reply Comments Due:  </w:t>
      </w:r>
      <w:r w:rsidR="00E31AAD">
        <w:rPr>
          <w:b/>
          <w:snapToGrid/>
          <w:kern w:val="0"/>
          <w:szCs w:val="22"/>
        </w:rPr>
        <w:t>February 3</w:t>
      </w:r>
      <w:r w:rsidRPr="00DF6DE0">
        <w:rPr>
          <w:b/>
          <w:snapToGrid/>
          <w:kern w:val="0"/>
          <w:szCs w:val="22"/>
        </w:rPr>
        <w:t>, 2021</w:t>
      </w:r>
    </w:p>
    <w:p w:rsidR="00DF6DE0" w:rsidRPr="00DF6DE0" w:rsidP="00DF6DE0">
      <w:pPr>
        <w:widowControl/>
        <w:tabs>
          <w:tab w:val="left" w:pos="6221"/>
        </w:tabs>
        <w:autoSpaceDE w:val="0"/>
        <w:autoSpaceDN w:val="0"/>
        <w:adjustRightInd w:val="0"/>
        <w:rPr>
          <w:snapToGrid/>
          <w:kern w:val="0"/>
          <w:szCs w:val="22"/>
        </w:rPr>
      </w:pPr>
      <w:r w:rsidRPr="00DF6DE0">
        <w:rPr>
          <w:snapToGrid/>
          <w:kern w:val="0"/>
          <w:szCs w:val="22"/>
        </w:rPr>
        <w:tab/>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By this Public Notice, the Wireline Competition Bureau seeks comment from interested parties on an application filed by American Broadband Communications, LLC (ABC) and ABC Acquisition Inc. (ABC Acquisition) (collectively, Applicants), pursuant to section 214 of the Communications Act of 1934, as amended, and sections 63.03-04 of the Commission’s rules, requesting consent to transfer control of the following wholly-owned subsidiaries of ABC’s direct subsidiary, American Broadband Holding Company (ABHC), to ABC Acquisition:  Cameron Communications, LLC (CCL), TelAlaska Long Distance, Inc. (TelAlaska LD), Holway Long Distance Company (Holway LD), HunTel Cablevision, Inc. (HunTel Cablevision), KLM Long Distance Company (KLM LD), Arlington Telephone Company (ATC), The Blair Telephone Company (Blair), Eastern Nebraska Telephone Company (ENTC), Rock County Telephone Company (RCTC), Holway Telephone Company (Holway Telco), K.L.M. Telephone Company (KLM Tel), Interior Telephone Company (Interior), Mukluk Telephone Company, Inc. (Mukluk), Cameron Telephone Company</w:t>
      </w:r>
      <w:r w:rsidR="00971578">
        <w:rPr>
          <w:snapToGrid/>
          <w:kern w:val="0"/>
          <w:szCs w:val="22"/>
        </w:rPr>
        <w:t>, L.L.C.</w:t>
      </w:r>
      <w:r w:rsidRPr="00DF6DE0">
        <w:rPr>
          <w:snapToGrid/>
          <w:kern w:val="0"/>
          <w:szCs w:val="22"/>
        </w:rPr>
        <w:t xml:space="preserve"> (CTC), Elizabeth Telephone Company L.L.C. (Elizabeth), and LBH, L.L.C. (LBH) (collectively, Section 214 Subsidiaries).</w:t>
      </w:r>
      <w:r w:rsidRPr="00DF6DE0">
        <w:rPr>
          <w:snapToGrid/>
          <w:kern w:val="0"/>
          <w:szCs w:val="22"/>
          <w:vertAlign w:val="superscript"/>
        </w:rPr>
        <w:t xml:space="preserve"> </w:t>
      </w:r>
      <w:r>
        <w:rPr>
          <w:snapToGrid/>
          <w:kern w:val="0"/>
          <w:szCs w:val="22"/>
          <w:vertAlign w:val="superscript"/>
        </w:rPr>
        <w:footnoteReference w:id="3"/>
      </w:r>
      <w:r w:rsidRPr="00DF6DE0">
        <w:rPr>
          <w:snapToGrid/>
          <w:kern w:val="0"/>
          <w:szCs w:val="22"/>
        </w:rPr>
        <w:t xml:space="preserve">     </w:t>
      </w:r>
    </w:p>
    <w:p w:rsidR="00DF6DE0" w:rsidRPr="00DF6DE0" w:rsidP="00DF6DE0">
      <w:pPr>
        <w:widowControl/>
        <w:spacing w:after="120"/>
        <w:ind w:firstLine="720"/>
        <w:rPr>
          <w:snapToGrid/>
          <w:kern w:val="0"/>
          <w:szCs w:val="22"/>
        </w:rPr>
      </w:pPr>
      <w:r w:rsidRPr="00DF6DE0">
        <w:rPr>
          <w:snapToGrid/>
          <w:kern w:val="0"/>
          <w:szCs w:val="22"/>
        </w:rPr>
        <w:t>ABC, a Delaware limited liability company, and ABHC, a Delaware corporation, are holding companies that do not directly provide telecommunications services.  All of the membership interests of ABC are currently owned and controlled by Jane R. Eudy, a U.S. citizen.  The Section 214 Subsidiaries are all U.S.-based and provide incumbent and competitive local exchange carrier (LEC) and other services</w:t>
      </w:r>
      <w:r w:rsidR="00971578">
        <w:rPr>
          <w:snapToGrid/>
          <w:kern w:val="0"/>
          <w:szCs w:val="22"/>
        </w:rPr>
        <w:t>.</w:t>
      </w:r>
      <w:r w:rsidRPr="00DF6DE0">
        <w:rPr>
          <w:snapToGrid/>
          <w:kern w:val="0"/>
          <w:szCs w:val="22"/>
        </w:rPr>
        <w:t xml:space="preserve">  CCL resells interstate and other services in the exchanges served by </w:t>
      </w:r>
      <w:r w:rsidR="00971578">
        <w:rPr>
          <w:snapToGrid/>
          <w:kern w:val="0"/>
          <w:szCs w:val="22"/>
        </w:rPr>
        <w:t xml:space="preserve">its wholly-owned subsidiaries, </w:t>
      </w:r>
      <w:r w:rsidRPr="00DF6DE0">
        <w:rPr>
          <w:snapToGrid/>
          <w:kern w:val="0"/>
          <w:szCs w:val="22"/>
        </w:rPr>
        <w:t>CTC, Elizabeth, and LBH in southwestern Louisiana and southeastern Texas</w:t>
      </w:r>
      <w:r w:rsidR="00971578">
        <w:rPr>
          <w:snapToGrid/>
          <w:kern w:val="0"/>
          <w:szCs w:val="22"/>
        </w:rPr>
        <w:t xml:space="preserve">.  </w:t>
      </w:r>
      <w:r w:rsidRPr="00DF6DE0">
        <w:rPr>
          <w:snapToGrid/>
          <w:kern w:val="0"/>
          <w:szCs w:val="22"/>
        </w:rPr>
        <w:t xml:space="preserve">CTC is an incumbent LEC in </w:t>
      </w:r>
      <w:r w:rsidR="00971578">
        <w:rPr>
          <w:snapToGrid/>
          <w:kern w:val="0"/>
          <w:szCs w:val="22"/>
        </w:rPr>
        <w:t xml:space="preserve">the </w:t>
      </w:r>
      <w:r w:rsidRPr="00DF6DE0">
        <w:rPr>
          <w:snapToGrid/>
          <w:kern w:val="0"/>
          <w:szCs w:val="22"/>
        </w:rPr>
        <w:t>Cameron and Calcasieu Parishes in Louisiana and in Jefferson, Chambers, Liberty and Galveston Counties in Texas</w:t>
      </w:r>
      <w:r>
        <w:rPr>
          <w:snapToGrid/>
          <w:kern w:val="0"/>
          <w:szCs w:val="22"/>
        </w:rPr>
        <w:t>;</w:t>
      </w:r>
      <w:r w:rsidRPr="00DF6DE0">
        <w:rPr>
          <w:snapToGrid/>
          <w:kern w:val="0"/>
          <w:szCs w:val="22"/>
        </w:rPr>
        <w:t xml:space="preserve"> Elizabeth is an incumbent LEC in </w:t>
      </w:r>
      <w:r w:rsidR="00971578">
        <w:rPr>
          <w:snapToGrid/>
          <w:kern w:val="0"/>
          <w:szCs w:val="22"/>
        </w:rPr>
        <w:t xml:space="preserve">the </w:t>
      </w:r>
      <w:r w:rsidRPr="00DF6DE0">
        <w:rPr>
          <w:snapToGrid/>
          <w:kern w:val="0"/>
          <w:szCs w:val="22"/>
        </w:rPr>
        <w:t>Allen, Vernon, Rapides</w:t>
      </w:r>
      <w:r w:rsidR="00971578">
        <w:rPr>
          <w:snapToGrid/>
          <w:kern w:val="0"/>
          <w:szCs w:val="22"/>
        </w:rPr>
        <w:t>,</w:t>
      </w:r>
      <w:r w:rsidRPr="00DF6DE0">
        <w:rPr>
          <w:snapToGrid/>
          <w:kern w:val="0"/>
          <w:szCs w:val="22"/>
        </w:rPr>
        <w:t xml:space="preserve"> and </w:t>
      </w:r>
      <w:r w:rsidRPr="00DF6DE0">
        <w:rPr>
          <w:snapToGrid/>
          <w:kern w:val="0"/>
          <w:szCs w:val="22"/>
        </w:rPr>
        <w:t>Beauregard Parishes in Louisiana</w:t>
      </w:r>
      <w:r>
        <w:rPr>
          <w:snapToGrid/>
          <w:kern w:val="0"/>
          <w:szCs w:val="22"/>
        </w:rPr>
        <w:t>;</w:t>
      </w:r>
      <w:r w:rsidRPr="00DF6DE0">
        <w:rPr>
          <w:snapToGrid/>
          <w:kern w:val="0"/>
          <w:szCs w:val="22"/>
        </w:rPr>
        <w:t xml:space="preserve"> LBH is a competitive LEC in </w:t>
      </w:r>
      <w:r w:rsidR="00971578">
        <w:rPr>
          <w:snapToGrid/>
          <w:kern w:val="0"/>
          <w:szCs w:val="22"/>
        </w:rPr>
        <w:t xml:space="preserve">the </w:t>
      </w:r>
      <w:r w:rsidRPr="00DF6DE0">
        <w:rPr>
          <w:snapToGrid/>
          <w:kern w:val="0"/>
          <w:szCs w:val="22"/>
        </w:rPr>
        <w:t>Cameron Parish and Calc</w:t>
      </w:r>
      <w:bookmarkStart w:id="4" w:name="_GoBack"/>
      <w:bookmarkEnd w:id="4"/>
      <w:r w:rsidRPr="00DF6DE0">
        <w:rPr>
          <w:snapToGrid/>
          <w:kern w:val="0"/>
          <w:szCs w:val="22"/>
        </w:rPr>
        <w:t>asieu Parish in Louisiana</w:t>
      </w:r>
      <w:r w:rsidR="009F5C80">
        <w:rPr>
          <w:snapToGrid/>
          <w:kern w:val="0"/>
          <w:szCs w:val="22"/>
        </w:rPr>
        <w:t>.</w:t>
      </w:r>
      <w:r w:rsidRPr="00DF6DE0">
        <w:rPr>
          <w:snapToGrid/>
          <w:kern w:val="0"/>
          <w:szCs w:val="22"/>
        </w:rPr>
        <w:t xml:space="preserve"> </w:t>
      </w:r>
      <w:r w:rsidR="009F5C80">
        <w:rPr>
          <w:snapToGrid/>
          <w:kern w:val="0"/>
          <w:szCs w:val="22"/>
        </w:rPr>
        <w:t xml:space="preserve"> </w:t>
      </w:r>
      <w:r w:rsidRPr="00DF6DE0">
        <w:rPr>
          <w:snapToGrid/>
          <w:kern w:val="0"/>
          <w:szCs w:val="22"/>
        </w:rPr>
        <w:t xml:space="preserve">TelAlaska LD provides long distance services in Alaska and is affiliated with Interior and </w:t>
      </w:r>
      <w:r>
        <w:rPr>
          <w:snapToGrid/>
          <w:kern w:val="0"/>
          <w:szCs w:val="22"/>
        </w:rPr>
        <w:t>Mukluk</w:t>
      </w:r>
      <w:r w:rsidRPr="00DF6DE0">
        <w:rPr>
          <w:snapToGrid/>
          <w:kern w:val="0"/>
          <w:szCs w:val="22"/>
        </w:rPr>
        <w:t>, which both provide incumbent LEC services in Alaska</w:t>
      </w:r>
      <w:r w:rsidR="009F5C80">
        <w:rPr>
          <w:snapToGrid/>
          <w:kern w:val="0"/>
          <w:szCs w:val="22"/>
        </w:rPr>
        <w:t xml:space="preserve">.  </w:t>
      </w:r>
      <w:r w:rsidRPr="00DF6DE0">
        <w:rPr>
          <w:snapToGrid/>
          <w:kern w:val="0"/>
          <w:szCs w:val="22"/>
        </w:rPr>
        <w:t>Holway LD and KLM LD provide interstate services in Missouri</w:t>
      </w:r>
      <w:r w:rsidR="009F5C80">
        <w:rPr>
          <w:snapToGrid/>
          <w:kern w:val="0"/>
          <w:szCs w:val="22"/>
        </w:rPr>
        <w:t xml:space="preserve">.  </w:t>
      </w:r>
      <w:r w:rsidRPr="00DF6DE0">
        <w:rPr>
          <w:snapToGrid/>
          <w:kern w:val="0"/>
          <w:szCs w:val="22"/>
        </w:rPr>
        <w:t>Holway Telco is an incumbent LEC in Maitland, Missouri</w:t>
      </w:r>
      <w:r w:rsidR="009F5C80">
        <w:rPr>
          <w:snapToGrid/>
          <w:kern w:val="0"/>
          <w:szCs w:val="22"/>
        </w:rPr>
        <w:t xml:space="preserve">.  </w:t>
      </w:r>
      <w:r w:rsidRPr="00DF6DE0">
        <w:rPr>
          <w:snapToGrid/>
          <w:kern w:val="0"/>
          <w:szCs w:val="22"/>
        </w:rPr>
        <w:t>KLM Tel is an incumbent LEC in Rich Hill, Missouri</w:t>
      </w:r>
      <w:r w:rsidR="009F5C80">
        <w:rPr>
          <w:snapToGrid/>
          <w:kern w:val="0"/>
          <w:szCs w:val="22"/>
        </w:rPr>
        <w:t xml:space="preserve">.  </w:t>
      </w:r>
      <w:r w:rsidRPr="00DF6DE0">
        <w:rPr>
          <w:snapToGrid/>
          <w:kern w:val="0"/>
          <w:szCs w:val="22"/>
        </w:rPr>
        <w:t xml:space="preserve">HunTel Cablevision is a competitive LEC in Lyons, Oakland, and Tekamah, Nebraska and resells interstate and other services in the Nebraska areas served by subsidiaries of </w:t>
      </w:r>
      <w:r>
        <w:rPr>
          <w:snapToGrid/>
          <w:kern w:val="0"/>
          <w:szCs w:val="22"/>
        </w:rPr>
        <w:t xml:space="preserve">its parent company, </w:t>
      </w:r>
      <w:r w:rsidRPr="00DF6DE0">
        <w:rPr>
          <w:snapToGrid/>
          <w:kern w:val="0"/>
          <w:szCs w:val="22"/>
        </w:rPr>
        <w:t>HunTel, I</w:t>
      </w:r>
      <w:r>
        <w:rPr>
          <w:snapToGrid/>
          <w:kern w:val="0"/>
          <w:szCs w:val="22"/>
        </w:rPr>
        <w:t>nc</w:t>
      </w:r>
      <w:r w:rsidR="00971578">
        <w:rPr>
          <w:snapToGrid/>
          <w:kern w:val="0"/>
          <w:szCs w:val="22"/>
        </w:rPr>
        <w:t>.</w:t>
      </w:r>
      <w:r>
        <w:rPr>
          <w:snapToGrid/>
          <w:kern w:val="0"/>
          <w:szCs w:val="22"/>
        </w:rPr>
        <w:t>, which wholly owns</w:t>
      </w:r>
      <w:r w:rsidRPr="00DF6DE0">
        <w:rPr>
          <w:snapToGrid/>
          <w:kern w:val="0"/>
          <w:szCs w:val="22"/>
        </w:rPr>
        <w:t xml:space="preserve"> ATC</w:t>
      </w:r>
      <w:r>
        <w:rPr>
          <w:snapToGrid/>
          <w:kern w:val="0"/>
          <w:szCs w:val="22"/>
        </w:rPr>
        <w:t>,</w:t>
      </w:r>
      <w:r w:rsidRPr="00DF6DE0">
        <w:rPr>
          <w:snapToGrid/>
          <w:kern w:val="0"/>
          <w:szCs w:val="22"/>
        </w:rPr>
        <w:t xml:space="preserve"> an incumbent LEC in Arlington, Nebraska; ENTC</w:t>
      </w:r>
      <w:r>
        <w:rPr>
          <w:snapToGrid/>
          <w:kern w:val="0"/>
          <w:szCs w:val="22"/>
        </w:rPr>
        <w:t>,</w:t>
      </w:r>
      <w:r w:rsidRPr="00DF6DE0">
        <w:rPr>
          <w:snapToGrid/>
          <w:kern w:val="0"/>
          <w:szCs w:val="22"/>
        </w:rPr>
        <w:t xml:space="preserve"> an incumbent LEC in Walthill, Macy, Winnebago, Rosalie, Osmond, Meadow Grove, Carroll and Belden, Nebraska; RCTC</w:t>
      </w:r>
      <w:r>
        <w:rPr>
          <w:snapToGrid/>
          <w:kern w:val="0"/>
          <w:szCs w:val="22"/>
        </w:rPr>
        <w:t>,</w:t>
      </w:r>
      <w:r w:rsidRPr="00DF6DE0">
        <w:rPr>
          <w:snapToGrid/>
          <w:kern w:val="0"/>
          <w:szCs w:val="22"/>
        </w:rPr>
        <w:t xml:space="preserve"> an incumbent LEC in Bassett and Newport, Nebraska; and Blair</w:t>
      </w:r>
      <w:r>
        <w:rPr>
          <w:snapToGrid/>
          <w:kern w:val="0"/>
          <w:szCs w:val="22"/>
        </w:rPr>
        <w:t>,</w:t>
      </w:r>
      <w:r w:rsidRPr="00DF6DE0">
        <w:rPr>
          <w:snapToGrid/>
          <w:kern w:val="0"/>
          <w:szCs w:val="22"/>
        </w:rPr>
        <w:t xml:space="preserve"> an incumbent LEC in Blair, Kennard, and Fort Calhoun, Nebraska.</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ABC Acquisition is a newly-formed Delaware corporation created to consummate the proposed transaction and a wholly-owned subsidiary of ABC Intermediate Inc., a Delaware corporation, which in turn, is a wholly-owned subsidiary of ABC Parent Holdings LP, a Delaware limited partnership.  According to the Applicants, upon consummation of the proposed transaction, limited partnership interests in ABC Parent Holdings LP will be held directly or indirectly by (i) Catania ABC Partners LP; (ii) an entity affiliated with Madison Dearborn Partners, LLC</w:t>
      </w:r>
      <w:r w:rsidR="009F5C80">
        <w:rPr>
          <w:snapToGrid/>
          <w:kern w:val="0"/>
          <w:szCs w:val="22"/>
        </w:rPr>
        <w:t xml:space="preserve"> (MDP LLC)</w:t>
      </w:r>
      <w:r w:rsidRPr="00DF6DE0">
        <w:rPr>
          <w:snapToGrid/>
          <w:kern w:val="0"/>
          <w:szCs w:val="22"/>
        </w:rPr>
        <w:t xml:space="preserve">, and (iii) certain co-investors, none of which are expected to individually hold a 10% interest. </w:t>
      </w:r>
      <w:r>
        <w:rPr>
          <w:snapToGrid/>
          <w:kern w:val="0"/>
          <w:szCs w:val="22"/>
        </w:rPr>
        <w:t xml:space="preserve"> </w:t>
      </w:r>
      <w:r w:rsidRPr="00DF6DE0">
        <w:rPr>
          <w:snapToGrid/>
          <w:kern w:val="0"/>
          <w:szCs w:val="22"/>
        </w:rPr>
        <w:t>The general partner of ABC Parent Holdings LP will be ABC Parent Holdings GP LLC, a Delaware limited liability company, whose members are Catania ABC Partners LP, a Delaware limited partnership, an</w:t>
      </w:r>
      <w:r w:rsidR="00971578">
        <w:rPr>
          <w:snapToGrid/>
          <w:kern w:val="0"/>
          <w:szCs w:val="22"/>
        </w:rPr>
        <w:t>d an</w:t>
      </w:r>
      <w:r w:rsidRPr="00DF6DE0">
        <w:rPr>
          <w:snapToGrid/>
          <w:kern w:val="0"/>
          <w:szCs w:val="22"/>
        </w:rPr>
        <w:t xml:space="preserve"> entity affiliated with </w:t>
      </w:r>
      <w:r w:rsidR="00063BBC">
        <w:rPr>
          <w:snapToGrid/>
          <w:kern w:val="0"/>
          <w:szCs w:val="22"/>
        </w:rPr>
        <w:t>MDP LLC</w:t>
      </w:r>
      <w:r w:rsidRPr="00DF6DE0">
        <w:rPr>
          <w:snapToGrid/>
          <w:kern w:val="0"/>
          <w:szCs w:val="22"/>
        </w:rPr>
        <w:t xml:space="preserve">. </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Catania ABC Partners LP is ultimately controlled by Catania ABC Partners GP LLC, a Delaware limited liability company.  Catania ABC Partners GP LLC has two members, Richard S. Parisi and Nicholas Vantzelfde, both U.S. citizens.  The entity affiliated with </w:t>
      </w:r>
      <w:r w:rsidR="009F5C80">
        <w:rPr>
          <w:snapToGrid/>
          <w:kern w:val="0"/>
          <w:szCs w:val="22"/>
        </w:rPr>
        <w:t xml:space="preserve">MDP LLC </w:t>
      </w:r>
      <w:r w:rsidRPr="00DF6DE0">
        <w:rPr>
          <w:snapToGrid/>
          <w:kern w:val="0"/>
          <w:szCs w:val="22"/>
        </w:rPr>
        <w:t xml:space="preserve">will be MDCP VIII ABC Intermediate LP (Intermediate LP); the sole partners of Intermediate LP will </w:t>
      </w:r>
      <w:r w:rsidR="009F5C80">
        <w:rPr>
          <w:snapToGrid/>
          <w:kern w:val="0"/>
          <w:szCs w:val="22"/>
        </w:rPr>
        <w:t xml:space="preserve">be </w:t>
      </w:r>
      <w:r w:rsidRPr="00DF6DE0">
        <w:rPr>
          <w:snapToGrid/>
          <w:kern w:val="0"/>
          <w:szCs w:val="22"/>
        </w:rPr>
        <w:t xml:space="preserve">the following </w:t>
      </w:r>
      <w:r>
        <w:rPr>
          <w:snapToGrid/>
          <w:kern w:val="0"/>
          <w:szCs w:val="22"/>
        </w:rPr>
        <w:t xml:space="preserve">U.S.-based </w:t>
      </w:r>
      <w:r w:rsidRPr="00DF6DE0">
        <w:rPr>
          <w:snapToGrid/>
          <w:kern w:val="0"/>
          <w:szCs w:val="22"/>
        </w:rPr>
        <w:t xml:space="preserve">funds:  Madison Dearborn Capital Partners VIII-A, L.P., Madison Dearborn Capital Partners VIII-C, L.P., Madison Dearborn Capital Partners VIII Executive-A, L.P., and Madison Dearborn Capital Partners VIII Executive-A2, L.P. (collectively, MDP), all of which are managed by their general partner, Madison Dearborn Partners VIII-A&amp;C, L.P. and </w:t>
      </w:r>
      <w:r>
        <w:rPr>
          <w:snapToGrid/>
          <w:kern w:val="0"/>
          <w:szCs w:val="22"/>
        </w:rPr>
        <w:t>its</w:t>
      </w:r>
      <w:r w:rsidRPr="00DF6DE0">
        <w:rPr>
          <w:snapToGrid/>
          <w:kern w:val="0"/>
          <w:szCs w:val="22"/>
        </w:rPr>
        <w:t xml:space="preserve"> ultimate general partner, MDP LLC.  Samuel Mencoff and Paul Finnegan, both U.S. citizens, each own 50% of MDP LLC.</w:t>
      </w:r>
      <w:r>
        <w:rPr>
          <w:snapToGrid/>
          <w:kern w:val="0"/>
          <w:szCs w:val="22"/>
          <w:vertAlign w:val="superscript"/>
        </w:rPr>
        <w:footnoteReference w:id="4"/>
      </w:r>
    </w:p>
    <w:p w:rsidR="00DF6DE0" w:rsidRPr="00DF6DE0" w:rsidP="00E74B69">
      <w:pPr>
        <w:widowControl/>
        <w:spacing w:after="120"/>
        <w:ind w:firstLine="720"/>
        <w:rPr>
          <w:snapToGrid/>
          <w:kern w:val="0"/>
          <w:szCs w:val="22"/>
        </w:rPr>
      </w:pPr>
      <w:r w:rsidRPr="00DF6DE0">
        <w:rPr>
          <w:snapToGrid/>
          <w:kern w:val="0"/>
          <w:szCs w:val="22"/>
        </w:rPr>
        <w:t>Pursuant to the terms of the stock purchase agreement (Agreement), ABC Acquisition will acquire 100% of the outstanding shares of stock and ownership interests of ABHC</w:t>
      </w:r>
      <w:r w:rsidR="00E31AAD">
        <w:rPr>
          <w:snapToGrid/>
          <w:kern w:val="0"/>
          <w:szCs w:val="22"/>
        </w:rPr>
        <w:t>, and, indirectly, in the Section 214 Subsidiaries</w:t>
      </w:r>
      <w:r w:rsidRPr="00DF6DE0">
        <w:rPr>
          <w:snapToGrid/>
          <w:kern w:val="0"/>
          <w:szCs w:val="22"/>
        </w:rPr>
        <w:t>.</w:t>
      </w:r>
      <w:r>
        <w:rPr>
          <w:snapToGrid/>
          <w:kern w:val="0"/>
          <w:szCs w:val="22"/>
          <w:vertAlign w:val="superscript"/>
        </w:rPr>
        <w:footnoteReference w:id="5"/>
      </w:r>
      <w:r w:rsidRPr="00DF6DE0">
        <w:rPr>
          <w:snapToGrid/>
          <w:kern w:val="0"/>
          <w:szCs w:val="22"/>
        </w:rPr>
        <w:t xml:space="preserve"> </w:t>
      </w:r>
      <w:r w:rsidR="00E74B69">
        <w:rPr>
          <w:snapToGrid/>
          <w:kern w:val="0"/>
          <w:szCs w:val="22"/>
        </w:rPr>
        <w:t xml:space="preserve"> </w:t>
      </w:r>
      <w:r w:rsidRPr="00DF6DE0">
        <w:rPr>
          <w:bCs/>
          <w:snapToGrid/>
          <w:kern w:val="0"/>
          <w:szCs w:val="22"/>
        </w:rPr>
        <w:t>Applicants request streamlined treatment of the proposed transaction under the Commission’s rules and assert that a grant of the application would serve the public interest, convenience, and necessity.  We accept this application for filing under section 63.03(b)(2)(ii) of the Commission’s rules.</w:t>
      </w:r>
      <w:r>
        <w:rPr>
          <w:bCs/>
          <w:snapToGrid/>
          <w:kern w:val="0"/>
          <w:szCs w:val="22"/>
          <w:vertAlign w:val="superscript"/>
        </w:rPr>
        <w:footnoteReference w:id="6"/>
      </w:r>
      <w:r w:rsidRPr="00DF6DE0">
        <w:rPr>
          <w:bCs/>
          <w:snapToGrid/>
          <w:kern w:val="0"/>
          <w:szCs w:val="22"/>
        </w:rPr>
        <w:t xml:space="preserve"> </w:t>
      </w:r>
    </w:p>
    <w:p w:rsidR="00DF6DE0" w:rsidRPr="00DF6DE0" w:rsidP="00DF6DE0">
      <w:pPr>
        <w:widowControl/>
        <w:autoSpaceDE w:val="0"/>
        <w:autoSpaceDN w:val="0"/>
        <w:adjustRightInd w:val="0"/>
        <w:spacing w:after="120"/>
        <w:rPr>
          <w:snapToGrid/>
          <w:kern w:val="0"/>
          <w:szCs w:val="22"/>
        </w:rPr>
      </w:pPr>
      <w:r w:rsidRPr="00DF6DE0">
        <w:rPr>
          <w:b/>
          <w:snapToGrid/>
          <w:kern w:val="0"/>
          <w:szCs w:val="22"/>
          <w:u w:val="single"/>
        </w:rPr>
        <w:t>GENERAL INFORMATION</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The application identified herein has been found, upon initial review, to be acceptable for filing as a </w:t>
      </w:r>
      <w:r w:rsidRPr="00B72F6B">
        <w:rPr>
          <w:snapToGrid/>
          <w:kern w:val="0"/>
          <w:szCs w:val="22"/>
        </w:rPr>
        <w:t>streamlined application.  The</w:t>
      </w:r>
      <w:r w:rsidRPr="00DF6DE0">
        <w:rPr>
          <w:snapToGrid/>
          <w:kern w:val="0"/>
          <w:szCs w:val="22"/>
        </w:rPr>
        <w:t xml:space="preserve"> Commission reserves the right to return any application if, upon further examination, it is determined to be defective and not in conformance with the Commission’s rules and policies.  </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Interested parties may file comments </w:t>
      </w:r>
      <w:r w:rsidRPr="00DF6DE0">
        <w:rPr>
          <w:b/>
          <w:snapToGrid/>
          <w:kern w:val="0"/>
          <w:szCs w:val="22"/>
        </w:rPr>
        <w:t xml:space="preserve">on or before January </w:t>
      </w:r>
      <w:r w:rsidR="00E31AAD">
        <w:rPr>
          <w:b/>
          <w:snapToGrid/>
          <w:kern w:val="0"/>
          <w:szCs w:val="22"/>
        </w:rPr>
        <w:t>27</w:t>
      </w:r>
      <w:r w:rsidRPr="00DF6DE0">
        <w:rPr>
          <w:b/>
          <w:snapToGrid/>
          <w:kern w:val="0"/>
          <w:szCs w:val="22"/>
        </w:rPr>
        <w:t>, 2021</w:t>
      </w:r>
      <w:r w:rsidRPr="00DF6DE0">
        <w:rPr>
          <w:snapToGrid/>
          <w:kern w:val="0"/>
          <w:szCs w:val="22"/>
        </w:rPr>
        <w:t xml:space="preserve">, and reply comments </w:t>
      </w:r>
      <w:r w:rsidRPr="00DF6DE0">
        <w:rPr>
          <w:b/>
          <w:snapToGrid/>
          <w:kern w:val="0"/>
          <w:szCs w:val="22"/>
        </w:rPr>
        <w:t xml:space="preserve">on or before </w:t>
      </w:r>
      <w:r w:rsidR="00E31AAD">
        <w:rPr>
          <w:b/>
          <w:snapToGrid/>
          <w:kern w:val="0"/>
          <w:szCs w:val="22"/>
        </w:rPr>
        <w:t>February 3</w:t>
      </w:r>
      <w:r w:rsidRPr="00DF6DE0">
        <w:rPr>
          <w:b/>
          <w:snapToGrid/>
          <w:kern w:val="0"/>
          <w:szCs w:val="22"/>
        </w:rPr>
        <w:t>, 2021</w:t>
      </w:r>
      <w:r w:rsidRPr="00DF6DE0">
        <w:rPr>
          <w:snapToGrid/>
          <w:kern w:val="0"/>
          <w:szCs w:val="22"/>
        </w:rPr>
        <w:t xml:space="preserve">.  Pursuant to section 63.52 of the Commission’s rules, 47 CFR § 63.52, </w:t>
      </w:r>
      <w:r w:rsidRPr="00DF6DE0">
        <w:rPr>
          <w:snapToGrid/>
          <w:kern w:val="0"/>
          <w:szCs w:val="22"/>
        </w:rPr>
        <w:t>commenters must serve a copy of comments on the Applicants no later than the above comment filing date.  Unless otherwise notified by the Commission, the Applicants may transfer control on the 31st day after the date of this notice.</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Pursuant to section 63.03 of the Commission’s rules, 47 CFR § 63.03, parties to this proceeding should file any documents using the Commission’s Electronic Comment Filing System (ECFS):  http://apps.fcc.gov/ecfs/. </w:t>
      </w:r>
    </w:p>
    <w:p w:rsidR="00DF6DE0" w:rsidRPr="00DF6DE0" w:rsidP="00DF6DE0">
      <w:pPr>
        <w:widowControl/>
        <w:autoSpaceDE w:val="0"/>
        <w:autoSpaceDN w:val="0"/>
        <w:adjustRightInd w:val="0"/>
        <w:spacing w:after="120"/>
        <w:ind w:firstLine="720"/>
        <w:rPr>
          <w:b/>
          <w:snapToGrid/>
          <w:kern w:val="0"/>
          <w:szCs w:val="22"/>
        </w:rPr>
      </w:pPr>
      <w:r w:rsidRPr="00DF6DE0">
        <w:rPr>
          <w:b/>
          <w:snapToGrid/>
          <w:kern w:val="0"/>
          <w:szCs w:val="22"/>
        </w:rPr>
        <w:t>In addition, e-mail one copy of each pleading to each of the following:</w:t>
      </w:r>
    </w:p>
    <w:p w:rsidR="00DF6DE0" w:rsidRPr="00DF6DE0" w:rsidP="00DF6DE0">
      <w:pPr>
        <w:widowControl/>
        <w:numPr>
          <w:ilvl w:val="0"/>
          <w:numId w:val="8"/>
        </w:numPr>
        <w:autoSpaceDE w:val="0"/>
        <w:autoSpaceDN w:val="0"/>
        <w:adjustRightInd w:val="0"/>
        <w:spacing w:after="120"/>
        <w:rPr>
          <w:snapToGrid/>
          <w:kern w:val="0"/>
          <w:szCs w:val="22"/>
        </w:rPr>
      </w:pPr>
      <w:r w:rsidRPr="00DF6DE0">
        <w:rPr>
          <w:snapToGrid/>
          <w:kern w:val="0"/>
          <w:szCs w:val="22"/>
        </w:rPr>
        <w:t xml:space="preserve">Tracey Wilson, Competition Policy Division, Wireline Competition Bureau,  </w:t>
      </w:r>
      <w:hyperlink r:id="rId5" w:history="1">
        <w:r w:rsidRPr="00DF6DE0">
          <w:rPr>
            <w:snapToGrid/>
            <w:color w:val="0000FF"/>
            <w:kern w:val="0"/>
            <w:szCs w:val="22"/>
            <w:u w:val="single"/>
          </w:rPr>
          <w:t>tracey.wilson@fcc.gov</w:t>
        </w:r>
      </w:hyperlink>
      <w:r w:rsidRPr="00DF6DE0">
        <w:rPr>
          <w:snapToGrid/>
          <w:kern w:val="0"/>
          <w:szCs w:val="22"/>
        </w:rPr>
        <w:t>;</w:t>
      </w:r>
    </w:p>
    <w:p w:rsidR="00B55D96" w:rsidRPr="009F5C80" w:rsidP="00DF6DE0">
      <w:pPr>
        <w:widowControl/>
        <w:numPr>
          <w:ilvl w:val="0"/>
          <w:numId w:val="8"/>
        </w:numPr>
        <w:autoSpaceDE w:val="0"/>
        <w:autoSpaceDN w:val="0"/>
        <w:adjustRightInd w:val="0"/>
        <w:spacing w:after="120"/>
        <w:rPr>
          <w:snapToGrid/>
          <w:kern w:val="0"/>
          <w:szCs w:val="22"/>
        </w:rPr>
      </w:pPr>
      <w:r w:rsidRPr="00DF6DE0">
        <w:rPr>
          <w:snapToGrid/>
          <w:kern w:val="0"/>
          <w:szCs w:val="22"/>
        </w:rPr>
        <w:t xml:space="preserve">Annick Banoun, Competition Policy Division, Wireline Competition Bureau, </w:t>
      </w:r>
      <w:hyperlink r:id="rId6" w:history="1">
        <w:r w:rsidRPr="009F5C80">
          <w:rPr>
            <w:rStyle w:val="Hyperlink"/>
            <w:snapToGrid/>
            <w:kern w:val="0"/>
            <w:szCs w:val="22"/>
          </w:rPr>
          <w:t>annick.banoun@fcc.gov</w:t>
        </w:r>
      </w:hyperlink>
      <w:r w:rsidRPr="00DF6DE0">
        <w:rPr>
          <w:snapToGrid/>
          <w:kern w:val="0"/>
          <w:szCs w:val="22"/>
        </w:rPr>
        <w:t>;</w:t>
      </w:r>
    </w:p>
    <w:p w:rsidR="00B55D96" w:rsidRPr="009F5C80" w:rsidP="00B55D96">
      <w:pPr>
        <w:widowControl/>
        <w:numPr>
          <w:ilvl w:val="0"/>
          <w:numId w:val="8"/>
        </w:numPr>
        <w:autoSpaceDE w:val="0"/>
        <w:autoSpaceDN w:val="0"/>
        <w:adjustRightInd w:val="0"/>
        <w:spacing w:after="120"/>
        <w:rPr>
          <w:snapToGrid/>
          <w:kern w:val="0"/>
          <w:szCs w:val="22"/>
        </w:rPr>
      </w:pPr>
      <w:r w:rsidRPr="009F5C80">
        <w:rPr>
          <w:szCs w:val="22"/>
        </w:rPr>
        <w:t xml:space="preserve">Sumita Mukhoty, Policy Division, International Bureau, </w:t>
      </w:r>
      <w:hyperlink r:id="rId7" w:history="1">
        <w:r w:rsidRPr="009F5C80">
          <w:rPr>
            <w:rStyle w:val="Hyperlink"/>
            <w:szCs w:val="22"/>
          </w:rPr>
          <w:t>sumita.mukhoty@fcc.gov</w:t>
        </w:r>
      </w:hyperlink>
      <w:r w:rsidRPr="009F5C80">
        <w:rPr>
          <w:szCs w:val="22"/>
        </w:rPr>
        <w:t>; and</w:t>
      </w:r>
    </w:p>
    <w:p w:rsidR="00DF6DE0" w:rsidRPr="00DF6DE0" w:rsidP="009F5C80">
      <w:pPr>
        <w:widowControl/>
        <w:numPr>
          <w:ilvl w:val="0"/>
          <w:numId w:val="8"/>
        </w:numPr>
        <w:autoSpaceDE w:val="0"/>
        <w:autoSpaceDN w:val="0"/>
        <w:adjustRightInd w:val="0"/>
        <w:spacing w:after="120"/>
        <w:rPr>
          <w:snapToGrid/>
          <w:kern w:val="0"/>
          <w:szCs w:val="22"/>
        </w:rPr>
      </w:pPr>
      <w:r w:rsidRPr="00DF6DE0">
        <w:rPr>
          <w:snapToGrid/>
          <w:kern w:val="0"/>
          <w:szCs w:val="22"/>
        </w:rPr>
        <w:t>Jim Bird, Office of General Counsel,</w:t>
      </w:r>
      <w:r w:rsidR="009F5C80">
        <w:rPr>
          <w:snapToGrid/>
          <w:kern w:val="0"/>
          <w:szCs w:val="22"/>
        </w:rPr>
        <w:t xml:space="preserve"> </w:t>
      </w:r>
      <w:hyperlink r:id="rId8" w:history="1">
        <w:r w:rsidRPr="00DF6DE0" w:rsidR="009F5C80">
          <w:rPr>
            <w:rStyle w:val="Hyperlink"/>
            <w:snapToGrid/>
            <w:kern w:val="0"/>
            <w:szCs w:val="22"/>
          </w:rPr>
          <w:t>jim.bird@fcc.gov</w:t>
        </w:r>
      </w:hyperlink>
      <w:r w:rsidRPr="00DF6DE0">
        <w:rPr>
          <w:snapToGrid/>
          <w:kern w:val="0"/>
          <w:szCs w:val="22"/>
        </w:rPr>
        <w:t>.</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The proceeding in this Notice shall be treated as a “permit-but-disclose” proceeding in accordance with the Commission’s </w:t>
      </w:r>
      <w:r w:rsidRPr="00DF6DE0">
        <w:rPr>
          <w:i/>
          <w:snapToGrid/>
          <w:kern w:val="0"/>
          <w:szCs w:val="22"/>
        </w:rPr>
        <w:t>ex parte</w:t>
      </w:r>
      <w:r w:rsidRPr="00DF6DE0">
        <w:rPr>
          <w:snapToGrid/>
          <w:kern w:val="0"/>
          <w:szCs w:val="22"/>
        </w:rPr>
        <w:t xml:space="preserve"> rules.  Persons making </w:t>
      </w:r>
      <w:r w:rsidRPr="00DF6DE0">
        <w:rPr>
          <w:i/>
          <w:snapToGrid/>
          <w:kern w:val="0"/>
          <w:szCs w:val="22"/>
        </w:rPr>
        <w:t>ex parte</w:t>
      </w:r>
      <w:r w:rsidRPr="00DF6DE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F6DE0">
        <w:rPr>
          <w:i/>
          <w:snapToGrid/>
          <w:kern w:val="0"/>
          <w:szCs w:val="22"/>
        </w:rPr>
        <w:t>ex parte</w:t>
      </w:r>
      <w:r w:rsidRPr="00DF6DE0">
        <w:rPr>
          <w:snapToGrid/>
          <w:kern w:val="0"/>
          <w:szCs w:val="22"/>
        </w:rPr>
        <w:t xml:space="preserve"> presentations are reminded that memoranda summarizing the presentation must (1) list all persons attending or otherwise participating in the meeting at which the </w:t>
      </w:r>
      <w:r w:rsidRPr="00DF6DE0">
        <w:rPr>
          <w:i/>
          <w:snapToGrid/>
          <w:kern w:val="0"/>
          <w:szCs w:val="22"/>
        </w:rPr>
        <w:t>ex parte</w:t>
      </w:r>
      <w:r w:rsidRPr="00DF6DE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F6DE0">
        <w:rPr>
          <w:i/>
          <w:snapToGrid/>
          <w:kern w:val="0"/>
          <w:szCs w:val="22"/>
        </w:rPr>
        <w:t>ex parte</w:t>
      </w:r>
      <w:r w:rsidRPr="00DF6DE0">
        <w:rPr>
          <w:snapToGrid/>
          <w:kern w:val="0"/>
          <w:szCs w:val="22"/>
        </w:rPr>
        <w:t xml:space="preserve"> meetings are deemed to be written </w:t>
      </w:r>
      <w:r w:rsidRPr="00DF6DE0">
        <w:rPr>
          <w:i/>
          <w:snapToGrid/>
          <w:kern w:val="0"/>
          <w:szCs w:val="22"/>
        </w:rPr>
        <w:t>ex parte</w:t>
      </w:r>
      <w:r w:rsidRPr="00DF6DE0">
        <w:rPr>
          <w:snapToGrid/>
          <w:kern w:val="0"/>
          <w:szCs w:val="22"/>
        </w:rPr>
        <w:t xml:space="preserve"> presentations and must be filed consistent with rule 1.1206(b), 47 CFR § 1.1206(b).  Participants in this proceeding should familiarize themselves with the Commission’s </w:t>
      </w:r>
      <w:r w:rsidRPr="00DF6DE0">
        <w:rPr>
          <w:i/>
          <w:snapToGrid/>
          <w:kern w:val="0"/>
          <w:szCs w:val="22"/>
        </w:rPr>
        <w:t>ex parte</w:t>
      </w:r>
      <w:r w:rsidRPr="00DF6DE0">
        <w:rPr>
          <w:snapToGrid/>
          <w:kern w:val="0"/>
          <w:szCs w:val="22"/>
        </w:rPr>
        <w:t xml:space="preserve"> rules.</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7"/>
      </w:r>
      <w:r w:rsidRPr="00DF6DE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For further information, please contact Tracey Wilson at (202) 418-1394 or </w:t>
      </w:r>
      <w:r w:rsidRPr="009F5C80" w:rsidR="009F5C80">
        <w:rPr>
          <w:snapToGrid/>
          <w:kern w:val="0"/>
          <w:szCs w:val="22"/>
        </w:rPr>
        <w:t>Annick Banoun</w:t>
      </w:r>
      <w:r w:rsidRPr="00DF6DE0">
        <w:rPr>
          <w:snapToGrid/>
          <w:kern w:val="0"/>
          <w:szCs w:val="22"/>
        </w:rPr>
        <w:t xml:space="preserve"> (202) 418-</w:t>
      </w:r>
      <w:r w:rsidRPr="009F5C80" w:rsidR="009F5C80">
        <w:rPr>
          <w:snapToGrid/>
          <w:kern w:val="0"/>
          <w:szCs w:val="22"/>
        </w:rPr>
        <w:t>1521</w:t>
      </w:r>
      <w:r w:rsidRPr="00DF6DE0">
        <w:rPr>
          <w:snapToGrid/>
          <w:kern w:val="0"/>
          <w:szCs w:val="22"/>
        </w:rPr>
        <w:t>.</w:t>
      </w:r>
    </w:p>
    <w:p w:rsidR="00DF6DE0" w:rsidRPr="00DF6DE0" w:rsidP="00DF6DE0">
      <w:pPr>
        <w:widowControl/>
        <w:autoSpaceDE w:val="0"/>
        <w:autoSpaceDN w:val="0"/>
        <w:adjustRightInd w:val="0"/>
        <w:jc w:val="center"/>
        <w:rPr>
          <w:snapToGrid/>
          <w:color w:val="000000"/>
          <w:kern w:val="0"/>
          <w:szCs w:val="22"/>
        </w:rPr>
      </w:pPr>
      <w:r w:rsidRPr="00B140C8">
        <w:rPr>
          <w:b/>
          <w:bCs/>
          <w:snapToGrid/>
          <w:kern w:val="0"/>
          <w:szCs w:val="22"/>
        </w:rPr>
        <w:t>-FCC-</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4641">
      <w:r>
        <w:separator/>
      </w:r>
    </w:p>
  </w:footnote>
  <w:footnote w:type="continuationSeparator" w:id="1">
    <w:p w:rsidR="003D4641">
      <w:pPr>
        <w:rPr>
          <w:sz w:val="20"/>
        </w:rPr>
      </w:pPr>
      <w:r>
        <w:rPr>
          <w:sz w:val="20"/>
        </w:rPr>
        <w:t xml:space="preserve">(Continued from previous page)  </w:t>
      </w:r>
      <w:r>
        <w:rPr>
          <w:sz w:val="20"/>
        </w:rPr>
        <w:separator/>
      </w:r>
    </w:p>
  </w:footnote>
  <w:footnote w:type="continuationNotice" w:id="2">
    <w:p w:rsidR="003D4641" w:rsidP="00910F12">
      <w:pPr>
        <w:jc w:val="right"/>
        <w:rPr>
          <w:sz w:val="20"/>
        </w:rPr>
      </w:pPr>
      <w:r>
        <w:rPr>
          <w:sz w:val="20"/>
        </w:rPr>
        <w:t>(continued….)</w:t>
      </w:r>
    </w:p>
  </w:footnote>
  <w:footnote w:id="3">
    <w:p w:rsidR="00DF6DE0" w:rsidRPr="00995B83" w:rsidP="00DF6DE0">
      <w:pPr>
        <w:pStyle w:val="NormalWeb"/>
        <w:spacing w:after="120"/>
        <w:rPr>
          <w:sz w:val="20"/>
          <w:szCs w:val="20"/>
        </w:rPr>
      </w:pPr>
      <w:r w:rsidRPr="003F1A93">
        <w:rPr>
          <w:rStyle w:val="FootnoteReference"/>
          <w:sz w:val="20"/>
          <w:szCs w:val="20"/>
        </w:rPr>
        <w:footnoteRef/>
      </w:r>
      <w:r w:rsidRPr="003F1A93">
        <w:rPr>
          <w:sz w:val="20"/>
          <w:szCs w:val="20"/>
        </w:rPr>
        <w:t xml:space="preserve"> </w:t>
      </w:r>
      <w:r w:rsidRPr="003F1A93">
        <w:rPr>
          <w:i/>
          <w:sz w:val="20"/>
          <w:szCs w:val="20"/>
        </w:rPr>
        <w:t>Se</w:t>
      </w:r>
      <w:r w:rsidRPr="00995B83">
        <w:rPr>
          <w:i/>
          <w:sz w:val="20"/>
          <w:szCs w:val="20"/>
        </w:rPr>
        <w:t>e</w:t>
      </w:r>
      <w:r w:rsidRPr="00995B83">
        <w:rPr>
          <w:sz w:val="20"/>
          <w:szCs w:val="20"/>
        </w:rPr>
        <w:t xml:space="preserve"> </w:t>
      </w:r>
      <w:r w:rsidRPr="006521AA">
        <w:rPr>
          <w:sz w:val="20"/>
        </w:rPr>
        <w:t>47 U.S.C. § 214; 47 CFR §§ 63.03-04</w:t>
      </w:r>
      <w:r>
        <w:rPr>
          <w:sz w:val="20"/>
        </w:rPr>
        <w:t xml:space="preserve">; </w:t>
      </w:r>
      <w:r w:rsidRPr="00995B83">
        <w:rPr>
          <w:sz w:val="20"/>
          <w:szCs w:val="20"/>
        </w:rPr>
        <w:t xml:space="preserve">Joint Application </w:t>
      </w:r>
      <w:r w:rsidRPr="00995B83">
        <w:rPr>
          <w:bCs/>
          <w:sz w:val="20"/>
          <w:szCs w:val="20"/>
        </w:rPr>
        <w:t>American Broadband Communications, LLC</w:t>
      </w:r>
      <w:r w:rsidRPr="00995B83">
        <w:rPr>
          <w:sz w:val="20"/>
          <w:szCs w:val="20"/>
        </w:rPr>
        <w:t xml:space="preserve">, </w:t>
      </w:r>
      <w:r w:rsidRPr="00995B83">
        <w:rPr>
          <w:i/>
          <w:iCs/>
          <w:sz w:val="20"/>
          <w:szCs w:val="20"/>
        </w:rPr>
        <w:t>Transferor</w:t>
      </w:r>
      <w:r w:rsidRPr="00995B83">
        <w:rPr>
          <w:iCs/>
          <w:sz w:val="20"/>
          <w:szCs w:val="20"/>
        </w:rPr>
        <w:t xml:space="preserve">, and </w:t>
      </w:r>
      <w:r w:rsidRPr="00995B83">
        <w:rPr>
          <w:bCs/>
          <w:sz w:val="20"/>
          <w:szCs w:val="20"/>
        </w:rPr>
        <w:t>ABC Acquisition Inc.</w:t>
      </w:r>
      <w:r w:rsidRPr="00995B83">
        <w:rPr>
          <w:sz w:val="20"/>
          <w:szCs w:val="20"/>
        </w:rPr>
        <w:t xml:space="preserve">, </w:t>
      </w:r>
      <w:r w:rsidRPr="00995B83">
        <w:rPr>
          <w:i/>
          <w:sz w:val="20"/>
          <w:szCs w:val="20"/>
        </w:rPr>
        <w:t>Transferee</w:t>
      </w:r>
      <w:r w:rsidRPr="00995B83">
        <w:rPr>
          <w:sz w:val="20"/>
          <w:szCs w:val="20"/>
        </w:rPr>
        <w:t xml:space="preserve">, </w:t>
      </w:r>
      <w:r w:rsidR="00E31AAD">
        <w:rPr>
          <w:sz w:val="20"/>
          <w:szCs w:val="20"/>
        </w:rPr>
        <w:t>f</w:t>
      </w:r>
      <w:r w:rsidRPr="00995B83">
        <w:rPr>
          <w:sz w:val="20"/>
          <w:szCs w:val="20"/>
        </w:rPr>
        <w:t>or Grant of Authority Pursuant to Section 214 of the Communications Act of 1934, as Amended, and</w:t>
      </w:r>
      <w:r>
        <w:rPr>
          <w:sz w:val="20"/>
          <w:szCs w:val="20"/>
        </w:rPr>
        <w:t xml:space="preserve"> </w:t>
      </w:r>
      <w:r w:rsidRPr="00995B83">
        <w:rPr>
          <w:sz w:val="20"/>
          <w:szCs w:val="20"/>
        </w:rPr>
        <w:t>Sections 63.04 and 63.24 of the Commission’s Rules to Complete a Transfer of Control of Section 214 Holders, WC Docket No. 20-438 (filed Dec. 21, 2020).</w:t>
      </w:r>
      <w:r w:rsidRPr="009F5C80" w:rsidR="009F5C80">
        <w:rPr>
          <w:bCs/>
          <w:sz w:val="20"/>
        </w:rPr>
        <w:t xml:space="preserve"> </w:t>
      </w:r>
      <w:r w:rsidR="009F5C80">
        <w:rPr>
          <w:bCs/>
          <w:sz w:val="20"/>
        </w:rPr>
        <w:t xml:space="preserve"> </w:t>
      </w:r>
      <w:r w:rsidR="00B72F6B">
        <w:rPr>
          <w:bCs/>
          <w:sz w:val="20"/>
        </w:rPr>
        <w:t>Applicants filed a supplement to their domestic section 214 application on January 13, 2021.  Letter from Andrew D. Lipman and Danielle Burt, Counsel</w:t>
      </w:r>
      <w:r w:rsidR="005C1556">
        <w:rPr>
          <w:bCs/>
          <w:sz w:val="20"/>
        </w:rPr>
        <w:t xml:space="preserve">, </w:t>
      </w:r>
      <w:r w:rsidR="00B72F6B">
        <w:rPr>
          <w:bCs/>
          <w:sz w:val="20"/>
        </w:rPr>
        <w:t xml:space="preserve">ABC Acquisition, to Marlene H. Dortch, Secretary, FCC, WC Docket No. 20-438 (filed Jan. 13, 2021).  </w:t>
      </w:r>
      <w:r w:rsidRPr="00CE55BE" w:rsidR="009F5C80">
        <w:rPr>
          <w:bCs/>
          <w:sz w:val="20"/>
        </w:rPr>
        <w:t xml:space="preserve">Applicants </w:t>
      </w:r>
      <w:r w:rsidR="009F5C80">
        <w:rPr>
          <w:bCs/>
          <w:sz w:val="20"/>
        </w:rPr>
        <w:t xml:space="preserve">are </w:t>
      </w:r>
      <w:r w:rsidRPr="00CE55BE" w:rsidR="009F5C80">
        <w:rPr>
          <w:bCs/>
          <w:sz w:val="20"/>
        </w:rPr>
        <w:t>also fil</w:t>
      </w:r>
      <w:r w:rsidR="009F5C80">
        <w:rPr>
          <w:bCs/>
          <w:sz w:val="20"/>
        </w:rPr>
        <w:t>ing</w:t>
      </w:r>
      <w:r w:rsidRPr="00CE55BE" w:rsidR="009F5C80">
        <w:rPr>
          <w:bCs/>
          <w:sz w:val="20"/>
        </w:rPr>
        <w:t xml:space="preserve"> application</w:t>
      </w:r>
      <w:r w:rsidR="009F5C80">
        <w:rPr>
          <w:bCs/>
          <w:sz w:val="20"/>
        </w:rPr>
        <w:t>s</w:t>
      </w:r>
      <w:r w:rsidRPr="00CE55BE" w:rsidR="009F5C80">
        <w:rPr>
          <w:bCs/>
          <w:sz w:val="20"/>
        </w:rPr>
        <w:t xml:space="preserve"> for the transfer of international </w:t>
      </w:r>
      <w:r w:rsidR="009F5C80">
        <w:rPr>
          <w:bCs/>
          <w:sz w:val="20"/>
        </w:rPr>
        <w:t xml:space="preserve">and wireless </w:t>
      </w:r>
      <w:r w:rsidRPr="00CE55BE" w:rsidR="009F5C80">
        <w:rPr>
          <w:bCs/>
          <w:sz w:val="20"/>
        </w:rPr>
        <w:t>authorizations</w:t>
      </w:r>
      <w:r w:rsidR="009F5C80">
        <w:rPr>
          <w:bCs/>
          <w:sz w:val="20"/>
        </w:rPr>
        <w:t xml:space="preserve">.  </w:t>
      </w:r>
      <w:r w:rsidRPr="00CE55BE" w:rsidR="009F5C80">
        <w:rPr>
          <w:bCs/>
          <w:sz w:val="20"/>
        </w:rPr>
        <w:t>Any action on this domestic section 214 application is without prejudice to Commission action on other related, pending applications</w:t>
      </w:r>
      <w:r w:rsidRPr="00CE55BE" w:rsidR="009F5C80">
        <w:rPr>
          <w:rFonts w:eastAsia="Calibri"/>
          <w:bCs/>
          <w:sz w:val="20"/>
        </w:rPr>
        <w:t>.</w:t>
      </w:r>
    </w:p>
  </w:footnote>
  <w:footnote w:id="4">
    <w:p w:rsidR="00DF6DE0" w:rsidRPr="006A32FD" w:rsidP="00DF6DE0">
      <w:pPr>
        <w:pStyle w:val="FootnoteText"/>
      </w:pPr>
      <w:r>
        <w:rPr>
          <w:rStyle w:val="FootnoteReference"/>
        </w:rPr>
        <w:footnoteRef/>
      </w:r>
      <w:r>
        <w:t xml:space="preserve"> </w:t>
      </w:r>
      <w:r w:rsidRPr="006A32FD">
        <w:t>MDP LLC controls AccessLine Communications Corporation, which resells telecommunications services in multiple states</w:t>
      </w:r>
      <w:r w:rsidR="00B72F6B">
        <w:t xml:space="preserve">, and, according to Applicants, does not serve areas in which the Section 214 Subsidiaries provide incumbent LEC services. </w:t>
      </w:r>
    </w:p>
  </w:footnote>
  <w:footnote w:id="5">
    <w:p w:rsidR="00DF6DE0" w:rsidRPr="006A32FD" w:rsidP="00DF6DE0">
      <w:pPr>
        <w:pStyle w:val="FootnoteText"/>
      </w:pPr>
      <w:r w:rsidRPr="006A32FD">
        <w:rPr>
          <w:rStyle w:val="FootnoteReference"/>
          <w:sz w:val="20"/>
        </w:rPr>
        <w:footnoteRef/>
      </w:r>
      <w:r w:rsidRPr="006A32FD">
        <w:t xml:space="preserve"> As part of the proposed transaction, ABC may complete a </w:t>
      </w:r>
      <w:r w:rsidRPr="006A32FD">
        <w:rPr>
          <w:i/>
          <w:iCs/>
        </w:rPr>
        <w:t xml:space="preserve">pro forma </w:t>
      </w:r>
      <w:r w:rsidRPr="006A32FD">
        <w:t>reorganization with respect to the entities operating in Alaska.</w:t>
      </w:r>
    </w:p>
  </w:footnote>
  <w:footnote w:id="6">
    <w:p w:rsidR="00DF6DE0" w:rsidRPr="000B5635" w:rsidP="00DF6DE0">
      <w:pPr>
        <w:pStyle w:val="FootnoteText"/>
      </w:pPr>
      <w:r w:rsidRPr="000B5635">
        <w:rPr>
          <w:rStyle w:val="FootnoteReference"/>
        </w:rPr>
        <w:footnoteRef/>
      </w:r>
      <w:r w:rsidRPr="000B5635">
        <w:t xml:space="preserve"> </w:t>
      </w:r>
      <w:bookmarkStart w:id="5" w:name="_Hlk55910454"/>
      <w:r w:rsidRPr="000B5635">
        <w:rPr>
          <w:color w:val="020100"/>
        </w:rPr>
        <w:t xml:space="preserve">47 CFR </w:t>
      </w:r>
      <w:bookmarkEnd w:id="5"/>
      <w:r w:rsidRPr="000B5635">
        <w:rPr>
          <w:color w:val="020100"/>
        </w:rPr>
        <w:t>§ 63.03(b)(2)(i</w:t>
      </w:r>
      <w:r>
        <w:rPr>
          <w:color w:val="020100"/>
        </w:rPr>
        <w:t>i</w:t>
      </w:r>
      <w:r w:rsidRPr="000B5635">
        <w:rPr>
          <w:color w:val="020100"/>
        </w:rPr>
        <w:t>).</w:t>
      </w:r>
    </w:p>
  </w:footnote>
  <w:footnote w:id="7">
    <w:p w:rsidR="00DF6DE0" w:rsidRPr="00D22738" w:rsidP="00DF6DE0">
      <w:pPr>
        <w:pStyle w:val="FootnoteText"/>
      </w:pPr>
      <w:r w:rsidRPr="00995B83">
        <w:rPr>
          <w:rStyle w:val="FootnoteReference"/>
        </w:rPr>
        <w:footnoteRef/>
      </w:r>
      <w:r w:rsidRPr="00995B83">
        <w:t xml:space="preserve"> </w:t>
      </w:r>
      <w:r w:rsidRPr="00995B83">
        <w:rPr>
          <w:i/>
        </w:rPr>
        <w:t>See</w:t>
      </w:r>
      <w:r w:rsidRPr="00995B83">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154CC">
      <w:rPr>
        <w:b/>
      </w:rPr>
      <w:t>DA 21-53</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pPr>
                            <w:rPr>
                              <w:rFonts w:ascii="Arial" w:hAnsi="Arial"/>
                              <w:b/>
                              <w:snapToGrid/>
                            </w:rPr>
                          </w:pPr>
                          <w:r>
                            <w:rPr>
                              <w:rFonts w:ascii="Arial" w:hAnsi="Arial"/>
                              <w:b/>
                            </w:rPr>
                            <w:t>Federal Communications Commission</w:t>
                          </w:r>
                        </w:p>
                        <w:p w:rsidR="00DE0AB8" w:rsidP="00DE0AB8">
                          <w:pPr>
                            <w:rPr>
                              <w:rFonts w:ascii="Arial" w:hAnsi="Arial"/>
                              <w:b/>
                            </w:rPr>
                          </w:pPr>
                          <w:r>
                            <w:rPr>
                              <w:rFonts w:ascii="Arial" w:hAnsi="Arial"/>
                              <w:b/>
                            </w:rPr>
                            <w:t>45 L Street</w:t>
                          </w:r>
                          <w:r w:rsidR="00B72F6B">
                            <w:rPr>
                              <w:rFonts w:ascii="Arial" w:hAnsi="Arial"/>
                              <w:b/>
                            </w:rPr>
                            <w:t>,</w:t>
                          </w:r>
                          <w:r>
                            <w:rPr>
                              <w:rFonts w:ascii="Arial" w:hAnsi="Arial"/>
                              <w:b/>
                            </w:rPr>
                            <w:t xml:space="preserve"> N</w:t>
                          </w:r>
                          <w:r w:rsidR="00B72F6B">
                            <w:rPr>
                              <w:rFonts w:ascii="Arial" w:hAnsi="Arial"/>
                              <w:b/>
                            </w:rPr>
                            <w:t>.</w:t>
                          </w:r>
                          <w:r>
                            <w:rPr>
                              <w:rFonts w:ascii="Arial" w:hAnsi="Arial"/>
                              <w:b/>
                            </w:rPr>
                            <w:t>E</w:t>
                          </w:r>
                          <w:r w:rsidR="00B72F6B">
                            <w:rPr>
                              <w:rFonts w:ascii="Arial" w:hAnsi="Arial"/>
                              <w:b/>
                            </w:rPr>
                            <w:t>.</w:t>
                          </w:r>
                        </w:p>
                        <w:p w:rsidR="009838BC" w:rsidP="00DE0AB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path arrowok="t" textboxrect="0,0,21600,21600"/>
              <v:textbox>
                <w:txbxContent>
                  <w:p w:rsidR="00DE0AB8" w:rsidP="00DE0AB8" w14:paraId="76EF48E2" w14:textId="77777777">
                    <w:pPr>
                      <w:rPr>
                        <w:rFonts w:ascii="Arial" w:hAnsi="Arial"/>
                        <w:b/>
                        <w:snapToGrid/>
                      </w:rPr>
                    </w:pPr>
                    <w:r>
                      <w:rPr>
                        <w:rFonts w:ascii="Arial" w:hAnsi="Arial"/>
                        <w:b/>
                      </w:rPr>
                      <w:t>Federal Communications Commission</w:t>
                    </w:r>
                  </w:p>
                  <w:p w:rsidR="00DE0AB8" w:rsidP="00DE0AB8" w14:paraId="54CBF1FF" w14:textId="2BF3AACF">
                    <w:pPr>
                      <w:rPr>
                        <w:rFonts w:ascii="Arial" w:hAnsi="Arial"/>
                        <w:b/>
                      </w:rPr>
                    </w:pPr>
                    <w:r>
                      <w:rPr>
                        <w:rFonts w:ascii="Arial" w:hAnsi="Arial"/>
                        <w:b/>
                      </w:rPr>
                      <w:t>45 L Street</w:t>
                    </w:r>
                    <w:r w:rsidR="00B72F6B">
                      <w:rPr>
                        <w:rFonts w:ascii="Arial" w:hAnsi="Arial"/>
                        <w:b/>
                      </w:rPr>
                      <w:t>,</w:t>
                    </w:r>
                    <w:r>
                      <w:rPr>
                        <w:rFonts w:ascii="Arial" w:hAnsi="Arial"/>
                        <w:b/>
                      </w:rPr>
                      <w:t xml:space="preserve"> N</w:t>
                    </w:r>
                    <w:r w:rsidR="00B72F6B">
                      <w:rPr>
                        <w:rFonts w:ascii="Arial" w:hAnsi="Arial"/>
                        <w:b/>
                      </w:rPr>
                      <w:t>.</w:t>
                    </w:r>
                    <w:r>
                      <w:rPr>
                        <w:rFonts w:ascii="Arial" w:hAnsi="Arial"/>
                        <w:b/>
                      </w:rPr>
                      <w:t>E</w:t>
                    </w:r>
                    <w:r w:rsidR="00B72F6B">
                      <w:rPr>
                        <w:rFonts w:ascii="Arial" w:hAnsi="Arial"/>
                        <w:b/>
                      </w:rPr>
                      <w:t>.</w:t>
                    </w:r>
                  </w:p>
                  <w:p w:rsidR="009838BC" w:rsidP="00DE0AB8" w14:paraId="2F0FB30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 xmlns:a="http://schemas.openxmlformats.org/drawingml/2006/main">
            <a:graphicData uri="http://schemas.openxmlformats.org/drawingml/2006/picture">
              <pic:pic xmlns:pic="http://schemas.openxmlformats.org/drawingml/2006/picture">
                <pic:nvPicPr>
                  <pic:cNvPr id="383617302"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path arrowok="t" textboxrect="0,0,21600,21600"/>
              <v:textbox inset=",0,,0">
                <w:txbxContent>
                  <w:p w:rsidR="009838BC" w:rsidP="009838BC" w14:paraId="3F97642D" w14:textId="77777777">
                    <w:pPr>
                      <w:spacing w:before="40"/>
                      <w:jc w:val="right"/>
                      <w:rPr>
                        <w:rFonts w:ascii="Arial" w:hAnsi="Arial"/>
                        <w:b/>
                        <w:sz w:val="16"/>
                      </w:rPr>
                    </w:pPr>
                    <w:r>
                      <w:rPr>
                        <w:rFonts w:ascii="Arial" w:hAnsi="Arial"/>
                        <w:b/>
                        <w:sz w:val="16"/>
                      </w:rPr>
                      <w:t>News Media Information 202 / 418-0500</w:t>
                    </w:r>
                  </w:p>
                  <w:p w:rsidR="009838BC" w:rsidP="009838BC" w14:paraId="2DEAD962"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25A23F92" w14:textId="77777777">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6">
    <w:nsid w:val="5B453774"/>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E0"/>
    <w:rsid w:val="000072CE"/>
    <w:rsid w:val="00013A8B"/>
    <w:rsid w:val="00021445"/>
    <w:rsid w:val="00036039"/>
    <w:rsid w:val="00037F90"/>
    <w:rsid w:val="00063BBC"/>
    <w:rsid w:val="000875BF"/>
    <w:rsid w:val="00096D8C"/>
    <w:rsid w:val="000B5635"/>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77943"/>
    <w:rsid w:val="003925DC"/>
    <w:rsid w:val="003B0550"/>
    <w:rsid w:val="003B694F"/>
    <w:rsid w:val="003D4641"/>
    <w:rsid w:val="003F171C"/>
    <w:rsid w:val="003F1A93"/>
    <w:rsid w:val="00412FC5"/>
    <w:rsid w:val="00422276"/>
    <w:rsid w:val="004242F1"/>
    <w:rsid w:val="00445A00"/>
    <w:rsid w:val="00451B0F"/>
    <w:rsid w:val="0046125F"/>
    <w:rsid w:val="00487524"/>
    <w:rsid w:val="00496106"/>
    <w:rsid w:val="004C12D0"/>
    <w:rsid w:val="004C2EE3"/>
    <w:rsid w:val="004E4A22"/>
    <w:rsid w:val="00511968"/>
    <w:rsid w:val="0055614C"/>
    <w:rsid w:val="005C1556"/>
    <w:rsid w:val="00607BA5"/>
    <w:rsid w:val="00626EB6"/>
    <w:rsid w:val="006353A3"/>
    <w:rsid w:val="006521AA"/>
    <w:rsid w:val="00655D03"/>
    <w:rsid w:val="00683F84"/>
    <w:rsid w:val="006A32FD"/>
    <w:rsid w:val="006A6A81"/>
    <w:rsid w:val="006E26AF"/>
    <w:rsid w:val="006F7393"/>
    <w:rsid w:val="0070224F"/>
    <w:rsid w:val="007115F7"/>
    <w:rsid w:val="00785689"/>
    <w:rsid w:val="0079754B"/>
    <w:rsid w:val="007A1E6D"/>
    <w:rsid w:val="00822CE0"/>
    <w:rsid w:val="00837C62"/>
    <w:rsid w:val="00841AB1"/>
    <w:rsid w:val="00885BCE"/>
    <w:rsid w:val="008C22FD"/>
    <w:rsid w:val="00910F12"/>
    <w:rsid w:val="00926503"/>
    <w:rsid w:val="00930ECF"/>
    <w:rsid w:val="00971578"/>
    <w:rsid w:val="009838BC"/>
    <w:rsid w:val="00995B83"/>
    <w:rsid w:val="009F5C80"/>
    <w:rsid w:val="00A154CC"/>
    <w:rsid w:val="00A45F4F"/>
    <w:rsid w:val="00A600A9"/>
    <w:rsid w:val="00A866AC"/>
    <w:rsid w:val="00AA55B7"/>
    <w:rsid w:val="00AA5B9E"/>
    <w:rsid w:val="00AB2407"/>
    <w:rsid w:val="00AB53DF"/>
    <w:rsid w:val="00B07E5C"/>
    <w:rsid w:val="00B140C8"/>
    <w:rsid w:val="00B20363"/>
    <w:rsid w:val="00B23434"/>
    <w:rsid w:val="00B326E3"/>
    <w:rsid w:val="00B55D96"/>
    <w:rsid w:val="00B72F6B"/>
    <w:rsid w:val="00B811F7"/>
    <w:rsid w:val="00BA5DC6"/>
    <w:rsid w:val="00BA6196"/>
    <w:rsid w:val="00BC6D8C"/>
    <w:rsid w:val="00C16AF2"/>
    <w:rsid w:val="00C34006"/>
    <w:rsid w:val="00C426B1"/>
    <w:rsid w:val="00C82B6B"/>
    <w:rsid w:val="00C90D6A"/>
    <w:rsid w:val="00CC72B6"/>
    <w:rsid w:val="00CE55BE"/>
    <w:rsid w:val="00D0218D"/>
    <w:rsid w:val="00D216CD"/>
    <w:rsid w:val="00D22738"/>
    <w:rsid w:val="00DA2529"/>
    <w:rsid w:val="00DB130A"/>
    <w:rsid w:val="00DC10A1"/>
    <w:rsid w:val="00DC655F"/>
    <w:rsid w:val="00DD7EBD"/>
    <w:rsid w:val="00DE0AB8"/>
    <w:rsid w:val="00DF62B6"/>
    <w:rsid w:val="00DF6DE0"/>
    <w:rsid w:val="00E07225"/>
    <w:rsid w:val="00E155B7"/>
    <w:rsid w:val="00E31AAD"/>
    <w:rsid w:val="00E5409F"/>
    <w:rsid w:val="00E74B69"/>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62F3034-ACCD-4251-BA9B-649A6ABC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F6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E0"/>
    <w:rPr>
      <w:rFonts w:ascii="Segoe UI" w:hAnsi="Segoe UI" w:cs="Segoe UI"/>
      <w:snapToGrid w:val="0"/>
      <w:kern w:val="28"/>
      <w:sz w:val="18"/>
      <w:szCs w:val="18"/>
    </w:rPr>
  </w:style>
  <w:style w:type="paragraph" w:styleId="NormalWeb">
    <w:name w:val="Normal (Web)"/>
    <w:basedOn w:val="Normal"/>
    <w:uiPriority w:val="99"/>
    <w:semiHidden/>
    <w:unhideWhenUsed/>
    <w:rsid w:val="00DF6DE0"/>
    <w:rPr>
      <w:sz w:val="24"/>
      <w:szCs w:val="24"/>
    </w:rPr>
  </w:style>
  <w:style w:type="character" w:styleId="CommentReference">
    <w:name w:val="annotation reference"/>
    <w:rsid w:val="00DF6DE0"/>
    <w:rPr>
      <w:sz w:val="16"/>
      <w:szCs w:val="16"/>
    </w:rPr>
  </w:style>
  <w:style w:type="paragraph" w:styleId="CommentText">
    <w:name w:val="annotation text"/>
    <w:basedOn w:val="Normal"/>
    <w:link w:val="CommentTextChar"/>
    <w:rsid w:val="00DF6DE0"/>
    <w:pPr>
      <w:widowControl/>
    </w:pPr>
    <w:rPr>
      <w:snapToGrid/>
      <w:kern w:val="0"/>
      <w:sz w:val="20"/>
    </w:rPr>
  </w:style>
  <w:style w:type="character" w:customStyle="1" w:styleId="CommentTextChar">
    <w:name w:val="Comment Text Char"/>
    <w:basedOn w:val="DefaultParagraphFont"/>
    <w:link w:val="CommentText"/>
    <w:rsid w:val="00DF6DE0"/>
  </w:style>
  <w:style w:type="character" w:customStyle="1" w:styleId="UnresolvedMention">
    <w:name w:val="Unresolved Mention"/>
    <w:basedOn w:val="DefaultParagraphFont"/>
    <w:uiPriority w:val="99"/>
    <w:semiHidden/>
    <w:unhideWhenUsed/>
    <w:rsid w:val="0006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ey.wilson@fcc.gov" TargetMode="External" /><Relationship Id="rId6" Type="http://schemas.openxmlformats.org/officeDocument/2006/relationships/hyperlink" Target="mailto:annick.banoun@fcc.gov" TargetMode="External" /><Relationship Id="rId7" Type="http://schemas.openxmlformats.org/officeDocument/2006/relationships/hyperlink" Target="mailto:sumita.mukhoty@fcc.gov" TargetMode="External" /><Relationship Id="rId8" Type="http://schemas.openxmlformats.org/officeDocument/2006/relationships/hyperlink" Target="mailto:jim.bird@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