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04CE3" w14:paraId="7FB7F326" w14:textId="77777777">
      <w:pPr>
        <w:rPr>
          <w:sz w:val="22"/>
          <w:szCs w:val="22"/>
        </w:rPr>
      </w:pPr>
    </w:p>
    <w:p w:rsidR="003B1036" w:rsidP="003B1036" w14:paraId="4EF801A0" w14:textId="56A5CAE0">
      <w:pPr>
        <w:jc w:val="right"/>
        <w:rPr>
          <w:b/>
          <w:bCs/>
          <w:sz w:val="22"/>
          <w:szCs w:val="22"/>
        </w:rPr>
      </w:pPr>
      <w:r>
        <w:rPr>
          <w:b/>
          <w:bCs/>
          <w:sz w:val="22"/>
          <w:szCs w:val="22"/>
        </w:rPr>
        <w:t xml:space="preserve">DA </w:t>
      </w:r>
      <w:r w:rsidR="00C820E3">
        <w:rPr>
          <w:b/>
          <w:bCs/>
          <w:sz w:val="22"/>
          <w:szCs w:val="22"/>
        </w:rPr>
        <w:t>21-542</w:t>
      </w:r>
    </w:p>
    <w:p w:rsidR="003B1036" w:rsidP="003B1036" w14:paraId="1B633011" w14:textId="77777777">
      <w:pPr>
        <w:jc w:val="right"/>
        <w:rPr>
          <w:b/>
          <w:bCs/>
          <w:sz w:val="22"/>
          <w:szCs w:val="22"/>
        </w:rPr>
      </w:pPr>
    </w:p>
    <w:p w:rsidR="003B1036" w:rsidP="003B1036" w14:paraId="4737C6F4" w14:textId="5F8E54BD">
      <w:pPr>
        <w:rPr>
          <w:rFonts w:ascii="Times New Roman Bold" w:hAnsi="Times New Roman Bold"/>
          <w:sz w:val="22"/>
          <w:u w:val="single"/>
        </w:rPr>
      </w:pPr>
      <w:r>
        <w:rPr>
          <w:rFonts w:ascii="Times New Roman Bold" w:hAnsi="Times New Roman Bold"/>
          <w:sz w:val="22"/>
          <w:u w:val="single"/>
        </w:rPr>
        <w:t xml:space="preserve">Via </w:t>
      </w:r>
      <w:r w:rsidR="00560777">
        <w:rPr>
          <w:rFonts w:ascii="Times New Roman Bold" w:hAnsi="Times New Roman Bold"/>
          <w:sz w:val="22"/>
          <w:u w:val="single"/>
        </w:rPr>
        <w:t xml:space="preserve">Email and </w:t>
      </w:r>
      <w:r>
        <w:rPr>
          <w:rFonts w:ascii="Times New Roman Bold" w:hAnsi="Times New Roman Bold"/>
          <w:sz w:val="22"/>
          <w:u w:val="single"/>
        </w:rPr>
        <w:t>Certifi</w:t>
      </w:r>
      <w:bookmarkStart w:id="0" w:name="bookmark"/>
      <w:bookmarkEnd w:id="0"/>
      <w:r>
        <w:rPr>
          <w:rFonts w:ascii="Times New Roman Bold" w:hAnsi="Times New Roman Bold"/>
          <w:sz w:val="22"/>
          <w:u w:val="single"/>
        </w:rPr>
        <w:t>ed Mail, Return Receipt Requested</w:t>
      </w:r>
    </w:p>
    <w:p w:rsidR="003B1036" w:rsidP="003B1036" w14:paraId="41D8631F" w14:textId="77777777">
      <w:pPr>
        <w:rPr>
          <w:rFonts w:ascii="Times New Roman Bold" w:hAnsi="Times New Roman Bold"/>
          <w:sz w:val="22"/>
          <w:u w:val="single"/>
        </w:rPr>
      </w:pPr>
    </w:p>
    <w:p w:rsidR="003B1036" w:rsidP="003B1036" w14:paraId="255F65FE" w14:textId="0CC82633">
      <w:pPr>
        <w:rPr>
          <w:sz w:val="22"/>
          <w:szCs w:val="22"/>
        </w:rPr>
      </w:pPr>
      <w:r>
        <w:rPr>
          <w:sz w:val="22"/>
          <w:szCs w:val="22"/>
        </w:rPr>
        <w:t>LocaLoop</w:t>
      </w:r>
      <w:r>
        <w:rPr>
          <w:sz w:val="22"/>
          <w:szCs w:val="22"/>
        </w:rPr>
        <w:t>, Inc.</w:t>
      </w:r>
      <w:r w:rsidRPr="0034371E">
        <w:rPr>
          <w:sz w:val="22"/>
          <w:szCs w:val="22"/>
        </w:rPr>
        <w:br/>
        <w:t xml:space="preserve">Attn: </w:t>
      </w:r>
      <w:r>
        <w:rPr>
          <w:sz w:val="22"/>
          <w:szCs w:val="22"/>
        </w:rPr>
        <w:t>Carl</w:t>
      </w:r>
      <w:r w:rsidR="00631E73">
        <w:rPr>
          <w:sz w:val="22"/>
          <w:szCs w:val="22"/>
        </w:rPr>
        <w:t xml:space="preserve"> J.</w:t>
      </w:r>
      <w:r>
        <w:rPr>
          <w:sz w:val="22"/>
          <w:szCs w:val="22"/>
        </w:rPr>
        <w:t xml:space="preserve"> </w:t>
      </w:r>
      <w:r>
        <w:rPr>
          <w:sz w:val="22"/>
          <w:szCs w:val="22"/>
        </w:rPr>
        <w:t>Torarp</w:t>
      </w:r>
      <w:r>
        <w:rPr>
          <w:sz w:val="22"/>
          <w:szCs w:val="22"/>
        </w:rPr>
        <w:t>, CEO</w:t>
      </w:r>
    </w:p>
    <w:p w:rsidR="00D65FE5" w:rsidP="003B1036" w14:paraId="30EADC26" w14:textId="68FA40EB">
      <w:pPr>
        <w:rPr>
          <w:sz w:val="22"/>
          <w:szCs w:val="22"/>
        </w:rPr>
      </w:pPr>
      <w:r>
        <w:rPr>
          <w:sz w:val="22"/>
          <w:szCs w:val="22"/>
        </w:rPr>
        <w:t>3280 Gorham Avenue</w:t>
      </w:r>
      <w:r w:rsidR="00C820E3">
        <w:rPr>
          <w:sz w:val="22"/>
          <w:szCs w:val="22"/>
        </w:rPr>
        <w:t>, Suite 201</w:t>
      </w:r>
    </w:p>
    <w:p w:rsidR="003B1036" w:rsidRPr="00D65FE5" w:rsidP="003B1036" w14:paraId="2A3C8ACC" w14:textId="4BE6AF31">
      <w:pPr>
        <w:rPr>
          <w:sz w:val="22"/>
          <w:szCs w:val="22"/>
        </w:rPr>
      </w:pPr>
      <w:r>
        <w:rPr>
          <w:sz w:val="22"/>
          <w:szCs w:val="22"/>
        </w:rPr>
        <w:t>St. Louis Park</w:t>
      </w:r>
      <w:r w:rsidR="00D65FE5">
        <w:rPr>
          <w:sz w:val="22"/>
          <w:szCs w:val="22"/>
        </w:rPr>
        <w:t>, MN 554</w:t>
      </w:r>
      <w:r>
        <w:rPr>
          <w:sz w:val="22"/>
          <w:szCs w:val="22"/>
        </w:rPr>
        <w:t>2</w:t>
      </w:r>
      <w:r w:rsidR="00D65FE5">
        <w:rPr>
          <w:sz w:val="22"/>
          <w:szCs w:val="22"/>
        </w:rPr>
        <w:t>6</w:t>
      </w:r>
      <w:r>
        <w:rPr>
          <w:sz w:val="22"/>
          <w:szCs w:val="22"/>
        </w:rPr>
        <w:br/>
      </w:r>
    </w:p>
    <w:p w:rsidR="006674A9" w:rsidP="003B1036" w14:paraId="2074B860" w14:textId="7112DCEC">
      <w:pPr>
        <w:widowControl w:val="0"/>
        <w:ind w:left="720"/>
        <w:rPr>
          <w:b/>
          <w:sz w:val="22"/>
        </w:rPr>
      </w:pPr>
      <w:r>
        <w:rPr>
          <w:b/>
          <w:sz w:val="22"/>
        </w:rPr>
        <w:t xml:space="preserve">Re:  Notice of </w:t>
      </w:r>
      <w:r w:rsidR="00B07259">
        <w:rPr>
          <w:b/>
          <w:sz w:val="22"/>
        </w:rPr>
        <w:t>LocaLoop</w:t>
      </w:r>
      <w:r w:rsidR="00B07259">
        <w:rPr>
          <w:b/>
          <w:sz w:val="22"/>
        </w:rPr>
        <w:t xml:space="preserve">, Inc.’s </w:t>
      </w:r>
      <w:r>
        <w:rPr>
          <w:b/>
          <w:sz w:val="22"/>
        </w:rPr>
        <w:t xml:space="preserve">Interim Default Payment Obligation </w:t>
      </w:r>
      <w:r w:rsidR="00173E06">
        <w:rPr>
          <w:b/>
          <w:sz w:val="22"/>
        </w:rPr>
        <w:t>for Licenses Won in</w:t>
      </w:r>
      <w:r>
        <w:rPr>
          <w:b/>
          <w:sz w:val="22"/>
        </w:rPr>
        <w:t xml:space="preserve"> Auction </w:t>
      </w:r>
      <w:r w:rsidR="0034371E">
        <w:rPr>
          <w:b/>
          <w:sz w:val="22"/>
        </w:rPr>
        <w:t>105</w:t>
      </w:r>
      <w:r>
        <w:rPr>
          <w:b/>
          <w:sz w:val="22"/>
        </w:rPr>
        <w:t xml:space="preserve"> </w:t>
      </w:r>
    </w:p>
    <w:p w:rsidR="003B1036" w:rsidP="003B1036" w14:paraId="3AF34F97" w14:textId="77777777">
      <w:pPr>
        <w:widowControl w:val="0"/>
        <w:rPr>
          <w:sz w:val="22"/>
        </w:rPr>
      </w:pPr>
    </w:p>
    <w:p w:rsidR="00BB4AFC" w:rsidRPr="008A7DFD" w:rsidP="00BB4AFC" w14:paraId="71F18312" w14:textId="77777777">
      <w:pPr>
        <w:widowControl w:val="0"/>
        <w:jc w:val="center"/>
        <w:rPr>
          <w:b/>
          <w:sz w:val="22"/>
          <w:szCs w:val="22"/>
          <w:u w:val="single"/>
        </w:rPr>
      </w:pPr>
      <w:r w:rsidRPr="008A7DFD">
        <w:rPr>
          <w:b/>
          <w:sz w:val="22"/>
          <w:szCs w:val="22"/>
          <w:u w:val="single"/>
        </w:rPr>
        <w:t>DO NOT DISCARD THIS IMPORTANT NOTICE</w:t>
      </w:r>
    </w:p>
    <w:p w:rsidR="00BB4AFC" w:rsidRPr="008A7DFD" w:rsidP="00BB4AFC" w14:paraId="593E3728" w14:textId="77777777">
      <w:pPr>
        <w:widowControl w:val="0"/>
        <w:jc w:val="center"/>
        <w:rPr>
          <w:b/>
          <w:sz w:val="22"/>
          <w:szCs w:val="22"/>
          <w:u w:val="single"/>
        </w:rPr>
      </w:pPr>
      <w:r w:rsidRPr="008A7DFD">
        <w:rPr>
          <w:b/>
          <w:sz w:val="22"/>
          <w:szCs w:val="22"/>
          <w:u w:val="single"/>
        </w:rPr>
        <w:t>OF A DEMAND FOR PAYMENT</w:t>
      </w:r>
    </w:p>
    <w:p w:rsidR="00BB4AFC" w:rsidRPr="008A7DFD" w:rsidP="00BB4AFC" w14:paraId="42D6EFD8" w14:textId="77777777">
      <w:pPr>
        <w:widowControl w:val="0"/>
        <w:jc w:val="center"/>
        <w:rPr>
          <w:b/>
          <w:sz w:val="22"/>
          <w:szCs w:val="22"/>
          <w:u w:val="single"/>
        </w:rPr>
      </w:pPr>
      <w:r w:rsidRPr="008A7DFD">
        <w:rPr>
          <w:b/>
          <w:sz w:val="22"/>
          <w:szCs w:val="22"/>
          <w:u w:val="single"/>
        </w:rPr>
        <w:t>OF A DEBT OWED THE UNITED STATES AND ORDER OF PAYMENT</w:t>
      </w:r>
    </w:p>
    <w:p w:rsidR="005B2160" w:rsidP="003B1036" w14:paraId="2F258394" w14:textId="77777777">
      <w:pPr>
        <w:rPr>
          <w:sz w:val="22"/>
          <w:szCs w:val="22"/>
        </w:rPr>
      </w:pPr>
    </w:p>
    <w:p w:rsidR="003B1036" w:rsidP="0048183F" w14:paraId="23413231" w14:textId="534C3F4E">
      <w:pPr>
        <w:spacing w:after="120"/>
        <w:rPr>
          <w:sz w:val="22"/>
          <w:szCs w:val="22"/>
        </w:rPr>
      </w:pPr>
      <w:r>
        <w:rPr>
          <w:sz w:val="22"/>
          <w:szCs w:val="22"/>
        </w:rPr>
        <w:t xml:space="preserve">Dear Mr. </w:t>
      </w:r>
      <w:r w:rsidR="00293DCE">
        <w:rPr>
          <w:sz w:val="22"/>
          <w:szCs w:val="22"/>
        </w:rPr>
        <w:t>Torarp</w:t>
      </w:r>
      <w:r>
        <w:rPr>
          <w:sz w:val="22"/>
          <w:szCs w:val="22"/>
        </w:rPr>
        <w:t>:</w:t>
      </w:r>
    </w:p>
    <w:p w:rsidR="00266D2A" w:rsidP="0048183F" w14:paraId="39BEFC3E" w14:textId="5C724ADF">
      <w:pPr>
        <w:widowControl w:val="0"/>
        <w:spacing w:after="120"/>
        <w:ind w:firstLine="720"/>
        <w:rPr>
          <w:sz w:val="22"/>
        </w:rPr>
      </w:pPr>
      <w:r>
        <w:rPr>
          <w:sz w:val="22"/>
        </w:rPr>
        <w:t xml:space="preserve">This Order provides notice </w:t>
      </w:r>
      <w:r w:rsidR="00560F69">
        <w:rPr>
          <w:sz w:val="22"/>
        </w:rPr>
        <w:t xml:space="preserve">and demands payment </w:t>
      </w:r>
      <w:r>
        <w:rPr>
          <w:sz w:val="22"/>
        </w:rPr>
        <w:t xml:space="preserve">of the interim default payment obligation for </w:t>
      </w:r>
      <w:r w:rsidR="00293DCE">
        <w:rPr>
          <w:sz w:val="22"/>
        </w:rPr>
        <w:t>LocaLoop</w:t>
      </w:r>
      <w:r w:rsidR="00293DCE">
        <w:rPr>
          <w:sz w:val="22"/>
        </w:rPr>
        <w:t>, Inc.</w:t>
      </w:r>
      <w:r>
        <w:rPr>
          <w:sz w:val="22"/>
        </w:rPr>
        <w:t xml:space="preserve"> (“</w:t>
      </w:r>
      <w:r w:rsidR="001E5EAA">
        <w:rPr>
          <w:sz w:val="22"/>
        </w:rPr>
        <w:t>LocaLoop</w:t>
      </w:r>
      <w:r>
        <w:rPr>
          <w:sz w:val="22"/>
        </w:rPr>
        <w:t xml:space="preserve">”) with respect to its default arising out of </w:t>
      </w:r>
      <w:r w:rsidRPr="00B7123E">
        <w:rPr>
          <w:sz w:val="22"/>
        </w:rPr>
        <w:t>Auction 105</w:t>
      </w:r>
      <w:r w:rsidR="004C069E">
        <w:rPr>
          <w:sz w:val="22"/>
        </w:rPr>
        <w:t xml:space="preserve"> </w:t>
      </w:r>
      <w:r w:rsidRPr="00B7123E">
        <w:rPr>
          <w:sz w:val="22"/>
        </w:rPr>
        <w:t xml:space="preserve">and </w:t>
      </w:r>
      <w:r w:rsidRPr="001E5EAA">
        <w:rPr>
          <w:sz w:val="22"/>
        </w:rPr>
        <w:t xml:space="preserve">dismisses </w:t>
      </w:r>
      <w:r w:rsidRPr="001E5EAA" w:rsidR="00293DCE">
        <w:rPr>
          <w:sz w:val="22"/>
        </w:rPr>
        <w:t>LocaLoop’s</w:t>
      </w:r>
      <w:r w:rsidRPr="001E5EAA">
        <w:rPr>
          <w:sz w:val="22"/>
        </w:rPr>
        <w:t xml:space="preserve"> </w:t>
      </w:r>
      <w:r w:rsidR="00D65FE5">
        <w:rPr>
          <w:sz w:val="22"/>
        </w:rPr>
        <w:t>long</w:t>
      </w:r>
      <w:r w:rsidRPr="001E5EAA" w:rsidR="00293DCE">
        <w:rPr>
          <w:sz w:val="22"/>
        </w:rPr>
        <w:t>-</w:t>
      </w:r>
      <w:r w:rsidRPr="001E5EAA">
        <w:rPr>
          <w:sz w:val="22"/>
        </w:rPr>
        <w:t>form license application (FCC Form </w:t>
      </w:r>
      <w:r w:rsidR="00D65FE5">
        <w:rPr>
          <w:sz w:val="22"/>
        </w:rPr>
        <w:t>601</w:t>
      </w:r>
      <w:r w:rsidRPr="001E5EAA">
        <w:rPr>
          <w:sz w:val="22"/>
        </w:rPr>
        <w:t>).</w:t>
      </w:r>
    </w:p>
    <w:p w:rsidR="00266D2A" w:rsidP="0048183F" w14:paraId="1735A92F" w14:textId="27AF3743">
      <w:pPr>
        <w:widowControl w:val="0"/>
        <w:spacing w:after="120"/>
        <w:ind w:firstLine="720"/>
        <w:rPr>
          <w:sz w:val="22"/>
        </w:rPr>
      </w:pPr>
      <w:r>
        <w:rPr>
          <w:sz w:val="22"/>
        </w:rPr>
        <w:t xml:space="preserve">As described fully below, </w:t>
      </w:r>
      <w:r w:rsidR="00293DCE">
        <w:rPr>
          <w:sz w:val="22"/>
          <w:szCs w:val="22"/>
        </w:rPr>
        <w:t>LocaLoop</w:t>
      </w:r>
      <w:r w:rsidR="00293DCE">
        <w:rPr>
          <w:sz w:val="22"/>
        </w:rPr>
        <w:t xml:space="preserve"> </w:t>
      </w:r>
      <w:r w:rsidR="00D8754F">
        <w:rPr>
          <w:sz w:val="22"/>
        </w:rPr>
        <w:t xml:space="preserve">was </w:t>
      </w:r>
      <w:r>
        <w:rPr>
          <w:sz w:val="22"/>
        </w:rPr>
        <w:t>the winning bid</w:t>
      </w:r>
      <w:r w:rsidR="00D8754F">
        <w:rPr>
          <w:sz w:val="22"/>
        </w:rPr>
        <w:t>der</w:t>
      </w:r>
      <w:r>
        <w:rPr>
          <w:sz w:val="22"/>
        </w:rPr>
        <w:t xml:space="preserve"> in Auction 105 for </w:t>
      </w:r>
      <w:r w:rsidR="00293DCE">
        <w:rPr>
          <w:sz w:val="22"/>
        </w:rPr>
        <w:t>122</w:t>
      </w:r>
      <w:r>
        <w:rPr>
          <w:sz w:val="22"/>
        </w:rPr>
        <w:t xml:space="preserve"> Priority Access Licenses (PALs) in the 3550-3650 MHz portion of the 3.5 GHz band.</w:t>
      </w:r>
      <w:r>
        <w:rPr>
          <w:rStyle w:val="FootnoteReference1"/>
          <w:sz w:val="22"/>
        </w:rPr>
        <w:footnoteReference w:id="3"/>
      </w:r>
      <w:r>
        <w:rPr>
          <w:sz w:val="22"/>
        </w:rPr>
        <w:t xml:space="preserve">  After the close of Auction 105, </w:t>
      </w:r>
      <w:r w:rsidR="00293DCE">
        <w:rPr>
          <w:sz w:val="22"/>
          <w:szCs w:val="22"/>
        </w:rPr>
        <w:t>LocaLoop</w:t>
      </w:r>
      <w:r w:rsidR="00293DCE">
        <w:rPr>
          <w:sz w:val="22"/>
        </w:rPr>
        <w:t xml:space="preserve"> made its</w:t>
      </w:r>
      <w:r w:rsidR="00EB6495">
        <w:rPr>
          <w:sz w:val="22"/>
        </w:rPr>
        <w:t xml:space="preserve"> down payment </w:t>
      </w:r>
      <w:r w:rsidR="00293DCE">
        <w:rPr>
          <w:sz w:val="22"/>
        </w:rPr>
        <w:t>of $</w:t>
      </w:r>
      <w:r w:rsidR="002000F1">
        <w:rPr>
          <w:sz w:val="22"/>
        </w:rPr>
        <w:t>871,734.40</w:t>
      </w:r>
      <w:r w:rsidR="00CA3345">
        <w:rPr>
          <w:sz w:val="22"/>
        </w:rPr>
        <w:t>,</w:t>
      </w:r>
      <w:r w:rsidR="00293DCE">
        <w:rPr>
          <w:sz w:val="22"/>
        </w:rPr>
        <w:t xml:space="preserve"> but failed to make its final payment of</w:t>
      </w:r>
      <w:r w:rsidR="002000F1">
        <w:rPr>
          <w:sz w:val="22"/>
        </w:rPr>
        <w:t xml:space="preserve"> the balance of its net payment amount</w:t>
      </w:r>
      <w:r w:rsidR="00D87285">
        <w:rPr>
          <w:sz w:val="22"/>
        </w:rPr>
        <w:t xml:space="preserve"> </w:t>
      </w:r>
      <w:r w:rsidR="006139BD">
        <w:rPr>
          <w:sz w:val="22"/>
        </w:rPr>
        <w:t>of</w:t>
      </w:r>
      <w:r w:rsidR="00293DCE">
        <w:rPr>
          <w:sz w:val="22"/>
        </w:rPr>
        <w:t xml:space="preserve"> $</w:t>
      </w:r>
      <w:r w:rsidR="002000F1">
        <w:rPr>
          <w:sz w:val="22"/>
        </w:rPr>
        <w:t>3,486,937.60</w:t>
      </w:r>
      <w:r w:rsidR="00EB6495">
        <w:rPr>
          <w:sz w:val="22"/>
        </w:rPr>
        <w:t xml:space="preserve">.  </w:t>
      </w:r>
      <w:r w:rsidR="00293DCE">
        <w:rPr>
          <w:sz w:val="22"/>
          <w:szCs w:val="22"/>
        </w:rPr>
        <w:t>LocaLoop</w:t>
      </w:r>
      <w:r w:rsidR="00293DCE">
        <w:rPr>
          <w:sz w:val="22"/>
          <w:szCs w:val="22"/>
        </w:rPr>
        <w:t xml:space="preserve"> </w:t>
      </w:r>
      <w:r>
        <w:rPr>
          <w:sz w:val="22"/>
        </w:rPr>
        <w:t xml:space="preserve">became subject to the default provisions of </w:t>
      </w:r>
      <w:r w:rsidRPr="00EB6495">
        <w:rPr>
          <w:sz w:val="22"/>
        </w:rPr>
        <w:t>section 1.2104(g) of</w:t>
      </w:r>
      <w:r>
        <w:rPr>
          <w:sz w:val="22"/>
        </w:rPr>
        <w:t xml:space="preserve"> the Commission’s rules</w:t>
      </w:r>
      <w:r w:rsidR="00293DCE">
        <w:rPr>
          <w:sz w:val="22"/>
        </w:rPr>
        <w:t xml:space="preserve"> when it failed to make </w:t>
      </w:r>
      <w:r w:rsidR="002000F1">
        <w:rPr>
          <w:sz w:val="22"/>
        </w:rPr>
        <w:t>that</w:t>
      </w:r>
      <w:r w:rsidR="00293DCE">
        <w:rPr>
          <w:sz w:val="22"/>
        </w:rPr>
        <w:t xml:space="preserve"> final payment</w:t>
      </w:r>
      <w:r w:rsidR="003E61A7">
        <w:rPr>
          <w:sz w:val="22"/>
        </w:rPr>
        <w:t xml:space="preserve"> within the time provided under the rules.</w:t>
      </w:r>
      <w:r>
        <w:rPr>
          <w:rStyle w:val="FootnoteReference1"/>
          <w:sz w:val="22"/>
        </w:rPr>
        <w:footnoteReference w:id="4"/>
      </w:r>
      <w:r>
        <w:rPr>
          <w:sz w:val="22"/>
        </w:rPr>
        <w:t xml:space="preserve"> </w:t>
      </w:r>
      <w:r>
        <w:rPr>
          <w:color w:val="FF0000"/>
          <w:sz w:val="22"/>
        </w:rPr>
        <w:t xml:space="preserve"> </w:t>
      </w:r>
    </w:p>
    <w:p w:rsidR="003348E8" w:rsidP="0048183F" w14:paraId="4E152222" w14:textId="7C66DE0E">
      <w:pPr>
        <w:widowControl w:val="0"/>
        <w:spacing w:after="120"/>
        <w:ind w:firstLine="720"/>
        <w:rPr>
          <w:sz w:val="22"/>
        </w:rPr>
      </w:pPr>
      <w:r w:rsidRPr="0B290DDE">
        <w:rPr>
          <w:sz w:val="22"/>
          <w:szCs w:val="22"/>
        </w:rPr>
        <w:t xml:space="preserve">On </w:t>
      </w:r>
      <w:r w:rsidRPr="0B290DDE" w:rsidR="00EB6495">
        <w:rPr>
          <w:sz w:val="22"/>
          <w:szCs w:val="22"/>
        </w:rPr>
        <w:t>September 2, 2020</w:t>
      </w:r>
      <w:r w:rsidRPr="0B290DDE">
        <w:rPr>
          <w:sz w:val="22"/>
          <w:szCs w:val="22"/>
        </w:rPr>
        <w:t>, the</w:t>
      </w:r>
      <w:r w:rsidRPr="0B290DDE" w:rsidR="003E61A7">
        <w:rPr>
          <w:sz w:val="22"/>
          <w:szCs w:val="22"/>
        </w:rPr>
        <w:t xml:space="preserve"> Office of Economics and Analytics and</w:t>
      </w:r>
      <w:r w:rsidRPr="0B290DDE">
        <w:rPr>
          <w:sz w:val="22"/>
          <w:szCs w:val="22"/>
        </w:rPr>
        <w:t xml:space="preserve"> Wireless Telecommunications Bureau announced the winning bidders in Auction </w:t>
      </w:r>
      <w:r w:rsidRPr="0B290DDE" w:rsidR="008B5CA5">
        <w:rPr>
          <w:sz w:val="22"/>
          <w:szCs w:val="22"/>
        </w:rPr>
        <w:t>105</w:t>
      </w:r>
      <w:r w:rsidRPr="0B290DDE">
        <w:rPr>
          <w:sz w:val="22"/>
          <w:szCs w:val="22"/>
        </w:rPr>
        <w:t xml:space="preserve">, including </w:t>
      </w:r>
      <w:r w:rsidR="00293DCE">
        <w:rPr>
          <w:sz w:val="22"/>
          <w:szCs w:val="22"/>
        </w:rPr>
        <w:t>LocaLoop</w:t>
      </w:r>
      <w:r w:rsidRPr="0B290DDE">
        <w:rPr>
          <w:sz w:val="22"/>
          <w:szCs w:val="22"/>
        </w:rPr>
        <w:t>.</w:t>
      </w:r>
      <w:r>
        <w:rPr>
          <w:rStyle w:val="FootnoteReference"/>
          <w:sz w:val="22"/>
          <w:szCs w:val="22"/>
        </w:rPr>
        <w:footnoteReference w:id="5"/>
      </w:r>
      <w:r w:rsidRPr="0B290DDE">
        <w:rPr>
          <w:sz w:val="22"/>
          <w:szCs w:val="22"/>
        </w:rPr>
        <w:t xml:space="preserve">  The </w:t>
      </w:r>
      <w:r w:rsidRPr="0B290DDE" w:rsidR="0085722A">
        <w:rPr>
          <w:i/>
          <w:sz w:val="22"/>
          <w:szCs w:val="22"/>
        </w:rPr>
        <w:t>Auction 105 Closing Public Notice</w:t>
      </w:r>
      <w:r w:rsidRPr="0B290DDE" w:rsidR="0085722A">
        <w:rPr>
          <w:sz w:val="22"/>
          <w:szCs w:val="22"/>
        </w:rPr>
        <w:t xml:space="preserve"> </w:t>
      </w:r>
      <w:r w:rsidRPr="0B290DDE">
        <w:rPr>
          <w:sz w:val="22"/>
          <w:szCs w:val="22"/>
        </w:rPr>
        <w:t>also announced that</w:t>
      </w:r>
      <w:r w:rsidRPr="0B290DDE" w:rsidR="31C3035F">
        <w:rPr>
          <w:sz w:val="22"/>
          <w:szCs w:val="22"/>
        </w:rPr>
        <w:t>,</w:t>
      </w:r>
      <w:r w:rsidRPr="0B290DDE">
        <w:rPr>
          <w:sz w:val="22"/>
          <w:szCs w:val="22"/>
        </w:rPr>
        <w:t xml:space="preserve"> by no later than </w:t>
      </w:r>
      <w:r w:rsidRPr="0B290DDE" w:rsidR="00EB6495">
        <w:rPr>
          <w:sz w:val="22"/>
          <w:szCs w:val="22"/>
        </w:rPr>
        <w:t>September 17, 2020,</w:t>
      </w:r>
      <w:r w:rsidRPr="0B290DDE">
        <w:rPr>
          <w:sz w:val="22"/>
          <w:szCs w:val="22"/>
        </w:rPr>
        <w:t xml:space="preserve"> </w:t>
      </w:r>
      <w:r w:rsidRPr="0B290DDE" w:rsidR="002000F1">
        <w:rPr>
          <w:sz w:val="22"/>
          <w:szCs w:val="22"/>
        </w:rPr>
        <w:t>every</w:t>
      </w:r>
      <w:r w:rsidRPr="0B290DDE">
        <w:rPr>
          <w:sz w:val="22"/>
          <w:szCs w:val="22"/>
        </w:rPr>
        <w:t xml:space="preserve"> Auction </w:t>
      </w:r>
      <w:r w:rsidRPr="0B290DDE" w:rsidR="008B5CA5">
        <w:rPr>
          <w:sz w:val="22"/>
          <w:szCs w:val="22"/>
        </w:rPr>
        <w:t>105</w:t>
      </w:r>
      <w:r w:rsidRPr="0B290DDE">
        <w:rPr>
          <w:sz w:val="22"/>
          <w:szCs w:val="22"/>
        </w:rPr>
        <w:t xml:space="preserve"> winning bidder w</w:t>
      </w:r>
      <w:r w:rsidRPr="0B290DDE" w:rsidR="002000F1">
        <w:rPr>
          <w:sz w:val="22"/>
          <w:szCs w:val="22"/>
        </w:rPr>
        <w:t>as</w:t>
      </w:r>
      <w:r w:rsidRPr="0B290DDE">
        <w:rPr>
          <w:sz w:val="22"/>
          <w:szCs w:val="22"/>
        </w:rPr>
        <w:t xml:space="preserve"> required to submit </w:t>
      </w:r>
      <w:r w:rsidRPr="0B290DDE" w:rsidR="002000F1">
        <w:rPr>
          <w:sz w:val="22"/>
          <w:szCs w:val="22"/>
        </w:rPr>
        <w:t>its</w:t>
      </w:r>
      <w:r w:rsidRPr="0B290DDE">
        <w:rPr>
          <w:sz w:val="22"/>
          <w:szCs w:val="22"/>
        </w:rPr>
        <w:t xml:space="preserve"> long</w:t>
      </w:r>
      <w:r w:rsidRPr="0B290DDE" w:rsidR="00EB6495">
        <w:rPr>
          <w:sz w:val="22"/>
          <w:szCs w:val="22"/>
        </w:rPr>
        <w:t>-</w:t>
      </w:r>
      <w:r w:rsidRPr="0B290DDE">
        <w:rPr>
          <w:sz w:val="22"/>
          <w:szCs w:val="22"/>
        </w:rPr>
        <w:t xml:space="preserve">form application and to have on deposit enough funds to bring </w:t>
      </w:r>
      <w:r w:rsidRPr="0B290DDE" w:rsidR="002000F1">
        <w:rPr>
          <w:sz w:val="22"/>
          <w:szCs w:val="22"/>
        </w:rPr>
        <w:t>its</w:t>
      </w:r>
      <w:r w:rsidRPr="0B290DDE">
        <w:rPr>
          <w:sz w:val="22"/>
          <w:szCs w:val="22"/>
        </w:rPr>
        <w:t xml:space="preserve"> deposit to twenty-percent (20%) of its winning bid</w:t>
      </w:r>
      <w:r w:rsidRPr="0B290DDE" w:rsidR="00D8754F">
        <w:rPr>
          <w:sz w:val="22"/>
          <w:szCs w:val="22"/>
        </w:rPr>
        <w:t>s</w:t>
      </w:r>
      <w:r w:rsidRPr="0B290DDE">
        <w:rPr>
          <w:sz w:val="22"/>
          <w:szCs w:val="22"/>
        </w:rPr>
        <w:t>.</w:t>
      </w:r>
      <w:r>
        <w:rPr>
          <w:rStyle w:val="FootnoteReference1"/>
          <w:sz w:val="22"/>
          <w:szCs w:val="22"/>
        </w:rPr>
        <w:footnoteReference w:id="6"/>
      </w:r>
      <w:r w:rsidRPr="0B290DDE">
        <w:rPr>
          <w:sz w:val="22"/>
          <w:szCs w:val="22"/>
        </w:rPr>
        <w:t xml:space="preserve">  </w:t>
      </w:r>
      <w:r w:rsidRPr="0B290DDE" w:rsidR="002000F1">
        <w:rPr>
          <w:sz w:val="22"/>
          <w:szCs w:val="22"/>
        </w:rPr>
        <w:t>If a winning bidder’s upfront payment was not sufficient to meet the down payment requirement, that winning bidder was required to deposit sufficient funds to meet its down payment obligation.</w:t>
      </w:r>
      <w:r>
        <w:rPr>
          <w:rStyle w:val="FootnoteReference"/>
          <w:sz w:val="22"/>
          <w:szCs w:val="22"/>
        </w:rPr>
        <w:footnoteReference w:id="7"/>
      </w:r>
      <w:r w:rsidRPr="0B290DDE" w:rsidR="002000F1">
        <w:rPr>
          <w:sz w:val="22"/>
          <w:szCs w:val="22"/>
        </w:rPr>
        <w:t xml:space="preserve">  </w:t>
      </w:r>
      <w:r w:rsidRPr="0B290DDE">
        <w:rPr>
          <w:sz w:val="22"/>
          <w:szCs w:val="22"/>
        </w:rPr>
        <w:t xml:space="preserve">The </w:t>
      </w:r>
      <w:r w:rsidRPr="0B290DDE" w:rsidR="0085722A">
        <w:rPr>
          <w:i/>
          <w:sz w:val="22"/>
          <w:szCs w:val="22"/>
        </w:rPr>
        <w:t>Auction 105 Closing Public Notice</w:t>
      </w:r>
      <w:r w:rsidRPr="0B290DDE" w:rsidR="0085722A">
        <w:rPr>
          <w:sz w:val="22"/>
          <w:szCs w:val="22"/>
        </w:rPr>
        <w:t xml:space="preserve"> </w:t>
      </w:r>
      <w:r w:rsidRPr="0B290DDE">
        <w:rPr>
          <w:sz w:val="22"/>
          <w:szCs w:val="22"/>
        </w:rPr>
        <w:t xml:space="preserve">further instructed that by </w:t>
      </w:r>
      <w:r w:rsidRPr="0B290DDE" w:rsidR="00EB6495">
        <w:rPr>
          <w:sz w:val="22"/>
          <w:szCs w:val="22"/>
        </w:rPr>
        <w:t>October 1, 2020</w:t>
      </w:r>
      <w:r w:rsidRPr="0B290DDE">
        <w:rPr>
          <w:sz w:val="22"/>
          <w:szCs w:val="22"/>
        </w:rPr>
        <w:t>, all winning bidders were required to submit final payment</w:t>
      </w:r>
      <w:r w:rsidRPr="0B290DDE" w:rsidR="002000F1">
        <w:rPr>
          <w:sz w:val="22"/>
          <w:szCs w:val="22"/>
        </w:rPr>
        <w:t>s</w:t>
      </w:r>
      <w:r w:rsidRPr="0B290DDE">
        <w:rPr>
          <w:sz w:val="22"/>
          <w:szCs w:val="22"/>
        </w:rPr>
        <w:t xml:space="preserve"> for the balance of the </w:t>
      </w:r>
      <w:r w:rsidRPr="0B290DDE">
        <w:rPr>
          <w:sz w:val="22"/>
          <w:szCs w:val="22"/>
        </w:rPr>
        <w:t xml:space="preserve">net amount of </w:t>
      </w:r>
      <w:r w:rsidRPr="0B290DDE" w:rsidR="002000F1">
        <w:rPr>
          <w:sz w:val="22"/>
          <w:szCs w:val="22"/>
        </w:rPr>
        <w:t>their</w:t>
      </w:r>
      <w:r w:rsidRPr="0B290DDE">
        <w:rPr>
          <w:sz w:val="22"/>
          <w:szCs w:val="22"/>
        </w:rPr>
        <w:t xml:space="preserve"> winning bid</w:t>
      </w:r>
      <w:r w:rsidRPr="0B290DDE" w:rsidR="002000F1">
        <w:rPr>
          <w:sz w:val="22"/>
          <w:szCs w:val="22"/>
        </w:rPr>
        <w:t>s</w:t>
      </w:r>
      <w:r w:rsidRPr="0B290DDE">
        <w:rPr>
          <w:sz w:val="22"/>
          <w:szCs w:val="22"/>
        </w:rPr>
        <w:t>.</w:t>
      </w:r>
      <w:r>
        <w:rPr>
          <w:sz w:val="22"/>
          <w:szCs w:val="22"/>
          <w:vertAlign w:val="superscript"/>
        </w:rPr>
        <w:footnoteReference w:id="8"/>
      </w:r>
    </w:p>
    <w:p w:rsidR="008B5CA5" w:rsidP="0048183F" w14:paraId="6455ECFB" w14:textId="62EB9617">
      <w:pPr>
        <w:widowControl w:val="0"/>
        <w:spacing w:after="120"/>
        <w:ind w:firstLine="720"/>
        <w:rPr>
          <w:sz w:val="22"/>
        </w:rPr>
      </w:pPr>
      <w:r>
        <w:rPr>
          <w:sz w:val="22"/>
          <w:szCs w:val="22"/>
        </w:rPr>
        <w:t>LocaLoop</w:t>
      </w:r>
      <w:r w:rsidR="006A26AB">
        <w:rPr>
          <w:sz w:val="22"/>
          <w:szCs w:val="22"/>
        </w:rPr>
        <w:t>’s</w:t>
      </w:r>
      <w:r w:rsidRPr="0B290DDE">
        <w:rPr>
          <w:sz w:val="22"/>
          <w:szCs w:val="22"/>
        </w:rPr>
        <w:t xml:space="preserve"> </w:t>
      </w:r>
      <w:r w:rsidRPr="0B290DDE">
        <w:rPr>
          <w:sz w:val="22"/>
          <w:szCs w:val="22"/>
        </w:rPr>
        <w:t>net winning bid</w:t>
      </w:r>
      <w:r w:rsidRPr="0B290DDE" w:rsidR="00D8754F">
        <w:rPr>
          <w:sz w:val="22"/>
          <w:szCs w:val="22"/>
        </w:rPr>
        <w:t>s</w:t>
      </w:r>
      <w:r w:rsidRPr="0B290DDE">
        <w:rPr>
          <w:sz w:val="22"/>
          <w:szCs w:val="22"/>
        </w:rPr>
        <w:t xml:space="preserve"> totaled $</w:t>
      </w:r>
      <w:r w:rsidRPr="0B290DDE" w:rsidR="006A26AB">
        <w:rPr>
          <w:sz w:val="22"/>
          <w:szCs w:val="22"/>
        </w:rPr>
        <w:t>4,358,672.00, so its required 20% down payment was $871,734.40</w:t>
      </w:r>
      <w:r w:rsidRPr="0B290DDE">
        <w:rPr>
          <w:sz w:val="22"/>
          <w:szCs w:val="22"/>
        </w:rPr>
        <w:t>.</w:t>
      </w:r>
      <w:r>
        <w:rPr>
          <w:rStyle w:val="FootnoteReference1"/>
          <w:sz w:val="22"/>
          <w:szCs w:val="22"/>
        </w:rPr>
        <w:footnoteReference w:id="9"/>
      </w:r>
      <w:r w:rsidRPr="0B290DDE">
        <w:rPr>
          <w:sz w:val="22"/>
          <w:szCs w:val="22"/>
        </w:rPr>
        <w:t xml:space="preserve">  The </w:t>
      </w:r>
      <w:r w:rsidRPr="0B290DDE" w:rsidR="0085722A">
        <w:rPr>
          <w:i/>
          <w:sz w:val="22"/>
          <w:szCs w:val="22"/>
        </w:rPr>
        <w:t>Auction 105 Closing Public Notice</w:t>
      </w:r>
      <w:r w:rsidRPr="0B290DDE" w:rsidR="0085722A">
        <w:rPr>
          <w:sz w:val="22"/>
          <w:szCs w:val="22"/>
        </w:rPr>
        <w:t xml:space="preserve"> indicated that </w:t>
      </w:r>
      <w:r w:rsidRPr="0B290DDE">
        <w:rPr>
          <w:sz w:val="22"/>
          <w:szCs w:val="22"/>
        </w:rPr>
        <w:t>the $</w:t>
      </w:r>
      <w:r w:rsidRPr="0B290DDE" w:rsidR="006A26AB">
        <w:rPr>
          <w:sz w:val="22"/>
          <w:szCs w:val="22"/>
        </w:rPr>
        <w:t>347,720</w:t>
      </w:r>
      <w:r w:rsidRPr="0B290DDE" w:rsidR="00126537">
        <w:rPr>
          <w:sz w:val="22"/>
          <w:szCs w:val="22"/>
        </w:rPr>
        <w:t>.00</w:t>
      </w:r>
      <w:r w:rsidRPr="0B290DDE">
        <w:rPr>
          <w:sz w:val="22"/>
          <w:szCs w:val="22"/>
        </w:rPr>
        <w:t xml:space="preserve"> </w:t>
      </w:r>
      <w:r w:rsidRPr="0B290DDE">
        <w:rPr>
          <w:sz w:val="22"/>
          <w:szCs w:val="22"/>
        </w:rPr>
        <w:t xml:space="preserve">upfront payment amount that </w:t>
      </w:r>
      <w:r>
        <w:rPr>
          <w:sz w:val="22"/>
          <w:szCs w:val="22"/>
        </w:rPr>
        <w:t>LocaLoop</w:t>
      </w:r>
      <w:r w:rsidRPr="0B290DDE">
        <w:rPr>
          <w:sz w:val="22"/>
          <w:szCs w:val="22"/>
        </w:rPr>
        <w:t xml:space="preserve"> </w:t>
      </w:r>
      <w:r w:rsidRPr="0B290DDE">
        <w:rPr>
          <w:sz w:val="22"/>
          <w:szCs w:val="22"/>
        </w:rPr>
        <w:t>had on deposit</w:t>
      </w:r>
      <w:r w:rsidRPr="0B290DDE" w:rsidR="0085722A">
        <w:rPr>
          <w:sz w:val="22"/>
          <w:szCs w:val="22"/>
        </w:rPr>
        <w:t xml:space="preserve"> had been applied</w:t>
      </w:r>
      <w:r w:rsidRPr="0B290DDE">
        <w:rPr>
          <w:sz w:val="22"/>
          <w:szCs w:val="22"/>
        </w:rPr>
        <w:t xml:space="preserve"> toward its down payment requirement</w:t>
      </w:r>
      <w:r w:rsidRPr="0B290DDE" w:rsidR="0085722A">
        <w:rPr>
          <w:sz w:val="22"/>
          <w:szCs w:val="22"/>
        </w:rPr>
        <w:t>,</w:t>
      </w:r>
      <w:r w:rsidRPr="0B290DDE">
        <w:rPr>
          <w:sz w:val="22"/>
          <w:szCs w:val="22"/>
        </w:rPr>
        <w:t xml:space="preserve"> and</w:t>
      </w:r>
      <w:r w:rsidRPr="0B290DDE" w:rsidR="0085722A">
        <w:rPr>
          <w:sz w:val="22"/>
          <w:szCs w:val="22"/>
        </w:rPr>
        <w:t xml:space="preserve"> it</w:t>
      </w:r>
      <w:r w:rsidRPr="0B290DDE">
        <w:rPr>
          <w:sz w:val="22"/>
          <w:szCs w:val="22"/>
        </w:rPr>
        <w:t xml:space="preserve"> notified </w:t>
      </w:r>
      <w:r>
        <w:rPr>
          <w:sz w:val="22"/>
          <w:szCs w:val="22"/>
        </w:rPr>
        <w:t>LocaLoop</w:t>
      </w:r>
      <w:r w:rsidRPr="0B290DDE">
        <w:rPr>
          <w:sz w:val="22"/>
          <w:szCs w:val="22"/>
        </w:rPr>
        <w:t xml:space="preserve"> </w:t>
      </w:r>
      <w:r w:rsidRPr="0B290DDE">
        <w:rPr>
          <w:sz w:val="22"/>
          <w:szCs w:val="22"/>
        </w:rPr>
        <w:t>that the additional amount due to meet its down payment obligation was $</w:t>
      </w:r>
      <w:r w:rsidRPr="0B290DDE" w:rsidR="006A26AB">
        <w:rPr>
          <w:sz w:val="22"/>
          <w:szCs w:val="22"/>
        </w:rPr>
        <w:t>524,014.40</w:t>
      </w:r>
      <w:r w:rsidRPr="0B290DDE">
        <w:rPr>
          <w:sz w:val="22"/>
          <w:szCs w:val="22"/>
        </w:rPr>
        <w:t>.</w:t>
      </w:r>
      <w:r>
        <w:rPr>
          <w:rStyle w:val="FootnoteReference1"/>
          <w:sz w:val="22"/>
          <w:szCs w:val="22"/>
        </w:rPr>
        <w:footnoteReference w:id="10"/>
      </w:r>
      <w:r w:rsidRPr="0B290DDE">
        <w:rPr>
          <w:sz w:val="22"/>
          <w:szCs w:val="22"/>
        </w:rPr>
        <w:t xml:space="preserve">  </w:t>
      </w:r>
      <w:r>
        <w:rPr>
          <w:sz w:val="22"/>
          <w:szCs w:val="22"/>
        </w:rPr>
        <w:t>LocaLoop</w:t>
      </w:r>
      <w:r w:rsidRPr="0B290DDE">
        <w:rPr>
          <w:sz w:val="22"/>
          <w:szCs w:val="22"/>
        </w:rPr>
        <w:t xml:space="preserve"> timely </w:t>
      </w:r>
      <w:r w:rsidRPr="0B290DDE" w:rsidR="0085722A">
        <w:rPr>
          <w:sz w:val="22"/>
          <w:szCs w:val="22"/>
        </w:rPr>
        <w:t xml:space="preserve">submitted </w:t>
      </w:r>
      <w:r w:rsidRPr="0B290DDE" w:rsidR="006A26AB">
        <w:rPr>
          <w:sz w:val="22"/>
          <w:szCs w:val="22"/>
        </w:rPr>
        <w:t>that</w:t>
      </w:r>
      <w:r w:rsidRPr="0B290DDE" w:rsidR="0098319C">
        <w:rPr>
          <w:sz w:val="22"/>
          <w:szCs w:val="22"/>
        </w:rPr>
        <w:t xml:space="preserve"> additional amount to meet its required</w:t>
      </w:r>
      <w:r w:rsidRPr="0B290DDE">
        <w:rPr>
          <w:sz w:val="22"/>
          <w:szCs w:val="22"/>
        </w:rPr>
        <w:t xml:space="preserve"> down payment</w:t>
      </w:r>
      <w:r w:rsidRPr="0B290DDE" w:rsidR="4A439CB8">
        <w:rPr>
          <w:sz w:val="22"/>
          <w:szCs w:val="22"/>
        </w:rPr>
        <w:t>,</w:t>
      </w:r>
      <w:r w:rsidRPr="0B290DDE">
        <w:rPr>
          <w:sz w:val="22"/>
          <w:szCs w:val="22"/>
        </w:rPr>
        <w:t xml:space="preserve"> but </w:t>
      </w:r>
      <w:r w:rsidRPr="0B290DDE">
        <w:rPr>
          <w:sz w:val="22"/>
          <w:szCs w:val="22"/>
        </w:rPr>
        <w:t xml:space="preserve">failed to remit </w:t>
      </w:r>
      <w:r w:rsidRPr="0B290DDE" w:rsidR="004B1798">
        <w:rPr>
          <w:sz w:val="22"/>
          <w:szCs w:val="22"/>
        </w:rPr>
        <w:t>the</w:t>
      </w:r>
      <w:r w:rsidRPr="0B290DDE">
        <w:rPr>
          <w:sz w:val="22"/>
          <w:szCs w:val="22"/>
        </w:rPr>
        <w:t xml:space="preserve"> </w:t>
      </w:r>
      <w:r w:rsidRPr="0B290DDE">
        <w:rPr>
          <w:sz w:val="22"/>
          <w:szCs w:val="22"/>
        </w:rPr>
        <w:t>final</w:t>
      </w:r>
      <w:r w:rsidRPr="0B290DDE">
        <w:rPr>
          <w:sz w:val="22"/>
          <w:szCs w:val="22"/>
        </w:rPr>
        <w:t xml:space="preserve"> payment</w:t>
      </w:r>
      <w:r w:rsidRPr="0B290DDE">
        <w:rPr>
          <w:sz w:val="22"/>
          <w:szCs w:val="22"/>
        </w:rPr>
        <w:t xml:space="preserve"> that was</w:t>
      </w:r>
      <w:r w:rsidRPr="0B290DDE">
        <w:rPr>
          <w:sz w:val="22"/>
          <w:szCs w:val="22"/>
        </w:rPr>
        <w:t xml:space="preserve"> due by </w:t>
      </w:r>
      <w:r w:rsidRPr="0B290DDE">
        <w:rPr>
          <w:sz w:val="22"/>
          <w:szCs w:val="22"/>
        </w:rPr>
        <w:t>October 1, 2020</w:t>
      </w:r>
      <w:r w:rsidRPr="0B290DDE" w:rsidR="0098319C">
        <w:rPr>
          <w:sz w:val="22"/>
          <w:szCs w:val="22"/>
        </w:rPr>
        <w:t>,</w:t>
      </w:r>
      <w:r>
        <w:rPr>
          <w:rStyle w:val="FootnoteReference"/>
          <w:sz w:val="22"/>
          <w:szCs w:val="22"/>
        </w:rPr>
        <w:footnoteReference w:id="11"/>
      </w:r>
      <w:r w:rsidRPr="0B290DDE" w:rsidR="0098319C">
        <w:rPr>
          <w:sz w:val="22"/>
          <w:szCs w:val="22"/>
        </w:rPr>
        <w:t xml:space="preserve"> and did not make any payment by the late final payment deadline of October 16, 2020</w:t>
      </w:r>
      <w:r w:rsidRPr="0B290DDE">
        <w:rPr>
          <w:sz w:val="22"/>
          <w:szCs w:val="22"/>
        </w:rPr>
        <w:t xml:space="preserve">.  </w:t>
      </w:r>
      <w:r>
        <w:rPr>
          <w:sz w:val="22"/>
          <w:szCs w:val="22"/>
        </w:rPr>
        <w:t>LocaLoop’s</w:t>
      </w:r>
      <w:r w:rsidRPr="0B290DDE">
        <w:rPr>
          <w:sz w:val="22"/>
          <w:szCs w:val="22"/>
        </w:rPr>
        <w:t xml:space="preserve"> </w:t>
      </w:r>
      <w:r w:rsidRPr="0B290DDE" w:rsidR="00A3249F">
        <w:rPr>
          <w:sz w:val="22"/>
          <w:szCs w:val="22"/>
        </w:rPr>
        <w:t>failure to meet th</w:t>
      </w:r>
      <w:r w:rsidRPr="0B290DDE" w:rsidR="004B1798">
        <w:rPr>
          <w:sz w:val="22"/>
          <w:szCs w:val="22"/>
        </w:rPr>
        <w:t>at</w:t>
      </w:r>
      <w:r w:rsidRPr="0B290DDE" w:rsidR="00A3249F">
        <w:rPr>
          <w:sz w:val="22"/>
          <w:szCs w:val="22"/>
        </w:rPr>
        <w:t xml:space="preserve"> </w:t>
      </w:r>
      <w:r w:rsidRPr="0B290DDE">
        <w:rPr>
          <w:sz w:val="22"/>
          <w:szCs w:val="22"/>
        </w:rPr>
        <w:t>final</w:t>
      </w:r>
      <w:r w:rsidRPr="0B290DDE" w:rsidR="00A3249F">
        <w:rPr>
          <w:sz w:val="22"/>
          <w:szCs w:val="22"/>
        </w:rPr>
        <w:t xml:space="preserve"> payment deadline meant that it</w:t>
      </w:r>
      <w:r w:rsidRPr="0B290DDE">
        <w:rPr>
          <w:sz w:val="22"/>
          <w:szCs w:val="22"/>
        </w:rPr>
        <w:t xml:space="preserve"> became subject to the default provisions of section 1.2104(g) of the Commission’s rules.</w:t>
      </w:r>
      <w:r>
        <w:rPr>
          <w:rStyle w:val="FootnoteReference1"/>
          <w:sz w:val="22"/>
          <w:szCs w:val="22"/>
        </w:rPr>
        <w:footnoteReference w:id="12"/>
      </w:r>
    </w:p>
    <w:p w:rsidR="00266D2A" w:rsidP="0048183F" w14:paraId="4A036233" w14:textId="17DFC54A">
      <w:pPr>
        <w:widowControl w:val="0"/>
        <w:spacing w:after="120"/>
        <w:ind w:firstLine="720"/>
        <w:rPr>
          <w:sz w:val="22"/>
        </w:rPr>
      </w:pPr>
      <w:r w:rsidRPr="0B290DDE">
        <w:rPr>
          <w:sz w:val="22"/>
          <w:szCs w:val="22"/>
        </w:rPr>
        <w:t>Under the Commission’s rules, at the close of the auction, a winning bidder assumes a binding obligation to pay the full amount of its accepted winning bid.</w:t>
      </w:r>
      <w:r>
        <w:rPr>
          <w:rStyle w:val="FootnoteReference"/>
          <w:sz w:val="22"/>
          <w:szCs w:val="22"/>
        </w:rPr>
        <w:footnoteReference w:id="13"/>
      </w:r>
      <w:r w:rsidRPr="0B290DDE">
        <w:rPr>
          <w:sz w:val="22"/>
          <w:szCs w:val="22"/>
        </w:rPr>
        <w:t xml:space="preserve">  A bidder who defaults on that obligation or is disqualified is subject to a default payment.</w:t>
      </w:r>
      <w:r>
        <w:rPr>
          <w:rStyle w:val="FootnoteReference1"/>
          <w:sz w:val="22"/>
          <w:szCs w:val="22"/>
        </w:rPr>
        <w:footnoteReference w:id="14"/>
      </w:r>
      <w:r w:rsidRPr="0B290DDE">
        <w:rPr>
          <w:sz w:val="22"/>
          <w:szCs w:val="22"/>
        </w:rPr>
        <w:t xml:space="preserve">  The default payment has two components</w:t>
      </w:r>
      <w:r w:rsidR="00183A29">
        <w:rPr>
          <w:sz w:val="22"/>
          <w:szCs w:val="22"/>
        </w:rPr>
        <w:t xml:space="preserve">.  </w:t>
      </w:r>
      <w:r w:rsidRPr="00766F93" w:rsidR="00183A29">
        <w:rPr>
          <w:sz w:val="22"/>
          <w:szCs w:val="22"/>
        </w:rPr>
        <w:t>T</w:t>
      </w:r>
      <w:r w:rsidRPr="00766F93">
        <w:rPr>
          <w:sz w:val="22"/>
          <w:szCs w:val="22"/>
        </w:rPr>
        <w:t>he first</w:t>
      </w:r>
      <w:r w:rsidRPr="0B290DDE">
        <w:rPr>
          <w:sz w:val="22"/>
          <w:szCs w:val="22"/>
        </w:rPr>
        <w:t xml:space="preserve"> component is </w:t>
      </w:r>
      <w:r w:rsidRPr="00BC425E" w:rsidR="00BB40B1">
        <w:rPr>
          <w:sz w:val="22"/>
          <w:szCs w:val="22"/>
        </w:rPr>
        <w:t>a deficiency payment</w:t>
      </w:r>
      <w:r w:rsidRPr="005E564D" w:rsidR="00183A29">
        <w:rPr>
          <w:sz w:val="22"/>
          <w:szCs w:val="22"/>
        </w:rPr>
        <w:t xml:space="preserve">, </w:t>
      </w:r>
      <w:r w:rsidRPr="0048183F" w:rsidR="00D92F76">
        <w:rPr>
          <w:sz w:val="22"/>
          <w:szCs w:val="22"/>
        </w:rPr>
        <w:t>which is assessed if the subsequent winning bid the next time a license for the spectrum is won is lower than the defaulted bid.</w:t>
      </w:r>
      <w:r>
        <w:rPr>
          <w:rStyle w:val="FootnoteReference1"/>
          <w:sz w:val="22"/>
          <w:szCs w:val="22"/>
        </w:rPr>
        <w:footnoteReference w:id="15"/>
      </w:r>
      <w:r w:rsidRPr="0048183F" w:rsidR="00D92F76">
        <w:rPr>
          <w:sz w:val="22"/>
          <w:szCs w:val="22"/>
        </w:rPr>
        <w:t xml:space="preserve">  The deficiency payment</w:t>
      </w:r>
      <w:r w:rsidRPr="0048183F" w:rsidR="00183A29">
        <w:rPr>
          <w:sz w:val="22"/>
          <w:szCs w:val="22"/>
        </w:rPr>
        <w:t xml:space="preserve"> </w:t>
      </w:r>
      <w:r w:rsidRPr="00766F93" w:rsidR="001B4E56">
        <w:rPr>
          <w:sz w:val="22"/>
          <w:szCs w:val="22"/>
        </w:rPr>
        <w:t>is</w:t>
      </w:r>
      <w:r w:rsidRPr="00766F93" w:rsidR="00BB40B1">
        <w:rPr>
          <w:sz w:val="22"/>
          <w:szCs w:val="22"/>
        </w:rPr>
        <w:t xml:space="preserve"> </w:t>
      </w:r>
      <w:r w:rsidRPr="00766F93">
        <w:rPr>
          <w:sz w:val="22"/>
          <w:szCs w:val="22"/>
        </w:rPr>
        <w:t>the</w:t>
      </w:r>
      <w:r w:rsidRPr="00766F93" w:rsidR="00545B24">
        <w:rPr>
          <w:sz w:val="22"/>
          <w:szCs w:val="22"/>
        </w:rPr>
        <w:t xml:space="preserve"> </w:t>
      </w:r>
      <w:r w:rsidRPr="00766F93">
        <w:rPr>
          <w:sz w:val="22"/>
          <w:szCs w:val="22"/>
        </w:rPr>
        <w:t xml:space="preserve">difference between the bidder’s </w:t>
      </w:r>
      <w:r w:rsidRPr="00766F93" w:rsidR="00292D13">
        <w:rPr>
          <w:sz w:val="22"/>
          <w:szCs w:val="22"/>
        </w:rPr>
        <w:t xml:space="preserve">net </w:t>
      </w:r>
      <w:r w:rsidRPr="00766F93">
        <w:rPr>
          <w:sz w:val="22"/>
          <w:szCs w:val="22"/>
        </w:rPr>
        <w:t xml:space="preserve">defaulted bid and the </w:t>
      </w:r>
      <w:r w:rsidRPr="00766F93" w:rsidR="00667CDA">
        <w:rPr>
          <w:sz w:val="22"/>
          <w:szCs w:val="22"/>
        </w:rPr>
        <w:t>subsequent net winning bid</w:t>
      </w:r>
      <w:r w:rsidRPr="00766F93" w:rsidR="00C33D1F">
        <w:rPr>
          <w:sz w:val="22"/>
          <w:szCs w:val="22"/>
        </w:rPr>
        <w:t>,</w:t>
      </w:r>
      <w:r w:rsidRPr="00766F93" w:rsidR="00667CDA">
        <w:rPr>
          <w:sz w:val="22"/>
          <w:szCs w:val="22"/>
        </w:rPr>
        <w:t xml:space="preserve"> </w:t>
      </w:r>
      <w:r w:rsidRPr="0048183F" w:rsidR="000B14FA">
        <w:rPr>
          <w:sz w:val="22"/>
          <w:szCs w:val="22"/>
        </w:rPr>
        <w:t xml:space="preserve">or the difference between the bidder’s gross defaulted bid and the subsequent gross winning bid, </w:t>
      </w:r>
      <w:r w:rsidRPr="0048183F" w:rsidR="00272512">
        <w:rPr>
          <w:sz w:val="22"/>
          <w:szCs w:val="22"/>
        </w:rPr>
        <w:t>whichever results in a lower payment.</w:t>
      </w:r>
      <w:r>
        <w:rPr>
          <w:rStyle w:val="FootnoteReference1"/>
          <w:sz w:val="22"/>
          <w:szCs w:val="22"/>
        </w:rPr>
        <w:footnoteReference w:id="16"/>
      </w:r>
      <w:r w:rsidRPr="0B290DDE">
        <w:rPr>
          <w:sz w:val="22"/>
          <w:szCs w:val="22"/>
        </w:rPr>
        <w:t xml:space="preserve">  The second component of the default payment is an additional payment, which, pursuant to the rule in effect</w:t>
      </w:r>
      <w:r w:rsidRPr="00BC425E">
        <w:rPr>
          <w:sz w:val="22"/>
          <w:szCs w:val="22"/>
        </w:rPr>
        <w:t xml:space="preserve"> at the time of Auction 105, is equal to </w:t>
      </w:r>
      <w:r w:rsidRPr="005E564D" w:rsidR="00807E70">
        <w:rPr>
          <w:sz w:val="22"/>
          <w:szCs w:val="22"/>
        </w:rPr>
        <w:t>twenty percent</w:t>
      </w:r>
      <w:r w:rsidRPr="0048183F">
        <w:rPr>
          <w:sz w:val="22"/>
          <w:szCs w:val="22"/>
        </w:rPr>
        <w:t xml:space="preserve"> </w:t>
      </w:r>
      <w:r w:rsidRPr="0B290DDE">
        <w:rPr>
          <w:sz w:val="22"/>
          <w:szCs w:val="22"/>
        </w:rPr>
        <w:t>(</w:t>
      </w:r>
      <w:r w:rsidRPr="00BC425E" w:rsidR="00807E70">
        <w:rPr>
          <w:sz w:val="22"/>
          <w:szCs w:val="22"/>
        </w:rPr>
        <w:t>20</w:t>
      </w:r>
      <w:r w:rsidRPr="005E564D">
        <w:rPr>
          <w:sz w:val="22"/>
          <w:szCs w:val="22"/>
        </w:rPr>
        <w:t>%) of the defaulter’s bid, or the subsequent winning bid, whichever is less.</w:t>
      </w:r>
      <w:r>
        <w:rPr>
          <w:rStyle w:val="FootnoteReference1"/>
          <w:sz w:val="22"/>
          <w:szCs w:val="22"/>
        </w:rPr>
        <w:footnoteReference w:id="17"/>
      </w:r>
      <w:r w:rsidRPr="0B290DDE">
        <w:rPr>
          <w:rStyle w:val="FootnoteReference1"/>
          <w:sz w:val="22"/>
          <w:szCs w:val="22"/>
        </w:rPr>
        <w:t xml:space="preserve"> </w:t>
      </w:r>
      <w:r w:rsidRPr="00BC425E">
        <w:rPr>
          <w:sz w:val="22"/>
          <w:szCs w:val="22"/>
        </w:rPr>
        <w:t xml:space="preserve"> In the event that the subsequent winning bid is greater </w:t>
      </w:r>
      <w:r w:rsidRPr="0B290DDE">
        <w:rPr>
          <w:sz w:val="22"/>
          <w:szCs w:val="22"/>
        </w:rPr>
        <w:t xml:space="preserve">than or equal to the defaulted bid, the total default payment is equal to </w:t>
      </w:r>
      <w:r w:rsidRPr="0B290DDE" w:rsidR="00B7123E">
        <w:rPr>
          <w:sz w:val="22"/>
          <w:szCs w:val="22"/>
        </w:rPr>
        <w:t>twenty percent</w:t>
      </w:r>
      <w:r w:rsidRPr="0B290DDE">
        <w:rPr>
          <w:sz w:val="22"/>
          <w:szCs w:val="22"/>
        </w:rPr>
        <w:t xml:space="preserve"> (</w:t>
      </w:r>
      <w:r w:rsidRPr="0B290DDE" w:rsidR="00B7123E">
        <w:rPr>
          <w:sz w:val="22"/>
          <w:szCs w:val="22"/>
        </w:rPr>
        <w:t>20</w:t>
      </w:r>
      <w:r w:rsidRPr="0B290DDE">
        <w:rPr>
          <w:sz w:val="22"/>
          <w:szCs w:val="22"/>
        </w:rPr>
        <w:t xml:space="preserve">%) of the </w:t>
      </w:r>
      <w:r w:rsidRPr="2EB11256" w:rsidR="005C6BAB">
        <w:rPr>
          <w:sz w:val="22"/>
          <w:szCs w:val="22"/>
        </w:rPr>
        <w:t xml:space="preserve">original </w:t>
      </w:r>
      <w:r w:rsidRPr="0B290DDE">
        <w:rPr>
          <w:sz w:val="22"/>
          <w:szCs w:val="22"/>
        </w:rPr>
        <w:t>defaulted bid.</w:t>
      </w:r>
      <w:r>
        <w:rPr>
          <w:rStyle w:val="FootnoteReference1"/>
          <w:sz w:val="22"/>
          <w:szCs w:val="22"/>
        </w:rPr>
        <w:footnoteReference w:id="18"/>
      </w:r>
      <w:r w:rsidRPr="0B290DDE">
        <w:rPr>
          <w:rStyle w:val="FootnoteReference1"/>
          <w:sz w:val="22"/>
          <w:szCs w:val="22"/>
        </w:rPr>
        <w:t xml:space="preserve"> </w:t>
      </w:r>
      <w:r w:rsidRPr="0B290DDE">
        <w:rPr>
          <w:sz w:val="22"/>
          <w:szCs w:val="22"/>
        </w:rPr>
        <w:t xml:space="preserve"> </w:t>
      </w:r>
    </w:p>
    <w:p w:rsidR="00B7123E" w:rsidP="0048183F" w14:paraId="3400D9D1" w14:textId="62CCFA7C">
      <w:pPr>
        <w:spacing w:after="120"/>
        <w:rPr>
          <w:sz w:val="22"/>
        </w:rPr>
      </w:pPr>
      <w:r>
        <w:rPr>
          <w:sz w:val="22"/>
          <w:szCs w:val="22"/>
        </w:rPr>
        <w:tab/>
      </w:r>
      <w:r>
        <w:rPr>
          <w:sz w:val="22"/>
        </w:rPr>
        <w:t>Until new license</w:t>
      </w:r>
      <w:r w:rsidR="00293DCE">
        <w:rPr>
          <w:sz w:val="22"/>
        </w:rPr>
        <w:t>s</w:t>
      </w:r>
      <w:r>
        <w:rPr>
          <w:sz w:val="22"/>
        </w:rPr>
        <w:t xml:space="preserve"> for the relevant spectrum </w:t>
      </w:r>
      <w:r w:rsidR="00293DCE">
        <w:rPr>
          <w:sz w:val="22"/>
        </w:rPr>
        <w:t>are</w:t>
      </w:r>
      <w:r>
        <w:rPr>
          <w:sz w:val="22"/>
        </w:rPr>
        <w:t xml:space="preserve"> won in a subsequent auction, the Commission cannot determine the full amount of the default payment that </w:t>
      </w:r>
      <w:r w:rsidR="00293DCE">
        <w:rPr>
          <w:sz w:val="22"/>
          <w:szCs w:val="22"/>
        </w:rPr>
        <w:t>LocaLoop</w:t>
      </w:r>
      <w:r w:rsidR="00293DCE">
        <w:rPr>
          <w:sz w:val="22"/>
          <w:szCs w:val="22"/>
        </w:rPr>
        <w:t xml:space="preserve"> owes</w:t>
      </w:r>
      <w:r>
        <w:rPr>
          <w:sz w:val="22"/>
        </w:rPr>
        <w:t xml:space="preserve">.  </w:t>
      </w:r>
      <w:r w:rsidR="00446470">
        <w:rPr>
          <w:sz w:val="22"/>
        </w:rPr>
        <w:t>Therefore, pur</w:t>
      </w:r>
      <w:r w:rsidR="006E2187">
        <w:rPr>
          <w:sz w:val="22"/>
        </w:rPr>
        <w:t>suant</w:t>
      </w:r>
      <w:r w:rsidR="00446470">
        <w:rPr>
          <w:sz w:val="22"/>
        </w:rPr>
        <w:t xml:space="preserve"> </w:t>
      </w:r>
      <w:r>
        <w:rPr>
          <w:sz w:val="22"/>
        </w:rPr>
        <w:t xml:space="preserve">to </w:t>
      </w:r>
      <w:r w:rsidR="006E2187">
        <w:rPr>
          <w:sz w:val="22"/>
        </w:rPr>
        <w:t>Commission practice</w:t>
      </w:r>
      <w:r>
        <w:rPr>
          <w:sz w:val="22"/>
        </w:rPr>
        <w:t xml:space="preserve">, </w:t>
      </w:r>
      <w:r w:rsidR="006E2187">
        <w:rPr>
          <w:sz w:val="22"/>
        </w:rPr>
        <w:t>we will</w:t>
      </w:r>
      <w:r>
        <w:rPr>
          <w:sz w:val="22"/>
        </w:rPr>
        <w:t xml:space="preserve"> assess an interim default payment amounting to twenty percent</w:t>
      </w:r>
      <w:r w:rsidR="00791A29">
        <w:rPr>
          <w:sz w:val="22"/>
        </w:rPr>
        <w:t xml:space="preserve"> (20%)</w:t>
      </w:r>
      <w:r>
        <w:rPr>
          <w:sz w:val="22"/>
        </w:rPr>
        <w:t xml:space="preserve"> of </w:t>
      </w:r>
      <w:r>
        <w:rPr>
          <w:sz w:val="22"/>
        </w:rPr>
        <w:t>the net winning bid</w:t>
      </w:r>
      <w:r w:rsidR="00791A29">
        <w:rPr>
          <w:sz w:val="22"/>
        </w:rPr>
        <w:t>s</w:t>
      </w:r>
      <w:r>
        <w:rPr>
          <w:sz w:val="22"/>
        </w:rPr>
        <w:t>.</w:t>
      </w:r>
      <w:r>
        <w:rPr>
          <w:rStyle w:val="FootnoteReference1"/>
          <w:sz w:val="22"/>
        </w:rPr>
        <w:footnoteReference w:id="19"/>
      </w:r>
      <w:r>
        <w:rPr>
          <w:rStyle w:val="FootnoteReference1"/>
          <w:sz w:val="22"/>
        </w:rPr>
        <w:t xml:space="preserve"> </w:t>
      </w:r>
      <w:r>
        <w:rPr>
          <w:sz w:val="22"/>
        </w:rPr>
        <w:t xml:space="preserve"> Once a subsequent winning bid for the relevant spectrum is established, the remaining amount owed by the defaulting party, if any, is then assessed.</w:t>
      </w:r>
    </w:p>
    <w:p w:rsidR="00784608" w:rsidP="0048183F" w14:paraId="03724BE9" w14:textId="6CB24156">
      <w:pPr>
        <w:spacing w:after="120"/>
        <w:ind w:firstLine="720"/>
        <w:rPr>
          <w:sz w:val="22"/>
        </w:rPr>
      </w:pPr>
      <w:r>
        <w:rPr>
          <w:sz w:val="22"/>
        </w:rPr>
        <w:t xml:space="preserve">Accordingly, </w:t>
      </w:r>
      <w:r w:rsidR="00293DCE">
        <w:rPr>
          <w:sz w:val="22"/>
          <w:szCs w:val="22"/>
        </w:rPr>
        <w:t>LocaLoop</w:t>
      </w:r>
      <w:r w:rsidR="00293DCE">
        <w:rPr>
          <w:sz w:val="22"/>
        </w:rPr>
        <w:t xml:space="preserve"> </w:t>
      </w:r>
      <w:r>
        <w:rPr>
          <w:sz w:val="22"/>
        </w:rPr>
        <w:t>is in default on the license</w:t>
      </w:r>
      <w:r w:rsidR="00173EC0">
        <w:rPr>
          <w:sz w:val="22"/>
        </w:rPr>
        <w:t>s</w:t>
      </w:r>
      <w:r>
        <w:rPr>
          <w:sz w:val="22"/>
        </w:rPr>
        <w:t xml:space="preserve"> for which it was the winning bidder in Auction </w:t>
      </w:r>
      <w:r w:rsidRPr="00533BD9" w:rsidR="00173EC0">
        <w:rPr>
          <w:sz w:val="22"/>
        </w:rPr>
        <w:t>105</w:t>
      </w:r>
      <w:r w:rsidRPr="00533BD9">
        <w:rPr>
          <w:sz w:val="22"/>
        </w:rPr>
        <w:t xml:space="preserve">, its </w:t>
      </w:r>
      <w:r w:rsidR="002000F1">
        <w:rPr>
          <w:sz w:val="22"/>
        </w:rPr>
        <w:t>long</w:t>
      </w:r>
      <w:r w:rsidR="006A26AB">
        <w:rPr>
          <w:sz w:val="22"/>
        </w:rPr>
        <w:t>-</w:t>
      </w:r>
      <w:r w:rsidRPr="00533BD9">
        <w:rPr>
          <w:sz w:val="22"/>
        </w:rPr>
        <w:t>form application is dismissed, and it is subject to the applicable default payment.</w:t>
      </w:r>
      <w:r>
        <w:rPr>
          <w:rStyle w:val="FootnoteReference1"/>
          <w:sz w:val="22"/>
        </w:rPr>
        <w:footnoteReference w:id="20"/>
      </w:r>
      <w:r>
        <w:rPr>
          <w:sz w:val="22"/>
        </w:rPr>
        <w:t xml:space="preserve">  Pursuant to section 1.2104(g)(2) of the Commission’s rules and the procedures established for Auction </w:t>
      </w:r>
      <w:r w:rsidR="00173EC0">
        <w:rPr>
          <w:sz w:val="22"/>
        </w:rPr>
        <w:t>105</w:t>
      </w:r>
      <w:r>
        <w:rPr>
          <w:sz w:val="22"/>
        </w:rPr>
        <w:t xml:space="preserve">, </w:t>
      </w:r>
      <w:r w:rsidR="00293DCE">
        <w:rPr>
          <w:sz w:val="22"/>
          <w:szCs w:val="22"/>
        </w:rPr>
        <w:t>LocaLoop</w:t>
      </w:r>
      <w:r w:rsidR="00293DCE">
        <w:rPr>
          <w:sz w:val="22"/>
        </w:rPr>
        <w:t xml:space="preserve"> </w:t>
      </w:r>
      <w:r>
        <w:rPr>
          <w:sz w:val="22"/>
        </w:rPr>
        <w:t>owe</w:t>
      </w:r>
      <w:r w:rsidR="00D3469F">
        <w:rPr>
          <w:sz w:val="22"/>
        </w:rPr>
        <w:t>s</w:t>
      </w:r>
      <w:r>
        <w:rPr>
          <w:sz w:val="22"/>
        </w:rPr>
        <w:t xml:space="preserve"> an interim default </w:t>
      </w:r>
      <w:r w:rsidRPr="00B7123E">
        <w:rPr>
          <w:sz w:val="22"/>
        </w:rPr>
        <w:t>payment of $</w:t>
      </w:r>
      <w:r w:rsidR="008A4EDF">
        <w:rPr>
          <w:sz w:val="22"/>
        </w:rPr>
        <w:t>871,734.40</w:t>
      </w:r>
      <w:r w:rsidRPr="00B7123E">
        <w:rPr>
          <w:sz w:val="22"/>
        </w:rPr>
        <w:t>, which</w:t>
      </w:r>
      <w:r>
        <w:rPr>
          <w:sz w:val="22"/>
        </w:rPr>
        <w:t xml:space="preserve"> is </w:t>
      </w:r>
      <w:r w:rsidRPr="00B7123E" w:rsidR="00B7123E">
        <w:rPr>
          <w:sz w:val="22"/>
        </w:rPr>
        <w:t>twenty</w:t>
      </w:r>
      <w:r w:rsidRPr="00B7123E">
        <w:rPr>
          <w:sz w:val="22"/>
        </w:rPr>
        <w:t xml:space="preserve"> percent (</w:t>
      </w:r>
      <w:r w:rsidRPr="00B7123E" w:rsidR="00B7123E">
        <w:rPr>
          <w:sz w:val="22"/>
        </w:rPr>
        <w:t>20</w:t>
      </w:r>
      <w:r w:rsidRPr="00B7123E">
        <w:rPr>
          <w:sz w:val="22"/>
        </w:rPr>
        <w:t>%)</w:t>
      </w:r>
      <w:r>
        <w:rPr>
          <w:sz w:val="22"/>
        </w:rPr>
        <w:t xml:space="preserve"> of its total net winning bid </w:t>
      </w:r>
      <w:r w:rsidRPr="00B7123E">
        <w:rPr>
          <w:sz w:val="22"/>
        </w:rPr>
        <w:t>of $</w:t>
      </w:r>
      <w:r w:rsidR="008A4EDF">
        <w:rPr>
          <w:sz w:val="22"/>
        </w:rPr>
        <w:t>4,358,672</w:t>
      </w:r>
      <w:r w:rsidR="00075EB0">
        <w:rPr>
          <w:sz w:val="22"/>
        </w:rPr>
        <w:t>.00</w:t>
      </w:r>
      <w:r>
        <w:rPr>
          <w:sz w:val="22"/>
        </w:rPr>
        <w:t>.</w:t>
      </w:r>
      <w:r>
        <w:rPr>
          <w:rStyle w:val="FootnoteReference1"/>
          <w:sz w:val="22"/>
        </w:rPr>
        <w:footnoteReference w:id="21"/>
      </w:r>
      <w:r>
        <w:rPr>
          <w:sz w:val="22"/>
        </w:rPr>
        <w:t xml:space="preserve">  Pursuant to section 1.2106(e) of the rules, we </w:t>
      </w:r>
      <w:r w:rsidR="00D3469F">
        <w:rPr>
          <w:sz w:val="22"/>
        </w:rPr>
        <w:t xml:space="preserve">will apply </w:t>
      </w:r>
      <w:r w:rsidR="00D3469F">
        <w:rPr>
          <w:sz w:val="22"/>
          <w:szCs w:val="22"/>
        </w:rPr>
        <w:t>LocaLoop’s</w:t>
      </w:r>
      <w:r w:rsidRPr="00B7123E" w:rsidR="00D3469F">
        <w:rPr>
          <w:sz w:val="22"/>
        </w:rPr>
        <w:t xml:space="preserve"> </w:t>
      </w:r>
      <w:r w:rsidRPr="00B7123E">
        <w:rPr>
          <w:sz w:val="22"/>
        </w:rPr>
        <w:t>$</w:t>
      </w:r>
      <w:r w:rsidR="008A4EDF">
        <w:rPr>
          <w:sz w:val="22"/>
        </w:rPr>
        <w:t>871,734.40</w:t>
      </w:r>
      <w:r>
        <w:rPr>
          <w:sz w:val="22"/>
        </w:rPr>
        <w:t xml:space="preserve"> </w:t>
      </w:r>
      <w:r w:rsidR="008A4EDF">
        <w:rPr>
          <w:sz w:val="22"/>
        </w:rPr>
        <w:t>payment</w:t>
      </w:r>
      <w:r w:rsidR="0097022D">
        <w:rPr>
          <w:sz w:val="22"/>
        </w:rPr>
        <w:t>s</w:t>
      </w:r>
      <w:r w:rsidR="008A4EDF">
        <w:rPr>
          <w:sz w:val="22"/>
        </w:rPr>
        <w:t xml:space="preserve"> </w:t>
      </w:r>
      <w:r w:rsidR="0097022D">
        <w:rPr>
          <w:sz w:val="22"/>
        </w:rPr>
        <w:t xml:space="preserve">on deposit </w:t>
      </w:r>
      <w:r>
        <w:rPr>
          <w:sz w:val="22"/>
        </w:rPr>
        <w:t>toward satisfying this interim default payment obligation.</w:t>
      </w:r>
      <w:r>
        <w:rPr>
          <w:rStyle w:val="FootnoteReference"/>
          <w:sz w:val="22"/>
        </w:rPr>
        <w:footnoteReference w:id="22"/>
      </w:r>
      <w:r>
        <w:rPr>
          <w:sz w:val="22"/>
        </w:rPr>
        <w:t xml:space="preserve">  </w:t>
      </w:r>
      <w:r w:rsidRPr="00EF2181">
        <w:rPr>
          <w:sz w:val="22"/>
        </w:rPr>
        <w:t>Once a subsequent winning</w:t>
      </w:r>
      <w:r>
        <w:rPr>
          <w:sz w:val="22"/>
        </w:rPr>
        <w:t xml:space="preserve"> bid is established for the relevant spectrum, we will determine </w:t>
      </w:r>
      <w:r w:rsidR="00293DCE">
        <w:rPr>
          <w:sz w:val="22"/>
          <w:szCs w:val="22"/>
        </w:rPr>
        <w:t>LocaLoop’s</w:t>
      </w:r>
      <w:r w:rsidR="00293DCE">
        <w:rPr>
          <w:sz w:val="22"/>
        </w:rPr>
        <w:t xml:space="preserve"> </w:t>
      </w:r>
      <w:r>
        <w:rPr>
          <w:sz w:val="22"/>
        </w:rPr>
        <w:t>final default payment obligation.</w:t>
      </w:r>
      <w:r>
        <w:rPr>
          <w:rStyle w:val="FootnoteReference1"/>
          <w:sz w:val="22"/>
        </w:rPr>
        <w:t xml:space="preserve"> </w:t>
      </w:r>
      <w:r>
        <w:rPr>
          <w:sz w:val="22"/>
        </w:rPr>
        <w:t xml:space="preserve"> If an additional payment is required, a further order will assess such payment.</w:t>
      </w:r>
      <w:r>
        <w:rPr>
          <w:rStyle w:val="FootnoteReference1"/>
          <w:sz w:val="22"/>
        </w:rPr>
        <w:footnoteReference w:id="23"/>
      </w:r>
      <w:r>
        <w:rPr>
          <w:sz w:val="22"/>
        </w:rPr>
        <w:t xml:space="preserve">  </w:t>
      </w:r>
    </w:p>
    <w:p w:rsidR="007036DB" w:rsidP="0048183F" w14:paraId="5CD739A5" w14:textId="392709D2">
      <w:pPr>
        <w:spacing w:after="120"/>
        <w:ind w:firstLine="720"/>
        <w:rPr>
          <w:sz w:val="22"/>
        </w:rPr>
      </w:pPr>
      <w:r w:rsidRPr="001E7642">
        <w:rPr>
          <w:sz w:val="22"/>
        </w:rPr>
        <w:t xml:space="preserve">In an October 23, 2020, email to then-Commission Chairman </w:t>
      </w:r>
      <w:r w:rsidRPr="001E7642">
        <w:rPr>
          <w:sz w:val="22"/>
        </w:rPr>
        <w:t>Ajit</w:t>
      </w:r>
      <w:r w:rsidRPr="001E7642">
        <w:rPr>
          <w:sz w:val="22"/>
        </w:rPr>
        <w:t xml:space="preserve"> Pai, </w:t>
      </w:r>
      <w:r w:rsidRPr="001E7642">
        <w:rPr>
          <w:sz w:val="22"/>
        </w:rPr>
        <w:t>LocaLoop</w:t>
      </w:r>
      <w:r w:rsidRPr="001E7642">
        <w:rPr>
          <w:sz w:val="22"/>
        </w:rPr>
        <w:t xml:space="preserve"> requested that it be allowed to purchase 17 of the 122 licenses for which it was the winning bidder, despite having defaulted on its final payment.  The Commission has previously allowed winning bidders at auction to default selectively on licenses only where the applicant has a sufficient amount of money on deposit to cover the licenses the bidder wishes to retain, plus the associated interim default payment obligations.</w:t>
      </w:r>
      <w:r>
        <w:rPr>
          <w:sz w:val="22"/>
          <w:vertAlign w:val="superscript"/>
        </w:rPr>
        <w:footnoteReference w:id="24"/>
      </w:r>
      <w:r w:rsidR="00C2046F">
        <w:rPr>
          <w:sz w:val="22"/>
        </w:rPr>
        <w:t xml:space="preserve"> </w:t>
      </w:r>
      <w:r w:rsidRPr="001E7642">
        <w:rPr>
          <w:sz w:val="22"/>
        </w:rPr>
        <w:t xml:space="preserve"> </w:t>
      </w:r>
      <w:r w:rsidR="00177008">
        <w:rPr>
          <w:sz w:val="22"/>
        </w:rPr>
        <w:t xml:space="preserve">Because </w:t>
      </w:r>
      <w:r w:rsidR="00177008">
        <w:rPr>
          <w:sz w:val="22"/>
        </w:rPr>
        <w:t>LocaLoop’s</w:t>
      </w:r>
      <w:r w:rsidR="00177008">
        <w:rPr>
          <w:sz w:val="22"/>
        </w:rPr>
        <w:t xml:space="preserve"> interim default payment obligation will be satisfied by applying all of its funds on deposit with the </w:t>
      </w:r>
      <w:r w:rsidR="0071336C">
        <w:rPr>
          <w:sz w:val="22"/>
        </w:rPr>
        <w:t xml:space="preserve">Commission, </w:t>
      </w:r>
      <w:r w:rsidRPr="001E7642">
        <w:rPr>
          <w:sz w:val="22"/>
        </w:rPr>
        <w:t>LocaLoop</w:t>
      </w:r>
      <w:r w:rsidRPr="001E7642">
        <w:rPr>
          <w:sz w:val="22"/>
        </w:rPr>
        <w:t xml:space="preserve"> </w:t>
      </w:r>
      <w:r w:rsidR="00CD0CC7">
        <w:rPr>
          <w:sz w:val="22"/>
        </w:rPr>
        <w:t xml:space="preserve">does not have sufficient </w:t>
      </w:r>
      <w:r w:rsidRPr="001E7642">
        <w:rPr>
          <w:sz w:val="22"/>
        </w:rPr>
        <w:t xml:space="preserve">funds on deposit to </w:t>
      </w:r>
      <w:r w:rsidR="008C5C43">
        <w:rPr>
          <w:sz w:val="22"/>
        </w:rPr>
        <w:t>pay</w:t>
      </w:r>
      <w:r w:rsidR="0040522A">
        <w:rPr>
          <w:sz w:val="22"/>
        </w:rPr>
        <w:t xml:space="preserve"> in full for</w:t>
      </w:r>
      <w:r w:rsidRPr="001E7642" w:rsidR="008C5C43">
        <w:rPr>
          <w:sz w:val="22"/>
        </w:rPr>
        <w:t xml:space="preserve"> </w:t>
      </w:r>
      <w:r w:rsidRPr="001E7642">
        <w:rPr>
          <w:sz w:val="22"/>
        </w:rPr>
        <w:t xml:space="preserve">17, or indeed </w:t>
      </w:r>
      <w:r w:rsidR="006A548D">
        <w:rPr>
          <w:sz w:val="22"/>
        </w:rPr>
        <w:t>any</w:t>
      </w:r>
      <w:r w:rsidRPr="001E7642">
        <w:rPr>
          <w:sz w:val="22"/>
        </w:rPr>
        <w:t xml:space="preserve"> of the licenses it won in Auction 105</w:t>
      </w:r>
      <w:r w:rsidR="00DC3DD9">
        <w:rPr>
          <w:sz w:val="22"/>
        </w:rPr>
        <w:t xml:space="preserve">.  </w:t>
      </w:r>
      <w:r w:rsidRPr="001E7642">
        <w:rPr>
          <w:sz w:val="22"/>
        </w:rPr>
        <w:t xml:space="preserve">Accordingly, </w:t>
      </w:r>
      <w:r w:rsidRPr="001E7642">
        <w:rPr>
          <w:sz w:val="22"/>
        </w:rPr>
        <w:t>LocaLoop’s</w:t>
      </w:r>
      <w:r w:rsidRPr="001E7642">
        <w:rPr>
          <w:sz w:val="22"/>
        </w:rPr>
        <w:t xml:space="preserve"> request </w:t>
      </w:r>
      <w:r w:rsidR="006D3898">
        <w:rPr>
          <w:sz w:val="22"/>
        </w:rPr>
        <w:t>to default selectively</w:t>
      </w:r>
      <w:r w:rsidRPr="001E7642">
        <w:rPr>
          <w:sz w:val="22"/>
        </w:rPr>
        <w:t xml:space="preserve"> is denied</w:t>
      </w:r>
      <w:r>
        <w:rPr>
          <w:sz w:val="22"/>
        </w:rPr>
        <w:t>.</w:t>
      </w:r>
    </w:p>
    <w:p w:rsidR="00E03CC5" w:rsidP="0048183F" w14:paraId="7EAE8240" w14:textId="29B0958E">
      <w:pPr>
        <w:spacing w:after="120"/>
        <w:ind w:firstLine="720"/>
        <w:rPr>
          <w:sz w:val="22"/>
        </w:rPr>
      </w:pPr>
      <w:r>
        <w:rPr>
          <w:sz w:val="22"/>
        </w:rPr>
        <w:t xml:space="preserve">Likewise, we do not grant </w:t>
      </w:r>
      <w:r>
        <w:rPr>
          <w:sz w:val="22"/>
        </w:rPr>
        <w:t>LocaLoop’s</w:t>
      </w:r>
      <w:r>
        <w:rPr>
          <w:sz w:val="22"/>
        </w:rPr>
        <w:t xml:space="preserve"> additional requests for relief as sought in its February 11, 2021, email.</w:t>
      </w:r>
      <w:r>
        <w:rPr>
          <w:rStyle w:val="FootnoteReference"/>
          <w:sz w:val="22"/>
        </w:rPr>
        <w:footnoteReference w:id="25"/>
      </w:r>
      <w:r>
        <w:rPr>
          <w:sz w:val="22"/>
        </w:rPr>
        <w:t xml:space="preserve">  In that message, in addition to reiterating its proposal to default selectively, </w:t>
      </w:r>
      <w:r>
        <w:rPr>
          <w:sz w:val="22"/>
        </w:rPr>
        <w:t>LocaLoop</w:t>
      </w:r>
      <w:r>
        <w:rPr>
          <w:sz w:val="22"/>
        </w:rPr>
        <w:t xml:space="preserve"> requested either a refund of its down payment or an extension of time, until July 31, 2021, to pay the balance of its winning bid.  Down and final payments are requirements that are dictated by Commission rules that apply to every winning bidder.</w:t>
      </w:r>
      <w:r>
        <w:rPr>
          <w:rStyle w:val="FootnoteReference"/>
          <w:sz w:val="22"/>
        </w:rPr>
        <w:footnoteReference w:id="26"/>
      </w:r>
      <w:r>
        <w:rPr>
          <w:sz w:val="22"/>
        </w:rPr>
        <w:t xml:space="preserve">  As such, we may consider any request for relief from those </w:t>
      </w:r>
      <w:r>
        <w:rPr>
          <w:sz w:val="22"/>
        </w:rPr>
        <w:t>requirements only where a party demonstrates that it meets the standard applicable to requests for waiver of the rules.</w:t>
      </w:r>
      <w:r>
        <w:rPr>
          <w:rStyle w:val="FootnoteReference"/>
          <w:sz w:val="22"/>
        </w:rPr>
        <w:footnoteReference w:id="27"/>
      </w:r>
      <w:r>
        <w:rPr>
          <w:sz w:val="22"/>
        </w:rPr>
        <w:t xml:space="preserve">  As stated above, </w:t>
      </w:r>
      <w:r>
        <w:rPr>
          <w:sz w:val="22"/>
        </w:rPr>
        <w:t>LocaLoop’s</w:t>
      </w:r>
      <w:r>
        <w:rPr>
          <w:sz w:val="22"/>
        </w:rPr>
        <w:t xml:space="preserve"> down payment on deposit with the Commission will be used to satisfy </w:t>
      </w:r>
      <w:r>
        <w:rPr>
          <w:sz w:val="22"/>
        </w:rPr>
        <w:t>LocaLoop’s</w:t>
      </w:r>
      <w:r>
        <w:rPr>
          <w:sz w:val="22"/>
        </w:rPr>
        <w:t xml:space="preserve"> default payment obligation, p</w:t>
      </w:r>
      <w:r w:rsidRPr="002A04CD">
        <w:rPr>
          <w:sz w:val="22"/>
        </w:rPr>
        <w:t>ursuant to section 1.2106(e) of the Commission’s rules</w:t>
      </w:r>
      <w:r>
        <w:rPr>
          <w:sz w:val="22"/>
        </w:rPr>
        <w:t xml:space="preserve">.  </w:t>
      </w:r>
      <w:r>
        <w:rPr>
          <w:sz w:val="22"/>
        </w:rPr>
        <w:t>LocaLoop</w:t>
      </w:r>
      <w:r>
        <w:rPr>
          <w:sz w:val="22"/>
        </w:rPr>
        <w:t xml:space="preserve"> has provided no justification for waiver of either that provision or the default provisions of section 1.2104(g). </w:t>
      </w:r>
      <w:r w:rsidRPr="002A04CD">
        <w:rPr>
          <w:sz w:val="22"/>
        </w:rPr>
        <w:t xml:space="preserve"> </w:t>
      </w:r>
      <w:r>
        <w:rPr>
          <w:sz w:val="22"/>
        </w:rPr>
        <w:t xml:space="preserve">Accordingly, </w:t>
      </w:r>
      <w:r>
        <w:rPr>
          <w:sz w:val="22"/>
        </w:rPr>
        <w:t>LocaLoop</w:t>
      </w:r>
      <w:r>
        <w:rPr>
          <w:sz w:val="22"/>
        </w:rPr>
        <w:t xml:space="preserve"> has no funds remaining on deposit with the Commission to be refunded to it.   </w:t>
      </w:r>
    </w:p>
    <w:p w:rsidR="00790380" w:rsidP="0048183F" w14:paraId="5ADC4EF2" w14:textId="11808164">
      <w:pPr>
        <w:spacing w:after="120"/>
        <w:ind w:firstLine="720"/>
        <w:rPr>
          <w:sz w:val="22"/>
        </w:rPr>
      </w:pPr>
      <w:r>
        <w:rPr>
          <w:sz w:val="22"/>
        </w:rPr>
        <w:t>LocaLoop</w:t>
      </w:r>
      <w:r>
        <w:rPr>
          <w:sz w:val="22"/>
        </w:rPr>
        <w:t xml:space="preserve"> also offers no justification for waiving the final payment deadline. </w:t>
      </w:r>
      <w:r w:rsidRPr="00E61DF8">
        <w:rPr>
          <w:sz w:val="22"/>
        </w:rPr>
        <w:t>The Commission has long held that prompt payment of auction obligations is an objective indicator that a winning bidder is financially able to meet its obligations and intends to provide service to the public.</w:t>
      </w:r>
      <w:r>
        <w:rPr>
          <w:rStyle w:val="FootnoteReference"/>
          <w:sz w:val="22"/>
        </w:rPr>
        <w:footnoteReference w:id="28"/>
      </w:r>
      <w:r w:rsidRPr="00E61DF8">
        <w:rPr>
          <w:sz w:val="22"/>
        </w:rPr>
        <w:t xml:space="preserve">  </w:t>
      </w:r>
      <w:r>
        <w:rPr>
          <w:sz w:val="22"/>
        </w:rPr>
        <w:t>S</w:t>
      </w:r>
      <w:r w:rsidRPr="00E61DF8">
        <w:rPr>
          <w:sz w:val="22"/>
        </w:rPr>
        <w:t>trict enforcement of payment deadlines enhances the integrity of the auction and licensing process</w:t>
      </w:r>
      <w:r w:rsidR="00B55BB9">
        <w:rPr>
          <w:sz w:val="22"/>
        </w:rPr>
        <w:t>,</w:t>
      </w:r>
      <w:r w:rsidRPr="00E61DF8">
        <w:rPr>
          <w:sz w:val="22"/>
        </w:rPr>
        <w:t xml:space="preserve"> and eliminates the possibility that insincere bidders who lack financial resources to deploy systems can shop their newly won licenses to gain financing.</w:t>
      </w:r>
      <w:r>
        <w:rPr>
          <w:rStyle w:val="FootnoteReference"/>
          <w:sz w:val="22"/>
        </w:rPr>
        <w:footnoteReference w:id="29"/>
      </w:r>
      <w:r w:rsidRPr="00E61DF8">
        <w:rPr>
          <w:sz w:val="22"/>
        </w:rPr>
        <w:t xml:space="preserve">  </w:t>
      </w:r>
      <w:r w:rsidRPr="00BF6430">
        <w:rPr>
          <w:sz w:val="22"/>
          <w:szCs w:val="22"/>
        </w:rPr>
        <w:t xml:space="preserve">Granting </w:t>
      </w:r>
      <w:r w:rsidRPr="00BF6430">
        <w:rPr>
          <w:sz w:val="22"/>
          <w:szCs w:val="22"/>
        </w:rPr>
        <w:t>LocaLoop</w:t>
      </w:r>
      <w:r w:rsidRPr="00BF6430">
        <w:rPr>
          <w:sz w:val="22"/>
          <w:szCs w:val="22"/>
        </w:rPr>
        <w:t xml:space="preserve"> a waiver of the Auction 105 final payment deadline and extending the deadline for its final payment by an additional ten months would conflict with the</w:t>
      </w:r>
      <w:r>
        <w:rPr>
          <w:sz w:val="22"/>
          <w:szCs w:val="22"/>
        </w:rPr>
        <w:t>se</w:t>
      </w:r>
      <w:r w:rsidRPr="00BF6430">
        <w:rPr>
          <w:sz w:val="22"/>
          <w:szCs w:val="22"/>
        </w:rPr>
        <w:t xml:space="preserve"> policies.  </w:t>
      </w:r>
      <w:r>
        <w:rPr>
          <w:sz w:val="22"/>
        </w:rPr>
        <w:t>Therefore, we decline to do so.</w:t>
      </w:r>
    </w:p>
    <w:p w:rsidR="00173EC0" w:rsidP="0048183F" w14:paraId="1CBE562A" w14:textId="77777777">
      <w:pPr>
        <w:spacing w:after="120"/>
        <w:jc w:val="center"/>
        <w:rPr>
          <w:rFonts w:ascii="Times New Roman Bold" w:hAnsi="Times New Roman Bold"/>
          <w:sz w:val="22"/>
          <w:u w:val="single"/>
        </w:rPr>
      </w:pPr>
      <w:r>
        <w:rPr>
          <w:rFonts w:ascii="Times New Roman Bold" w:hAnsi="Times New Roman Bold"/>
          <w:sz w:val="22"/>
          <w:u w:val="single"/>
        </w:rPr>
        <w:t>Ordering Clauses</w:t>
      </w:r>
    </w:p>
    <w:p w:rsidR="00173EC0" w:rsidP="0048183F" w14:paraId="7485AC7A" w14:textId="7666415F">
      <w:pPr>
        <w:spacing w:after="120"/>
        <w:ind w:firstLine="720"/>
        <w:rPr>
          <w:sz w:val="22"/>
        </w:rPr>
      </w:pPr>
      <w:r>
        <w:rPr>
          <w:sz w:val="22"/>
        </w:rPr>
        <w:t>Accordingly, IT IS ORDERED that, pursuant to sections 4(</w:t>
      </w:r>
      <w:r>
        <w:rPr>
          <w:sz w:val="22"/>
        </w:rPr>
        <w:t>i</w:t>
      </w:r>
      <w:r>
        <w:rPr>
          <w:sz w:val="22"/>
        </w:rPr>
        <w:t>) and 309 of the Communications Act of 1934, as amended, 47 U.S.C. §§ 154(</w:t>
      </w:r>
      <w:r>
        <w:rPr>
          <w:sz w:val="22"/>
        </w:rPr>
        <w:t>i</w:t>
      </w:r>
      <w:r>
        <w:rPr>
          <w:sz w:val="22"/>
        </w:rPr>
        <w:t>), 309, and section 1.2104(g)(2) of the Commission’s rules, 47</w:t>
      </w:r>
      <w:r w:rsidR="00600467">
        <w:rPr>
          <w:sz w:val="22"/>
        </w:rPr>
        <w:t> </w:t>
      </w:r>
      <w:r>
        <w:rPr>
          <w:sz w:val="22"/>
        </w:rPr>
        <w:t xml:space="preserve">C.F.R. § 1.2104(g)(2), </w:t>
      </w:r>
      <w:r w:rsidR="00293DCE">
        <w:rPr>
          <w:sz w:val="22"/>
        </w:rPr>
        <w:t>LocaLoop</w:t>
      </w:r>
      <w:r w:rsidR="001E5EAA">
        <w:rPr>
          <w:sz w:val="22"/>
        </w:rPr>
        <w:t>, Inc.</w:t>
      </w:r>
      <w:r>
        <w:rPr>
          <w:sz w:val="22"/>
        </w:rPr>
        <w:t xml:space="preserve"> </w:t>
      </w:r>
      <w:r w:rsidR="004A7737">
        <w:rPr>
          <w:sz w:val="22"/>
        </w:rPr>
        <w:t xml:space="preserve">is ASSESSED </w:t>
      </w:r>
      <w:r>
        <w:rPr>
          <w:sz w:val="22"/>
        </w:rPr>
        <w:t xml:space="preserve">an interim default payment </w:t>
      </w:r>
      <w:r w:rsidR="003F6D6B">
        <w:rPr>
          <w:sz w:val="22"/>
        </w:rPr>
        <w:t xml:space="preserve">of $871,734.40, </w:t>
      </w:r>
      <w:r>
        <w:rPr>
          <w:sz w:val="22"/>
        </w:rPr>
        <w:t xml:space="preserve">as computed in Attachment A. </w:t>
      </w:r>
    </w:p>
    <w:p w:rsidR="00173EC0" w:rsidP="0048183F" w14:paraId="19972C04" w14:textId="4BE6E314">
      <w:pPr>
        <w:spacing w:after="120"/>
        <w:ind w:firstLine="720"/>
        <w:rPr>
          <w:sz w:val="22"/>
        </w:rPr>
      </w:pPr>
      <w:r>
        <w:rPr>
          <w:sz w:val="22"/>
        </w:rPr>
        <w:t xml:space="preserve">IT IS FURTHER ORDERED that, pursuant to sections 1.2104 and 1.2106 of the Commission’s rules, 47 C.F.R. §§ 1.2104 and 1.2106, </w:t>
      </w:r>
      <w:r w:rsidR="001E5EAA">
        <w:rPr>
          <w:sz w:val="22"/>
        </w:rPr>
        <w:t>LocaLoop</w:t>
      </w:r>
      <w:r w:rsidR="001E5EAA">
        <w:rPr>
          <w:sz w:val="22"/>
        </w:rPr>
        <w:t xml:space="preserve">, Inc.’s </w:t>
      </w:r>
      <w:r>
        <w:rPr>
          <w:sz w:val="22"/>
        </w:rPr>
        <w:t xml:space="preserve">funds on deposit with the Commission </w:t>
      </w:r>
      <w:r w:rsidR="002B75F1">
        <w:rPr>
          <w:sz w:val="22"/>
        </w:rPr>
        <w:t>will be</w:t>
      </w:r>
      <w:r>
        <w:rPr>
          <w:sz w:val="22"/>
        </w:rPr>
        <w:t xml:space="preserve"> applied toward</w:t>
      </w:r>
      <w:r w:rsidR="002B75F1">
        <w:rPr>
          <w:sz w:val="22"/>
        </w:rPr>
        <w:t xml:space="preserve"> satisfying </w:t>
      </w:r>
      <w:r w:rsidR="002B75F1">
        <w:rPr>
          <w:sz w:val="22"/>
        </w:rPr>
        <w:t>LocaLoop’s</w:t>
      </w:r>
      <w:r>
        <w:rPr>
          <w:sz w:val="22"/>
        </w:rPr>
        <w:t xml:space="preserve"> interim default payment obligation. </w:t>
      </w:r>
    </w:p>
    <w:p w:rsidR="00173EC0" w:rsidP="0048183F" w14:paraId="73F59087" w14:textId="73A262FC">
      <w:pPr>
        <w:spacing w:after="120"/>
        <w:ind w:firstLine="720"/>
        <w:rPr>
          <w:sz w:val="22"/>
        </w:rPr>
      </w:pPr>
      <w:r>
        <w:rPr>
          <w:sz w:val="22"/>
        </w:rPr>
        <w:t xml:space="preserve">IT IS FURTHER ORDERED that, pursuant to section 1.2104(g)(2), of the Commission’s rules, 47 C.F.R. § 1.2104(g)(2), </w:t>
      </w:r>
      <w:r w:rsidR="001E5EAA">
        <w:rPr>
          <w:sz w:val="22"/>
        </w:rPr>
        <w:t>LocaLoop</w:t>
      </w:r>
      <w:r w:rsidR="001E5EAA">
        <w:rPr>
          <w:sz w:val="22"/>
        </w:rPr>
        <w:t xml:space="preserve">, Inc. </w:t>
      </w:r>
      <w:r>
        <w:rPr>
          <w:sz w:val="22"/>
        </w:rPr>
        <w:t xml:space="preserve">will be subject to a final default payment for its defaulted winning bid during Auction 105 for </w:t>
      </w:r>
      <w:r w:rsidR="001E5EAA">
        <w:rPr>
          <w:sz w:val="22"/>
        </w:rPr>
        <w:t>122</w:t>
      </w:r>
      <w:r w:rsidR="00533BD9">
        <w:rPr>
          <w:sz w:val="22"/>
        </w:rPr>
        <w:t xml:space="preserve"> Priority Access Licenses in the 3550-3650 MHz portion of the 3.5 GHz band</w:t>
      </w:r>
      <w:r>
        <w:rPr>
          <w:sz w:val="22"/>
        </w:rPr>
        <w:t>, once the spectrum associated with the licenses is won in a subsequent auction and the full default payment amount is determined.</w:t>
      </w:r>
    </w:p>
    <w:p w:rsidR="00173EC0" w:rsidP="0048183F" w14:paraId="2CC39927" w14:textId="37BC4CE4">
      <w:pPr>
        <w:spacing w:after="120"/>
        <w:ind w:firstLine="720"/>
        <w:rPr>
          <w:sz w:val="22"/>
          <w:szCs w:val="22"/>
        </w:rPr>
      </w:pPr>
      <w:r>
        <w:rPr>
          <w:sz w:val="22"/>
        </w:rPr>
        <w:t xml:space="preserve">IT IS FURTHER ORDERED that, pursuant to sections 0.331 and 1.2109 of the Commission’s rules, 47 C.F.R. §§ 0.331 and 1.2109, </w:t>
      </w:r>
      <w:r w:rsidRPr="003677A8">
        <w:rPr>
          <w:sz w:val="22"/>
        </w:rPr>
        <w:t xml:space="preserve">the FCC Form </w:t>
      </w:r>
      <w:r w:rsidR="000F182A">
        <w:rPr>
          <w:sz w:val="22"/>
        </w:rPr>
        <w:t>601</w:t>
      </w:r>
      <w:r w:rsidRPr="003677A8">
        <w:rPr>
          <w:sz w:val="22"/>
        </w:rPr>
        <w:t xml:space="preserve"> </w:t>
      </w:r>
      <w:r w:rsidR="000F182A">
        <w:rPr>
          <w:sz w:val="22"/>
        </w:rPr>
        <w:t>long</w:t>
      </w:r>
      <w:r w:rsidRPr="003677A8">
        <w:rPr>
          <w:sz w:val="22"/>
        </w:rPr>
        <w:t>-form application of</w:t>
      </w:r>
      <w:r>
        <w:rPr>
          <w:sz w:val="22"/>
        </w:rPr>
        <w:t xml:space="preserve"> </w:t>
      </w:r>
      <w:r w:rsidR="001E5EAA">
        <w:rPr>
          <w:sz w:val="22"/>
        </w:rPr>
        <w:t>LocaLoop</w:t>
      </w:r>
      <w:r w:rsidR="001E5EAA">
        <w:rPr>
          <w:sz w:val="22"/>
        </w:rPr>
        <w:t>, Inc.</w:t>
      </w:r>
      <w:r>
        <w:rPr>
          <w:sz w:val="22"/>
        </w:rPr>
        <w:t>, FCC File No</w:t>
      </w:r>
      <w:r>
        <w:rPr>
          <w:sz w:val="22"/>
          <w:szCs w:val="22"/>
        </w:rPr>
        <w:t xml:space="preserve">. </w:t>
      </w:r>
      <w:r w:rsidR="00600467">
        <w:rPr>
          <w:sz w:val="22"/>
          <w:szCs w:val="22"/>
        </w:rPr>
        <w:t>0009</w:t>
      </w:r>
      <w:r w:rsidR="00C14B15">
        <w:rPr>
          <w:sz w:val="22"/>
          <w:szCs w:val="22"/>
        </w:rPr>
        <w:t>225393</w:t>
      </w:r>
      <w:r>
        <w:rPr>
          <w:sz w:val="22"/>
        </w:rPr>
        <w:t xml:space="preserve">, is </w:t>
      </w:r>
      <w:r w:rsidRPr="001E5EAA">
        <w:rPr>
          <w:sz w:val="22"/>
        </w:rPr>
        <w:t>DISMISSED with prejudice</w:t>
      </w:r>
      <w:r>
        <w:rPr>
          <w:sz w:val="22"/>
        </w:rPr>
        <w:t>.</w:t>
      </w:r>
    </w:p>
    <w:p w:rsidR="00DC6EC4" w:rsidP="0048183F" w14:paraId="705E4829" w14:textId="4DDE9DAB">
      <w:pPr>
        <w:spacing w:after="120"/>
        <w:ind w:firstLine="720"/>
        <w:rPr>
          <w:sz w:val="22"/>
        </w:rPr>
      </w:pPr>
      <w:r>
        <w:rPr>
          <w:sz w:val="22"/>
        </w:rPr>
        <w:t xml:space="preserve">IT IS FURTHER ORDERED that this Order shall be sent to </w:t>
      </w:r>
      <w:r w:rsidR="001E5EAA">
        <w:rPr>
          <w:sz w:val="22"/>
        </w:rPr>
        <w:t>LocaLoop</w:t>
      </w:r>
      <w:r w:rsidR="001E5EAA">
        <w:rPr>
          <w:sz w:val="22"/>
        </w:rPr>
        <w:t xml:space="preserve">, Inc. </w:t>
      </w:r>
      <w:r>
        <w:rPr>
          <w:sz w:val="22"/>
        </w:rPr>
        <w:t>and its representatives by certified mail, return receipt requested.  This action is taken pursuant to authority delegated by section</w:t>
      </w:r>
      <w:r w:rsidR="005C78B0">
        <w:rPr>
          <w:sz w:val="22"/>
        </w:rPr>
        <w:t>s 0.21(m) and</w:t>
      </w:r>
      <w:r>
        <w:rPr>
          <w:sz w:val="22"/>
        </w:rPr>
        <w:t xml:space="preserve"> 0.331 of the Commission’s rules, 47 C.F.R. §</w:t>
      </w:r>
      <w:r w:rsidR="005C78B0">
        <w:rPr>
          <w:sz w:val="22"/>
        </w:rPr>
        <w:t>§</w:t>
      </w:r>
      <w:r>
        <w:rPr>
          <w:sz w:val="22"/>
        </w:rPr>
        <w:t xml:space="preserve"> </w:t>
      </w:r>
      <w:r w:rsidR="005C78B0">
        <w:rPr>
          <w:sz w:val="22"/>
        </w:rPr>
        <w:t xml:space="preserve">0.21(m), </w:t>
      </w:r>
      <w:r>
        <w:rPr>
          <w:sz w:val="22"/>
        </w:rPr>
        <w:t>0.331.</w:t>
      </w:r>
    </w:p>
    <w:p w:rsidR="00140F43" w:rsidP="00304648" w14:paraId="09E00E11" w14:textId="5D38A3B7">
      <w:pPr>
        <w:ind w:left="4320"/>
        <w:rPr>
          <w:sz w:val="22"/>
        </w:rPr>
      </w:pPr>
    </w:p>
    <w:p w:rsidR="00140F43" w:rsidP="00304648" w14:paraId="533617B7" w14:textId="77777777">
      <w:pPr>
        <w:ind w:left="4320"/>
        <w:rPr>
          <w:sz w:val="22"/>
        </w:rPr>
      </w:pPr>
    </w:p>
    <w:p w:rsidR="00173EC0" w:rsidP="00304648" w14:paraId="30661F40" w14:textId="73886921">
      <w:pPr>
        <w:ind w:left="4320"/>
        <w:rPr>
          <w:sz w:val="22"/>
        </w:rPr>
      </w:pPr>
      <w:r>
        <w:rPr>
          <w:sz w:val="22"/>
        </w:rPr>
        <w:t>Sincerely,</w:t>
      </w:r>
    </w:p>
    <w:p w:rsidR="00173EC0" w:rsidP="00173EC0" w14:paraId="58C99B70" w14:textId="302B418F">
      <w:pPr>
        <w:widowControl w:val="0"/>
        <w:rPr>
          <w:sz w:val="22"/>
        </w:rPr>
      </w:pPr>
    </w:p>
    <w:p w:rsidR="00A97D28" w:rsidP="00173EC0" w14:paraId="067ED68E" w14:textId="4AF9C3A0">
      <w:pPr>
        <w:widowControl w:val="0"/>
        <w:rPr>
          <w:sz w:val="22"/>
        </w:rPr>
      </w:pPr>
    </w:p>
    <w:p w:rsidR="00A97D28" w:rsidP="00173EC0" w14:paraId="6AD2BA3F" w14:textId="313FFD05">
      <w:pPr>
        <w:widowControl w:val="0"/>
        <w:rPr>
          <w:sz w:val="22"/>
        </w:rPr>
      </w:pPr>
    </w:p>
    <w:p w:rsidR="00600467" w:rsidRPr="00600467" w:rsidP="00600467" w14:paraId="5BA49D05" w14:textId="13F003C3">
      <w:pPr>
        <w:rPr>
          <w:sz w:val="22"/>
          <w:szCs w:val="22"/>
        </w:rPr>
      </w:pPr>
      <w:r>
        <w:rPr>
          <w:sz w:val="22"/>
        </w:rPr>
        <w:tab/>
      </w:r>
      <w:r>
        <w:rPr>
          <w:sz w:val="22"/>
        </w:rPr>
        <w:tab/>
      </w:r>
      <w:r>
        <w:rPr>
          <w:sz w:val="22"/>
        </w:rPr>
        <w:tab/>
      </w:r>
      <w:r>
        <w:rPr>
          <w:sz w:val="22"/>
        </w:rPr>
        <w:tab/>
      </w:r>
      <w:r>
        <w:rPr>
          <w:sz w:val="22"/>
        </w:rPr>
        <w:tab/>
      </w:r>
      <w:r>
        <w:rPr>
          <w:sz w:val="22"/>
        </w:rPr>
        <w:tab/>
      </w:r>
      <w:bookmarkStart w:id="1" w:name="OLE_LINK13"/>
      <w:bookmarkEnd w:id="1"/>
      <w:r w:rsidRPr="00600467">
        <w:rPr>
          <w:sz w:val="22"/>
          <w:szCs w:val="22"/>
        </w:rPr>
        <w:t xml:space="preserve">Jonathan </w:t>
      </w:r>
      <w:r w:rsidR="005C78B0">
        <w:rPr>
          <w:sz w:val="22"/>
          <w:szCs w:val="22"/>
        </w:rPr>
        <w:t xml:space="preserve">M. </w:t>
      </w:r>
      <w:r w:rsidRPr="00600467">
        <w:rPr>
          <w:sz w:val="22"/>
          <w:szCs w:val="22"/>
        </w:rPr>
        <w:t>Campbell</w:t>
      </w:r>
    </w:p>
    <w:p w:rsidR="00600467" w:rsidRPr="00600467" w:rsidP="00600467" w14:paraId="5528BC0E" w14:textId="77777777">
      <w:pPr>
        <w:ind w:left="3600" w:firstLine="720"/>
        <w:rPr>
          <w:sz w:val="22"/>
          <w:szCs w:val="22"/>
        </w:rPr>
      </w:pPr>
      <w:r w:rsidRPr="00600467">
        <w:rPr>
          <w:sz w:val="22"/>
          <w:szCs w:val="22"/>
        </w:rPr>
        <w:t>Chief, Auctions Division</w:t>
      </w:r>
    </w:p>
    <w:p w:rsidR="00173EC0" w:rsidRPr="00600467" w:rsidP="00600467" w14:paraId="70261B7D" w14:textId="79CD1A17">
      <w:pPr>
        <w:ind w:left="3600" w:firstLine="720"/>
        <w:rPr>
          <w:sz w:val="22"/>
          <w:szCs w:val="22"/>
        </w:rPr>
      </w:pPr>
      <w:r w:rsidRPr="00600467">
        <w:rPr>
          <w:sz w:val="22"/>
          <w:szCs w:val="22"/>
        </w:rPr>
        <w:t>Office of Economics and Analytics</w:t>
      </w:r>
    </w:p>
    <w:p w:rsidR="00173EC0" w:rsidP="00173EC0" w14:paraId="7F5325D9" w14:textId="2EB6638D">
      <w:pPr>
        <w:widowControl w:val="0"/>
        <w:rPr>
          <w:sz w:val="22"/>
        </w:rPr>
      </w:pPr>
    </w:p>
    <w:p w:rsidR="00A97D28" w:rsidP="00173EC0" w14:paraId="2615DF7B" w14:textId="77777777">
      <w:pPr>
        <w:widowControl w:val="0"/>
        <w:rPr>
          <w:sz w:val="22"/>
        </w:rPr>
      </w:pPr>
    </w:p>
    <w:p w:rsidR="00173EC0" w:rsidP="00173EC0" w14:paraId="01DF6E01" w14:textId="77777777">
      <w:pPr>
        <w:widowControl w:val="0"/>
        <w:rPr>
          <w:sz w:val="22"/>
        </w:rPr>
      </w:pPr>
    </w:p>
    <w:p w:rsidR="00600467" w:rsidRPr="00600467" w:rsidP="00600467" w14:paraId="2496A784" w14:textId="1B0DD6C0">
      <w:pPr>
        <w:widowControl w:val="0"/>
        <w:ind w:left="3600" w:firstLine="720"/>
        <w:rPr>
          <w:sz w:val="22"/>
          <w:szCs w:val="22"/>
        </w:rPr>
      </w:pPr>
      <w:r w:rsidRPr="00600467">
        <w:rPr>
          <w:sz w:val="22"/>
          <w:szCs w:val="22"/>
        </w:rPr>
        <w:t>Roger Noel</w:t>
      </w:r>
    </w:p>
    <w:p w:rsidR="00600467" w:rsidRPr="00600467" w:rsidP="00600467" w14:paraId="42A534F7" w14:textId="77777777">
      <w:pPr>
        <w:widowControl w:val="0"/>
        <w:ind w:left="3600" w:firstLine="720"/>
        <w:rPr>
          <w:sz w:val="22"/>
          <w:szCs w:val="22"/>
        </w:rPr>
      </w:pPr>
      <w:r w:rsidRPr="00600467">
        <w:rPr>
          <w:sz w:val="22"/>
          <w:szCs w:val="22"/>
        </w:rPr>
        <w:t>Chief, Mobility Division</w:t>
      </w:r>
    </w:p>
    <w:p w:rsidR="00173EC0" w:rsidP="00600467" w14:paraId="6A65BB08" w14:textId="7CF442B0">
      <w:pPr>
        <w:widowControl w:val="0"/>
        <w:ind w:left="3600" w:firstLine="720"/>
        <w:rPr>
          <w:sz w:val="22"/>
        </w:rPr>
      </w:pPr>
      <w:r w:rsidRPr="00600467">
        <w:rPr>
          <w:sz w:val="22"/>
          <w:szCs w:val="22"/>
        </w:rPr>
        <w:t>Wireless Telecommunications Bureau</w:t>
      </w:r>
    </w:p>
    <w:p w:rsidR="00173EC0" w:rsidP="00173EC0" w14:paraId="5BC50DF4" w14:textId="77777777">
      <w:pPr>
        <w:widowControl w:val="0"/>
        <w:rPr>
          <w:sz w:val="22"/>
        </w:rPr>
      </w:pPr>
    </w:p>
    <w:p w:rsidR="00173EC0" w:rsidP="00173EC0" w14:paraId="31B520A2" w14:textId="77777777">
      <w:pPr>
        <w:widowControl w:val="0"/>
        <w:rPr>
          <w:sz w:val="22"/>
        </w:rPr>
      </w:pPr>
    </w:p>
    <w:p w:rsidR="00173EC0" w:rsidP="00173EC0" w14:paraId="0CB1BC46" w14:textId="77777777">
      <w:pPr>
        <w:widowControl w:val="0"/>
        <w:rPr>
          <w:sz w:val="22"/>
        </w:rPr>
      </w:pPr>
    </w:p>
    <w:p w:rsidR="00173EC0" w:rsidP="00173EC0" w14:paraId="577C1D4C" w14:textId="4E5D86B8">
      <w:pPr>
        <w:widowControl w:val="0"/>
        <w:rPr>
          <w:sz w:val="22"/>
        </w:rPr>
      </w:pPr>
      <w:r>
        <w:rPr>
          <w:sz w:val="22"/>
        </w:rPr>
        <w:t>Attachment</w:t>
      </w:r>
    </w:p>
    <w:p w:rsidR="00A97D28" w:rsidRPr="00A97D28" w:rsidP="00A97D28" w14:paraId="622FE02B" w14:textId="77777777">
      <w:pPr>
        <w:pStyle w:val="Heading2A"/>
        <w:jc w:val="center"/>
        <w:rPr>
          <w:rFonts w:ascii="Times New Roman Bold" w:hAnsi="Times New Roman Bold"/>
        </w:rPr>
      </w:pPr>
      <w:r>
        <w:rPr>
          <w:sz w:val="22"/>
        </w:rPr>
        <w:br w:type="page"/>
      </w:r>
      <w:r w:rsidRPr="00A97D28">
        <w:rPr>
          <w:rFonts w:ascii="Times New Roman Bold" w:hAnsi="Times New Roman Bold"/>
        </w:rPr>
        <w:t>ATTACHMENT A</w:t>
      </w:r>
    </w:p>
    <w:p w:rsidR="00A97D28" w:rsidRPr="00A97D28" w:rsidP="00A97D28" w14:paraId="61B7B0A1" w14:textId="77777777">
      <w:pPr>
        <w:widowControl w:val="0"/>
        <w:jc w:val="center"/>
        <w:rPr>
          <w:rFonts w:eastAsia="ヒラギノ角ゴ Pro W3"/>
          <w:color w:val="000000"/>
          <w:szCs w:val="24"/>
        </w:rPr>
      </w:pPr>
    </w:p>
    <w:p w:rsidR="00A97D28" w:rsidRPr="00A97D28" w:rsidP="00A97D28" w14:paraId="5EFFF69D" w14:textId="77777777">
      <w:pPr>
        <w:widowControl w:val="0"/>
        <w:jc w:val="center"/>
        <w:rPr>
          <w:rFonts w:eastAsia="ヒラギノ角ゴ Pro W3"/>
          <w:color w:val="000000"/>
          <w:szCs w:val="24"/>
        </w:rPr>
      </w:pPr>
    </w:p>
    <w:p w:rsidR="00A97D28" w:rsidRPr="00A97D28" w:rsidP="00A97D28" w14:paraId="1CA4D4FB" w14:textId="77777777">
      <w:pPr>
        <w:widowControl w:val="0"/>
        <w:jc w:val="center"/>
        <w:rPr>
          <w:rFonts w:ascii="Times New Roman Bold" w:eastAsia="ヒラギノ角ゴ Pro W3" w:hAnsi="Times New Roman Bold"/>
          <w:color w:val="000000"/>
          <w:sz w:val="28"/>
          <w:szCs w:val="24"/>
        </w:rPr>
      </w:pPr>
      <w:r w:rsidRPr="00A97D28">
        <w:rPr>
          <w:rFonts w:ascii="Times New Roman Bold" w:eastAsia="ヒラギノ角ゴ Pro W3" w:hAnsi="Times New Roman Bold"/>
          <w:color w:val="000000"/>
          <w:sz w:val="28"/>
          <w:szCs w:val="24"/>
        </w:rPr>
        <w:t>Interim Default Payment Report</w:t>
      </w:r>
    </w:p>
    <w:p w:rsidR="00A97D28" w:rsidRPr="00A97D28" w:rsidP="00A97D28" w14:paraId="7A8B62E4" w14:textId="77777777">
      <w:pPr>
        <w:widowControl w:val="0"/>
        <w:jc w:val="center"/>
        <w:rPr>
          <w:rFonts w:eastAsia="ヒラギノ角ゴ Pro W3"/>
          <w:color w:val="000000"/>
          <w:szCs w:val="24"/>
        </w:rPr>
      </w:pPr>
    </w:p>
    <w:p w:rsidR="00A97D28" w:rsidRPr="00A97D28" w:rsidP="00A97D28" w14:paraId="505DD07E" w14:textId="77777777">
      <w:pPr>
        <w:widowControl w:val="0"/>
        <w:jc w:val="center"/>
        <w:rPr>
          <w:rFonts w:eastAsia="ヒラギノ角ゴ Pro W3"/>
          <w:color w:val="000000"/>
          <w:szCs w:val="24"/>
        </w:rPr>
      </w:pPr>
    </w:p>
    <w:tbl>
      <w:tblPr>
        <w:tblW w:w="0" w:type="auto"/>
        <w:jc w:val="center"/>
        <w:tblLayout w:type="fixed"/>
        <w:tblLook w:val="0000"/>
      </w:tblPr>
      <w:tblGrid>
        <w:gridCol w:w="1836"/>
        <w:gridCol w:w="1890"/>
        <w:gridCol w:w="1746"/>
        <w:gridCol w:w="1440"/>
      </w:tblGrid>
      <w:tr w14:paraId="3AD93D9B" w14:textId="77777777" w:rsidTr="004A5DA4">
        <w:tblPrEx>
          <w:tblW w:w="0" w:type="auto"/>
          <w:jc w:val="center"/>
          <w:tblLayout w:type="fixed"/>
          <w:tblLook w:val="0000"/>
        </w:tblPrEx>
        <w:trPr>
          <w:cantSplit/>
          <w:trHeight w:val="880"/>
          <w:jc w:val="center"/>
        </w:trPr>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97D28" w:rsidRPr="00A97D28" w:rsidP="00A97D28" w14:paraId="09CD284D" w14:textId="60CA3B1B">
            <w:pPr>
              <w:widowControl w:val="0"/>
              <w:jc w:val="center"/>
              <w:rPr>
                <w:rFonts w:ascii="Times New Roman Bold" w:eastAsia="ヒラギノ角ゴ Pro W3" w:hAnsi="Times New Roman Bold"/>
                <w:color w:val="000000"/>
                <w:szCs w:val="24"/>
              </w:rPr>
            </w:pPr>
            <w:r>
              <w:rPr>
                <w:rFonts w:ascii="Times New Roman Bold" w:eastAsia="ヒラギノ角ゴ Pro W3" w:hAnsi="Times New Roman Bold"/>
                <w:color w:val="000000"/>
                <w:szCs w:val="24"/>
              </w:rPr>
              <w:t>Bidder</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97D28" w:rsidRPr="00A97D28" w:rsidP="00A97D28" w14:paraId="1E8FC587" w14:textId="1005E0A4">
            <w:pPr>
              <w:widowControl w:val="0"/>
              <w:jc w:val="center"/>
              <w:rPr>
                <w:rFonts w:ascii="Times New Roman Bold" w:eastAsia="ヒラギノ角ゴ Pro W3" w:hAnsi="Times New Roman Bold"/>
                <w:color w:val="000000"/>
                <w:szCs w:val="24"/>
              </w:rPr>
            </w:pPr>
            <w:r>
              <w:rPr>
                <w:rFonts w:ascii="Times New Roman Bold" w:eastAsia="ヒラギノ角ゴ Pro W3" w:hAnsi="Times New Roman Bold"/>
                <w:color w:val="000000"/>
                <w:szCs w:val="24"/>
              </w:rPr>
              <w:t xml:space="preserve">Defaulted </w:t>
            </w:r>
            <w:r w:rsidRPr="00A97D28">
              <w:rPr>
                <w:rFonts w:ascii="Times New Roman Bold" w:eastAsia="ヒラギノ角ゴ Pro W3" w:hAnsi="Times New Roman Bold"/>
                <w:color w:val="000000"/>
                <w:szCs w:val="24"/>
              </w:rPr>
              <w:t>Gross Bid</w:t>
            </w:r>
            <w:r>
              <w:rPr>
                <w:rFonts w:ascii="Times New Roman Bold" w:eastAsia="ヒラギノ角ゴ Pro W3" w:hAnsi="Times New Roman Bold"/>
                <w:color w:val="000000"/>
                <w:szCs w:val="24"/>
              </w:rPr>
              <w:t>s</w:t>
            </w:r>
          </w:p>
          <w:p w:rsidR="00A97D28" w:rsidRPr="00A97D28" w:rsidP="00A97D28" w14:paraId="0C9989D3" w14:textId="1198B09D">
            <w:pPr>
              <w:widowControl w:val="0"/>
              <w:jc w:val="center"/>
              <w:rPr>
                <w:rFonts w:ascii="Times New Roman Bold" w:eastAsia="ヒラギノ角ゴ Pro W3" w:hAnsi="Times New Roman Bold"/>
                <w:color w:val="000000"/>
                <w:szCs w:val="24"/>
              </w:rPr>
            </w:pPr>
            <w:r w:rsidRPr="00A97D28">
              <w:rPr>
                <w:rFonts w:ascii="Times New Roman Bold" w:eastAsia="ヒラギノ角ゴ Pro W3" w:hAnsi="Times New Roman Bold"/>
                <w:color w:val="000000"/>
                <w:szCs w:val="24"/>
              </w:rPr>
              <w:t xml:space="preserve">Auction </w:t>
            </w:r>
            <w:r>
              <w:rPr>
                <w:rFonts w:ascii="Times New Roman Bold" w:eastAsia="ヒラギノ角ゴ Pro W3" w:hAnsi="Times New Roman Bold"/>
                <w:color w:val="000000"/>
                <w:szCs w:val="24"/>
              </w:rPr>
              <w:t>105</w:t>
            </w:r>
            <w:r w:rsidRPr="00A97D28">
              <w:rPr>
                <w:rFonts w:ascii="Times New Roman Bold" w:eastAsia="ヒラギノ角ゴ Pro W3" w:hAnsi="Times New Roman Bold"/>
                <w:color w:val="000000"/>
                <w:szCs w:val="24"/>
              </w:rPr>
              <w:t xml:space="preserve"> </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97D28" w:rsidRPr="00A97D28" w:rsidP="00A97D28" w14:paraId="79492134" w14:textId="62A8F88C">
            <w:pPr>
              <w:widowControl w:val="0"/>
              <w:jc w:val="center"/>
              <w:rPr>
                <w:rFonts w:ascii="Times New Roman Bold" w:eastAsia="ヒラギノ角ゴ Pro W3" w:hAnsi="Times New Roman Bold"/>
                <w:color w:val="000000"/>
                <w:szCs w:val="24"/>
              </w:rPr>
            </w:pPr>
            <w:r>
              <w:rPr>
                <w:rFonts w:ascii="Times New Roman Bold" w:eastAsia="ヒラギノ角ゴ Pro W3" w:hAnsi="Times New Roman Bold"/>
                <w:color w:val="000000"/>
                <w:szCs w:val="24"/>
              </w:rPr>
              <w:t xml:space="preserve">Defaulted </w:t>
            </w:r>
            <w:r w:rsidRPr="00A97D28">
              <w:rPr>
                <w:rFonts w:ascii="Times New Roman Bold" w:eastAsia="ヒラギノ角ゴ Pro W3" w:hAnsi="Times New Roman Bold"/>
                <w:color w:val="000000"/>
                <w:szCs w:val="24"/>
              </w:rPr>
              <w:t>Net Bid</w:t>
            </w:r>
            <w:r>
              <w:rPr>
                <w:rFonts w:ascii="Times New Roman Bold" w:eastAsia="ヒラギノ角ゴ Pro W3" w:hAnsi="Times New Roman Bold"/>
                <w:color w:val="000000"/>
                <w:szCs w:val="24"/>
              </w:rPr>
              <w:t>s</w:t>
            </w:r>
          </w:p>
          <w:p w:rsidR="00A97D28" w:rsidRPr="00A97D28" w:rsidP="00A97D28" w14:paraId="058BBD45" w14:textId="675269BE">
            <w:pPr>
              <w:widowControl w:val="0"/>
              <w:jc w:val="center"/>
              <w:rPr>
                <w:rFonts w:ascii="Times New Roman Bold" w:eastAsia="ヒラギノ角ゴ Pro W3" w:hAnsi="Times New Roman Bold"/>
                <w:color w:val="000000"/>
                <w:szCs w:val="24"/>
              </w:rPr>
            </w:pPr>
            <w:r w:rsidRPr="00A97D28">
              <w:rPr>
                <w:rFonts w:ascii="Times New Roman Bold" w:eastAsia="ヒラギノ角ゴ Pro W3" w:hAnsi="Times New Roman Bold"/>
                <w:color w:val="000000"/>
                <w:szCs w:val="24"/>
              </w:rPr>
              <w:t xml:space="preserve">Auction </w:t>
            </w:r>
            <w:r>
              <w:rPr>
                <w:rFonts w:ascii="Times New Roman Bold" w:eastAsia="ヒラギノ角ゴ Pro W3" w:hAnsi="Times New Roman Bold"/>
                <w:color w:val="000000"/>
                <w:szCs w:val="24"/>
              </w:rPr>
              <w:t>105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97D28" w:rsidRPr="00A97D28" w:rsidP="00A97D28" w14:paraId="5CE8B530" w14:textId="18CEC4C4">
            <w:pPr>
              <w:widowControl w:val="0"/>
              <w:jc w:val="center"/>
              <w:rPr>
                <w:rFonts w:ascii="Times New Roman Bold" w:eastAsia="ヒラギノ角ゴ Pro W3" w:hAnsi="Times New Roman Bold"/>
                <w:color w:val="000000"/>
                <w:szCs w:val="24"/>
              </w:rPr>
            </w:pPr>
            <w:r w:rsidRPr="00A97D28">
              <w:rPr>
                <w:rFonts w:ascii="Times New Roman Bold" w:eastAsia="ヒラギノ角ゴ Pro W3" w:hAnsi="Times New Roman Bold"/>
                <w:color w:val="000000"/>
                <w:szCs w:val="24"/>
              </w:rPr>
              <w:t>Interim Payment Amount (</w:t>
            </w:r>
            <w:r>
              <w:rPr>
                <w:rFonts w:ascii="Times New Roman Bold" w:eastAsia="ヒラギノ角ゴ Pro W3" w:hAnsi="Times New Roman Bold"/>
                <w:color w:val="000000"/>
                <w:szCs w:val="24"/>
              </w:rPr>
              <w:t>20</w:t>
            </w:r>
            <w:r w:rsidRPr="00A97D28">
              <w:rPr>
                <w:rFonts w:ascii="Times New Roman Bold" w:eastAsia="ヒラギノ角ゴ Pro W3" w:hAnsi="Times New Roman Bold"/>
                <w:color w:val="000000"/>
                <w:szCs w:val="24"/>
              </w:rPr>
              <w:t xml:space="preserve">%) </w:t>
            </w:r>
          </w:p>
          <w:p w:rsidR="00A97D28" w:rsidRPr="00A97D28" w:rsidP="00A97D28" w14:paraId="667BEA52" w14:textId="77777777">
            <w:pPr>
              <w:widowControl w:val="0"/>
              <w:jc w:val="center"/>
              <w:rPr>
                <w:rFonts w:eastAsia="ヒラギノ角ゴ Pro W3"/>
                <w:color w:val="000000"/>
                <w:szCs w:val="24"/>
              </w:rPr>
            </w:pPr>
          </w:p>
        </w:tc>
      </w:tr>
      <w:tr w14:paraId="1D7AD9C0" w14:textId="77777777" w:rsidTr="004A5DA4">
        <w:tblPrEx>
          <w:tblW w:w="0" w:type="auto"/>
          <w:jc w:val="center"/>
          <w:tblLayout w:type="fixed"/>
          <w:tblLook w:val="0000"/>
        </w:tblPrEx>
        <w:trPr>
          <w:cantSplit/>
          <w:trHeight w:val="660"/>
          <w:jc w:val="center"/>
        </w:trPr>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14C0F" w:rsidP="00A97D28" w14:paraId="714C09A7" w14:textId="77777777">
            <w:pPr>
              <w:widowControl w:val="0"/>
              <w:jc w:val="center"/>
              <w:rPr>
                <w:rFonts w:eastAsia="ヒラギノ角ゴ Pro W3"/>
                <w:color w:val="000000"/>
                <w:szCs w:val="24"/>
              </w:rPr>
            </w:pPr>
            <w:r>
              <w:rPr>
                <w:rFonts w:eastAsia="ヒラギノ角ゴ Pro W3"/>
                <w:color w:val="000000"/>
                <w:szCs w:val="24"/>
              </w:rPr>
              <w:t>LocaLoop</w:t>
            </w:r>
            <w:r>
              <w:rPr>
                <w:rFonts w:eastAsia="ヒラギノ角ゴ Pro W3"/>
                <w:color w:val="000000"/>
                <w:szCs w:val="24"/>
              </w:rPr>
              <w:t xml:space="preserve">, Inc. </w:t>
            </w:r>
          </w:p>
          <w:p w:rsidR="00A97D28" w:rsidRPr="00A97D28" w:rsidP="00A97D28" w14:paraId="6B3E524B" w14:textId="39078A29">
            <w:pPr>
              <w:widowControl w:val="0"/>
              <w:jc w:val="center"/>
              <w:rPr>
                <w:rFonts w:eastAsia="ヒラギノ角ゴ Pro W3"/>
                <w:color w:val="000000"/>
                <w:szCs w:val="24"/>
              </w:rPr>
            </w:pPr>
            <w:r>
              <w:rPr>
                <w:rFonts w:eastAsia="ヒラギノ角ゴ Pro W3"/>
                <w:color w:val="000000"/>
                <w:szCs w:val="24"/>
              </w:rPr>
              <w:t>(122 licenses)</w:t>
            </w:r>
          </w:p>
          <w:p w:rsidR="00A97D28" w:rsidRPr="00A97D28" w:rsidP="00A97D28" w14:paraId="50E800A1" w14:textId="77777777">
            <w:pPr>
              <w:widowControl w:val="0"/>
              <w:jc w:val="center"/>
              <w:rPr>
                <w:rFonts w:eastAsia="ヒラギノ角ゴ Pro W3"/>
                <w:color w:val="000000"/>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97D28" w:rsidRPr="00A97D28" w:rsidP="00A97D28" w14:paraId="6F6D0437" w14:textId="0E63FA11">
            <w:pPr>
              <w:widowControl w:val="0"/>
              <w:jc w:val="center"/>
              <w:rPr>
                <w:rFonts w:eastAsia="ヒラギノ角ゴ Pro W3"/>
                <w:color w:val="000000"/>
                <w:szCs w:val="24"/>
              </w:rPr>
            </w:pPr>
            <w:r w:rsidRPr="00A97D28">
              <w:rPr>
                <w:rFonts w:eastAsia="ヒラギノ角ゴ Pro W3"/>
                <w:color w:val="000000"/>
                <w:szCs w:val="24"/>
              </w:rPr>
              <w:t>$</w:t>
            </w:r>
            <w:r>
              <w:rPr>
                <w:rFonts w:eastAsia="ヒラギノ角ゴ Pro W3"/>
                <w:color w:val="000000"/>
                <w:szCs w:val="24"/>
              </w:rPr>
              <w:t>5,811,563.00</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97D28" w:rsidRPr="00A97D28" w:rsidP="00A97D28" w14:paraId="4447A91E" w14:textId="10418230">
            <w:pPr>
              <w:widowControl w:val="0"/>
              <w:jc w:val="center"/>
              <w:rPr>
                <w:rFonts w:eastAsia="ヒラギノ角ゴ Pro W3"/>
                <w:color w:val="000000"/>
                <w:szCs w:val="24"/>
              </w:rPr>
            </w:pPr>
            <w:r w:rsidRPr="00A97D28">
              <w:rPr>
                <w:rFonts w:eastAsia="ヒラギノ角ゴ Pro W3"/>
                <w:color w:val="000000"/>
                <w:szCs w:val="24"/>
              </w:rPr>
              <w:t>$</w:t>
            </w:r>
            <w:r>
              <w:rPr>
                <w:rFonts w:eastAsia="ヒラギノ角ゴ Pro W3"/>
                <w:color w:val="000000"/>
                <w:szCs w:val="24"/>
              </w:rPr>
              <w:t>4,358,672.00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97D28" w:rsidRPr="00A97D28" w:rsidP="00A97D28" w14:paraId="0C2FB68C" w14:textId="2AA58424">
            <w:pPr>
              <w:widowControl w:val="0"/>
              <w:jc w:val="center"/>
              <w:rPr>
                <w:rFonts w:eastAsia="ヒラギノ角ゴ Pro W3"/>
                <w:color w:val="000000"/>
                <w:szCs w:val="24"/>
              </w:rPr>
            </w:pPr>
            <w:r w:rsidRPr="00A97D28">
              <w:rPr>
                <w:rFonts w:eastAsia="ヒラギノ角ゴ Pro W3"/>
                <w:color w:val="000000"/>
                <w:szCs w:val="24"/>
              </w:rPr>
              <w:t>$</w:t>
            </w:r>
            <w:r>
              <w:rPr>
                <w:rFonts w:eastAsia="ヒラギノ角ゴ Pro W3"/>
                <w:color w:val="000000"/>
                <w:szCs w:val="24"/>
              </w:rPr>
              <w:t>871,734.40</w:t>
            </w:r>
          </w:p>
        </w:tc>
      </w:tr>
    </w:tbl>
    <w:p w:rsidR="00A97D28" w:rsidRPr="00A97D28" w:rsidP="00A97D28" w14:paraId="0D0059C5" w14:textId="77777777">
      <w:pPr>
        <w:widowControl w:val="0"/>
        <w:jc w:val="center"/>
        <w:rPr>
          <w:rFonts w:eastAsia="ヒラギノ角ゴ Pro W3"/>
          <w:color w:val="000000"/>
          <w:szCs w:val="24"/>
        </w:rPr>
      </w:pPr>
    </w:p>
    <w:p w:rsidR="00A97D28" w:rsidRPr="00A97D28" w:rsidP="00A97D28" w14:paraId="618084D3" w14:textId="77777777">
      <w:pPr>
        <w:widowControl w:val="0"/>
        <w:jc w:val="center"/>
        <w:rPr>
          <w:rFonts w:eastAsia="ヒラギノ角ゴ Pro W3"/>
          <w:color w:val="000000"/>
          <w:szCs w:val="24"/>
        </w:rPr>
      </w:pPr>
    </w:p>
    <w:p w:rsidR="00A97D28" w:rsidRPr="00A97D28" w:rsidP="00A97D28" w14:paraId="1307384C" w14:textId="77777777">
      <w:pPr>
        <w:rPr>
          <w:rFonts w:eastAsia="ヒラギノ角ゴ Pro W3"/>
          <w:color w:val="000000"/>
          <w:szCs w:val="24"/>
        </w:rPr>
      </w:pPr>
      <w:r w:rsidRPr="00A97D28">
        <w:rPr>
          <w:rFonts w:eastAsia="ヒラギノ角ゴ Pro W3"/>
          <w:color w:val="000000"/>
          <w:szCs w:val="24"/>
        </w:rPr>
        <w:t xml:space="preserve"> </w:t>
      </w:r>
    </w:p>
    <w:tbl>
      <w:tblPr>
        <w:tblW w:w="0" w:type="auto"/>
        <w:jc w:val="center"/>
        <w:tblLayout w:type="fixed"/>
        <w:tblLook w:val="0000"/>
      </w:tblPr>
      <w:tblGrid>
        <w:gridCol w:w="3446"/>
        <w:gridCol w:w="1340"/>
      </w:tblGrid>
      <w:tr w14:paraId="7BBA2032" w14:textId="77777777" w:rsidTr="002A3F57">
        <w:tblPrEx>
          <w:tblW w:w="0" w:type="auto"/>
          <w:jc w:val="center"/>
          <w:tblLayout w:type="fixed"/>
          <w:tblLook w:val="0000"/>
        </w:tblPrEx>
        <w:trPr>
          <w:cantSplit/>
          <w:trHeight w:val="23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17077AB4" w14:textId="77777777">
            <w:pPr>
              <w:keepNext/>
              <w:spacing w:before="240" w:after="60"/>
              <w:outlineLvl w:val="1"/>
              <w:rPr>
                <w:rFonts w:eastAsia="ヒラギノ角ゴ Pro W3"/>
                <w:color w:val="000000"/>
              </w:rPr>
            </w:pPr>
            <w:r w:rsidRPr="00A97D28">
              <w:rPr>
                <w:rFonts w:eastAsia="ヒラギノ角ゴ Pro W3"/>
                <w:color w:val="000000"/>
              </w:rPr>
              <w:t>Interim Default Amount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14FAFC9F" w14:textId="5A1CC5F7">
            <w:pPr>
              <w:keepNext/>
              <w:spacing w:before="240" w:after="60"/>
              <w:jc w:val="center"/>
              <w:outlineLvl w:val="1"/>
              <w:rPr>
                <w:rFonts w:eastAsia="ヒラギノ角ゴ Pro W3"/>
                <w:color w:val="000000"/>
              </w:rPr>
            </w:pPr>
            <w:r w:rsidRPr="00A97D28">
              <w:rPr>
                <w:rFonts w:eastAsia="ヒラギノ角ゴ Pro W3"/>
                <w:color w:val="000000"/>
              </w:rPr>
              <w:t>$</w:t>
            </w:r>
            <w:r>
              <w:rPr>
                <w:rFonts w:eastAsia="ヒラギノ角ゴ Pro W3"/>
                <w:color w:val="000000"/>
              </w:rPr>
              <w:t>871,734.40</w:t>
            </w:r>
          </w:p>
        </w:tc>
      </w:tr>
      <w:tr w14:paraId="11B356BE" w14:textId="77777777" w:rsidTr="002A3F57">
        <w:tblPrEx>
          <w:tblW w:w="0" w:type="auto"/>
          <w:jc w:val="center"/>
          <w:tblLayout w:type="fixed"/>
          <w:tblLook w:val="0000"/>
        </w:tblPrEx>
        <w:trPr>
          <w:cantSplit/>
          <w:trHeight w:val="68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2E722676" w14:textId="77777777">
            <w:pPr>
              <w:keepNext/>
              <w:spacing w:before="240" w:after="60"/>
              <w:outlineLvl w:val="1"/>
              <w:rPr>
                <w:rFonts w:eastAsia="ヒラギノ角ゴ Pro W3"/>
                <w:color w:val="000000"/>
              </w:rPr>
            </w:pPr>
            <w:r w:rsidRPr="00A97D28">
              <w:rPr>
                <w:rFonts w:eastAsia="ヒラギノ角ゴ Pro W3"/>
                <w:color w:val="000000"/>
              </w:rPr>
              <w:t>Less Total of Amounts on Deposit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6C3A3FED" w14:textId="6FEF2489">
            <w:pPr>
              <w:keepNext/>
              <w:spacing w:before="240" w:after="60"/>
              <w:jc w:val="center"/>
              <w:outlineLvl w:val="1"/>
              <w:rPr>
                <w:rFonts w:eastAsia="ヒラギノ角ゴ Pro W3"/>
                <w:color w:val="000000"/>
              </w:rPr>
            </w:pPr>
            <w:r w:rsidRPr="00A97D28">
              <w:rPr>
                <w:rFonts w:eastAsia="ヒラギノ角ゴ Pro W3"/>
                <w:color w:val="000000"/>
              </w:rPr>
              <w:t>$</w:t>
            </w:r>
            <w:r>
              <w:rPr>
                <w:rFonts w:eastAsia="ヒラギノ角ゴ Pro W3"/>
                <w:color w:val="000000"/>
              </w:rPr>
              <w:t>871,734.40</w:t>
            </w:r>
          </w:p>
        </w:tc>
      </w:tr>
      <w:tr w14:paraId="012A5272" w14:textId="77777777" w:rsidTr="002A3F57">
        <w:tblPrEx>
          <w:tblW w:w="0" w:type="auto"/>
          <w:jc w:val="center"/>
          <w:tblLayout w:type="fixed"/>
          <w:tblLook w:val="0000"/>
        </w:tblPrEx>
        <w:trPr>
          <w:cantSplit/>
          <w:trHeight w:val="23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583A536B" w14:textId="77777777">
            <w:pPr>
              <w:keepNext/>
              <w:spacing w:before="240" w:after="60"/>
              <w:outlineLvl w:val="1"/>
              <w:rPr>
                <w:rFonts w:ascii="Times New Roman Bold" w:eastAsia="ヒラギノ角ゴ Pro W3" w:hAnsi="Times New Roman Bold"/>
                <w:color w:val="000000"/>
              </w:rPr>
            </w:pPr>
            <w:r w:rsidRPr="00A97D28">
              <w:rPr>
                <w:rFonts w:ascii="Times New Roman Bold" w:eastAsia="ヒラギノ角ゴ Pro W3" w:hAnsi="Times New Roman Bold"/>
                <w:color w:val="000000"/>
              </w:rPr>
              <w:t>Outstanding Balance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D28" w:rsidRPr="00A97D28" w:rsidP="00A97D28" w14:paraId="509F0FB4" w14:textId="77777777">
            <w:pPr>
              <w:keepNext/>
              <w:spacing w:before="240" w:after="60"/>
              <w:jc w:val="center"/>
              <w:outlineLvl w:val="1"/>
              <w:rPr>
                <w:rFonts w:eastAsia="ヒラギノ角ゴ Pro W3"/>
                <w:color w:val="000000"/>
              </w:rPr>
            </w:pPr>
            <w:r w:rsidRPr="00A97D28">
              <w:rPr>
                <w:rFonts w:eastAsia="ヒラギノ角ゴ Pro W3"/>
                <w:color w:val="000000"/>
              </w:rPr>
              <w:t>$0.00</w:t>
            </w:r>
          </w:p>
        </w:tc>
      </w:tr>
    </w:tbl>
    <w:p w:rsidR="00A97D28" w:rsidP="00173EC0" w14:paraId="75061609" w14:textId="4FA9A206">
      <w:pPr>
        <w:widowControl w:val="0"/>
        <w:rPr>
          <w:sz w:val="22"/>
        </w:rPr>
      </w:pPr>
    </w:p>
    <w:sectPr>
      <w:head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Bold Italic">
    <w:altName w:val="Arial"/>
    <w:panose1 w:val="020B070402020209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2020503050405090304"/>
    <w:charset w:val="00"/>
    <w:family w:val="roman"/>
    <w:notTrueType/>
    <w:pitch w:val="default"/>
  </w:font>
  <w:font w:name="Arial Italic">
    <w:altName w:val="Arial"/>
    <w:panose1 w:val="020B0604020202090204"/>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406" w14:paraId="6D9BDAAD" w14:textId="77777777">
      <w:r>
        <w:separator/>
      </w:r>
    </w:p>
  </w:footnote>
  <w:footnote w:type="continuationSeparator" w:id="1">
    <w:p w:rsidR="00834406" w14:paraId="02E23C5F" w14:textId="77777777">
      <w:r>
        <w:continuationSeparator/>
      </w:r>
    </w:p>
  </w:footnote>
  <w:footnote w:type="continuationNotice" w:id="2">
    <w:p w:rsidR="00834406" w14:paraId="7F5A61FD" w14:textId="77777777"/>
  </w:footnote>
  <w:footnote w:id="3">
    <w:p w:rsidR="00190B00" w:rsidP="00266D2A" w14:paraId="01B772DF" w14:textId="31BCFBA4">
      <w:pPr>
        <w:pStyle w:val="FootnoteText1"/>
        <w:spacing w:after="120"/>
        <w:rPr>
          <w:rFonts w:eastAsia="Times New Roman"/>
          <w:color w:val="auto"/>
          <w:lang w:bidi="x-none"/>
        </w:rPr>
      </w:pPr>
      <w:r>
        <w:rPr>
          <w:rStyle w:val="FootnoteReference1"/>
        </w:rPr>
        <w:footnoteRef/>
      </w:r>
      <w:r>
        <w:t xml:space="preserve"> </w:t>
      </w:r>
      <w:r>
        <w:rPr>
          <w:rFonts w:ascii="Times New Roman Italic" w:hAnsi="Times New Roman Italic"/>
        </w:rPr>
        <w:t xml:space="preserve">See </w:t>
      </w:r>
      <w:r w:rsidRPr="00C820E3">
        <w:rPr>
          <w:i/>
          <w:iCs/>
        </w:rPr>
        <w:t>Auction of Priority Access Licenses in the 3550-3650 MHz Band Closes; Winning Bidders Announced for Auction 105</w:t>
      </w:r>
      <w:r>
        <w:t>,</w:t>
      </w:r>
      <w:r w:rsidR="00C820E3">
        <w:t xml:space="preserve"> Public Notice,</w:t>
      </w:r>
      <w:r>
        <w:t xml:space="preserve"> </w:t>
      </w:r>
      <w:r w:rsidRPr="00913664">
        <w:t xml:space="preserve">35 FCC </w:t>
      </w:r>
      <w:r w:rsidRPr="00913664">
        <w:t>Rcd</w:t>
      </w:r>
      <w:r w:rsidRPr="00913664">
        <w:t xml:space="preserve"> 9287</w:t>
      </w:r>
      <w:r>
        <w:t xml:space="preserve"> (OEA/WTB 2020)</w:t>
      </w:r>
      <w:r>
        <w:rPr>
          <w:rFonts w:ascii="Arial Italic" w:hAnsi="Arial Italic"/>
          <w:sz w:val="21"/>
        </w:rPr>
        <w:t xml:space="preserve"> </w:t>
      </w:r>
      <w:r>
        <w:t>(“</w:t>
      </w:r>
      <w:r>
        <w:rPr>
          <w:rFonts w:ascii="Times New Roman Italic" w:hAnsi="Times New Roman Italic"/>
        </w:rPr>
        <w:t>Auction 105 Closing Public Notice</w:t>
      </w:r>
      <w:r>
        <w:t>”).</w:t>
      </w:r>
    </w:p>
  </w:footnote>
  <w:footnote w:id="4">
    <w:p w:rsidR="00190B00" w:rsidP="00266D2A" w14:paraId="75BE82A4" w14:textId="60F54555">
      <w:pPr>
        <w:pStyle w:val="FootnoteText1"/>
        <w:spacing w:after="120"/>
        <w:rPr>
          <w:rFonts w:eastAsia="Times New Roman"/>
          <w:color w:val="auto"/>
          <w:lang w:bidi="x-none"/>
        </w:rPr>
      </w:pPr>
      <w:r>
        <w:rPr>
          <w:rStyle w:val="FootnoteReference1"/>
        </w:rPr>
        <w:footnoteRef/>
      </w:r>
      <w:r>
        <w:t xml:space="preserve"> 47 C.F.R. § 1.2104(g)(2); </w:t>
      </w:r>
      <w:r>
        <w:rPr>
          <w:i/>
        </w:rPr>
        <w:t>see also</w:t>
      </w:r>
      <w:r>
        <w:t xml:space="preserve"> </w:t>
      </w:r>
      <w:r>
        <w:rPr>
          <w:i/>
        </w:rPr>
        <w:t>Auction 105 Closing Public Notice</w:t>
      </w:r>
      <w:r>
        <w:t xml:space="preserve">, </w:t>
      </w:r>
      <w:r w:rsidRPr="00EB6495">
        <w:t xml:space="preserve">35 FCC </w:t>
      </w:r>
      <w:r w:rsidRPr="00EB6495">
        <w:t>Rcd</w:t>
      </w:r>
      <w:r w:rsidRPr="00EB6495">
        <w:t xml:space="preserve"> at 9</w:t>
      </w:r>
      <w:r>
        <w:t>290</w:t>
      </w:r>
      <w:r w:rsidR="002F2E19">
        <w:t xml:space="preserve">, paras. </w:t>
      </w:r>
      <w:r>
        <w:t>13-14.</w:t>
      </w:r>
    </w:p>
  </w:footnote>
  <w:footnote w:id="5">
    <w:p w:rsidR="00190B00" w:rsidP="00266D2A" w14:paraId="28A6BF2C" w14:textId="77777777">
      <w:pPr>
        <w:pStyle w:val="FootnoteText1"/>
        <w:spacing w:after="120"/>
      </w:pPr>
      <w:r>
        <w:rPr>
          <w:rStyle w:val="FootnoteReference"/>
        </w:rPr>
        <w:footnoteRef/>
      </w:r>
      <w:r>
        <w:t xml:space="preserve"> </w:t>
      </w:r>
      <w:r>
        <w:rPr>
          <w:rFonts w:ascii="Times New Roman Italic" w:hAnsi="Times New Roman Italic"/>
        </w:rPr>
        <w:t xml:space="preserve">Auction 105 Closing Public Notice, </w:t>
      </w:r>
      <w:r w:rsidRPr="00EB6495">
        <w:t xml:space="preserve">35 FCC </w:t>
      </w:r>
      <w:r w:rsidRPr="00EB6495">
        <w:t>Rcd</w:t>
      </w:r>
      <w:r w:rsidRPr="00EB6495">
        <w:t xml:space="preserve"> </w:t>
      </w:r>
      <w:r>
        <w:t>9287</w:t>
      </w:r>
      <w:r>
        <w:rPr>
          <w:rFonts w:ascii="Times New Roman Italic" w:hAnsi="Times New Roman Italic"/>
        </w:rPr>
        <w:t>.</w:t>
      </w:r>
    </w:p>
  </w:footnote>
  <w:footnote w:id="6">
    <w:p w:rsidR="00190B00" w:rsidP="00266D2A" w14:paraId="2000D3A0" w14:textId="31319164">
      <w:pPr>
        <w:pStyle w:val="FootnoteText1"/>
        <w:spacing w:after="120"/>
        <w:rPr>
          <w:rFonts w:eastAsia="Times New Roman"/>
          <w:color w:val="auto"/>
          <w:lang w:bidi="x-none"/>
        </w:rPr>
      </w:pPr>
      <w:r>
        <w:rPr>
          <w:rStyle w:val="FootnoteReference1"/>
        </w:rPr>
        <w:footnoteRef/>
      </w:r>
      <w:r>
        <w:t xml:space="preserve"> </w:t>
      </w:r>
      <w:r w:rsidRPr="00EB6495">
        <w:rPr>
          <w:rFonts w:ascii="Times New Roman Italic" w:hAnsi="Times New Roman Italic"/>
        </w:rPr>
        <w:t>Id.</w:t>
      </w:r>
      <w:r w:rsidRPr="00EB6495">
        <w:t xml:space="preserve"> at 9289</w:t>
      </w:r>
      <w:r w:rsidR="002F2E19">
        <w:t xml:space="preserve">, 9294, paras. </w:t>
      </w:r>
      <w:r w:rsidRPr="00EB6495">
        <w:t>10</w:t>
      </w:r>
      <w:r w:rsidR="002F2E19">
        <w:t>,</w:t>
      </w:r>
      <w:r w:rsidRPr="00EB6495">
        <w:t xml:space="preserve"> 31</w:t>
      </w:r>
      <w:r>
        <w:t xml:space="preserve">; </w:t>
      </w:r>
      <w:r>
        <w:rPr>
          <w:rFonts w:ascii="Times New Roman Italic" w:hAnsi="Times New Roman Italic"/>
          <w:i/>
        </w:rPr>
        <w:t>see also</w:t>
      </w:r>
      <w:r>
        <w:t xml:space="preserve"> 47 C.F.R. § 1.2107(b), (c).</w:t>
      </w:r>
    </w:p>
  </w:footnote>
  <w:footnote w:id="7">
    <w:p w:rsidR="00190B00" w:rsidP="002000F1" w14:paraId="55DA7929" w14:textId="196FFA5D">
      <w:pPr>
        <w:pStyle w:val="FootnoteText1"/>
        <w:spacing w:after="120"/>
      </w:pPr>
      <w:r>
        <w:rPr>
          <w:rStyle w:val="FootnoteReference"/>
        </w:rPr>
        <w:footnoteRef/>
      </w:r>
      <w:r>
        <w:t xml:space="preserve"> </w:t>
      </w:r>
      <w:r>
        <w:rPr>
          <w:i/>
        </w:rPr>
        <w:t>Id.</w:t>
      </w:r>
      <w:r w:rsidRPr="003348E8">
        <w:t xml:space="preserve"> at 9</w:t>
      </w:r>
      <w:r w:rsidRPr="00EB6495">
        <w:t>28</w:t>
      </w:r>
      <w:r>
        <w:t>9</w:t>
      </w:r>
      <w:r w:rsidRPr="00EB6495">
        <w:t>-</w:t>
      </w:r>
      <w:r>
        <w:t>90</w:t>
      </w:r>
      <w:r w:rsidR="002F2E19">
        <w:t xml:space="preserve">, paras. </w:t>
      </w:r>
      <w:r>
        <w:t xml:space="preserve">10-11.  </w:t>
      </w:r>
    </w:p>
  </w:footnote>
  <w:footnote w:id="8">
    <w:p w:rsidR="00190B00" w:rsidP="00266D2A" w14:paraId="5AC37664" w14:textId="54059DE8">
      <w:pPr>
        <w:pStyle w:val="FootnoteText100"/>
        <w:spacing w:after="120"/>
        <w:rPr>
          <w:rFonts w:ascii="Times New Roman" w:eastAsia="Times New Roman" w:hAnsi="Times New Roman"/>
          <w:color w:val="auto"/>
          <w:lang w:bidi="x-none"/>
        </w:rPr>
      </w:pPr>
      <w:r w:rsidRPr="008F06E5">
        <w:rPr>
          <w:rFonts w:ascii="Times New Roman" w:hAnsi="Times New Roman"/>
          <w:vertAlign w:val="superscript"/>
        </w:rPr>
        <w:footnoteRef/>
      </w:r>
      <w:r>
        <w:t xml:space="preserve"> </w:t>
      </w:r>
      <w:r>
        <w:rPr>
          <w:rFonts w:ascii="Times New Roman Italic" w:hAnsi="Times New Roman Italic"/>
        </w:rPr>
        <w:t>Id.</w:t>
      </w:r>
      <w:r w:rsidRPr="00EB6495">
        <w:rPr>
          <w:rFonts w:ascii="Times New Roman" w:hAnsi="Times New Roman"/>
        </w:rPr>
        <w:t xml:space="preserve"> at 9</w:t>
      </w:r>
      <w:r>
        <w:rPr>
          <w:rFonts w:ascii="Times New Roman" w:hAnsi="Times New Roman"/>
        </w:rPr>
        <w:t>290</w:t>
      </w:r>
      <w:r w:rsidR="002F2E19">
        <w:rPr>
          <w:rFonts w:ascii="Times New Roman" w:hAnsi="Times New Roman"/>
        </w:rPr>
        <w:t xml:space="preserve">, paras. </w:t>
      </w:r>
      <w:r>
        <w:rPr>
          <w:rFonts w:ascii="Times New Roman" w:hAnsi="Times New Roman"/>
        </w:rPr>
        <w:t>13-14</w:t>
      </w:r>
      <w:r w:rsidRPr="00EB6495">
        <w:rPr>
          <w:rFonts w:ascii="Times New Roman" w:hAnsi="Times New Roman"/>
        </w:rPr>
        <w:t xml:space="preserve">; </w:t>
      </w:r>
      <w:r w:rsidRPr="00EB6495">
        <w:rPr>
          <w:rFonts w:ascii="Times New Roman Italic" w:hAnsi="Times New Roman Italic"/>
          <w:i/>
        </w:rPr>
        <w:t>see</w:t>
      </w:r>
      <w:r>
        <w:rPr>
          <w:rFonts w:ascii="Times New Roman Italic" w:hAnsi="Times New Roman Italic"/>
          <w:i/>
        </w:rPr>
        <w:t xml:space="preserve"> also</w:t>
      </w:r>
      <w:r>
        <w:rPr>
          <w:rFonts w:ascii="Times New Roman" w:hAnsi="Times New Roman"/>
        </w:rPr>
        <w:t xml:space="preserve"> 47 C.F.R. § 1.2109(a).</w:t>
      </w:r>
      <w:r>
        <w:rPr>
          <w:rFonts w:ascii="Times New Roman Italic" w:hAnsi="Times New Roman Italic"/>
        </w:rPr>
        <w:t xml:space="preserve">  </w:t>
      </w:r>
    </w:p>
  </w:footnote>
  <w:footnote w:id="9">
    <w:p w:rsidR="00190B00" w:rsidP="008B5CA5" w14:paraId="359A387A" w14:textId="3D9158DB">
      <w:pPr>
        <w:pStyle w:val="FootnoteText1"/>
        <w:spacing w:after="120"/>
        <w:rPr>
          <w:rFonts w:eastAsia="Times New Roman"/>
          <w:color w:val="auto"/>
          <w:lang w:bidi="x-none"/>
        </w:rPr>
      </w:pPr>
      <w:r>
        <w:rPr>
          <w:rStyle w:val="FootnoteReference1"/>
        </w:rPr>
        <w:footnoteRef/>
      </w:r>
      <w:r>
        <w:t xml:space="preserve"> </w:t>
      </w:r>
      <w:r>
        <w:rPr>
          <w:rFonts w:ascii="Times New Roman Italic" w:hAnsi="Times New Roman Italic"/>
        </w:rPr>
        <w:t>Id</w:t>
      </w:r>
      <w:r>
        <w:t>. at 9330.</w:t>
      </w:r>
    </w:p>
  </w:footnote>
  <w:footnote w:id="10">
    <w:p w:rsidR="00190B00" w:rsidP="008B5CA5" w14:paraId="78757E0D" w14:textId="0FD80B33">
      <w:pPr>
        <w:pStyle w:val="FootnoteText1"/>
        <w:spacing w:after="120"/>
        <w:rPr>
          <w:rFonts w:eastAsia="Times New Roman"/>
          <w:color w:val="auto"/>
          <w:lang w:bidi="x-none"/>
        </w:rPr>
      </w:pPr>
      <w:r>
        <w:rPr>
          <w:rStyle w:val="FootnoteReference1"/>
        </w:rPr>
        <w:footnoteRef/>
      </w:r>
      <w:r>
        <w:t xml:space="preserve"> </w:t>
      </w:r>
      <w:r>
        <w:rPr>
          <w:rFonts w:ascii="Times New Roman Italic" w:hAnsi="Times New Roman Italic"/>
        </w:rPr>
        <w:t>Id</w:t>
      </w:r>
      <w:r>
        <w:t>.</w:t>
      </w:r>
    </w:p>
  </w:footnote>
  <w:footnote w:id="11">
    <w:p w:rsidR="00190B00" w:rsidP="00280F04" w14:paraId="47C22929" w14:textId="676E6C99">
      <w:pPr>
        <w:pStyle w:val="FootnoteText"/>
        <w:spacing w:after="120"/>
      </w:pPr>
      <w:r>
        <w:rPr>
          <w:rStyle w:val="FootnoteReference"/>
        </w:rPr>
        <w:footnoteRef/>
      </w:r>
      <w:r>
        <w:t xml:space="preserve"> On October 1, 2020, </w:t>
      </w:r>
      <w:r>
        <w:t>LocaLoop</w:t>
      </w:r>
      <w:r>
        <w:t xml:space="preserve"> notified the Commission that it was unable to make its final payment for its Auction 105 winning bids.  </w:t>
      </w:r>
      <w:r w:rsidRPr="00E33D03">
        <w:t xml:space="preserve">Letter from </w:t>
      </w:r>
      <w:r>
        <w:t xml:space="preserve">Carl J. </w:t>
      </w:r>
      <w:r>
        <w:t>Torarp</w:t>
      </w:r>
      <w:r>
        <w:t xml:space="preserve">, </w:t>
      </w:r>
      <w:r w:rsidRPr="00E33D03">
        <w:t>C</w:t>
      </w:r>
      <w:r>
        <w:t xml:space="preserve">EO, </w:t>
      </w:r>
      <w:r>
        <w:t>LocaLoop</w:t>
      </w:r>
      <w:r>
        <w:t>, Inc., to Scott Radcliffe,</w:t>
      </w:r>
      <w:r w:rsidRPr="00E33D03">
        <w:t xml:space="preserve"> </w:t>
      </w:r>
      <w:r>
        <w:t>Office of</w:t>
      </w:r>
      <w:r w:rsidR="00C820E3">
        <w:t xml:space="preserve"> the</w:t>
      </w:r>
      <w:r>
        <w:t xml:space="preserve"> Managing Director</w:t>
      </w:r>
      <w:r w:rsidRPr="00E33D03">
        <w:t>, FCC (</w:t>
      </w:r>
      <w:r>
        <w:t>Oct. 1, 2020</w:t>
      </w:r>
      <w:r w:rsidRPr="00E33D03">
        <w:t>)</w:t>
      </w:r>
      <w:r w:rsidRPr="00D01657">
        <w:rPr>
          <w:rFonts w:ascii="TimesNewRomanPSMT" w:hAnsi="TimesNewRomanPSMT" w:cs="TimesNewRomanPSMT"/>
          <w:color w:val="231F20"/>
        </w:rPr>
        <w:t>.</w:t>
      </w:r>
    </w:p>
  </w:footnote>
  <w:footnote w:id="12">
    <w:p w:rsidR="00190B00" w:rsidP="008B5CA5" w14:paraId="4E71C1D7" w14:textId="77777777">
      <w:pPr>
        <w:pStyle w:val="FootnoteText1"/>
        <w:spacing w:after="120"/>
        <w:rPr>
          <w:rFonts w:eastAsia="Times New Roman"/>
          <w:color w:val="auto"/>
          <w:lang w:bidi="x-none"/>
        </w:rPr>
      </w:pPr>
      <w:r>
        <w:rPr>
          <w:rStyle w:val="FootnoteReference1"/>
        </w:rPr>
        <w:footnoteRef/>
      </w:r>
      <w:r>
        <w:t xml:space="preserve"> 47 C.F.R. § 1.2104(g)(2).</w:t>
      </w:r>
    </w:p>
  </w:footnote>
  <w:footnote w:id="13">
    <w:p w:rsidR="00190B00" w:rsidP="008B5CA5" w14:paraId="7D263E87" w14:textId="15528E10">
      <w:pPr>
        <w:pStyle w:val="FootnoteText"/>
        <w:spacing w:after="120"/>
      </w:pPr>
      <w:r>
        <w:rPr>
          <w:rStyle w:val="FootnoteReference"/>
        </w:rPr>
        <w:footnoteRef/>
      </w:r>
      <w:r>
        <w:t xml:space="preserve"> </w:t>
      </w:r>
      <w:r>
        <w:rPr>
          <w:i/>
          <w:iCs/>
        </w:rPr>
        <w:t>Id</w:t>
      </w:r>
      <w:r>
        <w:t>.</w:t>
      </w:r>
    </w:p>
  </w:footnote>
  <w:footnote w:id="14">
    <w:p w:rsidR="00190B00" w:rsidP="008B5CA5" w14:paraId="3F39B0B0" w14:textId="77777777">
      <w:pPr>
        <w:pStyle w:val="FootnoteText1"/>
        <w:spacing w:after="120"/>
        <w:rPr>
          <w:rFonts w:eastAsia="Times New Roman"/>
          <w:color w:val="auto"/>
          <w:lang w:bidi="x-none"/>
        </w:rPr>
      </w:pPr>
      <w:r>
        <w:rPr>
          <w:rStyle w:val="FootnoteReference1"/>
        </w:rPr>
        <w:footnoteRef/>
      </w:r>
      <w:r>
        <w:t xml:space="preserve"> 47 C.F.R. §§ 1.2104(g)(2), 1.2109(b).</w:t>
      </w:r>
    </w:p>
  </w:footnote>
  <w:footnote w:id="15">
    <w:p w:rsidR="00D92F76" w:rsidP="00D92F76" w14:paraId="7A8D76EB" w14:textId="77777777">
      <w:pPr>
        <w:pStyle w:val="FootnoteText1"/>
        <w:spacing w:after="120"/>
        <w:rPr>
          <w:rFonts w:eastAsia="Times New Roman"/>
          <w:color w:val="auto"/>
          <w:lang w:bidi="x-none"/>
        </w:rPr>
      </w:pPr>
      <w:r>
        <w:rPr>
          <w:rStyle w:val="FootnoteReference1"/>
        </w:rPr>
        <w:footnoteRef/>
      </w:r>
      <w:r>
        <w:t xml:space="preserve"> 47 C.F.R § 1.2104(g)(2)(</w:t>
      </w:r>
      <w:r>
        <w:t>i</w:t>
      </w:r>
      <w:r>
        <w:t>).</w:t>
      </w:r>
    </w:p>
  </w:footnote>
  <w:footnote w:id="16">
    <w:p w:rsidR="00190B00" w:rsidP="008B5CA5" w14:paraId="233C1C4B" w14:textId="68A94E90">
      <w:pPr>
        <w:pStyle w:val="FootnoteText1"/>
        <w:spacing w:after="120"/>
        <w:rPr>
          <w:rFonts w:eastAsia="Times New Roman"/>
          <w:color w:val="auto"/>
          <w:lang w:bidi="x-none"/>
        </w:rPr>
      </w:pPr>
      <w:r>
        <w:rPr>
          <w:rStyle w:val="FootnoteReference1"/>
        </w:rPr>
        <w:footnoteRef/>
      </w:r>
      <w:r>
        <w:t xml:space="preserve"> </w:t>
      </w:r>
      <w:r w:rsidR="00DC580C">
        <w:rPr>
          <w:i/>
          <w:iCs/>
        </w:rPr>
        <w:t>Id.</w:t>
      </w:r>
    </w:p>
  </w:footnote>
  <w:footnote w:id="17">
    <w:p w:rsidR="00190B00" w:rsidP="008B5CA5" w14:paraId="5416203E" w14:textId="7EEB00A0">
      <w:pPr>
        <w:pStyle w:val="Heading5A"/>
        <w:spacing w:after="120"/>
        <w:rPr>
          <w:rFonts w:ascii="Times New Roman" w:eastAsia="Times New Roman" w:hAnsi="Times New Roman"/>
          <w:color w:val="auto"/>
          <w:sz w:val="20"/>
          <w:lang w:bidi="x-none"/>
        </w:rPr>
      </w:pPr>
      <w:r>
        <w:rPr>
          <w:rStyle w:val="FootnoteReference1"/>
          <w:rFonts w:ascii="Times New Roman" w:hAnsi="Times New Roman"/>
        </w:rPr>
        <w:footnoteRef/>
      </w:r>
      <w:r>
        <w:t xml:space="preserve"> </w:t>
      </w:r>
      <w:r>
        <w:rPr>
          <w:rFonts w:ascii="Times New Roman" w:hAnsi="Times New Roman"/>
          <w:sz w:val="20"/>
        </w:rPr>
        <w:t xml:space="preserve">47 C.F.R § 1.2104(g)(2)(ii); </w:t>
      </w:r>
      <w:r w:rsidRPr="00807E70">
        <w:rPr>
          <w:rFonts w:ascii="Times New Roman Italic" w:hAnsi="Times New Roman Italic"/>
          <w:i/>
          <w:sz w:val="20"/>
        </w:rPr>
        <w:t>see</w:t>
      </w:r>
      <w:r w:rsidRPr="00807E70">
        <w:rPr>
          <w:rFonts w:ascii="Times New Roman" w:hAnsi="Times New Roman"/>
          <w:sz w:val="20"/>
        </w:rPr>
        <w:t xml:space="preserve"> </w:t>
      </w:r>
      <w:r w:rsidRPr="008A4D1E">
        <w:rPr>
          <w:rFonts w:ascii="Times New Roman" w:hAnsi="Times New Roman"/>
          <w:i/>
          <w:iCs/>
          <w:sz w:val="20"/>
        </w:rPr>
        <w:t>Auction of Priority Access Licenses for the 3550-3650 MHz Band; Notice and Filing Requirements, Minimum Opening Bids, Upfront Payments, and Other Procedures for Auction 105</w:t>
      </w:r>
      <w:r w:rsidRPr="00807E70">
        <w:rPr>
          <w:rFonts w:ascii="Times New Roman" w:hAnsi="Times New Roman"/>
          <w:sz w:val="20"/>
        </w:rPr>
        <w:t>,</w:t>
      </w:r>
      <w:r w:rsidR="008A4D1E">
        <w:rPr>
          <w:rFonts w:ascii="Times New Roman" w:hAnsi="Times New Roman"/>
          <w:sz w:val="20"/>
        </w:rPr>
        <w:t xml:space="preserve"> </w:t>
      </w:r>
      <w:r w:rsidR="002F2E19">
        <w:rPr>
          <w:rFonts w:ascii="Times New Roman" w:hAnsi="Times New Roman"/>
          <w:sz w:val="20"/>
        </w:rPr>
        <w:t xml:space="preserve">AU Docket No. 19-244, </w:t>
      </w:r>
      <w:r w:rsidR="008A4D1E">
        <w:rPr>
          <w:rFonts w:ascii="Times New Roman" w:hAnsi="Times New Roman"/>
          <w:sz w:val="20"/>
        </w:rPr>
        <w:t>Public Notice</w:t>
      </w:r>
      <w:r w:rsidRPr="00807E70">
        <w:rPr>
          <w:rFonts w:ascii="Times New Roman" w:hAnsi="Times New Roman"/>
          <w:sz w:val="20"/>
        </w:rPr>
        <w:t xml:space="preserve">, 35 FCC </w:t>
      </w:r>
      <w:r w:rsidRPr="00807E70">
        <w:rPr>
          <w:rFonts w:ascii="Times New Roman" w:hAnsi="Times New Roman"/>
          <w:sz w:val="20"/>
        </w:rPr>
        <w:t>Rcd</w:t>
      </w:r>
      <w:r w:rsidRPr="00807E70">
        <w:rPr>
          <w:rFonts w:ascii="Times New Roman" w:hAnsi="Times New Roman"/>
          <w:sz w:val="20"/>
        </w:rPr>
        <w:t xml:space="preserve"> 2140 (2020) (“</w:t>
      </w:r>
      <w:r w:rsidRPr="00807E70">
        <w:rPr>
          <w:rFonts w:ascii="Times New Roman" w:hAnsi="Times New Roman"/>
          <w:i/>
          <w:sz w:val="20"/>
        </w:rPr>
        <w:t>Auction 105 Procedures Public Notice</w:t>
      </w:r>
      <w:r w:rsidRPr="00807E70">
        <w:rPr>
          <w:rFonts w:ascii="Times New Roman" w:hAnsi="Times New Roman"/>
          <w:sz w:val="20"/>
        </w:rPr>
        <w:t>”).</w:t>
      </w:r>
    </w:p>
  </w:footnote>
  <w:footnote w:id="18">
    <w:p w:rsidR="00190B00" w:rsidP="008B5CA5" w14:paraId="6FDFD0CC" w14:textId="6628E71A">
      <w:pPr>
        <w:pStyle w:val="FootnoteText1"/>
        <w:spacing w:after="120"/>
        <w:rPr>
          <w:rFonts w:eastAsia="Times New Roman"/>
          <w:color w:val="auto"/>
          <w:lang w:bidi="x-none"/>
        </w:rPr>
      </w:pPr>
      <w:r>
        <w:rPr>
          <w:rStyle w:val="FootnoteReference1"/>
        </w:rPr>
        <w:footnoteRef/>
      </w:r>
      <w:r>
        <w:t xml:space="preserve"> 47 C.F.R § 1.2104(g)(2); </w:t>
      </w:r>
      <w:r>
        <w:rPr>
          <w:rFonts w:ascii="Times New Roman Italic" w:hAnsi="Times New Roman Italic"/>
          <w:i/>
        </w:rPr>
        <w:t xml:space="preserve">see </w:t>
      </w:r>
      <w:r w:rsidRPr="00807E70">
        <w:rPr>
          <w:rFonts w:ascii="Times New Roman Italic" w:hAnsi="Times New Roman Italic"/>
          <w:i/>
        </w:rPr>
        <w:t xml:space="preserve">Auction </w:t>
      </w:r>
      <w:r w:rsidRPr="00913664">
        <w:rPr>
          <w:rFonts w:ascii="Times New Roman Italic" w:hAnsi="Times New Roman Italic"/>
          <w:i/>
        </w:rPr>
        <w:t xml:space="preserve">105 </w:t>
      </w:r>
      <w:r w:rsidRPr="00807E70">
        <w:rPr>
          <w:rFonts w:ascii="Times New Roman Italic" w:hAnsi="Times New Roman Italic"/>
          <w:i/>
        </w:rPr>
        <w:t>Procedures Public Notice</w:t>
      </w:r>
      <w:r w:rsidR="00565391">
        <w:t>,</w:t>
      </w:r>
      <w:r w:rsidRPr="00807E70">
        <w:t xml:space="preserve"> </w:t>
      </w:r>
      <w:r w:rsidR="00565391">
        <w:t xml:space="preserve">35 </w:t>
      </w:r>
      <w:r w:rsidRPr="00807E70">
        <w:t xml:space="preserve">FCC </w:t>
      </w:r>
      <w:r w:rsidRPr="00B7123E">
        <w:t>Rcd</w:t>
      </w:r>
      <w:r w:rsidRPr="00B7123E">
        <w:t xml:space="preserve"> at 2204</w:t>
      </w:r>
      <w:r w:rsidR="002F2E19">
        <w:t xml:space="preserve">, paras. </w:t>
      </w:r>
      <w:r w:rsidRPr="00B7123E">
        <w:t>227</w:t>
      </w:r>
      <w:r>
        <w:t xml:space="preserve">-28.  </w:t>
      </w:r>
    </w:p>
  </w:footnote>
  <w:footnote w:id="19">
    <w:p w:rsidR="00190B00" w:rsidP="008B5CA5" w14:paraId="785A1FFC" w14:textId="0148125E">
      <w:pPr>
        <w:pStyle w:val="FootnoteText"/>
        <w:spacing w:after="120"/>
      </w:pPr>
      <w:r>
        <w:rPr>
          <w:rStyle w:val="FootnoteReference1"/>
        </w:rPr>
        <w:footnoteRef/>
      </w:r>
      <w:r>
        <w:t xml:space="preserve"> </w:t>
      </w:r>
      <w:r>
        <w:rPr>
          <w:rFonts w:ascii="Times New Roman Italic" w:hAnsi="Times New Roman Italic"/>
        </w:rPr>
        <w:t xml:space="preserve">See </w:t>
      </w:r>
      <w:r w:rsidRPr="008A4D1E">
        <w:rPr>
          <w:i/>
          <w:iCs/>
        </w:rPr>
        <w:t>Amendment of Part 1 of the Commission’s Rules — Competitive Bidding Procedures</w:t>
      </w:r>
      <w:r>
        <w:t>, WT Docket No. 97-82,</w:t>
      </w:r>
      <w:r w:rsidR="008A4D1E">
        <w:t xml:space="preserve"> Third Report and Order and Second Further Notice of Proposed Rule Making</w:t>
      </w:r>
      <w:r>
        <w:rPr>
          <w:shd w:val="clear" w:color="auto" w:fill="FFFFFF"/>
        </w:rPr>
        <w:t xml:space="preserve">, </w:t>
      </w:r>
      <w:r>
        <w:rPr>
          <w:rStyle w:val="documentbody1"/>
          <w:rFonts w:ascii="Times New Roman" w:hAnsi="Times New Roman"/>
        </w:rPr>
        <w:t xml:space="preserve">13 FCC </w:t>
      </w:r>
      <w:r>
        <w:rPr>
          <w:rStyle w:val="documentbody1"/>
          <w:rFonts w:ascii="Times New Roman" w:hAnsi="Times New Roman"/>
        </w:rPr>
        <w:t>Rcd</w:t>
      </w:r>
      <w:r>
        <w:rPr>
          <w:rStyle w:val="documentbody1"/>
          <w:rFonts w:ascii="Times New Roman" w:hAnsi="Times New Roman"/>
        </w:rPr>
        <w:t xml:space="preserve"> 374, 434</w:t>
      </w:r>
      <w:r w:rsidR="002F2E19">
        <w:rPr>
          <w:rStyle w:val="documentbody1"/>
          <w:rFonts w:ascii="Times New Roman" w:hAnsi="Times New Roman"/>
        </w:rPr>
        <w:t xml:space="preserve">, para. </w:t>
      </w:r>
      <w:r>
        <w:t xml:space="preserve">102 (1997); </w:t>
      </w:r>
      <w:r w:rsidRPr="008A4D1E">
        <w:rPr>
          <w:i/>
          <w:iCs/>
        </w:rPr>
        <w:t xml:space="preserve">Implementation of Section 309(j) of the Communications Act </w:t>
      </w:r>
      <w:r w:rsidRPr="008A4D1E" w:rsidR="001727D9">
        <w:rPr>
          <w:i/>
          <w:iCs/>
        </w:rPr>
        <w:t xml:space="preserve">— </w:t>
      </w:r>
      <w:r w:rsidRPr="008A4D1E">
        <w:rPr>
          <w:i/>
          <w:iCs/>
        </w:rPr>
        <w:t>Competitive Bidding</w:t>
      </w:r>
      <w:r>
        <w:t>, PP Docket No. 93-253,</w:t>
      </w:r>
      <w:r w:rsidR="008A4D1E">
        <w:t xml:space="preserve"> Fifth Report and Order</w:t>
      </w:r>
      <w:r>
        <w:t xml:space="preserve">, 9 FCC </w:t>
      </w:r>
      <w:r>
        <w:t>Rcd</w:t>
      </w:r>
      <w:r>
        <w:t xml:space="preserve"> 5532, 5563 n.51 (1994); </w:t>
      </w:r>
      <w:r>
        <w:rPr>
          <w:rFonts w:ascii="Times New Roman Italic" w:hAnsi="Times New Roman Italic"/>
        </w:rPr>
        <w:t xml:space="preserve">see also </w:t>
      </w:r>
      <w:r w:rsidRPr="008A4D1E">
        <w:rPr>
          <w:i/>
          <w:iCs/>
        </w:rPr>
        <w:t xml:space="preserve">Implementation of Section 309(j) of the Communications Act </w:t>
      </w:r>
      <w:r w:rsidRPr="008A4D1E" w:rsidR="001727D9">
        <w:rPr>
          <w:i/>
          <w:iCs/>
        </w:rPr>
        <w:t xml:space="preserve">— </w:t>
      </w:r>
      <w:r w:rsidRPr="008A4D1E">
        <w:rPr>
          <w:i/>
          <w:iCs/>
        </w:rPr>
        <w:t>Competitive Bidding</w:t>
      </w:r>
      <w:r>
        <w:t>, PP Docket No. 93-253,</w:t>
      </w:r>
      <w:r w:rsidR="008A4D1E">
        <w:t xml:space="preserve"> Second Report and Order,</w:t>
      </w:r>
      <w:r>
        <w:t xml:space="preserve"> 9 FCC </w:t>
      </w:r>
      <w:r>
        <w:t>Rcd</w:t>
      </w:r>
      <w:r>
        <w:t xml:space="preserve"> 2348, 2382-83</w:t>
      </w:r>
      <w:r w:rsidR="002F2E19">
        <w:t xml:space="preserve">, para. </w:t>
      </w:r>
      <w:r>
        <w:t xml:space="preserve">197 (1994). </w:t>
      </w:r>
    </w:p>
  </w:footnote>
  <w:footnote w:id="20">
    <w:p w:rsidR="00190B00" w:rsidP="008B5CA5" w14:paraId="348A0CBF" w14:textId="77777777">
      <w:pPr>
        <w:pStyle w:val="FootnoteText"/>
        <w:spacing w:after="120"/>
        <w:rPr>
          <w:rFonts w:eastAsia="Times New Roman"/>
          <w:color w:val="auto"/>
          <w:lang w:bidi="x-none"/>
        </w:rPr>
      </w:pPr>
      <w:r>
        <w:rPr>
          <w:rStyle w:val="FootnoteReference1"/>
        </w:rPr>
        <w:footnoteRef/>
      </w:r>
      <w:r>
        <w:t xml:space="preserve"> 47 C.F.R. §§ 1.2104(g)(2), 1.2109(c). </w:t>
      </w:r>
    </w:p>
  </w:footnote>
  <w:footnote w:id="21">
    <w:p w:rsidR="00190B00" w:rsidP="008B5CA5" w14:paraId="2F17BB27" w14:textId="2DD3AC4D">
      <w:pPr>
        <w:pStyle w:val="FootnoteText"/>
        <w:spacing w:after="120"/>
        <w:rPr>
          <w:rFonts w:eastAsia="Times New Roman"/>
          <w:color w:val="auto"/>
          <w:lang w:bidi="x-none"/>
        </w:rPr>
      </w:pPr>
      <w:r>
        <w:rPr>
          <w:rStyle w:val="FootnoteReference1"/>
        </w:rPr>
        <w:footnoteRef/>
      </w:r>
      <w:r>
        <w:t xml:space="preserve"> 47 C.F.R. §§ 1.2104(g)(2), 1.2109(c); </w:t>
      </w:r>
      <w:r>
        <w:rPr>
          <w:i/>
        </w:rPr>
        <w:t>see</w:t>
      </w:r>
      <w:r>
        <w:t xml:space="preserve"> </w:t>
      </w:r>
      <w:r>
        <w:rPr>
          <w:i/>
        </w:rPr>
        <w:t>Auction 105 Procedures Public Notice</w:t>
      </w:r>
      <w:r>
        <w:rPr>
          <w:iCs/>
        </w:rPr>
        <w:t>,</w:t>
      </w:r>
      <w:r w:rsidRPr="00533BD9">
        <w:rPr>
          <w:i/>
        </w:rPr>
        <w:t xml:space="preserve"> </w:t>
      </w:r>
      <w:r w:rsidRPr="00533BD9">
        <w:t xml:space="preserve">35 FCC </w:t>
      </w:r>
      <w:r w:rsidRPr="00533BD9">
        <w:t>Rcd</w:t>
      </w:r>
      <w:r w:rsidRPr="00533BD9">
        <w:t xml:space="preserve"> at 2204</w:t>
      </w:r>
      <w:r w:rsidR="002F2E19">
        <w:t xml:space="preserve">, para. </w:t>
      </w:r>
      <w:r w:rsidRPr="00533BD9">
        <w:t>228</w:t>
      </w:r>
      <w:r>
        <w:t>.</w:t>
      </w:r>
    </w:p>
  </w:footnote>
  <w:footnote w:id="22">
    <w:p w:rsidR="00190B00" w:rsidP="008B5CA5" w14:paraId="3C7390C0" w14:textId="77777777">
      <w:pPr>
        <w:pStyle w:val="FootnoteText"/>
        <w:spacing w:after="120"/>
      </w:pPr>
      <w:r>
        <w:rPr>
          <w:rStyle w:val="FootnoteReference"/>
        </w:rPr>
        <w:footnoteRef/>
      </w:r>
      <w:r>
        <w:t xml:space="preserve"> 47 C.F.R. § 1.2106(e).</w:t>
      </w:r>
    </w:p>
  </w:footnote>
  <w:footnote w:id="23">
    <w:p w:rsidR="00190B00" w:rsidP="008B5CA5" w14:paraId="3884D777" w14:textId="02F559B3">
      <w:pPr>
        <w:pStyle w:val="FootnoteText"/>
        <w:spacing w:after="120"/>
        <w:rPr>
          <w:rFonts w:ascii="Lucida Grande" w:hAnsi="Lucida Grande"/>
        </w:rPr>
      </w:pPr>
      <w:r>
        <w:rPr>
          <w:rStyle w:val="FootnoteReference1"/>
        </w:rPr>
        <w:footnoteRef/>
      </w:r>
      <w:r>
        <w:t xml:space="preserve"> </w:t>
      </w:r>
      <w:r>
        <w:rPr>
          <w:rFonts w:ascii="Times New Roman Italic" w:hAnsi="Times New Roman Italic"/>
        </w:rPr>
        <w:t>See</w:t>
      </w:r>
      <w:r>
        <w:t xml:space="preserve"> </w:t>
      </w:r>
      <w:r w:rsidRPr="008A4D1E">
        <w:rPr>
          <w:i/>
          <w:iCs/>
        </w:rPr>
        <w:t>Mountain Solutions Ltd., Inc</w:t>
      </w:r>
      <w:r>
        <w:t>.,</w:t>
      </w:r>
      <w:r w:rsidR="008A4D1E">
        <w:t xml:space="preserve"> Memorandum Opinion and Order,</w:t>
      </w:r>
      <w:r>
        <w:t xml:space="preserve"> 13 FCC </w:t>
      </w:r>
      <w:r>
        <w:t>Rcd</w:t>
      </w:r>
      <w:r>
        <w:t xml:space="preserve"> 21983, 21997</w:t>
      </w:r>
      <w:r w:rsidR="002F2E19">
        <w:t xml:space="preserve">, para. </w:t>
      </w:r>
      <w:r>
        <w:t xml:space="preserve">25 (1998). </w:t>
      </w:r>
    </w:p>
  </w:footnote>
  <w:footnote w:id="24">
    <w:p w:rsidR="00190B00" w:rsidRPr="004D211B" w:rsidP="001E7642" w14:paraId="1DD75CC7" w14:textId="4395F6DC">
      <w:pPr>
        <w:tabs>
          <w:tab w:val="center" w:pos="4680"/>
        </w:tabs>
        <w:suppressAutoHyphens/>
        <w:spacing w:after="120"/>
      </w:pPr>
      <w:r w:rsidRPr="004D211B">
        <w:rPr>
          <w:rStyle w:val="FootnoteReference"/>
        </w:rPr>
        <w:footnoteRef/>
      </w:r>
      <w:r w:rsidRPr="004D211B">
        <w:t xml:space="preserve"> </w:t>
      </w:r>
      <w:r w:rsidRPr="00DC6961">
        <w:rPr>
          <w:i/>
        </w:rPr>
        <w:t>See, e.g.</w:t>
      </w:r>
      <w:r w:rsidRPr="00DC6961">
        <w:t>,</w:t>
      </w:r>
      <w:r w:rsidRPr="00DC6961">
        <w:rPr>
          <w:spacing w:val="-2"/>
        </w:rPr>
        <w:t xml:space="preserve"> </w:t>
      </w:r>
      <w:r w:rsidRPr="001727D9">
        <w:rPr>
          <w:i/>
          <w:iCs/>
          <w:spacing w:val="-2"/>
        </w:rPr>
        <w:t xml:space="preserve">LMDS Communications, Inc., </w:t>
      </w:r>
      <w:r w:rsidRPr="001727D9">
        <w:rPr>
          <w:i/>
          <w:iCs/>
        </w:rPr>
        <w:t>Request for Waiver of Sections 1.2109(a) and (c), 1.2104(g) and 101.1105(b) of the Commission’s Rules Regarding BTA117, BTA122, BTA203, BTA215, BTA218, BTA287, BTA317, BTA328, BTA330, BTA335, BTA375 and BTA416</w:t>
      </w:r>
      <w:r w:rsidRPr="00DC6961">
        <w:t>,</w:t>
      </w:r>
      <w:r w:rsidR="001727D9">
        <w:t xml:space="preserve"> Order,</w:t>
      </w:r>
      <w:r w:rsidRPr="00DC6961">
        <w:t xml:space="preserve"> 15 FCC </w:t>
      </w:r>
      <w:r w:rsidRPr="00DC6961">
        <w:t>Rcd</w:t>
      </w:r>
      <w:r w:rsidRPr="00DC6961">
        <w:t xml:space="preserve"> 8618, 8622 n.30 (2000); </w:t>
      </w:r>
      <w:r w:rsidRPr="001727D9">
        <w:rPr>
          <w:i/>
          <w:iCs/>
        </w:rPr>
        <w:t>Application of Baker Creek Communications, L.P. for Authority to Construct and Operate Local Multipoint Distribution Services in Multiple Basic Trading Areas</w:t>
      </w:r>
      <w:r w:rsidRPr="00DC6961">
        <w:t>,</w:t>
      </w:r>
      <w:r w:rsidR="001727D9">
        <w:t xml:space="preserve"> Order</w:t>
      </w:r>
      <w:r w:rsidRPr="00DC6961">
        <w:t xml:space="preserve">, 14 FCC </w:t>
      </w:r>
      <w:r w:rsidRPr="00DC6961">
        <w:t>Rcd</w:t>
      </w:r>
      <w:r w:rsidRPr="00DC6961">
        <w:t xml:space="preserve"> 11529 (1999); </w:t>
      </w:r>
      <w:r w:rsidRPr="001727D9">
        <w:rPr>
          <w:i/>
          <w:iCs/>
        </w:rPr>
        <w:t>Tel-Com Wireless Cable TV Corporation</w:t>
      </w:r>
      <w:r w:rsidRPr="00DC6961">
        <w:t xml:space="preserve">, </w:t>
      </w:r>
      <w:r w:rsidR="001727D9">
        <w:t>Order</w:t>
      </w:r>
      <w:r w:rsidRPr="00DC6961">
        <w:t xml:space="preserve">, 12 FCC </w:t>
      </w:r>
      <w:r w:rsidRPr="00DC6961">
        <w:t>Rcd</w:t>
      </w:r>
      <w:r w:rsidRPr="00DC6961">
        <w:t xml:space="preserve"> 6747 (1997).</w:t>
      </w:r>
    </w:p>
  </w:footnote>
  <w:footnote w:id="25">
    <w:p w:rsidR="00190B00" w:rsidP="00DC3DD9" w14:paraId="16DAEAFA" w14:textId="425C2E8D">
      <w:pPr>
        <w:pStyle w:val="FootnoteText"/>
        <w:spacing w:after="120"/>
      </w:pPr>
      <w:r>
        <w:rPr>
          <w:rStyle w:val="FootnoteReference"/>
        </w:rPr>
        <w:footnoteRef/>
      </w:r>
      <w:r>
        <w:t xml:space="preserve"> Email</w:t>
      </w:r>
      <w:r w:rsidRPr="00E33D03">
        <w:t xml:space="preserve"> from </w:t>
      </w:r>
      <w:r>
        <w:t xml:space="preserve">Nick Stanley, CTO, </w:t>
      </w:r>
      <w:r>
        <w:t>LocaLoop</w:t>
      </w:r>
      <w:r>
        <w:t>, Inc., to William Huber,</w:t>
      </w:r>
      <w:r w:rsidRPr="00E33D03">
        <w:t xml:space="preserve"> </w:t>
      </w:r>
      <w:r>
        <w:t>Office of Economics and Analytics</w:t>
      </w:r>
      <w:r w:rsidRPr="00E33D03">
        <w:t>, FCC (</w:t>
      </w:r>
      <w:r>
        <w:t>Feb. 11, 2021</w:t>
      </w:r>
      <w:r w:rsidRPr="00E33D03">
        <w:t>)</w:t>
      </w:r>
      <w:r w:rsidRPr="00D01657">
        <w:rPr>
          <w:rFonts w:ascii="TimesNewRomanPSMT" w:hAnsi="TimesNewRomanPSMT" w:cs="TimesNewRomanPSMT"/>
          <w:color w:val="231F20"/>
        </w:rPr>
        <w:t>.</w:t>
      </w:r>
    </w:p>
  </w:footnote>
  <w:footnote w:id="26">
    <w:p w:rsidR="00190B00" w:rsidP="00280F04" w14:paraId="37EFD672" w14:textId="69C67915">
      <w:pPr>
        <w:pStyle w:val="FootnoteText"/>
        <w:spacing w:after="120"/>
      </w:pPr>
      <w:r>
        <w:rPr>
          <w:rStyle w:val="FootnoteReference"/>
        </w:rPr>
        <w:footnoteRef/>
      </w:r>
      <w:r>
        <w:t xml:space="preserve"> 47 C.F.R. §§ 1.2107(b), 1.2109(a).</w:t>
      </w:r>
    </w:p>
  </w:footnote>
  <w:footnote w:id="27">
    <w:p w:rsidR="00190B00" w:rsidRPr="00EE269A" w:rsidP="00280F04" w14:paraId="2686ABD3" w14:textId="3F7E8DC1">
      <w:pPr>
        <w:pStyle w:val="FootnoteText"/>
        <w:spacing w:after="120"/>
      </w:pPr>
      <w:r>
        <w:rPr>
          <w:rStyle w:val="FootnoteReference"/>
        </w:rPr>
        <w:footnoteRef/>
      </w:r>
      <w:r>
        <w:t xml:space="preserve"> Specifically, t</w:t>
      </w:r>
      <w:r w:rsidRPr="002A1A58">
        <w:t xml:space="preserve">o receive a waiver under section 1.925 of the Commission’s rules, </w:t>
      </w:r>
      <w:r>
        <w:t>a party must show</w:t>
      </w:r>
      <w:r w:rsidRPr="002A1A58">
        <w:t xml:space="preserve"> that:  (1) the underlying purpose of the rule would not be served or would be frustrated by application to the instant case, and that a grant of waiver would be in the public interest, or (2) in view of the unique or unusual circumstances of the instant case, application of the rule would be inequitable, unduly burdensome or contrary to the public interest, or that the applicant has no reasonable alternative to seeking a waiver of the rule</w:t>
      </w:r>
      <w:r>
        <w:t xml:space="preserve">.  47 C.F.R. § 1.925(b)(3).  </w:t>
      </w:r>
      <w:r>
        <w:rPr>
          <w:i/>
          <w:iCs/>
        </w:rPr>
        <w:t xml:space="preserve">See also </w:t>
      </w:r>
      <w:r>
        <w:t xml:space="preserve">47 C.F.R. § 1.3. </w:t>
      </w:r>
    </w:p>
  </w:footnote>
  <w:footnote w:id="28">
    <w:p w:rsidR="00190B00" w:rsidP="00280F04" w14:paraId="51DC736F" w14:textId="3874DA9E">
      <w:pPr>
        <w:pStyle w:val="FootnoteText"/>
        <w:spacing w:after="120"/>
      </w:pPr>
      <w:r>
        <w:rPr>
          <w:rStyle w:val="FootnoteReference"/>
        </w:rPr>
        <w:footnoteRef/>
      </w:r>
      <w:r>
        <w:t xml:space="preserve"> </w:t>
      </w:r>
      <w:r w:rsidRPr="001727D9">
        <w:rPr>
          <w:i/>
        </w:rPr>
        <w:t>Implementation of the Commercial Spectrum Enhancement Act and Modernization of the Commission’s Competitive Bidding Rules and Procedures</w:t>
      </w:r>
      <w:r w:rsidRPr="006574FC">
        <w:t>,</w:t>
      </w:r>
      <w:r w:rsidR="001727D9">
        <w:t xml:space="preserve"> Report and Order,</w:t>
      </w:r>
      <w:r w:rsidRPr="006574FC">
        <w:t xml:space="preserve"> 21 FCC </w:t>
      </w:r>
      <w:r w:rsidRPr="00585EDD">
        <w:t>Rcd</w:t>
      </w:r>
      <w:r w:rsidRPr="00585EDD">
        <w:t xml:space="preserve"> 891, </w:t>
      </w:r>
      <w:r w:rsidRPr="00283E12">
        <w:t>909</w:t>
      </w:r>
      <w:r>
        <w:t>,</w:t>
      </w:r>
      <w:r w:rsidRPr="00585EDD">
        <w:t xml:space="preserve"> para. 45 (</w:t>
      </w:r>
      <w:r>
        <w:t xml:space="preserve">2006); </w:t>
      </w:r>
      <w:r w:rsidRPr="001727D9">
        <w:rPr>
          <w:i/>
        </w:rPr>
        <w:t>Abundant Life, Inc</w:t>
      </w:r>
      <w:r w:rsidRPr="0043084B">
        <w:t>.,</w:t>
      </w:r>
      <w:r w:rsidR="001727D9">
        <w:t xml:space="preserve"> Memorandum Opinion and Order</w:t>
      </w:r>
      <w:r>
        <w:t xml:space="preserve">, 17 FCC </w:t>
      </w:r>
      <w:r>
        <w:t>Rcd</w:t>
      </w:r>
      <w:r>
        <w:t xml:space="preserve"> 4006, 4011-12, para. 14 (2002) (denying request for waiver of final payment deadline).   </w:t>
      </w:r>
    </w:p>
  </w:footnote>
  <w:footnote w:id="29">
    <w:p w:rsidR="00190B00" w:rsidP="00E03CC5" w14:paraId="11453814" w14:textId="73F326A8">
      <w:pPr>
        <w:tabs>
          <w:tab w:val="center" w:pos="4680"/>
        </w:tabs>
        <w:suppressAutoHyphens/>
      </w:pPr>
      <w:r>
        <w:rPr>
          <w:rStyle w:val="FootnoteReference"/>
        </w:rPr>
        <w:footnoteRef/>
      </w:r>
      <w:r>
        <w:t xml:space="preserve"> </w:t>
      </w:r>
      <w:r w:rsidRPr="001727D9">
        <w:rPr>
          <w:i/>
          <w:iCs/>
        </w:rPr>
        <w:t>WSS,</w:t>
      </w:r>
      <w:r w:rsidRPr="001727D9">
        <w:rPr>
          <w:i/>
          <w:iCs/>
          <w:spacing w:val="-2"/>
          <w:szCs w:val="22"/>
        </w:rPr>
        <w:t xml:space="preserve"> LLC, Request for Waiver of Section 1.2109 of the Commission’s Rules</w:t>
      </w:r>
      <w:r>
        <w:t>,</w:t>
      </w:r>
      <w:r w:rsidR="001727D9">
        <w:t xml:space="preserve"> Memorandum Opinion and Order,</w:t>
      </w:r>
      <w:r>
        <w:t xml:space="preserve"> </w:t>
      </w:r>
      <w:r w:rsidRPr="00F57BE3">
        <w:t xml:space="preserve">21 FCC </w:t>
      </w:r>
      <w:r w:rsidRPr="00F57BE3">
        <w:t>Rcd</w:t>
      </w:r>
      <w:r w:rsidRPr="00F57BE3">
        <w:t xml:space="preserve"> 6635</w:t>
      </w:r>
      <w:r>
        <w:t>, 6637-38, para. 6 (WTB ASAD 2006)</w:t>
      </w:r>
      <w:r w:rsidR="001727D9">
        <w:t>.</w:t>
      </w:r>
    </w:p>
    <w:p w:rsidR="00190B00" w:rsidRPr="003043D7" w:rsidP="00E03CC5" w14:paraId="27850712" w14:textId="77777777">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B00" w:rsidRPr="0085722A" w:rsidP="008B5CA5" w14:paraId="11985585" w14:textId="4BC3FD6E">
    <w:pPr>
      <w:pStyle w:val="Header1"/>
      <w:rPr>
        <w:sz w:val="22"/>
        <w:szCs w:val="22"/>
      </w:rPr>
    </w:pPr>
    <w:r w:rsidRPr="005C78B0">
      <w:rPr>
        <w:sz w:val="22"/>
        <w:szCs w:val="22"/>
      </w:rPr>
      <w:t>LocaLoop</w:t>
    </w:r>
    <w:r w:rsidRPr="005C78B0">
      <w:rPr>
        <w:sz w:val="22"/>
        <w:szCs w:val="22"/>
      </w:rPr>
      <w:t>, Inc.</w:t>
    </w:r>
    <w:r w:rsidRPr="005C78B0">
      <w:rPr>
        <w:sz w:val="22"/>
        <w:szCs w:val="22"/>
      </w:rPr>
      <w:tab/>
    </w:r>
    <w:r w:rsidRPr="005C78B0">
      <w:rPr>
        <w:sz w:val="22"/>
        <w:szCs w:val="22"/>
      </w:rPr>
      <w:tab/>
    </w:r>
    <w:r w:rsidRPr="0085722A">
      <w:rPr>
        <w:b/>
        <w:color w:val="auto"/>
        <w:sz w:val="22"/>
        <w:szCs w:val="22"/>
      </w:rPr>
      <w:t xml:space="preserve">DA </w:t>
    </w:r>
    <w:r w:rsidR="00C820E3">
      <w:rPr>
        <w:b/>
        <w:color w:val="auto"/>
        <w:sz w:val="22"/>
        <w:szCs w:val="22"/>
      </w:rPr>
      <w:t>21-542</w:t>
    </w:r>
  </w:p>
  <w:p w:rsidR="00190B00" w:rsidRPr="005C78B0" w:rsidP="008B5CA5" w14:paraId="1C158FFB" w14:textId="38DE5282">
    <w:pPr>
      <w:pStyle w:val="Header"/>
      <w:rPr>
        <w:sz w:val="22"/>
        <w:szCs w:val="22"/>
      </w:rPr>
    </w:pPr>
    <w:r>
      <w:rPr>
        <w:sz w:val="22"/>
        <w:szCs w:val="22"/>
      </w:rPr>
      <w:t>May 7, 2021</w:t>
    </w:r>
  </w:p>
  <w:p w:rsidR="00190B00" w:rsidRPr="0085722A" w:rsidP="008B5CA5" w14:paraId="024160A9" w14:textId="77777777">
    <w:pPr>
      <w:pStyle w:val="Header1"/>
      <w:rPr>
        <w:rFonts w:eastAsia="Times New Roman"/>
        <w:color w:val="auto"/>
        <w:sz w:val="22"/>
        <w:szCs w:val="22"/>
        <w:lang w:bidi="x-none"/>
      </w:rPr>
    </w:pPr>
    <w:r w:rsidRPr="0085722A">
      <w:rPr>
        <w:rStyle w:val="PageNumber1"/>
        <w:sz w:val="22"/>
        <w:szCs w:val="22"/>
        <w:lang w:val="fr-FR"/>
      </w:rPr>
      <w:t xml:space="preserve">Page </w:t>
    </w:r>
    <w:r w:rsidRPr="005C78B0">
      <w:rPr>
        <w:rStyle w:val="PageNumber1"/>
        <w:sz w:val="22"/>
        <w:szCs w:val="22"/>
      </w:rPr>
      <w:fldChar w:fldCharType="begin"/>
    </w:r>
    <w:r w:rsidRPr="005C78B0">
      <w:rPr>
        <w:rStyle w:val="PageNumber1"/>
        <w:sz w:val="22"/>
        <w:szCs w:val="22"/>
      </w:rPr>
      <w:instrText xml:space="preserve"> PAGE </w:instrText>
    </w:r>
    <w:r w:rsidRPr="005C78B0">
      <w:rPr>
        <w:rStyle w:val="PageNumber1"/>
        <w:sz w:val="22"/>
        <w:szCs w:val="22"/>
      </w:rPr>
      <w:fldChar w:fldCharType="separate"/>
    </w:r>
    <w:r w:rsidRPr="005C78B0">
      <w:rPr>
        <w:rStyle w:val="PageNumber1"/>
        <w:sz w:val="22"/>
        <w:szCs w:val="22"/>
      </w:rPr>
      <w:t>3</w:t>
    </w:r>
    <w:r w:rsidRPr="005C78B0">
      <w:rPr>
        <w:rStyle w:val="PageNumber1"/>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B00" w14:paraId="468F8541" w14:textId="7B336136">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8.9pt;height:58.9pt;margin-top:0;margin-left:-22.7pt;position:absolute;z-index:-251658240" wrapcoords="7656 0 5742 547 1367 3828 273 6562 -273 8203 -273 13397 1641 17499 1641 18046 6835 21327 7656 21327 13671 21327 14491 21327 19686 18046 19686 17499 21600 13397 21600 8203 20233 3828 15858 820 13671 0 7656 0">
          <v:imagedata r:id="rId1" o:title="FCC Logo"/>
          <w10:wrap type="tight"/>
        </v:shape>
      </w:pict>
    </w:r>
    <w:r w:rsidRPr="0B290DDE" w:rsidR="2EB11256">
      <w:rPr>
        <w:rFonts w:ascii="CG Times (W1)" w:hAnsi="CG Times (W1)"/>
        <w:sz w:val="28"/>
        <w:szCs w:val="28"/>
      </w:rPr>
      <w:t>Federal Communications Commission</w:t>
    </w:r>
  </w:p>
  <w:p w:rsidR="00190B00" w14:paraId="0AF7EB61" w14:textId="77777777">
    <w:pPr>
      <w:jc w:val="center"/>
    </w:pPr>
    <w:r>
      <w:rPr>
        <w:rFonts w:ascii="CG Times (W1)" w:hAnsi="CG Times (W1)"/>
        <w:sz w:val="28"/>
      </w:rPr>
      <w:t>Washington, D.C. 20554</w:t>
    </w:r>
  </w:p>
  <w:p w:rsidR="00190B00" w14:paraId="640D96C4" w14:textId="77777777">
    <w:pPr>
      <w:pStyle w:val="Header"/>
      <w:tabs>
        <w:tab w:val="clear" w:pos="4320"/>
      </w:tabs>
      <w:jc w:val="center"/>
      <w:rPr>
        <w:sz w:val="22"/>
      </w:rPr>
    </w:pPr>
  </w:p>
  <w:p w:rsidR="00190B00" w14:paraId="785DD5AF" w14:textId="77777777">
    <w:pPr>
      <w:pStyle w:val="Header"/>
      <w:tabs>
        <w:tab w:val="clear" w:pos="4320"/>
      </w:tabs>
      <w:jc w:val="center"/>
      <w:rPr>
        <w:sz w:val="22"/>
      </w:rPr>
    </w:pPr>
  </w:p>
  <w:p w:rsidR="00190B00" w:rsidRPr="00EF3B7A" w14:paraId="42DB9DC6" w14:textId="79A7B56C">
    <w:pPr>
      <w:pStyle w:val="Header"/>
      <w:tabs>
        <w:tab w:val="clear" w:pos="4320"/>
      </w:tabs>
      <w:jc w:val="center"/>
      <w:rPr>
        <w:sz w:val="22"/>
        <w:szCs w:val="22"/>
      </w:rPr>
    </w:pPr>
    <w:r>
      <w:rPr>
        <w:sz w:val="22"/>
        <w:szCs w:val="22"/>
      </w:rPr>
      <w:t>May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4B"/>
    <w:rsid w:val="0000571C"/>
    <w:rsid w:val="00013324"/>
    <w:rsid w:val="00020E26"/>
    <w:rsid w:val="00041F34"/>
    <w:rsid w:val="00043545"/>
    <w:rsid w:val="000457C5"/>
    <w:rsid w:val="0005795D"/>
    <w:rsid w:val="0006683F"/>
    <w:rsid w:val="00075EB0"/>
    <w:rsid w:val="00093D1A"/>
    <w:rsid w:val="000A6BF6"/>
    <w:rsid w:val="000B14FA"/>
    <w:rsid w:val="000B4886"/>
    <w:rsid w:val="000C2CE2"/>
    <w:rsid w:val="000D0A2D"/>
    <w:rsid w:val="000D6EE0"/>
    <w:rsid w:val="000E6140"/>
    <w:rsid w:val="000F182A"/>
    <w:rsid w:val="000F43A8"/>
    <w:rsid w:val="000F54E3"/>
    <w:rsid w:val="00105704"/>
    <w:rsid w:val="001158DF"/>
    <w:rsid w:val="00126537"/>
    <w:rsid w:val="001316EF"/>
    <w:rsid w:val="00137309"/>
    <w:rsid w:val="00140BAC"/>
    <w:rsid w:val="00140F43"/>
    <w:rsid w:val="00152379"/>
    <w:rsid w:val="00161A31"/>
    <w:rsid w:val="001720ED"/>
    <w:rsid w:val="001727D9"/>
    <w:rsid w:val="00173D80"/>
    <w:rsid w:val="00173E06"/>
    <w:rsid w:val="00173EC0"/>
    <w:rsid w:val="00174FE8"/>
    <w:rsid w:val="00177008"/>
    <w:rsid w:val="00180C30"/>
    <w:rsid w:val="00183A29"/>
    <w:rsid w:val="00183E5C"/>
    <w:rsid w:val="00187F9F"/>
    <w:rsid w:val="00190B00"/>
    <w:rsid w:val="00194E56"/>
    <w:rsid w:val="001A1BA2"/>
    <w:rsid w:val="001B2BBD"/>
    <w:rsid w:val="001B4E56"/>
    <w:rsid w:val="001B581F"/>
    <w:rsid w:val="001C0CDF"/>
    <w:rsid w:val="001C0D66"/>
    <w:rsid w:val="001D05F2"/>
    <w:rsid w:val="001D2608"/>
    <w:rsid w:val="001D3F46"/>
    <w:rsid w:val="001D6766"/>
    <w:rsid w:val="001E0CD5"/>
    <w:rsid w:val="001E5EAA"/>
    <w:rsid w:val="001E61CD"/>
    <w:rsid w:val="001E7642"/>
    <w:rsid w:val="002000F1"/>
    <w:rsid w:val="002014B3"/>
    <w:rsid w:val="00203011"/>
    <w:rsid w:val="0020343D"/>
    <w:rsid w:val="00204CE3"/>
    <w:rsid w:val="002113D0"/>
    <w:rsid w:val="0021148A"/>
    <w:rsid w:val="00212C2C"/>
    <w:rsid w:val="00214C0F"/>
    <w:rsid w:val="0022152E"/>
    <w:rsid w:val="002374E1"/>
    <w:rsid w:val="0024419B"/>
    <w:rsid w:val="00252A67"/>
    <w:rsid w:val="00264B06"/>
    <w:rsid w:val="00265B56"/>
    <w:rsid w:val="00266D2A"/>
    <w:rsid w:val="00272512"/>
    <w:rsid w:val="00275DED"/>
    <w:rsid w:val="0027759C"/>
    <w:rsid w:val="002805EA"/>
    <w:rsid w:val="00280F04"/>
    <w:rsid w:val="00283E12"/>
    <w:rsid w:val="00284D14"/>
    <w:rsid w:val="0028547B"/>
    <w:rsid w:val="0028582C"/>
    <w:rsid w:val="00292D13"/>
    <w:rsid w:val="00292E81"/>
    <w:rsid w:val="00293A93"/>
    <w:rsid w:val="00293C47"/>
    <w:rsid w:val="00293DCE"/>
    <w:rsid w:val="0029492E"/>
    <w:rsid w:val="002966AA"/>
    <w:rsid w:val="002A04CD"/>
    <w:rsid w:val="002A1A58"/>
    <w:rsid w:val="002A3F57"/>
    <w:rsid w:val="002B2998"/>
    <w:rsid w:val="002B54DB"/>
    <w:rsid w:val="002B75F1"/>
    <w:rsid w:val="002D1A0B"/>
    <w:rsid w:val="002E059B"/>
    <w:rsid w:val="002E1961"/>
    <w:rsid w:val="002E1C71"/>
    <w:rsid w:val="002E3FAD"/>
    <w:rsid w:val="002F0350"/>
    <w:rsid w:val="002F2E19"/>
    <w:rsid w:val="003034E2"/>
    <w:rsid w:val="003043D7"/>
    <w:rsid w:val="00304648"/>
    <w:rsid w:val="00327927"/>
    <w:rsid w:val="00330679"/>
    <w:rsid w:val="00333227"/>
    <w:rsid w:val="003348E8"/>
    <w:rsid w:val="00336BBD"/>
    <w:rsid w:val="00337A37"/>
    <w:rsid w:val="00337B67"/>
    <w:rsid w:val="00340156"/>
    <w:rsid w:val="0034371E"/>
    <w:rsid w:val="00345F94"/>
    <w:rsid w:val="00350B89"/>
    <w:rsid w:val="00351875"/>
    <w:rsid w:val="0035293C"/>
    <w:rsid w:val="00357572"/>
    <w:rsid w:val="003652A1"/>
    <w:rsid w:val="003673C9"/>
    <w:rsid w:val="003677A8"/>
    <w:rsid w:val="00372627"/>
    <w:rsid w:val="003807EC"/>
    <w:rsid w:val="00382409"/>
    <w:rsid w:val="00385075"/>
    <w:rsid w:val="003A36F4"/>
    <w:rsid w:val="003B1036"/>
    <w:rsid w:val="003B3999"/>
    <w:rsid w:val="003C1B11"/>
    <w:rsid w:val="003C72BE"/>
    <w:rsid w:val="003D6866"/>
    <w:rsid w:val="003E073F"/>
    <w:rsid w:val="003E56E7"/>
    <w:rsid w:val="003E61A7"/>
    <w:rsid w:val="003F18FD"/>
    <w:rsid w:val="003F2304"/>
    <w:rsid w:val="003F29D1"/>
    <w:rsid w:val="003F6D6B"/>
    <w:rsid w:val="003F799F"/>
    <w:rsid w:val="0040522A"/>
    <w:rsid w:val="00414C91"/>
    <w:rsid w:val="00416D88"/>
    <w:rsid w:val="0043084B"/>
    <w:rsid w:val="004450F0"/>
    <w:rsid w:val="00446470"/>
    <w:rsid w:val="00447F40"/>
    <w:rsid w:val="00457FD7"/>
    <w:rsid w:val="00465B47"/>
    <w:rsid w:val="004734C5"/>
    <w:rsid w:val="00473BF5"/>
    <w:rsid w:val="0048183F"/>
    <w:rsid w:val="004862EA"/>
    <w:rsid w:val="004A303B"/>
    <w:rsid w:val="004A5DA4"/>
    <w:rsid w:val="004A66F5"/>
    <w:rsid w:val="004A7737"/>
    <w:rsid w:val="004B0F3C"/>
    <w:rsid w:val="004B1798"/>
    <w:rsid w:val="004B7F00"/>
    <w:rsid w:val="004C069E"/>
    <w:rsid w:val="004C1209"/>
    <w:rsid w:val="004C16CE"/>
    <w:rsid w:val="004C4656"/>
    <w:rsid w:val="004D211B"/>
    <w:rsid w:val="004D3B53"/>
    <w:rsid w:val="004D71E9"/>
    <w:rsid w:val="004E2BD4"/>
    <w:rsid w:val="004E4FFA"/>
    <w:rsid w:val="004E7044"/>
    <w:rsid w:val="004F67D7"/>
    <w:rsid w:val="00500257"/>
    <w:rsid w:val="00502A02"/>
    <w:rsid w:val="0051019D"/>
    <w:rsid w:val="00512575"/>
    <w:rsid w:val="00513508"/>
    <w:rsid w:val="00514CB8"/>
    <w:rsid w:val="005169F8"/>
    <w:rsid w:val="00533BD9"/>
    <w:rsid w:val="00534C7A"/>
    <w:rsid w:val="00536564"/>
    <w:rsid w:val="00541DF8"/>
    <w:rsid w:val="00543359"/>
    <w:rsid w:val="005443E4"/>
    <w:rsid w:val="00545B24"/>
    <w:rsid w:val="005510EB"/>
    <w:rsid w:val="0055335B"/>
    <w:rsid w:val="00553D26"/>
    <w:rsid w:val="00556CD5"/>
    <w:rsid w:val="00557F17"/>
    <w:rsid w:val="00560777"/>
    <w:rsid w:val="00560F69"/>
    <w:rsid w:val="00562986"/>
    <w:rsid w:val="00563D11"/>
    <w:rsid w:val="00565391"/>
    <w:rsid w:val="00571903"/>
    <w:rsid w:val="00576194"/>
    <w:rsid w:val="00581C3A"/>
    <w:rsid w:val="00583638"/>
    <w:rsid w:val="00585EDD"/>
    <w:rsid w:val="005907F5"/>
    <w:rsid w:val="005A11B3"/>
    <w:rsid w:val="005A158A"/>
    <w:rsid w:val="005A5FE3"/>
    <w:rsid w:val="005B15EB"/>
    <w:rsid w:val="005B2160"/>
    <w:rsid w:val="005B3C2C"/>
    <w:rsid w:val="005B430F"/>
    <w:rsid w:val="005C0775"/>
    <w:rsid w:val="005C0DE5"/>
    <w:rsid w:val="005C6BAB"/>
    <w:rsid w:val="005C78B0"/>
    <w:rsid w:val="005D1DCA"/>
    <w:rsid w:val="005D67F0"/>
    <w:rsid w:val="005E0BD7"/>
    <w:rsid w:val="005E1F4B"/>
    <w:rsid w:val="005E2496"/>
    <w:rsid w:val="005E2F3E"/>
    <w:rsid w:val="005E4A64"/>
    <w:rsid w:val="005E564D"/>
    <w:rsid w:val="005E5BF2"/>
    <w:rsid w:val="005E6F75"/>
    <w:rsid w:val="005F563C"/>
    <w:rsid w:val="00600467"/>
    <w:rsid w:val="006013BF"/>
    <w:rsid w:val="00603F16"/>
    <w:rsid w:val="00610A52"/>
    <w:rsid w:val="006139BD"/>
    <w:rsid w:val="00616676"/>
    <w:rsid w:val="0062278F"/>
    <w:rsid w:val="0062639A"/>
    <w:rsid w:val="00631E73"/>
    <w:rsid w:val="006363B8"/>
    <w:rsid w:val="006418B2"/>
    <w:rsid w:val="00650CB8"/>
    <w:rsid w:val="00653600"/>
    <w:rsid w:val="006574FC"/>
    <w:rsid w:val="006674A9"/>
    <w:rsid w:val="00667CDA"/>
    <w:rsid w:val="006709D2"/>
    <w:rsid w:val="00683B44"/>
    <w:rsid w:val="00695883"/>
    <w:rsid w:val="006963DC"/>
    <w:rsid w:val="006A001E"/>
    <w:rsid w:val="006A26AB"/>
    <w:rsid w:val="006A2F49"/>
    <w:rsid w:val="006A548D"/>
    <w:rsid w:val="006B6787"/>
    <w:rsid w:val="006B7A3B"/>
    <w:rsid w:val="006C00C8"/>
    <w:rsid w:val="006C38CB"/>
    <w:rsid w:val="006C4169"/>
    <w:rsid w:val="006D327F"/>
    <w:rsid w:val="006D3898"/>
    <w:rsid w:val="006E2187"/>
    <w:rsid w:val="006E477F"/>
    <w:rsid w:val="007036DB"/>
    <w:rsid w:val="00703F49"/>
    <w:rsid w:val="00706F35"/>
    <w:rsid w:val="00710429"/>
    <w:rsid w:val="0071336C"/>
    <w:rsid w:val="00717BDE"/>
    <w:rsid w:val="00730FEF"/>
    <w:rsid w:val="00743EE7"/>
    <w:rsid w:val="0074699D"/>
    <w:rsid w:val="007503DB"/>
    <w:rsid w:val="00757503"/>
    <w:rsid w:val="00757DC6"/>
    <w:rsid w:val="0076035F"/>
    <w:rsid w:val="007656F8"/>
    <w:rsid w:val="00766F93"/>
    <w:rsid w:val="00774403"/>
    <w:rsid w:val="007815CE"/>
    <w:rsid w:val="00784608"/>
    <w:rsid w:val="00790380"/>
    <w:rsid w:val="00790EC3"/>
    <w:rsid w:val="00791A29"/>
    <w:rsid w:val="00792898"/>
    <w:rsid w:val="00794D28"/>
    <w:rsid w:val="007A177D"/>
    <w:rsid w:val="007A4039"/>
    <w:rsid w:val="007C4B58"/>
    <w:rsid w:val="007C5164"/>
    <w:rsid w:val="007D1549"/>
    <w:rsid w:val="007D1AFD"/>
    <w:rsid w:val="007E178C"/>
    <w:rsid w:val="007E34AA"/>
    <w:rsid w:val="007E53E2"/>
    <w:rsid w:val="007E5C70"/>
    <w:rsid w:val="007F0361"/>
    <w:rsid w:val="00801E87"/>
    <w:rsid w:val="00807E39"/>
    <w:rsid w:val="00807E70"/>
    <w:rsid w:val="00812AAE"/>
    <w:rsid w:val="0081658F"/>
    <w:rsid w:val="00825B57"/>
    <w:rsid w:val="00826BE3"/>
    <w:rsid w:val="00834406"/>
    <w:rsid w:val="00834D85"/>
    <w:rsid w:val="00835E91"/>
    <w:rsid w:val="0085722A"/>
    <w:rsid w:val="008618A1"/>
    <w:rsid w:val="008625A6"/>
    <w:rsid w:val="00864359"/>
    <w:rsid w:val="00867EE3"/>
    <w:rsid w:val="00871756"/>
    <w:rsid w:val="00873AD8"/>
    <w:rsid w:val="00882E52"/>
    <w:rsid w:val="0089179D"/>
    <w:rsid w:val="00893C13"/>
    <w:rsid w:val="00895B7B"/>
    <w:rsid w:val="008A31B4"/>
    <w:rsid w:val="008A4D1E"/>
    <w:rsid w:val="008A4EDF"/>
    <w:rsid w:val="008A656C"/>
    <w:rsid w:val="008A7DFD"/>
    <w:rsid w:val="008B2C90"/>
    <w:rsid w:val="008B5CA5"/>
    <w:rsid w:val="008B664E"/>
    <w:rsid w:val="008B6FEB"/>
    <w:rsid w:val="008C05C7"/>
    <w:rsid w:val="008C24AA"/>
    <w:rsid w:val="008C369E"/>
    <w:rsid w:val="008C5C43"/>
    <w:rsid w:val="008C6C83"/>
    <w:rsid w:val="008C765F"/>
    <w:rsid w:val="008D21C3"/>
    <w:rsid w:val="008E08D8"/>
    <w:rsid w:val="008E143D"/>
    <w:rsid w:val="008E3159"/>
    <w:rsid w:val="008E436F"/>
    <w:rsid w:val="008E4570"/>
    <w:rsid w:val="008F06E5"/>
    <w:rsid w:val="008F77A7"/>
    <w:rsid w:val="0091103B"/>
    <w:rsid w:val="00913664"/>
    <w:rsid w:val="00915156"/>
    <w:rsid w:val="00923FF4"/>
    <w:rsid w:val="00924E29"/>
    <w:rsid w:val="00926401"/>
    <w:rsid w:val="00936809"/>
    <w:rsid w:val="00936C5D"/>
    <w:rsid w:val="00937B5C"/>
    <w:rsid w:val="0094262A"/>
    <w:rsid w:val="00945C1F"/>
    <w:rsid w:val="00951BEF"/>
    <w:rsid w:val="00952ACB"/>
    <w:rsid w:val="00953690"/>
    <w:rsid w:val="00956BBD"/>
    <w:rsid w:val="00964A51"/>
    <w:rsid w:val="009675D2"/>
    <w:rsid w:val="0097022D"/>
    <w:rsid w:val="00970577"/>
    <w:rsid w:val="0097467E"/>
    <w:rsid w:val="0098093C"/>
    <w:rsid w:val="0098319C"/>
    <w:rsid w:val="009878C9"/>
    <w:rsid w:val="00990E44"/>
    <w:rsid w:val="00992243"/>
    <w:rsid w:val="0099695A"/>
    <w:rsid w:val="009A054B"/>
    <w:rsid w:val="009B0F1A"/>
    <w:rsid w:val="009B21A6"/>
    <w:rsid w:val="009B7221"/>
    <w:rsid w:val="009C03FA"/>
    <w:rsid w:val="009C1FC9"/>
    <w:rsid w:val="009C6B4B"/>
    <w:rsid w:val="009E1B26"/>
    <w:rsid w:val="009E5199"/>
    <w:rsid w:val="009F4770"/>
    <w:rsid w:val="00A10FDC"/>
    <w:rsid w:val="00A14A47"/>
    <w:rsid w:val="00A14B09"/>
    <w:rsid w:val="00A1642A"/>
    <w:rsid w:val="00A20673"/>
    <w:rsid w:val="00A268FF"/>
    <w:rsid w:val="00A3249F"/>
    <w:rsid w:val="00A333D8"/>
    <w:rsid w:val="00A36050"/>
    <w:rsid w:val="00A37206"/>
    <w:rsid w:val="00A4305C"/>
    <w:rsid w:val="00A43465"/>
    <w:rsid w:val="00A46D62"/>
    <w:rsid w:val="00A5335A"/>
    <w:rsid w:val="00A53D95"/>
    <w:rsid w:val="00A5776B"/>
    <w:rsid w:val="00A67D7F"/>
    <w:rsid w:val="00A719F8"/>
    <w:rsid w:val="00A73896"/>
    <w:rsid w:val="00A84BC2"/>
    <w:rsid w:val="00A873DD"/>
    <w:rsid w:val="00A91792"/>
    <w:rsid w:val="00A97D28"/>
    <w:rsid w:val="00AA51D3"/>
    <w:rsid w:val="00AB38D3"/>
    <w:rsid w:val="00AB4042"/>
    <w:rsid w:val="00AC5CAE"/>
    <w:rsid w:val="00AC6DED"/>
    <w:rsid w:val="00AD09A8"/>
    <w:rsid w:val="00AD1F47"/>
    <w:rsid w:val="00AD25FD"/>
    <w:rsid w:val="00AE1496"/>
    <w:rsid w:val="00AF16E7"/>
    <w:rsid w:val="00AF28AE"/>
    <w:rsid w:val="00AF4194"/>
    <w:rsid w:val="00B00DCB"/>
    <w:rsid w:val="00B03AE7"/>
    <w:rsid w:val="00B07259"/>
    <w:rsid w:val="00B12DFB"/>
    <w:rsid w:val="00B13E0D"/>
    <w:rsid w:val="00B15FD5"/>
    <w:rsid w:val="00B16416"/>
    <w:rsid w:val="00B16B40"/>
    <w:rsid w:val="00B22F11"/>
    <w:rsid w:val="00B33D6D"/>
    <w:rsid w:val="00B33F44"/>
    <w:rsid w:val="00B45B15"/>
    <w:rsid w:val="00B47B0E"/>
    <w:rsid w:val="00B47CD5"/>
    <w:rsid w:val="00B527D3"/>
    <w:rsid w:val="00B5563C"/>
    <w:rsid w:val="00B55BB9"/>
    <w:rsid w:val="00B5651E"/>
    <w:rsid w:val="00B63265"/>
    <w:rsid w:val="00B66C4A"/>
    <w:rsid w:val="00B70F5D"/>
    <w:rsid w:val="00B7123E"/>
    <w:rsid w:val="00B72E5D"/>
    <w:rsid w:val="00B75E7D"/>
    <w:rsid w:val="00B7733B"/>
    <w:rsid w:val="00B835BA"/>
    <w:rsid w:val="00B84113"/>
    <w:rsid w:val="00B850F7"/>
    <w:rsid w:val="00B86D6A"/>
    <w:rsid w:val="00BA1E93"/>
    <w:rsid w:val="00BA3557"/>
    <w:rsid w:val="00BB12F7"/>
    <w:rsid w:val="00BB2447"/>
    <w:rsid w:val="00BB40B1"/>
    <w:rsid w:val="00BB4AFC"/>
    <w:rsid w:val="00BB4DB7"/>
    <w:rsid w:val="00BB50FA"/>
    <w:rsid w:val="00BB613F"/>
    <w:rsid w:val="00BB6329"/>
    <w:rsid w:val="00BC425E"/>
    <w:rsid w:val="00BD12FC"/>
    <w:rsid w:val="00BD1F45"/>
    <w:rsid w:val="00BF6430"/>
    <w:rsid w:val="00C0048A"/>
    <w:rsid w:val="00C04F9E"/>
    <w:rsid w:val="00C06856"/>
    <w:rsid w:val="00C07D48"/>
    <w:rsid w:val="00C13044"/>
    <w:rsid w:val="00C1378A"/>
    <w:rsid w:val="00C14B15"/>
    <w:rsid w:val="00C2046F"/>
    <w:rsid w:val="00C21B23"/>
    <w:rsid w:val="00C33D1F"/>
    <w:rsid w:val="00C42D42"/>
    <w:rsid w:val="00C435E3"/>
    <w:rsid w:val="00C479D3"/>
    <w:rsid w:val="00C548FB"/>
    <w:rsid w:val="00C5539E"/>
    <w:rsid w:val="00C55D70"/>
    <w:rsid w:val="00C6484B"/>
    <w:rsid w:val="00C64A54"/>
    <w:rsid w:val="00C74388"/>
    <w:rsid w:val="00C77CDD"/>
    <w:rsid w:val="00C820E3"/>
    <w:rsid w:val="00C84C7A"/>
    <w:rsid w:val="00C86607"/>
    <w:rsid w:val="00C92877"/>
    <w:rsid w:val="00C978FF"/>
    <w:rsid w:val="00CA3345"/>
    <w:rsid w:val="00CA51D9"/>
    <w:rsid w:val="00CA7E40"/>
    <w:rsid w:val="00CB40C4"/>
    <w:rsid w:val="00CB7534"/>
    <w:rsid w:val="00CC2780"/>
    <w:rsid w:val="00CD0CC7"/>
    <w:rsid w:val="00CD309D"/>
    <w:rsid w:val="00CD4625"/>
    <w:rsid w:val="00CD5323"/>
    <w:rsid w:val="00CE4ED8"/>
    <w:rsid w:val="00CE54BE"/>
    <w:rsid w:val="00CE624F"/>
    <w:rsid w:val="00CF5D92"/>
    <w:rsid w:val="00CF6105"/>
    <w:rsid w:val="00D01657"/>
    <w:rsid w:val="00D0411A"/>
    <w:rsid w:val="00D079C5"/>
    <w:rsid w:val="00D30F22"/>
    <w:rsid w:val="00D3469F"/>
    <w:rsid w:val="00D430F7"/>
    <w:rsid w:val="00D470A9"/>
    <w:rsid w:val="00D50C04"/>
    <w:rsid w:val="00D54538"/>
    <w:rsid w:val="00D628DC"/>
    <w:rsid w:val="00D65FE5"/>
    <w:rsid w:val="00D754FF"/>
    <w:rsid w:val="00D85065"/>
    <w:rsid w:val="00D87285"/>
    <w:rsid w:val="00D8754F"/>
    <w:rsid w:val="00D92F76"/>
    <w:rsid w:val="00DA5517"/>
    <w:rsid w:val="00DA59AD"/>
    <w:rsid w:val="00DB2FD9"/>
    <w:rsid w:val="00DC3DD9"/>
    <w:rsid w:val="00DC441C"/>
    <w:rsid w:val="00DC580C"/>
    <w:rsid w:val="00DC6961"/>
    <w:rsid w:val="00DC6EC4"/>
    <w:rsid w:val="00DD6CCA"/>
    <w:rsid w:val="00DD7360"/>
    <w:rsid w:val="00DE6CAF"/>
    <w:rsid w:val="00DE7CBC"/>
    <w:rsid w:val="00DF51EF"/>
    <w:rsid w:val="00DF63C4"/>
    <w:rsid w:val="00DF7DA5"/>
    <w:rsid w:val="00E00975"/>
    <w:rsid w:val="00E01775"/>
    <w:rsid w:val="00E03CC5"/>
    <w:rsid w:val="00E12F8C"/>
    <w:rsid w:val="00E222CC"/>
    <w:rsid w:val="00E233EA"/>
    <w:rsid w:val="00E3380A"/>
    <w:rsid w:val="00E33C38"/>
    <w:rsid w:val="00E33D03"/>
    <w:rsid w:val="00E54907"/>
    <w:rsid w:val="00E57539"/>
    <w:rsid w:val="00E57F0E"/>
    <w:rsid w:val="00E6079C"/>
    <w:rsid w:val="00E61DF8"/>
    <w:rsid w:val="00E708CA"/>
    <w:rsid w:val="00E77914"/>
    <w:rsid w:val="00E84A0C"/>
    <w:rsid w:val="00E90CE2"/>
    <w:rsid w:val="00E92D86"/>
    <w:rsid w:val="00EA2212"/>
    <w:rsid w:val="00EA66A0"/>
    <w:rsid w:val="00EA724C"/>
    <w:rsid w:val="00EB31B8"/>
    <w:rsid w:val="00EB6495"/>
    <w:rsid w:val="00EB7B25"/>
    <w:rsid w:val="00EC1734"/>
    <w:rsid w:val="00EC1C88"/>
    <w:rsid w:val="00EC4DF6"/>
    <w:rsid w:val="00ED40D2"/>
    <w:rsid w:val="00ED598F"/>
    <w:rsid w:val="00EE269A"/>
    <w:rsid w:val="00EE6B85"/>
    <w:rsid w:val="00EF0741"/>
    <w:rsid w:val="00EF1BAC"/>
    <w:rsid w:val="00EF2181"/>
    <w:rsid w:val="00EF3B7A"/>
    <w:rsid w:val="00F008AB"/>
    <w:rsid w:val="00F04307"/>
    <w:rsid w:val="00F06272"/>
    <w:rsid w:val="00F20A25"/>
    <w:rsid w:val="00F227E9"/>
    <w:rsid w:val="00F26277"/>
    <w:rsid w:val="00F42638"/>
    <w:rsid w:val="00F5007B"/>
    <w:rsid w:val="00F52A77"/>
    <w:rsid w:val="00F53B5C"/>
    <w:rsid w:val="00F5729E"/>
    <w:rsid w:val="00F573F6"/>
    <w:rsid w:val="00F57BE3"/>
    <w:rsid w:val="00F6199D"/>
    <w:rsid w:val="00F63C61"/>
    <w:rsid w:val="00F63D5A"/>
    <w:rsid w:val="00F65829"/>
    <w:rsid w:val="00F6722E"/>
    <w:rsid w:val="00F86624"/>
    <w:rsid w:val="00F914B6"/>
    <w:rsid w:val="00F966CD"/>
    <w:rsid w:val="00FC48E4"/>
    <w:rsid w:val="00FC6596"/>
    <w:rsid w:val="00FE2B95"/>
    <w:rsid w:val="00FE5F28"/>
    <w:rsid w:val="00FE7F01"/>
    <w:rsid w:val="00FF5F6B"/>
    <w:rsid w:val="00FF6509"/>
    <w:rsid w:val="0B290DDE"/>
    <w:rsid w:val="238DA6E5"/>
    <w:rsid w:val="2BA39C6A"/>
    <w:rsid w:val="2EB11256"/>
    <w:rsid w:val="31C3035F"/>
    <w:rsid w:val="4A439CB8"/>
    <w:rsid w:val="4D0A9EF9"/>
    <w:rsid w:val="59B8C603"/>
    <w:rsid w:val="6FFA35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38FECA2"/>
  <w15:chartTrackingRefBased/>
  <w15:docId w15:val="{73F1C59E-13B7-4FB4-8D20-E64EF78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noteReference1">
    <w:name w:val="Footnote Reference1"/>
    <w:rsid w:val="00266D2A"/>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266D2A"/>
    <w:rPr>
      <w:rFonts w:eastAsia="ヒラギノ角ゴ Pro W3"/>
      <w:color w:val="000000"/>
    </w:rPr>
  </w:style>
  <w:style w:type="paragraph" w:customStyle="1" w:styleId="FootnoteText10">
    <w:name w:val="Footnote Text10"/>
    <w:rsid w:val="00266D2A"/>
    <w:rPr>
      <w:rFonts w:ascii="Helvetica" w:eastAsia="ヒラギノ角ゴ Pro W3" w:hAnsi="Helvetica"/>
      <w:color w:val="000000"/>
    </w:rPr>
  </w:style>
  <w:style w:type="character" w:styleId="FootnoteReference">
    <w:name w:val="footnote reference"/>
    <w:aliases w:val="(NECG) Footnote Reference,Appel note de bas de p,FR,Footnote Reference/,Style 12,Style 124,Style 13,Style 17,Style 3,Style 4,Style 6,Style 7,fr,o"/>
    <w:rsid w:val="00266D2A"/>
    <w:rPr>
      <w:vertAlign w:val="superscript"/>
    </w:rPr>
  </w:style>
  <w:style w:type="paragraph" w:customStyle="1" w:styleId="Heading5A">
    <w:name w:val="Heading 5 A"/>
    <w:rsid w:val="008B5CA5"/>
    <w:pPr>
      <w:outlineLvl w:val="4"/>
    </w:pPr>
    <w:rPr>
      <w:rFonts w:ascii="Times New Roman Bold" w:eastAsia="ヒラギノ角ゴ Pro W3" w:hAnsi="Times New Roman Bold"/>
      <w:color w:val="000000"/>
      <w:sz w:val="22"/>
    </w:rPr>
  </w:style>
  <w:style w:type="paragraph" w:styleId="FootnoteText">
    <w:name w:val="footnote text"/>
    <w:aliases w:val="ALTS FOOTNOTE,ALTS FOOTNOTE Char,Footnote Text Char Char Char Char Char Char,Footnote Text Char1 Char1 Char Char Char,Footnote Text Char2,f,fn"/>
    <w:basedOn w:val="Normal"/>
    <w:link w:val="FootnoteTextChar"/>
    <w:rsid w:val="008B5CA5"/>
    <w:rPr>
      <w:rFonts w:eastAsia="ヒラギノ角ゴ Pro W3"/>
      <w:color w:val="000000"/>
    </w:rPr>
  </w:style>
  <w:style w:type="character" w:customStyle="1" w:styleId="FootnoteTextChar">
    <w:name w:val="Footnote Text Char"/>
    <w:aliases w:val="ALTS FOOTNOTE Char Char,ALTS FOOTNOTE Char2,Footnote Text Char Char Char Char Char Char Char,Footnote Text Char1 Char1 Char Char Char Char,Footnote Text Char2 Char1,f Char,fn Char1"/>
    <w:link w:val="FootnoteText"/>
    <w:rsid w:val="008B5CA5"/>
    <w:rPr>
      <w:rFonts w:eastAsia="ヒラギノ角ゴ Pro W3"/>
      <w:color w:val="000000"/>
    </w:rPr>
  </w:style>
  <w:style w:type="character" w:customStyle="1" w:styleId="documentbody1">
    <w:name w:val="documentbody1"/>
    <w:autoRedefine/>
    <w:rsid w:val="008B5CA5"/>
    <w:rPr>
      <w:rFonts w:ascii="Verdana" w:eastAsia="ヒラギノ角ゴ Pro W3" w:hAnsi="Verdana"/>
      <w:b w:val="0"/>
      <w:i w:val="0"/>
      <w:color w:val="000000"/>
      <w:sz w:val="19"/>
      <w:shd w:val="clear" w:color="auto" w:fill="FFFFFF"/>
    </w:rPr>
  </w:style>
  <w:style w:type="paragraph" w:customStyle="1" w:styleId="Header1">
    <w:name w:val="Header1"/>
    <w:rsid w:val="008B5CA5"/>
    <w:pPr>
      <w:tabs>
        <w:tab w:val="center" w:pos="4320"/>
        <w:tab w:val="right" w:pos="8640"/>
      </w:tabs>
    </w:pPr>
    <w:rPr>
      <w:rFonts w:eastAsia="ヒラギノ角ゴ Pro W3"/>
      <w:color w:val="000000"/>
    </w:rPr>
  </w:style>
  <w:style w:type="character" w:customStyle="1" w:styleId="PageNumber1">
    <w:name w:val="Page Number1"/>
    <w:rsid w:val="008B5CA5"/>
    <w:rPr>
      <w:color w:val="000000"/>
      <w:sz w:val="20"/>
    </w:rPr>
  </w:style>
  <w:style w:type="paragraph" w:customStyle="1" w:styleId="ParaNum">
    <w:name w:val="ParaNum"/>
    <w:rsid w:val="00173EC0"/>
    <w:pPr>
      <w:widowControl w:val="0"/>
      <w:tabs>
        <w:tab w:val="left" w:pos="360"/>
      </w:tabs>
      <w:spacing w:after="220"/>
      <w:jc w:val="both"/>
    </w:pPr>
    <w:rPr>
      <w:rFonts w:eastAsia="ヒラギノ角ゴ Pro W3"/>
      <w:color w:val="000000"/>
      <w:kern w:val="28"/>
      <w:sz w:val="22"/>
    </w:rPr>
  </w:style>
  <w:style w:type="paragraph" w:customStyle="1" w:styleId="FreeForm">
    <w:name w:val="Free Form"/>
    <w:rsid w:val="00173EC0"/>
    <w:rPr>
      <w:rFonts w:eastAsia="ヒラギノ角ゴ Pro W3"/>
      <w:color w:val="000000"/>
    </w:rPr>
  </w:style>
  <w:style w:type="character" w:customStyle="1" w:styleId="st1">
    <w:name w:val="st1"/>
    <w:basedOn w:val="DefaultParagraphFont"/>
    <w:rsid w:val="00173EC0"/>
  </w:style>
  <w:style w:type="paragraph" w:customStyle="1" w:styleId="Heading2A">
    <w:name w:val="Heading 2 A"/>
    <w:next w:val="Normal"/>
    <w:autoRedefine/>
    <w:rsid w:val="00A97D28"/>
    <w:pPr>
      <w:keepNext/>
      <w:spacing w:before="240" w:after="60"/>
      <w:outlineLvl w:val="1"/>
    </w:pPr>
    <w:rPr>
      <w:rFonts w:ascii="Arial Bold Italic" w:eastAsia="ヒラギノ角ゴ Pro W3" w:hAnsi="Arial Bold Italic"/>
      <w:color w:val="000000"/>
      <w:sz w:val="28"/>
    </w:rPr>
  </w:style>
  <w:style w:type="character" w:styleId="CommentReference">
    <w:name w:val="annotation reference"/>
    <w:uiPriority w:val="99"/>
    <w:semiHidden/>
    <w:unhideWhenUsed/>
    <w:rsid w:val="00214C0F"/>
    <w:rPr>
      <w:sz w:val="16"/>
      <w:szCs w:val="16"/>
    </w:rPr>
  </w:style>
  <w:style w:type="paragraph" w:styleId="CommentText">
    <w:name w:val="annotation text"/>
    <w:basedOn w:val="Normal"/>
    <w:link w:val="CommentTextChar"/>
    <w:uiPriority w:val="99"/>
    <w:semiHidden/>
    <w:unhideWhenUsed/>
    <w:rsid w:val="00214C0F"/>
  </w:style>
  <w:style w:type="character" w:customStyle="1" w:styleId="CommentTextChar">
    <w:name w:val="Comment Text Char"/>
    <w:basedOn w:val="DefaultParagraphFont"/>
    <w:link w:val="CommentText"/>
    <w:uiPriority w:val="99"/>
    <w:semiHidden/>
    <w:rsid w:val="00214C0F"/>
  </w:style>
  <w:style w:type="paragraph" w:styleId="CommentSubject">
    <w:name w:val="annotation subject"/>
    <w:basedOn w:val="CommentText"/>
    <w:next w:val="CommentText"/>
    <w:link w:val="CommentSubjectChar"/>
    <w:uiPriority w:val="99"/>
    <w:semiHidden/>
    <w:unhideWhenUsed/>
    <w:rsid w:val="00214C0F"/>
    <w:rPr>
      <w:b/>
      <w:bCs/>
    </w:rPr>
  </w:style>
  <w:style w:type="character" w:customStyle="1" w:styleId="CommentSubjectChar">
    <w:name w:val="Comment Subject Char"/>
    <w:link w:val="CommentSubject"/>
    <w:uiPriority w:val="99"/>
    <w:semiHidden/>
    <w:rsid w:val="00214C0F"/>
    <w:rPr>
      <w:b/>
      <w:bCs/>
    </w:rPr>
  </w:style>
  <w:style w:type="paragraph" w:styleId="BalloonText">
    <w:name w:val="Balloon Text"/>
    <w:basedOn w:val="Normal"/>
    <w:link w:val="BalloonTextChar"/>
    <w:uiPriority w:val="99"/>
    <w:semiHidden/>
    <w:unhideWhenUsed/>
    <w:rsid w:val="00214C0F"/>
    <w:rPr>
      <w:rFonts w:ascii="Segoe UI" w:hAnsi="Segoe UI" w:cs="Segoe UI"/>
      <w:sz w:val="18"/>
      <w:szCs w:val="18"/>
    </w:rPr>
  </w:style>
  <w:style w:type="character" w:customStyle="1" w:styleId="BalloonTextChar">
    <w:name w:val="Balloon Text Char"/>
    <w:link w:val="BalloonText"/>
    <w:uiPriority w:val="99"/>
    <w:semiHidden/>
    <w:rsid w:val="00214C0F"/>
    <w:rPr>
      <w:rFonts w:ascii="Segoe UI" w:hAnsi="Segoe UI" w:cs="Segoe UI"/>
      <w:sz w:val="18"/>
      <w:szCs w:val="18"/>
    </w:rPr>
  </w:style>
  <w:style w:type="paragraph" w:styleId="Revision">
    <w:name w:val="Revision"/>
    <w:hidden/>
    <w:uiPriority w:val="99"/>
    <w:semiHidden/>
    <w:rsid w:val="005A11B3"/>
  </w:style>
  <w:style w:type="paragraph" w:customStyle="1" w:styleId="FootnoteText100">
    <w:name w:val="Footnote Text100"/>
    <w:rsid w:val="007C5164"/>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