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24102" w:rsidRPr="00A81848" w:rsidP="00524102" w14:paraId="75DA956B" w14:textId="77777777">
      <w:pPr>
        <w:widowControl/>
        <w:jc w:val="center"/>
        <w:rPr>
          <w:b/>
          <w:szCs w:val="24"/>
        </w:rPr>
      </w:pPr>
      <w:r w:rsidRPr="00A81848">
        <w:rPr>
          <w:b/>
          <w:szCs w:val="24"/>
        </w:rPr>
        <w:t>Before the</w:t>
      </w:r>
    </w:p>
    <w:p w:rsidR="00524102" w:rsidRPr="00A81848" w:rsidP="00524102" w14:paraId="5DA31072" w14:textId="77777777">
      <w:pPr>
        <w:jc w:val="center"/>
        <w:rPr>
          <w:b/>
          <w:szCs w:val="24"/>
        </w:rPr>
      </w:pPr>
      <w:r w:rsidRPr="00A81848">
        <w:rPr>
          <w:b/>
          <w:szCs w:val="24"/>
        </w:rPr>
        <w:t>Federal Communications Commission</w:t>
      </w:r>
    </w:p>
    <w:p w:rsidR="00524102" w:rsidRPr="00A81848" w:rsidP="00524102" w14:paraId="53BAD8E1" w14:textId="77777777">
      <w:pPr>
        <w:jc w:val="center"/>
        <w:rPr>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524102" w:rsidRPr="001106B2" w:rsidP="00524102" w14:paraId="421F060E" w14:textId="77777777">
      <w:r>
        <w:t xml:space="preserve">  </w:t>
      </w:r>
    </w:p>
    <w:tbl>
      <w:tblPr>
        <w:tblW w:w="20754" w:type="dxa"/>
        <w:tblLayout w:type="fixed"/>
        <w:tblLook w:val="0000"/>
      </w:tblPr>
      <w:tblGrid>
        <w:gridCol w:w="4698"/>
        <w:gridCol w:w="810"/>
        <w:gridCol w:w="5850"/>
        <w:gridCol w:w="4698"/>
        <w:gridCol w:w="4698"/>
      </w:tblGrid>
      <w:tr w14:paraId="22237A6C" w14:textId="77777777" w:rsidTr="000B3E31">
        <w:tblPrEx>
          <w:tblW w:w="20754" w:type="dxa"/>
          <w:tblLayout w:type="fixed"/>
          <w:tblLook w:val="0000"/>
        </w:tblPrEx>
        <w:tc>
          <w:tcPr>
            <w:tcW w:w="4698" w:type="dxa"/>
          </w:tcPr>
          <w:p w:rsidR="00524102" w:rsidP="000B3E31" w14:paraId="3B382A84" w14:textId="77777777">
            <w:pPr>
              <w:tabs>
                <w:tab w:val="center" w:pos="4680"/>
              </w:tabs>
              <w:suppressAutoHyphens/>
              <w:rPr>
                <w:spacing w:val="-2"/>
                <w:szCs w:val="22"/>
              </w:rPr>
            </w:pPr>
            <w:r>
              <w:rPr>
                <w:spacing w:val="-2"/>
                <w:szCs w:val="22"/>
              </w:rPr>
              <w:t>In the Matter of</w:t>
            </w:r>
          </w:p>
          <w:p w:rsidR="00524102" w:rsidP="000B3E31" w14:paraId="74C3E536" w14:textId="77777777">
            <w:pPr>
              <w:tabs>
                <w:tab w:val="center" w:pos="4680"/>
              </w:tabs>
              <w:suppressAutoHyphens/>
              <w:rPr>
                <w:kern w:val="0"/>
                <w:szCs w:val="22"/>
              </w:rPr>
            </w:pPr>
          </w:p>
          <w:p w:rsidR="00524102" w:rsidRPr="00503DA8" w:rsidP="000B3E31" w14:paraId="1A3D51F7" w14:textId="77777777">
            <w:pPr>
              <w:tabs>
                <w:tab w:val="center" w:pos="4680"/>
              </w:tabs>
              <w:suppressAutoHyphens/>
              <w:rPr>
                <w:kern w:val="0"/>
                <w:szCs w:val="22"/>
              </w:rPr>
            </w:pPr>
            <w:r>
              <w:rPr>
                <w:kern w:val="0"/>
                <w:szCs w:val="22"/>
              </w:rPr>
              <w:t>Teliax Colorado, LLC</w:t>
            </w:r>
          </w:p>
          <w:p w:rsidR="00524102" w:rsidRPr="00503DA8" w:rsidP="000B3E31" w14:paraId="3D7E2242" w14:textId="77777777">
            <w:pPr>
              <w:tabs>
                <w:tab w:val="center" w:pos="4680"/>
              </w:tabs>
              <w:suppressAutoHyphens/>
              <w:rPr>
                <w:kern w:val="0"/>
                <w:szCs w:val="22"/>
              </w:rPr>
            </w:pPr>
            <w:r w:rsidRPr="00503DA8">
              <w:rPr>
                <w:kern w:val="0"/>
                <w:szCs w:val="22"/>
              </w:rPr>
              <w:t>Tariff F.C.C. No. 1</w:t>
            </w:r>
          </w:p>
          <w:p w:rsidR="00524102" w:rsidP="000B3E31" w14:paraId="2AF51A4A" w14:textId="77777777">
            <w:pPr>
              <w:tabs>
                <w:tab w:val="center" w:pos="4680"/>
              </w:tabs>
              <w:suppressAutoHyphens/>
              <w:rPr>
                <w:spacing w:val="-2"/>
                <w:szCs w:val="22"/>
              </w:rPr>
            </w:pPr>
          </w:p>
        </w:tc>
        <w:tc>
          <w:tcPr>
            <w:tcW w:w="810" w:type="dxa"/>
          </w:tcPr>
          <w:p w:rsidR="00524102" w:rsidP="000B3E31" w14:paraId="17FE5A55" w14:textId="77777777">
            <w:pPr>
              <w:tabs>
                <w:tab w:val="center" w:pos="4680"/>
              </w:tabs>
              <w:suppressAutoHyphens/>
              <w:rPr>
                <w:b/>
                <w:spacing w:val="-2"/>
                <w:szCs w:val="22"/>
              </w:rPr>
            </w:pPr>
            <w:r>
              <w:rPr>
                <w:b/>
                <w:spacing w:val="-2"/>
                <w:szCs w:val="22"/>
              </w:rPr>
              <w:t>)</w:t>
            </w:r>
          </w:p>
          <w:p w:rsidR="00524102" w:rsidP="000B3E31" w14:paraId="13DC335E" w14:textId="77777777">
            <w:pPr>
              <w:tabs>
                <w:tab w:val="center" w:pos="4680"/>
              </w:tabs>
              <w:suppressAutoHyphens/>
              <w:rPr>
                <w:b/>
                <w:spacing w:val="-2"/>
                <w:szCs w:val="22"/>
              </w:rPr>
            </w:pPr>
            <w:r>
              <w:rPr>
                <w:b/>
                <w:spacing w:val="-2"/>
                <w:szCs w:val="22"/>
              </w:rPr>
              <w:t>)</w:t>
            </w:r>
          </w:p>
          <w:p w:rsidR="00524102" w:rsidP="000B3E31" w14:paraId="01AB5161" w14:textId="77777777">
            <w:pPr>
              <w:tabs>
                <w:tab w:val="center" w:pos="4680"/>
              </w:tabs>
              <w:suppressAutoHyphens/>
              <w:rPr>
                <w:b/>
                <w:spacing w:val="-2"/>
                <w:szCs w:val="22"/>
              </w:rPr>
            </w:pPr>
            <w:r>
              <w:rPr>
                <w:b/>
                <w:spacing w:val="-2"/>
                <w:szCs w:val="22"/>
              </w:rPr>
              <w:t>)</w:t>
            </w:r>
          </w:p>
          <w:p w:rsidR="00524102" w:rsidP="000B3E31" w14:paraId="245D9A81" w14:textId="77777777">
            <w:pPr>
              <w:tabs>
                <w:tab w:val="center" w:pos="4680"/>
              </w:tabs>
              <w:suppressAutoHyphens/>
              <w:rPr>
                <w:b/>
                <w:spacing w:val="-2"/>
                <w:szCs w:val="22"/>
              </w:rPr>
            </w:pPr>
            <w:r>
              <w:rPr>
                <w:b/>
                <w:spacing w:val="-2"/>
                <w:szCs w:val="22"/>
              </w:rPr>
              <w:t>)</w:t>
            </w:r>
          </w:p>
          <w:p w:rsidR="00524102" w:rsidP="000B3E31" w14:paraId="35FD1D69" w14:textId="77777777">
            <w:pPr>
              <w:tabs>
                <w:tab w:val="center" w:pos="4680"/>
              </w:tabs>
              <w:suppressAutoHyphens/>
              <w:rPr>
                <w:b/>
                <w:spacing w:val="-2"/>
                <w:szCs w:val="22"/>
              </w:rPr>
            </w:pPr>
            <w:r>
              <w:rPr>
                <w:b/>
                <w:spacing w:val="-2"/>
                <w:szCs w:val="22"/>
              </w:rPr>
              <w:t>)</w:t>
            </w:r>
          </w:p>
          <w:p w:rsidR="00524102" w:rsidP="000B3E31" w14:paraId="4A5E07C1" w14:textId="77777777">
            <w:pPr>
              <w:tabs>
                <w:tab w:val="center" w:pos="4680"/>
              </w:tabs>
              <w:suppressAutoHyphens/>
              <w:rPr>
                <w:b/>
                <w:spacing w:val="-2"/>
                <w:szCs w:val="22"/>
              </w:rPr>
            </w:pPr>
          </w:p>
        </w:tc>
        <w:tc>
          <w:tcPr>
            <w:tcW w:w="5850" w:type="dxa"/>
          </w:tcPr>
          <w:p w:rsidR="004B0284" w:rsidP="00E53599" w14:paraId="145C6350" w14:textId="77777777">
            <w:pPr>
              <w:tabs>
                <w:tab w:val="center" w:pos="4680"/>
              </w:tabs>
              <w:suppressAutoHyphens/>
              <w:ind w:left="-108"/>
              <w:rPr>
                <w:spacing w:val="-2"/>
                <w:szCs w:val="22"/>
              </w:rPr>
            </w:pPr>
          </w:p>
          <w:p w:rsidR="00E53599" w:rsidRPr="00E53599" w:rsidP="00E53599" w14:paraId="375AB2A1" w14:textId="77777777">
            <w:pPr>
              <w:tabs>
                <w:tab w:val="center" w:pos="4680"/>
              </w:tabs>
              <w:suppressAutoHyphens/>
              <w:ind w:left="-108"/>
              <w:rPr>
                <w:spacing w:val="-2"/>
                <w:szCs w:val="22"/>
              </w:rPr>
            </w:pPr>
            <w:r w:rsidRPr="00E53599">
              <w:rPr>
                <w:spacing w:val="-2"/>
                <w:szCs w:val="22"/>
              </w:rPr>
              <w:t>WCB Pricing File No. 21-01</w:t>
            </w:r>
          </w:p>
          <w:p w:rsidR="00524102" w:rsidP="00524102" w14:paraId="2D8397AA" w14:textId="77777777">
            <w:pPr>
              <w:tabs>
                <w:tab w:val="center" w:pos="4680"/>
              </w:tabs>
              <w:suppressAutoHyphens/>
              <w:ind w:left="-108"/>
              <w:rPr>
                <w:spacing w:val="-2"/>
                <w:szCs w:val="22"/>
              </w:rPr>
            </w:pPr>
          </w:p>
          <w:p w:rsidR="00051D30" w:rsidP="00E53599" w14:paraId="2C5E320C" w14:textId="77777777">
            <w:pPr>
              <w:tabs>
                <w:tab w:val="center" w:pos="4680"/>
              </w:tabs>
              <w:suppressAutoHyphens/>
              <w:ind w:left="-108" w:firstLine="3"/>
              <w:rPr>
                <w:spacing w:val="-2"/>
                <w:szCs w:val="22"/>
              </w:rPr>
            </w:pPr>
            <w:r>
              <w:rPr>
                <w:spacing w:val="-2"/>
                <w:szCs w:val="22"/>
              </w:rPr>
              <w:t>Transmittal No. 7</w:t>
            </w:r>
          </w:p>
          <w:p w:rsidR="00524102" w:rsidP="000B3E31" w14:paraId="34B2AF4E" w14:textId="77777777">
            <w:pPr>
              <w:tabs>
                <w:tab w:val="center" w:pos="4680"/>
              </w:tabs>
              <w:suppressAutoHyphens/>
              <w:ind w:left="-108" w:firstLine="3"/>
              <w:rPr>
                <w:spacing w:val="-2"/>
                <w:szCs w:val="22"/>
              </w:rPr>
            </w:pPr>
          </w:p>
          <w:p w:rsidR="00524102" w:rsidP="000B3E31" w14:paraId="45FC1EF9" w14:textId="77777777">
            <w:pPr>
              <w:tabs>
                <w:tab w:val="center" w:pos="4680"/>
              </w:tabs>
              <w:suppressAutoHyphens/>
              <w:rPr>
                <w:spacing w:val="-2"/>
                <w:szCs w:val="22"/>
              </w:rPr>
            </w:pPr>
          </w:p>
        </w:tc>
        <w:tc>
          <w:tcPr>
            <w:tcW w:w="4698" w:type="dxa"/>
          </w:tcPr>
          <w:p w:rsidR="00524102" w:rsidRPr="001106B2" w:rsidP="000B3E31" w14:paraId="743D15EA" w14:textId="77777777">
            <w:pPr>
              <w:snapToGrid w:val="0"/>
            </w:pPr>
          </w:p>
        </w:tc>
        <w:tc>
          <w:tcPr>
            <w:tcW w:w="4698" w:type="dxa"/>
          </w:tcPr>
          <w:p w:rsidR="00524102" w:rsidRPr="001106B2" w:rsidP="000B3E31" w14:paraId="667E9B94" w14:textId="77777777">
            <w:pPr>
              <w:rPr>
                <w:b/>
              </w:rPr>
            </w:pPr>
          </w:p>
        </w:tc>
      </w:tr>
    </w:tbl>
    <w:p w:rsidR="008B7427" w:rsidP="008B7427" w14:paraId="461C4C2A" w14:textId="77777777">
      <w:pPr>
        <w:spacing w:before="120"/>
        <w:jc w:val="center"/>
        <w:rPr>
          <w:b/>
          <w:spacing w:val="-2"/>
          <w:szCs w:val="24"/>
        </w:rPr>
      </w:pPr>
      <w:r w:rsidRPr="00F415B0">
        <w:rPr>
          <w:b/>
          <w:spacing w:val="-2"/>
          <w:szCs w:val="24"/>
        </w:rPr>
        <w:t xml:space="preserve">ORDER </w:t>
      </w:r>
    </w:p>
    <w:p w:rsidR="008B7427" w:rsidRPr="00C27F15" w:rsidP="008B7427" w14:paraId="46A2B34F" w14:textId="77777777">
      <w:pPr>
        <w:spacing w:before="120"/>
        <w:jc w:val="center"/>
        <w:rPr>
          <w:b/>
          <w:szCs w:val="24"/>
        </w:rPr>
      </w:pPr>
    </w:p>
    <w:p w:rsidR="008B7427" w:rsidP="008B7427" w14:paraId="6AC5C58C" w14:textId="77777777">
      <w:pPr>
        <w:tabs>
          <w:tab w:val="left" w:pos="5760"/>
        </w:tabs>
        <w:rPr>
          <w:b/>
          <w:szCs w:val="24"/>
        </w:rPr>
      </w:pPr>
      <w:r w:rsidRPr="00A81848">
        <w:rPr>
          <w:b/>
          <w:szCs w:val="24"/>
        </w:rPr>
        <w:t xml:space="preserve">Adopted:  </w:t>
      </w:r>
      <w:r w:rsidR="004B288A">
        <w:rPr>
          <w:b/>
          <w:szCs w:val="24"/>
        </w:rPr>
        <w:t xml:space="preserve">May </w:t>
      </w:r>
      <w:r w:rsidR="00462E90">
        <w:rPr>
          <w:b/>
          <w:szCs w:val="24"/>
        </w:rPr>
        <w:t>7</w:t>
      </w:r>
      <w:r w:rsidRPr="007F4C47">
        <w:rPr>
          <w:b/>
          <w:szCs w:val="24"/>
        </w:rPr>
        <w:t>, 202</w:t>
      </w:r>
      <w:r w:rsidRPr="007F4C47" w:rsidR="000051B6">
        <w:rPr>
          <w:b/>
          <w:szCs w:val="24"/>
        </w:rPr>
        <w:t>1</w:t>
      </w:r>
      <w:r w:rsidRPr="007F4C47">
        <w:rPr>
          <w:b/>
          <w:szCs w:val="24"/>
        </w:rPr>
        <w:tab/>
      </w:r>
      <w:r w:rsidRPr="007F4C47">
        <w:rPr>
          <w:b/>
          <w:szCs w:val="24"/>
        </w:rPr>
        <w:tab/>
        <w:t xml:space="preserve">Released:  </w:t>
      </w:r>
      <w:r w:rsidR="004B288A">
        <w:rPr>
          <w:b/>
          <w:szCs w:val="24"/>
        </w:rPr>
        <w:t xml:space="preserve">May </w:t>
      </w:r>
      <w:r w:rsidR="00462E90">
        <w:rPr>
          <w:b/>
          <w:szCs w:val="24"/>
        </w:rPr>
        <w:t>7</w:t>
      </w:r>
      <w:r w:rsidRPr="007F4C47">
        <w:rPr>
          <w:b/>
          <w:szCs w:val="24"/>
        </w:rPr>
        <w:t>, 202</w:t>
      </w:r>
      <w:r w:rsidRPr="007F4C47" w:rsidR="000051B6">
        <w:rPr>
          <w:b/>
          <w:szCs w:val="24"/>
        </w:rPr>
        <w:t>1</w:t>
      </w:r>
    </w:p>
    <w:p w:rsidR="000833CB" w:rsidP="008B7427" w14:paraId="4038829F" w14:textId="77777777">
      <w:pPr>
        <w:tabs>
          <w:tab w:val="left" w:pos="5760"/>
        </w:tabs>
        <w:rPr>
          <w:b/>
          <w:bCs/>
          <w:szCs w:val="24"/>
        </w:rPr>
      </w:pPr>
    </w:p>
    <w:p w:rsidR="000833CB" w:rsidP="000833CB" w14:paraId="52F7E3DA" w14:textId="77777777">
      <w:pPr>
        <w:tabs>
          <w:tab w:val="left" w:pos="5760"/>
        </w:tabs>
        <w:rPr>
          <w:snapToGrid/>
          <w:spacing w:val="-2"/>
          <w:szCs w:val="24"/>
        </w:rPr>
      </w:pPr>
      <w:r>
        <w:rPr>
          <w:szCs w:val="24"/>
        </w:rPr>
        <w:t xml:space="preserve">By the </w:t>
      </w:r>
      <w:r>
        <w:rPr>
          <w:spacing w:val="-2"/>
          <w:szCs w:val="24"/>
        </w:rPr>
        <w:t>Chief, Pricing Policy Division:</w:t>
      </w:r>
    </w:p>
    <w:p w:rsidR="00524102" w:rsidRPr="00A81848" w:rsidP="00524102" w14:paraId="0AED1716" w14:textId="77777777">
      <w:pPr>
        <w:tabs>
          <w:tab w:val="left" w:pos="5760"/>
        </w:tabs>
        <w:rPr>
          <w:spacing w:val="-2"/>
          <w:szCs w:val="24"/>
        </w:rPr>
      </w:pPr>
    </w:p>
    <w:p w:rsidR="00524102" w:rsidRPr="00A81848" w:rsidP="00524102" w14:paraId="449B6841" w14:textId="77777777">
      <w:pPr>
        <w:pStyle w:val="Heading1"/>
        <w:rPr>
          <w:szCs w:val="24"/>
        </w:rPr>
      </w:pPr>
      <w:r w:rsidRPr="00A81848">
        <w:rPr>
          <w:szCs w:val="24"/>
        </w:rPr>
        <w:t>INTRODUCTION</w:t>
      </w:r>
    </w:p>
    <w:p w:rsidR="00005890" w:rsidRPr="004125AB" w:rsidP="00A02E8D" w14:paraId="18FB6779" w14:textId="77777777">
      <w:pPr>
        <w:pStyle w:val="ParaNum"/>
      </w:pPr>
      <w:r>
        <w:t xml:space="preserve">On </w:t>
      </w:r>
      <w:r w:rsidR="004B288A">
        <w:t>April 23</w:t>
      </w:r>
      <w:r>
        <w:t xml:space="preserve">, </w:t>
      </w:r>
      <w:r w:rsidR="00AF6216">
        <w:t xml:space="preserve">2021, </w:t>
      </w:r>
      <w:r>
        <w:t xml:space="preserve">Teliax Colorado, LLC </w:t>
      </w:r>
      <w:r w:rsidR="007228B3">
        <w:t>(Teliax)</w:t>
      </w:r>
      <w:r w:rsidR="00324929">
        <w:t>,</w:t>
      </w:r>
      <w:r w:rsidR="007228B3">
        <w:t xml:space="preserve"> </w:t>
      </w:r>
      <w:r w:rsidR="00324929">
        <w:t xml:space="preserve">a competitive local exchange carrier (LEC), </w:t>
      </w:r>
      <w:r>
        <w:t xml:space="preserve">filed </w:t>
      </w:r>
      <w:r w:rsidR="00324929">
        <w:t>revisions to its Tariff F</w:t>
      </w:r>
      <w:r w:rsidR="00300BDB">
        <w:t>.</w:t>
      </w:r>
      <w:r w:rsidR="00324929">
        <w:t>C</w:t>
      </w:r>
      <w:r w:rsidR="00300BDB">
        <w:t>.</w:t>
      </w:r>
      <w:r w:rsidR="00324929">
        <w:t>C</w:t>
      </w:r>
      <w:r w:rsidR="00300BDB">
        <w:t>.</w:t>
      </w:r>
      <w:r w:rsidR="00324929">
        <w:t xml:space="preserve"> No. 1 in </w:t>
      </w:r>
      <w:r>
        <w:t xml:space="preserve">Transmittal No. </w:t>
      </w:r>
      <w:r w:rsidR="00854C5A">
        <w:t>7</w:t>
      </w:r>
      <w:r>
        <w:t xml:space="preserve"> to “</w:t>
      </w:r>
      <w:r w:rsidR="004B288A">
        <w:t xml:space="preserve">enable </w:t>
      </w:r>
      <w:r w:rsidR="006B0BF7">
        <w:t>[interexchange carriers (</w:t>
      </w:r>
      <w:r w:rsidR="004B288A">
        <w:t>IXCs</w:t>
      </w:r>
      <w:r w:rsidR="006B0BF7">
        <w:t>)]</w:t>
      </w:r>
      <w:r w:rsidR="004B288A">
        <w:t xml:space="preserve"> to connect with Teliax’s tandem using [</w:t>
      </w:r>
      <w:r w:rsidRPr="006F4025" w:rsidR="004B288A">
        <w:t>Session Initiated Protocol</w:t>
      </w:r>
      <w:r w:rsidR="004B288A">
        <w:t xml:space="preserve"> (SIP)] connections and to use those interconnection points to exchange traffic with end offices in </w:t>
      </w:r>
      <w:r>
        <w:t xml:space="preserve">one or more </w:t>
      </w:r>
      <w:r w:rsidR="006F4025">
        <w:t>[</w:t>
      </w:r>
      <w:r w:rsidRPr="006F4025" w:rsidR="006F4025">
        <w:t>Local Access and Transport Area</w:t>
      </w:r>
      <w:r w:rsidR="006F4025">
        <w:t>s (</w:t>
      </w:r>
      <w:r>
        <w:t>LATA</w:t>
      </w:r>
      <w:r w:rsidR="006F4025">
        <w:t>)]</w:t>
      </w:r>
      <w:r>
        <w:t>.”</w:t>
      </w:r>
      <w:r>
        <w:rPr>
          <w:rStyle w:val="FootnoteReference"/>
        </w:rPr>
        <w:footnoteReference w:id="3"/>
      </w:r>
      <w:r>
        <w:t xml:space="preserve"> </w:t>
      </w:r>
      <w:r w:rsidR="00517E28">
        <w:t xml:space="preserve"> </w:t>
      </w:r>
      <w:r w:rsidR="00324929">
        <w:t xml:space="preserve">Among </w:t>
      </w:r>
      <w:r w:rsidR="007228B3">
        <w:t>other defects</w:t>
      </w:r>
      <w:r w:rsidR="0093617A">
        <w:t>,</w:t>
      </w:r>
      <w:r w:rsidR="00D77E1A">
        <w:t xml:space="preserve"> </w:t>
      </w:r>
      <w:r w:rsidR="00F41A57">
        <w:t xml:space="preserve">the proposed tariff revisions </w:t>
      </w:r>
      <w:r w:rsidR="00462E90">
        <w:t xml:space="preserve">include charges for services falling outside of the regulated interstate switched access charge regime, in violation of the </w:t>
      </w:r>
      <w:bookmarkStart w:id="0" w:name="_Hlk70934913"/>
      <w:r w:rsidRPr="0066438F" w:rsidR="00F41A57">
        <w:rPr>
          <w:i/>
          <w:iCs/>
        </w:rPr>
        <w:t>USF/ICC Transformation Order</w:t>
      </w:r>
      <w:bookmarkEnd w:id="0"/>
      <w:r w:rsidR="00F41A57">
        <w:t>.</w:t>
      </w:r>
      <w:r>
        <w:rPr>
          <w:rStyle w:val="FootnoteReference"/>
        </w:rPr>
        <w:footnoteReference w:id="4"/>
      </w:r>
      <w:r w:rsidR="00F41A57">
        <w:t xml:space="preserve">  Because the proposed </w:t>
      </w:r>
      <w:r w:rsidR="00462E90">
        <w:t>t</w:t>
      </w:r>
      <w:r w:rsidR="00F41A57">
        <w:t xml:space="preserve">ariff </w:t>
      </w:r>
      <w:r w:rsidR="00462E90">
        <w:t xml:space="preserve">revisions include charges for services that </w:t>
      </w:r>
      <w:r w:rsidR="006B0BF7">
        <w:t xml:space="preserve">may </w:t>
      </w:r>
      <w:r w:rsidR="00462E90">
        <w:t xml:space="preserve">not </w:t>
      </w:r>
      <w:r w:rsidR="006B0BF7">
        <w:t>be</w:t>
      </w:r>
      <w:r w:rsidR="00462E90">
        <w:t xml:space="preserve"> tariffed</w:t>
      </w:r>
      <w:r w:rsidR="00F41A57">
        <w:t xml:space="preserve">, we reject </w:t>
      </w:r>
      <w:r w:rsidR="00D658EC">
        <w:t xml:space="preserve">Transmittal No. 7 </w:t>
      </w:r>
      <w:r w:rsidR="00F41A57">
        <w:t xml:space="preserve">in its entirety. </w:t>
      </w:r>
    </w:p>
    <w:p w:rsidR="004125AB" w:rsidP="004125AB" w14:paraId="7FBD48F9" w14:textId="77777777">
      <w:pPr>
        <w:pStyle w:val="Heading1"/>
      </w:pPr>
      <w:r>
        <w:t>BACKGROUND</w:t>
      </w:r>
    </w:p>
    <w:p w:rsidR="009C53AC" w:rsidP="00A02E8D" w14:paraId="1BA56541" w14:textId="77777777">
      <w:pPr>
        <w:pStyle w:val="ParaNum"/>
        <w:widowControl/>
      </w:pPr>
      <w:r>
        <w:t>In</w:t>
      </w:r>
      <w:r w:rsidRPr="000F7F93">
        <w:t xml:space="preserve"> the 2011 </w:t>
      </w:r>
      <w:r w:rsidRPr="001B20EE">
        <w:rPr>
          <w:i/>
        </w:rPr>
        <w:t xml:space="preserve">USF/ICC </w:t>
      </w:r>
      <w:r w:rsidRPr="003144FA">
        <w:rPr>
          <w:i/>
          <w:iCs/>
        </w:rPr>
        <w:t>Transformation</w:t>
      </w:r>
      <w:r w:rsidRPr="004B0284">
        <w:rPr>
          <w:i/>
          <w:iCs/>
        </w:rPr>
        <w:t xml:space="preserve"> </w:t>
      </w:r>
      <w:r w:rsidRPr="001B20EE">
        <w:rPr>
          <w:i/>
        </w:rPr>
        <w:t>Order</w:t>
      </w:r>
      <w:r w:rsidRPr="000F7F93">
        <w:t xml:space="preserve">, </w:t>
      </w:r>
      <w:r>
        <w:t>t</w:t>
      </w:r>
      <w:r w:rsidRPr="000F7F93">
        <w:t xml:space="preserve">he Commission </w:t>
      </w:r>
      <w:r>
        <w:t xml:space="preserve">comprehensively </w:t>
      </w:r>
      <w:r w:rsidRPr="000F7F93">
        <w:t>reform</w:t>
      </w:r>
      <w:r>
        <w:t>ed</w:t>
      </w:r>
      <w:r w:rsidRPr="000F7F93">
        <w:t xml:space="preserve"> </w:t>
      </w:r>
      <w:r>
        <w:t>the intercarrier compensation system</w:t>
      </w:r>
      <w:r w:rsidRPr="000F7F93">
        <w:t xml:space="preserve"> by adopting bill-and-keep “as the default methodology for all inte</w:t>
      </w:r>
      <w:r w:rsidRPr="000F7F93">
        <w:t>rcarrier compensation traffic.”</w:t>
      </w:r>
      <w:r>
        <w:rPr>
          <w:sz w:val="20"/>
          <w:vertAlign w:val="superscript"/>
        </w:rPr>
        <w:footnoteReference w:id="5"/>
      </w:r>
      <w:r w:rsidRPr="000F7F93">
        <w:t xml:space="preserve">  </w:t>
      </w:r>
      <w:r>
        <w:t>As part of that comprehensive reform, the Commission adopted a prospective intercarrier compensation framework for certain voice over Internet protocol (VoIP) traffic, which it called VoIP-public switched telecommunicatio</w:t>
      </w:r>
      <w:r>
        <w:t>ns network (PSTN) traffic.</w:t>
      </w:r>
      <w:r>
        <w:rPr>
          <w:rStyle w:val="FootnoteReference"/>
        </w:rPr>
        <w:footnoteReference w:id="6"/>
      </w:r>
      <w:r>
        <w:t xml:space="preserve">  The Commission defined “VoIP-PSTN traffic” as “traffic exchanged over PSTN facilities that originates and/or terminates in IP format.”</w:t>
      </w:r>
      <w:r>
        <w:rPr>
          <w:rStyle w:val="FootnoteReference"/>
        </w:rPr>
        <w:footnoteReference w:id="7"/>
      </w:r>
      <w:r>
        <w:t xml:space="preserve">  The Commission focused specifically on whether the exchange of traffic between a local exchange carr</w:t>
      </w:r>
      <w:r w:rsidR="00557C3A">
        <w:t>i</w:t>
      </w:r>
      <w:r>
        <w:t xml:space="preserve">er and another </w:t>
      </w:r>
      <w:r>
        <w:t>carrier occurs in Time-Division Multiplexing (TDM) format (and not in IP format).</w:t>
      </w:r>
      <w:r>
        <w:rPr>
          <w:rStyle w:val="FootnoteReference"/>
        </w:rPr>
        <w:footnoteReference w:id="8"/>
      </w:r>
      <w:r>
        <w:t xml:space="preserve"> </w:t>
      </w:r>
      <w:r w:rsidR="00A51687">
        <w:t xml:space="preserve"> Confirming this approach, it </w:t>
      </w:r>
      <w:r w:rsidR="00053E58">
        <w:t xml:space="preserve">explained </w:t>
      </w:r>
      <w:r w:rsidR="00A51687">
        <w:t xml:space="preserve">that, in the context of the VoIP-PSTN intercarrier </w:t>
      </w:r>
      <w:r w:rsidR="00A51687">
        <w:t xml:space="preserve">compensation regime, the reference to “PSTN” referred to the exchange of traffic between carriers in </w:t>
      </w:r>
      <w:r w:rsidR="004B0284">
        <w:t xml:space="preserve">a </w:t>
      </w:r>
      <w:r w:rsidR="00A51687">
        <w:t>TDM format.</w:t>
      </w:r>
      <w:r>
        <w:rPr>
          <w:rStyle w:val="FootnoteReference"/>
        </w:rPr>
        <w:footnoteReference w:id="9"/>
      </w:r>
      <w:r w:rsidR="00A51687">
        <w:t xml:space="preserve">  </w:t>
      </w:r>
      <w:r>
        <w:t xml:space="preserve"> </w:t>
      </w:r>
    </w:p>
    <w:p w:rsidR="001B20EE" w:rsidP="00A02E8D" w14:paraId="332A3E90" w14:textId="77777777">
      <w:pPr>
        <w:pStyle w:val="ParaNum"/>
      </w:pPr>
      <w:bookmarkStart w:id="1" w:name="_Hlk71132067"/>
      <w:r>
        <w:t>The Commission also addressed the role of tariffs for VoIP-PSTN traffic during the transition to a bill-and-keep regime.</w:t>
      </w:r>
      <w:r>
        <w:rPr>
          <w:rStyle w:val="FootnoteReference"/>
        </w:rPr>
        <w:footnoteReference w:id="10"/>
      </w:r>
      <w:r>
        <w:t xml:space="preserve">  </w:t>
      </w:r>
      <w:r w:rsidR="00BB6A9E">
        <w:t xml:space="preserve">It </w:t>
      </w:r>
      <w:r w:rsidR="009C53AC">
        <w:t xml:space="preserve">explained that carriers may tariff charges </w:t>
      </w:r>
      <w:r w:rsidR="00053E58">
        <w:t xml:space="preserve">for toll VoIP-PSTN traffic </w:t>
      </w:r>
      <w:r w:rsidR="009C53AC">
        <w:t>at rates equal to interstate access rates in federal or state tariffs but remain free to negotiate interconnection agreements specifying alternative compensation for that traffic.</w:t>
      </w:r>
      <w:r>
        <w:rPr>
          <w:rStyle w:val="FootnoteReference"/>
        </w:rPr>
        <w:footnoteReference w:id="11"/>
      </w:r>
      <w:r w:rsidR="009C53AC">
        <w:t xml:space="preserve">  </w:t>
      </w:r>
      <w:r w:rsidR="00395422">
        <w:t>Under this approach</w:t>
      </w:r>
      <w:r w:rsidR="009C53AC">
        <w:t xml:space="preserve">, </w:t>
      </w:r>
      <w:r w:rsidR="00191748">
        <w:t>carriers</w:t>
      </w:r>
      <w:r w:rsidR="009C53AC">
        <w:t xml:space="preserve"> are permitted to file tariffs </w:t>
      </w:r>
      <w:r w:rsidR="00BB6A9E">
        <w:t>providing</w:t>
      </w:r>
      <w:r w:rsidR="009C53AC">
        <w:t xml:space="preserve"> that, in the absence of an interconnection agreement, toll VoIP-PSTN traffic will be subject to </w:t>
      </w:r>
      <w:r w:rsidR="00053E58">
        <w:t xml:space="preserve">rates that are </w:t>
      </w:r>
      <w:r w:rsidR="009C53AC">
        <w:t>not more than originating and terminating interstate access rates.</w:t>
      </w:r>
      <w:r>
        <w:rPr>
          <w:rStyle w:val="FootnoteReference"/>
        </w:rPr>
        <w:footnoteReference w:id="12"/>
      </w:r>
      <w:r w:rsidR="009C53AC">
        <w:t xml:space="preserve">  </w:t>
      </w:r>
      <w:r w:rsidR="00BB6A9E">
        <w:t>The Commission specified that, f</w:t>
      </w:r>
      <w:r w:rsidR="009C53AC">
        <w:t>or interstate toll VoIP-PSTN traffic, the relevant language will be included in a tariff filed with the Commission, and for intrastate toll VoIP-PSTN traffic, the rates may be included in a state tariff.</w:t>
      </w:r>
      <w:r>
        <w:rPr>
          <w:rStyle w:val="FootnoteReference"/>
        </w:rPr>
        <w:footnoteReference w:id="13"/>
      </w:r>
      <w:r w:rsidR="00A51687">
        <w:t xml:space="preserve"> </w:t>
      </w:r>
      <w:r w:rsidR="00395422">
        <w:t xml:space="preserve"> That discussion did not extend to traffic falling outside of the VoIP-PSTN category.  Thus, the Commission explicitly allowed </w:t>
      </w:r>
      <w:r w:rsidR="00053E58">
        <w:t xml:space="preserve">(but did not require) </w:t>
      </w:r>
      <w:r w:rsidR="00395422">
        <w:t>carriers to tariff VoIP-PSTN traffic during the transition to bill-and-keep, but made no such allowances for traffic that</w:t>
      </w:r>
      <w:bookmarkEnd w:id="1"/>
      <w:r w:rsidR="00001625">
        <w:t xml:space="preserve"> d</w:t>
      </w:r>
      <w:r w:rsidR="00247A8C">
        <w:t>oes</w:t>
      </w:r>
      <w:r w:rsidR="00001625">
        <w:t xml:space="preserve"> not</w:t>
      </w:r>
      <w:r w:rsidR="0004045B">
        <w:t xml:space="preserve"> touch the PSTN</w:t>
      </w:r>
      <w:r w:rsidR="00395422">
        <w:t>.</w:t>
      </w:r>
    </w:p>
    <w:p w:rsidR="004125AB" w:rsidRPr="001B20EE" w:rsidP="00A02E8D" w14:paraId="76AEECE1" w14:textId="77777777">
      <w:pPr>
        <w:pStyle w:val="ParaNum"/>
      </w:pPr>
      <w:r>
        <w:t>The proposed tariff revisions were filed on 15-</w:t>
      </w:r>
      <w:r w:rsidR="00FE0040">
        <w:t>days’ notice</w:t>
      </w:r>
      <w:r>
        <w:t xml:space="preserve"> and, as such, ab</w:t>
      </w:r>
      <w:r>
        <w:t xml:space="preserve">sent Commission action, the proposed </w:t>
      </w:r>
      <w:r w:rsidRPr="005C5060" w:rsidR="005C5060">
        <w:t xml:space="preserve">tariff </w:t>
      </w:r>
      <w:r w:rsidR="00B8529F">
        <w:t xml:space="preserve">revisions </w:t>
      </w:r>
      <w:r w:rsidR="00AF2985">
        <w:t xml:space="preserve">would </w:t>
      </w:r>
      <w:r w:rsidRPr="001B20EE" w:rsidR="005C5060">
        <w:t xml:space="preserve">become effective on </w:t>
      </w:r>
      <w:r w:rsidRPr="001B20EE" w:rsidR="007B6CBF">
        <w:t>May 8</w:t>
      </w:r>
      <w:r w:rsidRPr="001B20EE" w:rsidR="005C5060">
        <w:t>, 2021.</w:t>
      </w:r>
      <w:r>
        <w:rPr>
          <w:rStyle w:val="FootnoteReference"/>
        </w:rPr>
        <w:footnoteReference w:id="14"/>
      </w:r>
      <w:r w:rsidRPr="001B20EE" w:rsidR="005F3CDA">
        <w:t xml:space="preserve">  </w:t>
      </w:r>
      <w:r w:rsidRPr="001B20EE" w:rsidR="004751C4">
        <w:t>Section 3.3 of t</w:t>
      </w:r>
      <w:r w:rsidRPr="001B20EE" w:rsidR="005F3CDA">
        <w:t xml:space="preserve">he </w:t>
      </w:r>
      <w:r w:rsidRPr="001B20EE" w:rsidR="002243C8">
        <w:t xml:space="preserve">proposed </w:t>
      </w:r>
      <w:r w:rsidRPr="001B20EE" w:rsidR="006336C6">
        <w:t>t</w:t>
      </w:r>
      <w:r w:rsidRPr="001B20EE" w:rsidR="002243C8">
        <w:t>ariff</w:t>
      </w:r>
      <w:r w:rsidRPr="001B20EE" w:rsidR="006336C6">
        <w:t xml:space="preserve"> revisions</w:t>
      </w:r>
      <w:r w:rsidRPr="001B20EE" w:rsidR="002243C8">
        <w:t xml:space="preserve"> </w:t>
      </w:r>
      <w:r w:rsidRPr="001B20EE" w:rsidR="00CD2778">
        <w:t>introduce</w:t>
      </w:r>
      <w:r w:rsidR="00351250">
        <w:t>s</w:t>
      </w:r>
      <w:r w:rsidRPr="001B20EE" w:rsidR="00CD2778">
        <w:t xml:space="preserve"> new </w:t>
      </w:r>
      <w:r w:rsidRPr="001B20EE" w:rsidR="004477FE">
        <w:t>“</w:t>
      </w:r>
      <w:r w:rsidRPr="001B20EE" w:rsidR="00CD2778">
        <w:t>Dedicated Access Service</w:t>
      </w:r>
      <w:r w:rsidRPr="001B20EE" w:rsidR="00CE3161">
        <w:t>s</w:t>
      </w:r>
      <w:r w:rsidRPr="001B20EE" w:rsidR="004751C4">
        <w:t>”</w:t>
      </w:r>
      <w:r w:rsidRPr="001B20EE" w:rsidR="00CD2778">
        <w:t xml:space="preserve"> </w:t>
      </w:r>
      <w:r w:rsidRPr="001B20EE" w:rsidR="00324929">
        <w:t>and</w:t>
      </w:r>
      <w:r w:rsidRPr="001B20EE" w:rsidR="00CE3161">
        <w:t xml:space="preserve"> </w:t>
      </w:r>
      <w:r w:rsidRPr="001B20EE" w:rsidR="00956C34">
        <w:t>s</w:t>
      </w:r>
      <w:r w:rsidRPr="001B20EE" w:rsidR="00CE3161">
        <w:t xml:space="preserve">ection 3.3.1 is titled </w:t>
      </w:r>
      <w:r w:rsidRPr="001B20EE" w:rsidR="00CD2778">
        <w:t xml:space="preserve">“Application of Dedicated Access Services Charges When Connecting via Optional Hub </w:t>
      </w:r>
      <w:r w:rsidRPr="001B20EE" w:rsidR="006F4025">
        <w:t>[Point of Interface (POI)]</w:t>
      </w:r>
      <w:r w:rsidRPr="001B20EE" w:rsidR="00CD2778">
        <w:t xml:space="preserve"> or Alternate Access Tandem.”</w:t>
      </w:r>
      <w:r>
        <w:rPr>
          <w:rStyle w:val="FootnoteReference"/>
        </w:rPr>
        <w:footnoteReference w:id="15"/>
      </w:r>
      <w:r w:rsidRPr="001B20EE" w:rsidR="00CD2778">
        <w:t xml:space="preserve">  </w:t>
      </w:r>
      <w:r w:rsidRPr="001B20EE" w:rsidR="001B20EE">
        <w:t xml:space="preserve">Teliax describes the services as </w:t>
      </w:r>
      <w:r w:rsidRPr="001B20EE" w:rsidR="001B20EE">
        <w:rPr>
          <w:snapToGrid/>
          <w:kern w:val="0"/>
        </w:rPr>
        <w:t>enabling IXCs to connect with Teliax’s tandem using SIP connections and to use those interconnection points to exchange traffic with end offices in one or more LATAs</w:t>
      </w:r>
      <w:r w:rsidR="001B20EE">
        <w:rPr>
          <w:snapToGrid/>
          <w:kern w:val="0"/>
        </w:rPr>
        <w:t>.</w:t>
      </w:r>
      <w:r>
        <w:rPr>
          <w:rStyle w:val="FootnoteReference"/>
          <w:snapToGrid/>
          <w:kern w:val="0"/>
        </w:rPr>
        <w:footnoteReference w:id="16"/>
      </w:r>
      <w:r w:rsidR="001B20EE">
        <w:rPr>
          <w:snapToGrid/>
          <w:kern w:val="0"/>
        </w:rPr>
        <w:t xml:space="preserve"> </w:t>
      </w:r>
      <w:r w:rsidRPr="001B20EE" w:rsidR="001B20EE">
        <w:t xml:space="preserve"> </w:t>
      </w:r>
      <w:r w:rsidRPr="001B20EE" w:rsidR="004B3133">
        <w:t>Th</w:t>
      </w:r>
      <w:r w:rsidRPr="001B20EE" w:rsidR="00CF3B31">
        <w:t>e</w:t>
      </w:r>
      <w:r w:rsidR="001B20EE">
        <w:t>se services</w:t>
      </w:r>
      <w:r w:rsidRPr="001B20EE" w:rsidR="001B20EE">
        <w:t xml:space="preserve"> include </w:t>
      </w:r>
      <w:r w:rsidRPr="001B20EE" w:rsidR="00CF3B31">
        <w:t>the “functional equivalent” of a number of incumbent local exchange carrier elements with rates assessed on a “minute-of-use equivalent” basis.</w:t>
      </w:r>
      <w:r>
        <w:rPr>
          <w:rStyle w:val="FootnoteReference"/>
        </w:rPr>
        <w:footnoteReference w:id="17"/>
      </w:r>
      <w:r w:rsidRPr="001B20EE" w:rsidR="00D658EC">
        <w:t xml:space="preserve">  </w:t>
      </w:r>
      <w:r w:rsidRPr="001B20EE" w:rsidR="004A3967">
        <w:t xml:space="preserve">The </w:t>
      </w:r>
      <w:r w:rsidRPr="001B20EE" w:rsidR="00CF3B31">
        <w:t xml:space="preserve">proposed </w:t>
      </w:r>
      <w:r w:rsidRPr="001B20EE" w:rsidR="004A3967">
        <w:t xml:space="preserve">tariff revisions also </w:t>
      </w:r>
      <w:r w:rsidRPr="001B20EE" w:rsidR="00CF3B31">
        <w:t>assess charges</w:t>
      </w:r>
      <w:r w:rsidRPr="001B20EE" w:rsidR="006B1C63">
        <w:t xml:space="preserve"> for these services</w:t>
      </w:r>
      <w:r w:rsidRPr="001B20EE" w:rsidR="00CF3B31">
        <w:t xml:space="preserve"> </w:t>
      </w:r>
      <w:r w:rsidRPr="001B20EE" w:rsidR="004A3967">
        <w:t xml:space="preserve">irrespective of whether the traffic is exchanged in Time-Division Multiplexing (TDM) or </w:t>
      </w:r>
      <w:r w:rsidRPr="001B20EE" w:rsidR="004B3133">
        <w:t xml:space="preserve">SIP </w:t>
      </w:r>
      <w:r w:rsidRPr="001B20EE" w:rsidR="004A3967">
        <w:t>format</w:t>
      </w:r>
      <w:r w:rsidRPr="001B20EE" w:rsidR="004B3133">
        <w:t>.</w:t>
      </w:r>
      <w:r>
        <w:rPr>
          <w:rStyle w:val="FootnoteReference"/>
        </w:rPr>
        <w:footnoteReference w:id="18"/>
      </w:r>
      <w:r w:rsidRPr="001B20EE" w:rsidR="004B3133">
        <w:t xml:space="preserve">  </w:t>
      </w:r>
    </w:p>
    <w:p w:rsidR="00745CEB" w:rsidP="00A02E8D" w14:paraId="2FC27A63" w14:textId="77777777">
      <w:pPr>
        <w:pStyle w:val="ParaNum"/>
      </w:pPr>
      <w:r w:rsidRPr="001B20EE">
        <w:t xml:space="preserve">On </w:t>
      </w:r>
      <w:r w:rsidRPr="001B20EE" w:rsidR="008D33B7">
        <w:t>April 30</w:t>
      </w:r>
      <w:r w:rsidRPr="001B20EE">
        <w:t>, 2021, CenturyLink Communications, LLC</w:t>
      </w:r>
      <w:r w:rsidR="008A7FEB">
        <w:t xml:space="preserve"> </w:t>
      </w:r>
      <w:r w:rsidRPr="001B20EE">
        <w:t>and</w:t>
      </w:r>
      <w:r w:rsidRPr="004125AB">
        <w:t xml:space="preserve"> Level 3 Communications, LLC</w:t>
      </w:r>
      <w:r w:rsidR="008A7FEB">
        <w:t xml:space="preserve"> (</w:t>
      </w:r>
      <w:r w:rsidR="00FE408C">
        <w:t>CenturyLink)</w:t>
      </w:r>
      <w:r w:rsidR="0077284B">
        <w:t>,</w:t>
      </w:r>
      <w:r w:rsidR="008D33B7">
        <w:t xml:space="preserve"> as well as AT&amp;T</w:t>
      </w:r>
      <w:r w:rsidRPr="004125AB">
        <w:t xml:space="preserve"> </w:t>
      </w:r>
      <w:r w:rsidR="009772F2">
        <w:t xml:space="preserve">Services, Inc. (AT&amp;T), </w:t>
      </w:r>
      <w:r w:rsidR="009945F3">
        <w:t>and Bandwidth, Inc.</w:t>
      </w:r>
      <w:r w:rsidR="000614E4">
        <w:t xml:space="preserve"> </w:t>
      </w:r>
      <w:r w:rsidR="009772F2">
        <w:t xml:space="preserve">and Bandwidth.com CLEC, LLC </w:t>
      </w:r>
      <w:r w:rsidR="000614E4">
        <w:t>(Bandwidth)</w:t>
      </w:r>
      <w:r w:rsidR="009945F3">
        <w:t xml:space="preserve"> </w:t>
      </w:r>
      <w:r w:rsidRPr="004125AB">
        <w:t>(together, the “Petitioners”) filed petition</w:t>
      </w:r>
      <w:r w:rsidR="008D33B7">
        <w:t>s</w:t>
      </w:r>
      <w:r w:rsidRPr="004125AB">
        <w:t xml:space="preserve"> to reject, or in the alternative, to suspend and investigate the </w:t>
      </w:r>
      <w:r>
        <w:t>Te</w:t>
      </w:r>
      <w:r>
        <w:t>liax</w:t>
      </w:r>
      <w:r w:rsidRPr="004125AB">
        <w:t xml:space="preserve"> tariff filing.</w:t>
      </w:r>
      <w:r>
        <w:rPr>
          <w:rStyle w:val="FootnoteReference"/>
        </w:rPr>
        <w:footnoteReference w:id="19"/>
      </w:r>
      <w:r w:rsidRPr="004125AB">
        <w:t xml:space="preserve"> </w:t>
      </w:r>
      <w:r>
        <w:t xml:space="preserve"> </w:t>
      </w:r>
      <w:r w:rsidRPr="004125AB">
        <w:t xml:space="preserve">The Petitioners contend that the </w:t>
      </w:r>
      <w:r w:rsidR="00887092">
        <w:t xml:space="preserve">proposed </w:t>
      </w:r>
      <w:r w:rsidR="006336C6">
        <w:t>Teliax t</w:t>
      </w:r>
      <w:r w:rsidR="00887092">
        <w:t>ariff</w:t>
      </w:r>
      <w:r w:rsidRPr="004125AB">
        <w:t xml:space="preserve"> </w:t>
      </w:r>
      <w:r w:rsidR="006336C6">
        <w:t>revisions are</w:t>
      </w:r>
      <w:r w:rsidRPr="004125AB">
        <w:t xml:space="preserve"> unlawful for a number of reasons, including that </w:t>
      </w:r>
      <w:r w:rsidR="0093617A">
        <w:t xml:space="preserve">the </w:t>
      </w:r>
      <w:r w:rsidR="00351F92">
        <w:t xml:space="preserve">proposed revisions:  </w:t>
      </w:r>
      <w:r w:rsidR="000C40AB">
        <w:t xml:space="preserve">unlawfully tariff </w:t>
      </w:r>
      <w:r>
        <w:t>services</w:t>
      </w:r>
      <w:r w:rsidR="000C40AB">
        <w:t xml:space="preserve"> and functions</w:t>
      </w:r>
      <w:r>
        <w:t xml:space="preserve"> that are not regulated</w:t>
      </w:r>
      <w:r w:rsidR="00887092">
        <w:t xml:space="preserve"> </w:t>
      </w:r>
      <w:r w:rsidR="006336C6">
        <w:t xml:space="preserve">switched access services, </w:t>
      </w:r>
      <w:r w:rsidRPr="006336C6" w:rsidR="006336C6">
        <w:t xml:space="preserve">violate </w:t>
      </w:r>
      <w:r w:rsidRPr="00956C34" w:rsidR="006336C6">
        <w:t>the</w:t>
      </w:r>
      <w:r w:rsidR="00FE0040">
        <w:t xml:space="preserve"> </w:t>
      </w:r>
      <w:r w:rsidR="00FD4AFA">
        <w:t xml:space="preserve">competitive </w:t>
      </w:r>
      <w:r w:rsidRPr="00956C34" w:rsidR="006336C6">
        <w:t>LEC benchmark rule</w:t>
      </w:r>
      <w:r w:rsidR="00351250">
        <w:t xml:space="preserve"> (47 </w:t>
      </w:r>
      <w:r w:rsidR="00351250">
        <w:t xml:space="preserve">CFR </w:t>
      </w:r>
      <w:r w:rsidR="00713C85">
        <w:t>§ 61.26)</w:t>
      </w:r>
      <w:r w:rsidR="000C40AB">
        <w:t xml:space="preserve"> and applicable rate caps</w:t>
      </w:r>
      <w:r w:rsidR="006336C6">
        <w:t xml:space="preserve">, </w:t>
      </w:r>
      <w:r>
        <w:t>unlawfully increase</w:t>
      </w:r>
      <w:r w:rsidR="004477FE">
        <w:t xml:space="preserve"> the company’s</w:t>
      </w:r>
      <w:r>
        <w:t xml:space="preserve"> rates</w:t>
      </w:r>
      <w:r w:rsidR="00AF2985">
        <w:t xml:space="preserve">, </w:t>
      </w:r>
      <w:r w:rsidR="00FE0040">
        <w:t xml:space="preserve">and </w:t>
      </w:r>
      <w:r w:rsidR="000C40AB">
        <w:t>include charges</w:t>
      </w:r>
      <w:r w:rsidR="00FE0040">
        <w:t xml:space="preserve"> for services that Teliax does not provide</w:t>
      </w:r>
      <w:r w:rsidRPr="004125AB">
        <w:t>.</w:t>
      </w:r>
      <w:r>
        <w:rPr>
          <w:rStyle w:val="FootnoteReference"/>
        </w:rPr>
        <w:footnoteReference w:id="20"/>
      </w:r>
      <w:r w:rsidRPr="004125AB">
        <w:t xml:space="preserve"> </w:t>
      </w:r>
    </w:p>
    <w:p w:rsidR="004125AB" w:rsidP="00A02E8D" w14:paraId="52DDEB2D" w14:textId="77777777">
      <w:pPr>
        <w:pStyle w:val="ParaNum"/>
      </w:pPr>
      <w:r>
        <w:t>Teliax</w:t>
      </w:r>
      <w:r>
        <w:t xml:space="preserve"> filed a response to the Petition</w:t>
      </w:r>
      <w:r w:rsidR="0091506C">
        <w:t>ers filings on May 6, 2021, requesting that the petitions be denied</w:t>
      </w:r>
      <w:r>
        <w:t>.</w:t>
      </w:r>
      <w:r>
        <w:rPr>
          <w:rStyle w:val="FootnoteReference"/>
        </w:rPr>
        <w:footnoteReference w:id="21"/>
      </w:r>
      <w:r>
        <w:t xml:space="preserve">  </w:t>
      </w:r>
      <w:r w:rsidR="0091506C">
        <w:t>In its Response, Teliax argues that “each of the Petitioner</w:t>
      </w:r>
      <w:r w:rsidR="009334C6">
        <w:t>s</w:t>
      </w:r>
      <w:r w:rsidR="0091506C">
        <w:t>’ reasons why Teliax’s tariff filing is purportedly unlawful fails.”</w:t>
      </w:r>
      <w:r w:rsidRPr="00517DC7" w:rsidR="00517DC7">
        <w:rPr>
          <w:rStyle w:val="FootnoteReference"/>
        </w:rPr>
        <w:t xml:space="preserve"> </w:t>
      </w:r>
      <w:r>
        <w:rPr>
          <w:rStyle w:val="FootnoteReference"/>
        </w:rPr>
        <w:footnoteReference w:id="22"/>
      </w:r>
      <w:r w:rsidR="0091506C">
        <w:t xml:space="preserve">  </w:t>
      </w:r>
      <w:r w:rsidR="00517DC7">
        <w:t xml:space="preserve">Teliax claims that its proposed tariff revisions comply with the </w:t>
      </w:r>
      <w:r w:rsidR="00FD4AFA">
        <w:t xml:space="preserve">competitive LEC </w:t>
      </w:r>
      <w:r w:rsidR="00517DC7">
        <w:t>benchmark rule and that Petitioners misread the applicable Commission precedent regarding the exchange of IP traffic.</w:t>
      </w:r>
      <w:r>
        <w:rPr>
          <w:rStyle w:val="FootnoteReference"/>
        </w:rPr>
        <w:footnoteReference w:id="23"/>
      </w:r>
      <w:r w:rsidR="00517DC7">
        <w:t xml:space="preserve">  </w:t>
      </w:r>
      <w:r w:rsidR="00DA6109">
        <w:t>In addition, Teliax contends that one of the provisions that some of the Petitioners object to is “entirely optional,” and can be “easily avoided” by the Petitioners.</w:t>
      </w:r>
      <w:r>
        <w:rPr>
          <w:rStyle w:val="FootnoteReference"/>
        </w:rPr>
        <w:footnoteReference w:id="24"/>
      </w:r>
      <w:r w:rsidR="00517DC7">
        <w:t xml:space="preserve"> </w:t>
      </w:r>
      <w:r w:rsidR="00DA6109">
        <w:t xml:space="preserve"> Finally, Teliax </w:t>
      </w:r>
      <w:r w:rsidR="0091506C">
        <w:t>argues that the Commission should reject the Petition</w:t>
      </w:r>
      <w:r w:rsidR="00DA6109">
        <w:t>s</w:t>
      </w:r>
      <w:r w:rsidR="0091506C">
        <w:t xml:space="preserve"> because Petitioners failed “to satisfy the four-part test set forth in 47 C.F.R. § 1.773(a)(ii)” which governs petitions for suspension or rejection of tariff fillings, and that Petitioners inadequately support their substantive challenges to the proposed tariff revisions.</w:t>
      </w:r>
      <w:r>
        <w:rPr>
          <w:rStyle w:val="FootnoteReference"/>
        </w:rPr>
        <w:footnoteReference w:id="25"/>
      </w:r>
      <w:r w:rsidR="00517DC7">
        <w:t xml:space="preserve">  </w:t>
      </w:r>
    </w:p>
    <w:p w:rsidR="00524102" w:rsidP="00524102" w14:paraId="2693F491" w14:textId="77777777">
      <w:pPr>
        <w:pStyle w:val="Heading1"/>
      </w:pPr>
      <w:r>
        <w:t>DISCUSSION</w:t>
      </w:r>
    </w:p>
    <w:p w:rsidR="004125AB" w:rsidP="00A02E8D" w14:paraId="151A22A4" w14:textId="77777777">
      <w:pPr>
        <w:pStyle w:val="ParaNum"/>
      </w:pPr>
      <w:r>
        <w:t xml:space="preserve">The Communications Act </w:t>
      </w:r>
      <w:r w:rsidR="0077284B">
        <w:t xml:space="preserve">of 1934, as amended (the Act), </w:t>
      </w:r>
      <w:r>
        <w:t>grants the Commission authority to review tariff filings to ensure they comply with the Act and with the Commission’s rules and orders.</w:t>
      </w:r>
      <w:r>
        <w:rPr>
          <w:rStyle w:val="FootnoteReference"/>
        </w:rPr>
        <w:footnoteReference w:id="26"/>
      </w:r>
      <w:r>
        <w:t xml:space="preserve">  The United States Court of Appeals for the District of Columbia Circuit has explained that the Commission has “the po</w:t>
      </w:r>
      <w:r>
        <w:t>wer and in some cases the duty” to reject a tariff that is demonstrably unlawful on its face, or that conflicts with a statute or with an agency regulation or order.</w:t>
      </w:r>
      <w:r>
        <w:rPr>
          <w:rStyle w:val="FootnoteReference"/>
        </w:rPr>
        <w:footnoteReference w:id="27"/>
      </w:r>
      <w:r>
        <w:t xml:space="preserve">  We rely on this authority to reject the proposed </w:t>
      </w:r>
      <w:r w:rsidR="006336C6">
        <w:t>t</w:t>
      </w:r>
      <w:r>
        <w:t xml:space="preserve">ariff </w:t>
      </w:r>
      <w:r w:rsidR="006336C6">
        <w:t xml:space="preserve">revisions </w:t>
      </w:r>
      <w:r>
        <w:t xml:space="preserve">in </w:t>
      </w:r>
      <w:r w:rsidR="006336C6">
        <w:t>their</w:t>
      </w:r>
      <w:r>
        <w:t xml:space="preserve"> entirety.</w:t>
      </w:r>
      <w:r>
        <w:rPr>
          <w:rStyle w:val="FootnoteReference"/>
        </w:rPr>
        <w:footnoteReference w:id="28"/>
      </w:r>
      <w:r w:rsidR="009A136C">
        <w:t xml:space="preserve">  </w:t>
      </w:r>
    </w:p>
    <w:p w:rsidR="007D0A32" w:rsidP="00A02E8D" w14:paraId="26AF9764" w14:textId="77777777">
      <w:pPr>
        <w:pStyle w:val="ParaNum"/>
      </w:pPr>
      <w:r>
        <w:t xml:space="preserve">In its petition, </w:t>
      </w:r>
      <w:r w:rsidR="00FE0040">
        <w:t xml:space="preserve">CenturyLink </w:t>
      </w:r>
      <w:r w:rsidR="00F848B2">
        <w:t>observes</w:t>
      </w:r>
      <w:r w:rsidR="00FE0040">
        <w:t xml:space="preserve"> that</w:t>
      </w:r>
      <w:r w:rsidR="007867AE">
        <w:t xml:space="preserve"> </w:t>
      </w:r>
      <w:r w:rsidR="00FE0040">
        <w:t>the</w:t>
      </w:r>
      <w:r>
        <w:t xml:space="preserve"> proposed</w:t>
      </w:r>
      <w:r w:rsidR="00FE0040">
        <w:t xml:space="preserve"> </w:t>
      </w:r>
      <w:r w:rsidR="009C14DC">
        <w:t xml:space="preserve">tariff </w:t>
      </w:r>
      <w:r w:rsidR="00FE0040">
        <w:t xml:space="preserve">revisions contain rates that </w:t>
      </w:r>
      <w:r w:rsidR="006B0BF7">
        <w:t xml:space="preserve">would </w:t>
      </w:r>
      <w:r w:rsidR="009C14DC">
        <w:t xml:space="preserve">apply </w:t>
      </w:r>
      <w:r w:rsidR="00535C51">
        <w:t xml:space="preserve">to </w:t>
      </w:r>
      <w:r w:rsidR="009C14DC">
        <w:t>the</w:t>
      </w:r>
      <w:r>
        <w:t xml:space="preserve"> </w:t>
      </w:r>
      <w:r w:rsidR="000A03BA">
        <w:t xml:space="preserve">exchange of traffic </w:t>
      </w:r>
      <w:r w:rsidR="00535C51">
        <w:t>that is purely IP-IP and does not to</w:t>
      </w:r>
      <w:r w:rsidR="00915807">
        <w:t>u</w:t>
      </w:r>
      <w:r w:rsidR="00535C51">
        <w:t>ch the PSTN</w:t>
      </w:r>
      <w:r w:rsidR="009C14DC">
        <w:t>.</w:t>
      </w:r>
      <w:r>
        <w:rPr>
          <w:rStyle w:val="FootnoteReference"/>
        </w:rPr>
        <w:footnoteReference w:id="29"/>
      </w:r>
      <w:r w:rsidR="000A03BA">
        <w:t xml:space="preserve"> </w:t>
      </w:r>
      <w:r w:rsidR="009C14DC">
        <w:t xml:space="preserve"> CenturyLink </w:t>
      </w:r>
      <w:r w:rsidR="009C14DC">
        <w:t>and Bandwidth</w:t>
      </w:r>
      <w:r w:rsidR="00713C85">
        <w:t xml:space="preserve"> argue that</w:t>
      </w:r>
      <w:r w:rsidR="00FE0040">
        <w:t xml:space="preserve"> </w:t>
      </w:r>
      <w:r w:rsidR="00F848B2">
        <w:t>charges</w:t>
      </w:r>
      <w:r w:rsidR="000A03BA">
        <w:t xml:space="preserve"> for</w:t>
      </w:r>
      <w:r>
        <w:t xml:space="preserve"> IP</w:t>
      </w:r>
      <w:r w:rsidR="00F848B2">
        <w:t xml:space="preserve"> traffic that never touches the PSTN </w:t>
      </w:r>
      <w:r w:rsidR="00FE0040">
        <w:t>may not be tariffed</w:t>
      </w:r>
      <w:r w:rsidR="009C14DC">
        <w:t xml:space="preserve"> because </w:t>
      </w:r>
      <w:r w:rsidR="00535C51">
        <w:t xml:space="preserve">such traffic </w:t>
      </w:r>
      <w:r w:rsidR="009C14DC">
        <w:t>fall</w:t>
      </w:r>
      <w:r w:rsidR="00535C51">
        <w:t>s</w:t>
      </w:r>
      <w:r w:rsidR="009C14DC">
        <w:t xml:space="preserve"> outside</w:t>
      </w:r>
      <w:r w:rsidR="00F848B2">
        <w:t xml:space="preserve"> of</w:t>
      </w:r>
      <w:r w:rsidR="009C14DC">
        <w:t xml:space="preserve"> the regulated </w:t>
      </w:r>
      <w:r w:rsidR="00F848B2">
        <w:t xml:space="preserve">intercarrier compensation </w:t>
      </w:r>
      <w:r w:rsidR="009C14DC">
        <w:t>regime</w:t>
      </w:r>
      <w:r w:rsidR="00FE0040">
        <w:t>.</w:t>
      </w:r>
      <w:r>
        <w:rPr>
          <w:rStyle w:val="FootnoteReference"/>
        </w:rPr>
        <w:footnoteReference w:id="30"/>
      </w:r>
      <w:r w:rsidR="00713C85">
        <w:t xml:space="preserve">  We agree with this argument and find that </w:t>
      </w:r>
      <w:r w:rsidR="00C26C0B">
        <w:t xml:space="preserve">the </w:t>
      </w:r>
      <w:r w:rsidRPr="00CB5200" w:rsidR="00C26C0B">
        <w:t xml:space="preserve">language in </w:t>
      </w:r>
      <w:r w:rsidRPr="00CB5200" w:rsidR="00535C51">
        <w:t>section 3.3.1</w:t>
      </w:r>
      <w:r w:rsidR="00535C51">
        <w:t xml:space="preserve"> of the </w:t>
      </w:r>
      <w:r w:rsidRPr="00CB5200" w:rsidR="00C26C0B">
        <w:t xml:space="preserve">proposed tariff revisions </w:t>
      </w:r>
      <w:r w:rsidR="00F848B2">
        <w:t xml:space="preserve">is unlawful </w:t>
      </w:r>
      <w:r w:rsidR="00C26C0B">
        <w:t xml:space="preserve">because </w:t>
      </w:r>
      <w:r w:rsidR="00922F54">
        <w:t>it</w:t>
      </w:r>
      <w:r w:rsidR="00F848B2">
        <w:t xml:space="preserve"> </w:t>
      </w:r>
      <w:r>
        <w:t xml:space="preserve">does not limit the application of such charges to VoIP-PSTN traffic.  </w:t>
      </w:r>
    </w:p>
    <w:p w:rsidR="00C26C0B" w:rsidP="00A02E8D" w14:paraId="394F9871" w14:textId="77777777">
      <w:pPr>
        <w:pStyle w:val="ParaNum"/>
      </w:pPr>
      <w:r>
        <w:t>Charges for IP traffic that fall</w:t>
      </w:r>
      <w:r w:rsidR="004E5830">
        <w:t>s</w:t>
      </w:r>
      <w:r>
        <w:t xml:space="preserve"> outside of the Commission’s intercarrier compensation framework cannot be imposed via tariffs</w:t>
      </w:r>
      <w:r w:rsidR="00FC1971">
        <w:t xml:space="preserve"> and</w:t>
      </w:r>
      <w:r>
        <w:t xml:space="preserve"> </w:t>
      </w:r>
      <w:r w:rsidR="00FC1971">
        <w:t xml:space="preserve">Teliax’s arguments that the Commission meant to allow the tariffing of all-IP services are based on a misreading of the </w:t>
      </w:r>
      <w:r w:rsidR="00FC1971">
        <w:rPr>
          <w:i/>
          <w:iCs/>
        </w:rPr>
        <w:t>USF/ICC Transformation Order.</w:t>
      </w:r>
      <w:r>
        <w:rPr>
          <w:rStyle w:val="FootnoteReference"/>
        </w:rPr>
        <w:footnoteReference w:id="31"/>
      </w:r>
      <w:r w:rsidRPr="00051D30" w:rsidR="00FC1971">
        <w:t xml:space="preserve"> </w:t>
      </w:r>
      <w:r w:rsidR="00FC1971">
        <w:rPr>
          <w:i/>
          <w:iCs/>
        </w:rPr>
        <w:t xml:space="preserve"> </w:t>
      </w:r>
      <w:r w:rsidR="000A03BA">
        <w:t xml:space="preserve">The Commission was clear in the </w:t>
      </w:r>
      <w:r w:rsidR="00897D16">
        <w:rPr>
          <w:i/>
          <w:iCs/>
        </w:rPr>
        <w:t>USF/ICC Transformation Order</w:t>
      </w:r>
      <w:r w:rsidR="00897D16">
        <w:t xml:space="preserve"> that</w:t>
      </w:r>
      <w:r w:rsidR="000A03BA">
        <w:t xml:space="preserve"> </w:t>
      </w:r>
      <w:r w:rsidR="00AA46BD">
        <w:t xml:space="preserve">only </w:t>
      </w:r>
      <w:r w:rsidRPr="00897D16" w:rsidR="00897D16">
        <w:t xml:space="preserve">IP traffic </w:t>
      </w:r>
      <w:r w:rsidR="006C19F7">
        <w:t>“exchanged over PSTN facilities”</w:t>
      </w:r>
      <w:r w:rsidR="00AA46BD">
        <w:t xml:space="preserve"> </w:t>
      </w:r>
      <w:r w:rsidR="00053E58">
        <w:t xml:space="preserve">is </w:t>
      </w:r>
      <w:r w:rsidR="00AA46BD">
        <w:t>subject to the intercarrier compensation regime</w:t>
      </w:r>
      <w:r w:rsidR="000A03BA">
        <w:t>.</w:t>
      </w:r>
      <w:r>
        <w:rPr>
          <w:rStyle w:val="FootnoteReference"/>
        </w:rPr>
        <w:footnoteReference w:id="32"/>
      </w:r>
      <w:r w:rsidR="00EE4529">
        <w:t xml:space="preserve">  </w:t>
      </w:r>
      <w:r w:rsidR="00722D0A">
        <w:t>On its face, the proposed tariff language is not limited to IP traffic</w:t>
      </w:r>
      <w:r w:rsidR="004E5830">
        <w:t xml:space="preserve"> meeting the VoIP-PSTN definition</w:t>
      </w:r>
      <w:r w:rsidR="00722D0A">
        <w:t xml:space="preserve">.  </w:t>
      </w:r>
      <w:r w:rsidR="00A65240">
        <w:t xml:space="preserve">Because the </w:t>
      </w:r>
      <w:r w:rsidR="000A03BA">
        <w:t xml:space="preserve">proposed </w:t>
      </w:r>
      <w:r w:rsidR="00A65240">
        <w:t>tariff</w:t>
      </w:r>
      <w:r w:rsidR="000A03BA">
        <w:t xml:space="preserve"> revisions include</w:t>
      </w:r>
      <w:r w:rsidR="006F1B86">
        <w:t xml:space="preserve"> charges for</w:t>
      </w:r>
      <w:r w:rsidR="00A65240">
        <w:t xml:space="preserve"> “Dedicated Access Services” </w:t>
      </w:r>
      <w:r w:rsidR="000A03BA">
        <w:t xml:space="preserve">that </w:t>
      </w:r>
      <w:r w:rsidR="00722D0A">
        <w:t xml:space="preserve">may </w:t>
      </w:r>
      <w:r w:rsidR="00A65240">
        <w:t xml:space="preserve">apply to </w:t>
      </w:r>
      <w:r w:rsidR="006F1B86">
        <w:t xml:space="preserve">all IP </w:t>
      </w:r>
      <w:r w:rsidR="00A65240">
        <w:t>traffic</w:t>
      </w:r>
      <w:r w:rsidR="00EC15DB">
        <w:t xml:space="preserve">, without </w:t>
      </w:r>
      <w:r w:rsidR="008E3017">
        <w:t xml:space="preserve">explicitly </w:t>
      </w:r>
      <w:r w:rsidR="00EC15DB">
        <w:t xml:space="preserve">limiting such charges to traffic </w:t>
      </w:r>
      <w:r w:rsidR="004E5830">
        <w:t xml:space="preserve">meeting the VoIP-PSTN definition, </w:t>
      </w:r>
      <w:r>
        <w:t>the proposed revisions are unlawful</w:t>
      </w:r>
      <w:r w:rsidR="006F1B86">
        <w:t xml:space="preserve">. </w:t>
      </w:r>
      <w:r w:rsidR="00A65240">
        <w:t xml:space="preserve">   </w:t>
      </w:r>
    </w:p>
    <w:p w:rsidR="00AF7AA6" w:rsidP="00A02E8D" w14:paraId="3D97FAF9" w14:textId="77777777">
      <w:pPr>
        <w:pStyle w:val="ParaNum"/>
      </w:pPr>
      <w:r>
        <w:t xml:space="preserve">We </w:t>
      </w:r>
      <w:r w:rsidR="007F1EDE">
        <w:t xml:space="preserve">need not and </w:t>
      </w:r>
      <w:r>
        <w:t xml:space="preserve">do not reach the </w:t>
      </w:r>
      <w:r w:rsidR="007F1EDE">
        <w:t xml:space="preserve">other </w:t>
      </w:r>
      <w:r>
        <w:t>issues raised in the Petition</w:t>
      </w:r>
      <w:r w:rsidR="007F1EDE">
        <w:t>s</w:t>
      </w:r>
      <w:r>
        <w:t xml:space="preserve"> because we reject the proposed tariff revisions </w:t>
      </w:r>
      <w:r w:rsidR="00F13258">
        <w:t>as</w:t>
      </w:r>
      <w:r w:rsidR="006F1B86">
        <w:t xml:space="preserve"> unlawful</w:t>
      </w:r>
      <w:r>
        <w:t>.  The Petition</w:t>
      </w:r>
      <w:r w:rsidR="00E40D42">
        <w:t>s are</w:t>
      </w:r>
      <w:r>
        <w:t xml:space="preserve"> </w:t>
      </w:r>
      <w:r w:rsidR="007F1EDE">
        <w:t>granted to the extent consistent with this Order and are otherwise</w:t>
      </w:r>
      <w:r>
        <w:t xml:space="preserve"> dismissed.</w:t>
      </w:r>
    </w:p>
    <w:p w:rsidR="00524102" w:rsidRPr="00A81848" w:rsidP="007228B3" w14:paraId="0A83E6B8" w14:textId="77777777">
      <w:pPr>
        <w:pStyle w:val="Heading1"/>
        <w:tabs>
          <w:tab w:val="left" w:pos="720"/>
        </w:tabs>
        <w:rPr>
          <w:szCs w:val="24"/>
        </w:rPr>
      </w:pPr>
      <w:r w:rsidRPr="00A81848">
        <w:rPr>
          <w:szCs w:val="24"/>
        </w:rPr>
        <w:t>ORDERING CLAUSES</w:t>
      </w:r>
      <w:r>
        <w:rPr>
          <w:szCs w:val="24"/>
        </w:rPr>
        <w:t xml:space="preserve"> </w:t>
      </w:r>
    </w:p>
    <w:p w:rsidR="001E0B93" w:rsidP="00A02E8D" w14:paraId="0136E688" w14:textId="77777777">
      <w:pPr>
        <w:pStyle w:val="ParaNum"/>
      </w:pPr>
      <w:r w:rsidRPr="00A81848">
        <w:t xml:space="preserve">Accordingly, IT IS ORDERED that, </w:t>
      </w:r>
      <w:r w:rsidRPr="001E0B93">
        <w:t xml:space="preserve">pursuant to sections </w:t>
      </w:r>
      <w:r w:rsidR="007228B3">
        <w:t xml:space="preserve">1, 2, 4(i), 4(j), and 204 </w:t>
      </w:r>
      <w:r>
        <w:t>of the Communications Act, 47 U.S.C. §</w:t>
      </w:r>
      <w:r w:rsidR="008D0756">
        <w:t>§ </w:t>
      </w:r>
      <w:r w:rsidR="007228B3">
        <w:t>151, 152,</w:t>
      </w:r>
      <w:r w:rsidR="00EC15DB">
        <w:t xml:space="preserve"> </w:t>
      </w:r>
      <w:r>
        <w:t xml:space="preserve">154(i), 154(j), </w:t>
      </w:r>
      <w:r w:rsidR="007228B3">
        <w:t>and 204</w:t>
      </w:r>
      <w:r>
        <w:t>, and sections 0.91 and 0.291 of the Commission’s rules, 47 CFR §</w:t>
      </w:r>
      <w:r w:rsidR="008D0756">
        <w:t>§ </w:t>
      </w:r>
      <w:r>
        <w:t xml:space="preserve">0.91, 0.291, </w:t>
      </w:r>
      <w:r w:rsidR="007228B3">
        <w:t xml:space="preserve">that the proposed Teliax Colorado, LLC Tariff F.C.C. No. 1, Transmittal No. </w:t>
      </w:r>
      <w:r w:rsidR="006C56DE">
        <w:t>7</w:t>
      </w:r>
      <w:r w:rsidR="007228B3">
        <w:t>, IS HEREBY REJECTED</w:t>
      </w:r>
      <w:r>
        <w:t>.</w:t>
      </w:r>
    </w:p>
    <w:p w:rsidR="00397BF9" w:rsidP="00A02E8D" w14:paraId="3236A009" w14:textId="77777777">
      <w:pPr>
        <w:pStyle w:val="ParaNum"/>
      </w:pPr>
      <w:r w:rsidRPr="00397BF9">
        <w:t xml:space="preserve">IT IS FURTHER ORDERED that the Petition of </w:t>
      </w:r>
      <w:r>
        <w:t>Centur</w:t>
      </w:r>
      <w:r>
        <w:t xml:space="preserve">yLink Communications, LLC and Level 3 Communications, LLC </w:t>
      </w:r>
      <w:r w:rsidRPr="00397BF9">
        <w:t>to Reject or Suspend and Investigate</w:t>
      </w:r>
      <w:r w:rsidR="00915807">
        <w:t>,</w:t>
      </w:r>
      <w:r w:rsidR="006C56DE">
        <w:t xml:space="preserve"> the Petition of AT&amp;T</w:t>
      </w:r>
      <w:r w:rsidRPr="006C56DE" w:rsidR="006C56DE">
        <w:t xml:space="preserve"> to Reject or Suspend and Investigate</w:t>
      </w:r>
      <w:r w:rsidR="00915807">
        <w:t>, and the Petition of Bandwidth Inc. and Bandwidth.</w:t>
      </w:r>
      <w:r w:rsidR="006210C7">
        <w:t>c</w:t>
      </w:r>
      <w:r w:rsidR="00915807">
        <w:t xml:space="preserve">om CLEC, LLC to Reject or Suspend and Investigate </w:t>
      </w:r>
      <w:r w:rsidR="006C56DE">
        <w:t>t</w:t>
      </w:r>
      <w:r w:rsidRPr="00397BF9">
        <w:t xml:space="preserve">he proposed tariff revisions contained in Teliax Colorado, LLC Tariff F.C.C. No. 1, Transmittal No. </w:t>
      </w:r>
      <w:r w:rsidR="006C56DE">
        <w:t>7</w:t>
      </w:r>
      <w:r w:rsidRPr="00397BF9">
        <w:t xml:space="preserve"> </w:t>
      </w:r>
      <w:r w:rsidR="007F1EDE">
        <w:t>are GRANTED</w:t>
      </w:r>
      <w:r w:rsidR="00CC66ED">
        <w:t xml:space="preserve"> </w:t>
      </w:r>
      <w:r w:rsidRPr="00397BF9">
        <w:t>to the extent indicated herein</w:t>
      </w:r>
      <w:r w:rsidR="007F1EDE">
        <w:t xml:space="preserve"> and are otherwise DISMISSED</w:t>
      </w:r>
      <w:r w:rsidRPr="00397BF9">
        <w:t>.</w:t>
      </w:r>
    </w:p>
    <w:p w:rsidR="00524102" w:rsidRPr="00291D5E" w:rsidP="00A02E8D" w14:paraId="74A64EB0" w14:textId="77777777">
      <w:pPr>
        <w:pStyle w:val="ParaNum"/>
      </w:pPr>
      <w:r w:rsidRPr="00D12B10">
        <w:t xml:space="preserve">IT IS FURTHER ORDERED </w:t>
      </w:r>
      <w:r w:rsidR="007228B3">
        <w:t xml:space="preserve">that, pursuant to section 61.69 of the Commission’s rules, 47 CFR </w:t>
      </w:r>
      <w:r w:rsidR="00983B65">
        <w:t>§ </w:t>
      </w:r>
      <w:r w:rsidR="007228B3">
        <w:t>61.69, Teliax Colorado, LLC SHALL FILE a supplement within five business days from the release date of this order noting that this proposed transmittal was rejected in its entirety by the Federal Communications Commission</w:t>
      </w:r>
      <w:r w:rsidRPr="00D12B10">
        <w:t>.</w:t>
      </w:r>
    </w:p>
    <w:p w:rsidR="00524102" w:rsidP="00524102" w14:paraId="2B259DFA" w14:textId="77777777">
      <w:pPr>
        <w:pStyle w:val="ParaNum"/>
        <w:numPr>
          <w:ilvl w:val="0"/>
          <w:numId w:val="0"/>
        </w:numPr>
      </w:pPr>
    </w:p>
    <w:p w:rsidR="00524102" w:rsidRPr="00A81848" w:rsidP="00524102" w14:paraId="5D2A4E92" w14:textId="77777777">
      <w:pPr>
        <w:pStyle w:val="ParaNum"/>
        <w:numPr>
          <w:ilvl w:val="0"/>
          <w:numId w:val="0"/>
        </w:numPr>
      </w:pPr>
      <w:r w:rsidRPr="00A81848">
        <w:tab/>
      </w:r>
      <w:r w:rsidRPr="00A81848">
        <w:tab/>
      </w:r>
      <w:r w:rsidRPr="00A81848">
        <w:tab/>
      </w:r>
      <w:r w:rsidRPr="00A81848">
        <w:tab/>
      </w:r>
      <w:r w:rsidRPr="00A81848">
        <w:tab/>
        <w:t xml:space="preserve">FEDERAL </w:t>
      </w:r>
      <w:r w:rsidRPr="00A81848">
        <w:t>COMMUNICATIONS COMMISSION</w:t>
      </w:r>
      <w:r w:rsidRPr="00A81848">
        <w:tab/>
      </w:r>
    </w:p>
    <w:p w:rsidR="00524102" w:rsidP="00524102" w14:paraId="3B150D35" w14:textId="77777777">
      <w:pPr>
        <w:pStyle w:val="ParaNum"/>
        <w:numPr>
          <w:ilvl w:val="0"/>
          <w:numId w:val="0"/>
        </w:numPr>
      </w:pPr>
      <w:r w:rsidRPr="00A81848">
        <w:tab/>
      </w:r>
    </w:p>
    <w:p w:rsidR="00524102" w:rsidP="00524102" w14:paraId="31A87FC0" w14:textId="77777777">
      <w:pPr>
        <w:pStyle w:val="ParaNum"/>
        <w:numPr>
          <w:ilvl w:val="0"/>
          <w:numId w:val="0"/>
        </w:numPr>
      </w:pPr>
    </w:p>
    <w:p w:rsidR="00524102" w:rsidP="00524102" w14:paraId="2839A5E5" w14:textId="77777777">
      <w:pPr>
        <w:pStyle w:val="ParaNum"/>
        <w:numPr>
          <w:ilvl w:val="0"/>
          <w:numId w:val="0"/>
        </w:numPr>
        <w:spacing w:after="0"/>
      </w:pPr>
      <w:r w:rsidRPr="00A81848">
        <w:tab/>
      </w:r>
      <w:r w:rsidRPr="00A81848">
        <w:tab/>
      </w:r>
      <w:r w:rsidRPr="00A81848">
        <w:tab/>
      </w:r>
      <w:r w:rsidRPr="00A81848">
        <w:tab/>
      </w:r>
      <w:r w:rsidRPr="00A81848">
        <w:tab/>
      </w:r>
      <w:r>
        <w:t>Gil M. Strobel</w:t>
      </w:r>
    </w:p>
    <w:p w:rsidR="00524102" w:rsidP="00524102" w14:paraId="469DFE0F" w14:textId="77777777">
      <w:pPr>
        <w:pStyle w:val="ParaNum"/>
        <w:numPr>
          <w:ilvl w:val="0"/>
          <w:numId w:val="0"/>
        </w:numPr>
        <w:spacing w:after="0"/>
      </w:pPr>
      <w:r w:rsidRPr="00A81848">
        <w:tab/>
      </w:r>
      <w:r w:rsidRPr="00A81848">
        <w:tab/>
      </w:r>
      <w:r w:rsidRPr="00A81848">
        <w:tab/>
      </w:r>
      <w:r w:rsidRPr="00A81848">
        <w:tab/>
      </w:r>
      <w:r w:rsidRPr="00A81848">
        <w:tab/>
      </w:r>
      <w:r>
        <w:t>Chief, Pricing Policy Division</w:t>
      </w:r>
    </w:p>
    <w:p w:rsidR="00524102" w:rsidRPr="008D6E59" w:rsidP="00524102" w14:paraId="3628644F" w14:textId="77777777">
      <w:pPr>
        <w:pStyle w:val="ParaNum"/>
        <w:numPr>
          <w:ilvl w:val="0"/>
          <w:numId w:val="0"/>
        </w:numPr>
        <w:spacing w:after="0"/>
        <w:ind w:left="3600"/>
      </w:pPr>
      <w:r>
        <w:t>Wireline Competition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4167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2152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24102" w14:paraId="412B44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38B9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2A82" w14:paraId="469D02E4" w14:textId="77777777">
      <w:r>
        <w:separator/>
      </w:r>
    </w:p>
  </w:footnote>
  <w:footnote w:type="continuationSeparator" w:id="1">
    <w:p w:rsidR="00582A82" w:rsidP="00C721AC" w14:paraId="4E5FE5A1" w14:textId="77777777">
      <w:pPr>
        <w:spacing w:before="120"/>
        <w:rPr>
          <w:sz w:val="20"/>
        </w:rPr>
      </w:pPr>
      <w:r>
        <w:rPr>
          <w:sz w:val="20"/>
        </w:rPr>
        <w:t xml:space="preserve">(Continued from previous page)  </w:t>
      </w:r>
      <w:r>
        <w:rPr>
          <w:sz w:val="20"/>
        </w:rPr>
        <w:separator/>
      </w:r>
    </w:p>
  </w:footnote>
  <w:footnote w:type="continuationNotice" w:id="2">
    <w:p w:rsidR="00582A82" w:rsidP="00C721AC" w14:paraId="27C6073F" w14:textId="77777777">
      <w:pPr>
        <w:jc w:val="right"/>
        <w:rPr>
          <w:sz w:val="20"/>
        </w:rPr>
      </w:pPr>
      <w:r>
        <w:rPr>
          <w:sz w:val="20"/>
        </w:rPr>
        <w:t>(continued….)</w:t>
      </w:r>
    </w:p>
  </w:footnote>
  <w:footnote w:id="3">
    <w:p w:rsidR="0066438F" w:rsidP="0066438F" w14:paraId="5BF4E84C" w14:textId="77777777">
      <w:pPr>
        <w:pStyle w:val="FootnoteText"/>
      </w:pPr>
      <w:r>
        <w:rPr>
          <w:rStyle w:val="FootnoteReference"/>
        </w:rPr>
        <w:footnoteRef/>
      </w:r>
      <w:r>
        <w:t xml:space="preserve"> Letter from Carey Roesel, Consultant, Inteserra Consulting Group, to Marlene Dortch, Secretary, </w:t>
      </w:r>
      <w:r w:rsidR="004B0284">
        <w:t>FCC</w:t>
      </w:r>
      <w:r>
        <w:t xml:space="preserve">, Transmittal No. </w:t>
      </w:r>
      <w:r w:rsidR="004B288A">
        <w:t>7</w:t>
      </w:r>
      <w:r w:rsidR="004B0284">
        <w:t xml:space="preserve"> (filed Apr. 23, 2021)</w:t>
      </w:r>
      <w:r w:rsidR="008263E2">
        <w:t xml:space="preserve"> (Transmittal Letter)</w:t>
      </w:r>
      <w:r w:rsidR="004B0284">
        <w:t>; Teliax Colorado, LLC, Transmittal No. 7, Tariff F.C.C. No. 1</w:t>
      </w:r>
      <w:r w:rsidR="008263E2">
        <w:t xml:space="preserve"> </w:t>
      </w:r>
      <w:r>
        <w:t xml:space="preserve">(filed </w:t>
      </w:r>
      <w:r w:rsidR="004B288A">
        <w:t>Apr. 23</w:t>
      </w:r>
      <w:r>
        <w:t>, 2021)</w:t>
      </w:r>
      <w:r w:rsidR="004B0284">
        <w:t xml:space="preserve"> (Transmittal No</w:t>
      </w:r>
      <w:r>
        <w:t>.</w:t>
      </w:r>
      <w:r w:rsidR="004B0284">
        <w:t xml:space="preserve"> 7).</w:t>
      </w:r>
    </w:p>
  </w:footnote>
  <w:footnote w:id="4">
    <w:p w:rsidR="00F41A57" w:rsidP="00F41A57" w14:paraId="5D80A1EB" w14:textId="77777777">
      <w:pPr>
        <w:pStyle w:val="FootnoteText"/>
      </w:pPr>
      <w:r>
        <w:rPr>
          <w:rStyle w:val="FootnoteReference"/>
        </w:rPr>
        <w:footnoteRef/>
      </w:r>
      <w:r>
        <w:t xml:space="preserve"> </w:t>
      </w:r>
      <w:r w:rsidRPr="00BB20AC">
        <w:rPr>
          <w:i/>
          <w:iCs/>
        </w:rPr>
        <w:t>Connect America Fund et al.</w:t>
      </w:r>
      <w:r w:rsidRPr="00BB20AC">
        <w:t>, WC Docket No. 10-90 et al., Report and Order and Further Notice of Proposed Rulemaking, 26 FCC Rcd 17663 (2011) (</w:t>
      </w:r>
      <w:r w:rsidRPr="00BB20AC">
        <w:rPr>
          <w:i/>
          <w:iCs/>
        </w:rPr>
        <w:t>USF/ICC Transformation Order</w:t>
      </w:r>
      <w:r w:rsidRPr="00BB20AC">
        <w:t xml:space="preserve">), </w:t>
      </w:r>
      <w:r w:rsidRPr="00BB20AC">
        <w:rPr>
          <w:i/>
          <w:iCs/>
        </w:rPr>
        <w:t>pets. for review denied sub nom. In re FCC 11-161</w:t>
      </w:r>
      <w:r w:rsidRPr="00BB20AC">
        <w:t>, 753 F.3d 1015 (10th Cir. 2014)</w:t>
      </w:r>
      <w:r>
        <w:rPr>
          <w:iCs/>
        </w:rPr>
        <w:t xml:space="preserve">; </w:t>
      </w:r>
      <w:r w:rsidRPr="00613249">
        <w:rPr>
          <w:iCs/>
        </w:rPr>
        <w:t xml:space="preserve">47 CFR </w:t>
      </w:r>
      <w:r>
        <w:rPr>
          <w:iCs/>
        </w:rPr>
        <w:t>§ </w:t>
      </w:r>
      <w:r w:rsidRPr="00613249">
        <w:rPr>
          <w:iCs/>
        </w:rPr>
        <w:t>61.26</w:t>
      </w:r>
      <w:r>
        <w:rPr>
          <w:iCs/>
        </w:rPr>
        <w:t xml:space="preserve">.  </w:t>
      </w:r>
    </w:p>
  </w:footnote>
  <w:footnote w:id="5">
    <w:p w:rsidR="001B20EE" w:rsidP="001B20EE" w14:paraId="2AD0AD4F" w14:textId="77777777">
      <w:pPr>
        <w:pStyle w:val="FootnoteText"/>
      </w:pPr>
      <w:r>
        <w:rPr>
          <w:rStyle w:val="FootnoteReference"/>
        </w:rPr>
        <w:footnoteRef/>
      </w:r>
      <w:r>
        <w:t xml:space="preserve"> </w:t>
      </w:r>
      <w:r w:rsidRPr="00AF6216">
        <w:rPr>
          <w:i/>
          <w:iCs/>
        </w:rPr>
        <w:t>USF/ICC Transformation Order</w:t>
      </w:r>
      <w:r>
        <w:t>,</w:t>
      </w:r>
      <w:r w:rsidRPr="00056AD4">
        <w:t xml:space="preserve"> </w:t>
      </w:r>
      <w:r w:rsidRPr="00BB20AC" w:rsidR="00C0464A">
        <w:t xml:space="preserve">26 FCC Rcd </w:t>
      </w:r>
      <w:r>
        <w:t xml:space="preserve">at </w:t>
      </w:r>
      <w:r w:rsidRPr="00FE2ED0">
        <w:t>17904, para. 736</w:t>
      </w:r>
      <w:r>
        <w:t xml:space="preserve"> (“setting an end state for all traffic”).  </w:t>
      </w:r>
    </w:p>
  </w:footnote>
  <w:footnote w:id="6">
    <w:p w:rsidR="001B20EE" w:rsidP="001B20EE" w14:paraId="2295699F" w14:textId="77777777">
      <w:pPr>
        <w:pStyle w:val="FootnoteText"/>
      </w:pPr>
      <w:r>
        <w:rPr>
          <w:rStyle w:val="FootnoteReference"/>
        </w:rPr>
        <w:footnoteRef/>
      </w:r>
      <w:r>
        <w:t xml:space="preserve"> </w:t>
      </w:r>
      <w:r>
        <w:rPr>
          <w:i/>
          <w:iCs/>
        </w:rPr>
        <w:t>Id.</w:t>
      </w:r>
      <w:r>
        <w:t xml:space="preserve"> at 18005-06</w:t>
      </w:r>
      <w:r>
        <w:t xml:space="preserve">, para. 940. </w:t>
      </w:r>
    </w:p>
  </w:footnote>
  <w:footnote w:id="7">
    <w:p w:rsidR="001B20EE" w:rsidP="001B20EE" w14:paraId="5901BBE5" w14:textId="77777777">
      <w:pPr>
        <w:pStyle w:val="FootnoteText"/>
      </w:pPr>
      <w:r>
        <w:rPr>
          <w:rStyle w:val="FootnoteReference"/>
        </w:rPr>
        <w:footnoteRef/>
      </w:r>
      <w:r>
        <w:t xml:space="preserve"> </w:t>
      </w:r>
      <w:r>
        <w:rPr>
          <w:i/>
          <w:iCs/>
        </w:rPr>
        <w:t>Id.</w:t>
      </w:r>
      <w:r>
        <w:t xml:space="preserve">  </w:t>
      </w:r>
    </w:p>
  </w:footnote>
  <w:footnote w:id="8">
    <w:p w:rsidR="001B20EE" w:rsidP="001B20EE" w14:paraId="329236CE" w14:textId="77777777">
      <w:pPr>
        <w:pStyle w:val="FootnoteText"/>
      </w:pPr>
      <w:r>
        <w:rPr>
          <w:rStyle w:val="FootnoteReference"/>
        </w:rPr>
        <w:footnoteRef/>
      </w:r>
      <w:r>
        <w:t xml:space="preserve"> </w:t>
      </w:r>
      <w:r>
        <w:rPr>
          <w:i/>
        </w:rPr>
        <w:t>Id.</w:t>
      </w:r>
    </w:p>
  </w:footnote>
  <w:footnote w:id="9">
    <w:p w:rsidR="00A51687" w14:paraId="2E4D44EB" w14:textId="77777777">
      <w:pPr>
        <w:pStyle w:val="FootnoteText"/>
      </w:pPr>
      <w:r>
        <w:rPr>
          <w:rStyle w:val="FootnoteReference"/>
        </w:rPr>
        <w:footnoteRef/>
      </w:r>
      <w:r>
        <w:t xml:space="preserve"> </w:t>
      </w:r>
      <w:r w:rsidRPr="00247A8C">
        <w:rPr>
          <w:i/>
          <w:iCs/>
        </w:rPr>
        <w:t>Id</w:t>
      </w:r>
      <w:r>
        <w:t>., n. 1891.</w:t>
      </w:r>
    </w:p>
  </w:footnote>
  <w:footnote w:id="10">
    <w:p w:rsidR="001B20EE" w:rsidRPr="00915807" w:rsidP="001B20EE" w14:paraId="6559BB2B" w14:textId="77777777">
      <w:pPr>
        <w:pStyle w:val="FootnoteText"/>
      </w:pPr>
      <w:r>
        <w:rPr>
          <w:rStyle w:val="FootnoteReference"/>
        </w:rPr>
        <w:footnoteRef/>
      </w:r>
      <w:r>
        <w:t xml:space="preserve"> </w:t>
      </w:r>
      <w:r>
        <w:rPr>
          <w:i/>
          <w:iCs/>
        </w:rPr>
        <w:t xml:space="preserve">Id. </w:t>
      </w:r>
      <w:r>
        <w:t>at 18019-20, para. 961 (“Roll of Tariffs”).</w:t>
      </w:r>
    </w:p>
  </w:footnote>
  <w:footnote w:id="11">
    <w:p w:rsidR="009C53AC" w14:paraId="3E6E4B9E" w14:textId="77777777">
      <w:pPr>
        <w:pStyle w:val="FootnoteText"/>
      </w:pPr>
      <w:r>
        <w:rPr>
          <w:rStyle w:val="FootnoteReference"/>
        </w:rPr>
        <w:footnoteRef/>
      </w:r>
      <w:r>
        <w:t xml:space="preserve"> </w:t>
      </w:r>
      <w:r w:rsidRPr="00247A8C">
        <w:rPr>
          <w:i/>
          <w:iCs/>
        </w:rPr>
        <w:t>Id</w:t>
      </w:r>
      <w:r>
        <w:t>. at 18019, para. 960.</w:t>
      </w:r>
    </w:p>
  </w:footnote>
  <w:footnote w:id="12">
    <w:p w:rsidR="009C53AC" w14:paraId="2857D4ED" w14:textId="77777777">
      <w:pPr>
        <w:pStyle w:val="FootnoteText"/>
      </w:pPr>
      <w:r>
        <w:rPr>
          <w:rStyle w:val="FootnoteReference"/>
        </w:rPr>
        <w:footnoteRef/>
      </w:r>
      <w:r>
        <w:t xml:space="preserve"> </w:t>
      </w:r>
      <w:r>
        <w:rPr>
          <w:i/>
          <w:iCs/>
        </w:rPr>
        <w:t xml:space="preserve">Id. </w:t>
      </w:r>
      <w:r>
        <w:t>at 18019-20, para. 961.</w:t>
      </w:r>
    </w:p>
  </w:footnote>
  <w:footnote w:id="13">
    <w:p w:rsidR="009C53AC" w14:paraId="4C904A7C" w14:textId="77777777">
      <w:pPr>
        <w:pStyle w:val="FootnoteText"/>
      </w:pPr>
      <w:r>
        <w:rPr>
          <w:rStyle w:val="FootnoteReference"/>
        </w:rPr>
        <w:footnoteRef/>
      </w:r>
      <w:r>
        <w:t xml:space="preserve"> </w:t>
      </w:r>
      <w:r w:rsidRPr="00247A8C">
        <w:rPr>
          <w:i/>
          <w:iCs/>
        </w:rPr>
        <w:t>Id</w:t>
      </w:r>
      <w:r>
        <w:t xml:space="preserve">. </w:t>
      </w:r>
    </w:p>
  </w:footnote>
  <w:footnote w:id="14">
    <w:p w:rsidR="0093617A" w14:paraId="56864E56" w14:textId="77777777">
      <w:pPr>
        <w:pStyle w:val="FootnoteText"/>
      </w:pPr>
      <w:r>
        <w:rPr>
          <w:rStyle w:val="FootnoteReference"/>
        </w:rPr>
        <w:footnoteRef/>
      </w:r>
      <w:r>
        <w:t xml:space="preserve"> </w:t>
      </w:r>
      <w:r w:rsidR="00A40EDB">
        <w:t xml:space="preserve">47 CFR </w:t>
      </w:r>
      <w:r w:rsidR="006B0BF7">
        <w:t>§ </w:t>
      </w:r>
      <w:r w:rsidR="00A40EDB">
        <w:t>61.58(a)(2)(i).</w:t>
      </w:r>
    </w:p>
  </w:footnote>
  <w:footnote w:id="15">
    <w:p w:rsidR="00CD2778" w14:paraId="79782A88" w14:textId="77777777">
      <w:pPr>
        <w:pStyle w:val="FootnoteText"/>
      </w:pPr>
      <w:r>
        <w:rPr>
          <w:rStyle w:val="FootnoteReference"/>
        </w:rPr>
        <w:footnoteRef/>
      </w:r>
      <w:r>
        <w:t xml:space="preserve"> </w:t>
      </w:r>
      <w:bookmarkStart w:id="2" w:name="_Hlk67857843"/>
      <w:r w:rsidR="008263E2">
        <w:t>Transmittal No. 7</w:t>
      </w:r>
      <w:r w:rsidR="00C0750F">
        <w:t>,</w:t>
      </w:r>
      <w:r>
        <w:t xml:space="preserve"> </w:t>
      </w:r>
      <w:r w:rsidR="00324929">
        <w:t>§ </w:t>
      </w:r>
      <w:r>
        <w:t>3.3.1</w:t>
      </w:r>
      <w:bookmarkEnd w:id="2"/>
      <w:r w:rsidR="00C435F9">
        <w:t>.</w:t>
      </w:r>
    </w:p>
  </w:footnote>
  <w:footnote w:id="16">
    <w:p w:rsidR="001B20EE" w14:paraId="120495D3" w14:textId="77777777">
      <w:pPr>
        <w:pStyle w:val="FootnoteText"/>
      </w:pPr>
      <w:r>
        <w:rPr>
          <w:rStyle w:val="FootnoteReference"/>
        </w:rPr>
        <w:footnoteRef/>
      </w:r>
      <w:r>
        <w:t xml:space="preserve"> </w:t>
      </w:r>
      <w:r w:rsidR="00134075">
        <w:t xml:space="preserve">Transmittal Letter. </w:t>
      </w:r>
    </w:p>
  </w:footnote>
  <w:footnote w:id="17">
    <w:p w:rsidR="00CE3161" w14:paraId="54F48137" w14:textId="77777777">
      <w:pPr>
        <w:pStyle w:val="FootnoteText"/>
      </w:pPr>
      <w:r>
        <w:rPr>
          <w:rStyle w:val="FootnoteReference"/>
        </w:rPr>
        <w:footnoteRef/>
      </w:r>
      <w:r>
        <w:t xml:space="preserve"> </w:t>
      </w:r>
      <w:r w:rsidR="008263E2">
        <w:t>Transmittal No. 7</w:t>
      </w:r>
      <w:r w:rsidR="00C0750F">
        <w:t>,</w:t>
      </w:r>
      <w:r w:rsidR="008263E2">
        <w:t xml:space="preserve"> </w:t>
      </w:r>
      <w:r w:rsidR="00F41A57">
        <w:t>§ 3.3.1(A).</w:t>
      </w:r>
    </w:p>
  </w:footnote>
  <w:footnote w:id="18">
    <w:p w:rsidR="004B3133" w14:paraId="430DF259" w14:textId="77777777">
      <w:pPr>
        <w:pStyle w:val="FootnoteText"/>
      </w:pPr>
      <w:r>
        <w:rPr>
          <w:rStyle w:val="FootnoteReference"/>
        </w:rPr>
        <w:footnoteRef/>
      </w:r>
      <w:r>
        <w:t xml:space="preserve"> </w:t>
      </w:r>
      <w:r>
        <w:rPr>
          <w:i/>
          <w:iCs/>
        </w:rPr>
        <w:t>Id</w:t>
      </w:r>
      <w:r>
        <w:t>.</w:t>
      </w:r>
      <w:r w:rsidR="00C0750F">
        <w:t>,</w:t>
      </w:r>
      <w:r>
        <w:t xml:space="preserve"> § 3.3(C).</w:t>
      </w:r>
    </w:p>
  </w:footnote>
  <w:footnote w:id="19">
    <w:p w:rsidR="004125AB" w:rsidP="008D33B7" w14:paraId="0917123B" w14:textId="77777777">
      <w:pPr>
        <w:pStyle w:val="FootnoteText"/>
      </w:pPr>
      <w:r>
        <w:rPr>
          <w:rStyle w:val="FootnoteReference"/>
        </w:rPr>
        <w:footnoteRef/>
      </w:r>
      <w:r>
        <w:t xml:space="preserve"> </w:t>
      </w:r>
      <w:r w:rsidRPr="004125AB">
        <w:rPr>
          <w:i/>
          <w:iCs/>
        </w:rPr>
        <w:t>See</w:t>
      </w:r>
      <w:r w:rsidRPr="004125AB">
        <w:t xml:space="preserve"> Petition of CenturyLink Communications, LLC and Level 3 Communications, LLC to Reject or Suspend and Investigate, </w:t>
      </w:r>
      <w:r w:rsidR="00D83F48">
        <w:t>Teliax, Inc.</w:t>
      </w:r>
      <w:r w:rsidRPr="004125AB">
        <w:t xml:space="preserve"> Tariff F.C.C. No. </w:t>
      </w:r>
      <w:r w:rsidR="00D83F48">
        <w:t>1</w:t>
      </w:r>
      <w:r w:rsidRPr="004125AB">
        <w:t xml:space="preserve">, Transmittal No. </w:t>
      </w:r>
      <w:r w:rsidR="008D33B7">
        <w:t>7</w:t>
      </w:r>
      <w:r w:rsidRPr="004125AB" w:rsidR="008D33B7">
        <w:t xml:space="preserve"> </w:t>
      </w:r>
      <w:r w:rsidRPr="004125AB">
        <w:t xml:space="preserve">(filed </w:t>
      </w:r>
      <w:r w:rsidR="008D33B7">
        <w:t>Apr. 30</w:t>
      </w:r>
      <w:r w:rsidR="00D83F48">
        <w:t>, 2021)</w:t>
      </w:r>
      <w:r w:rsidR="000610F8">
        <w:t xml:space="preserve"> (CenturyLink Petition)</w:t>
      </w:r>
      <w:r w:rsidR="008D33B7">
        <w:t>; Petition of AT&amp;T to Reject or Suspend and Investigate</w:t>
      </w:r>
      <w:r w:rsidRPr="008D33B7" w:rsidR="008D33B7">
        <w:t xml:space="preserve"> </w:t>
      </w:r>
      <w:r w:rsidR="008D33B7">
        <w:t>Teliax, Inc.</w:t>
      </w:r>
      <w:r w:rsidRPr="004125AB" w:rsidR="008D33B7">
        <w:t xml:space="preserve"> Tariff F.C.C. No. </w:t>
      </w:r>
      <w:r w:rsidR="008D33B7">
        <w:t>1</w:t>
      </w:r>
      <w:r w:rsidRPr="004125AB" w:rsidR="008D33B7">
        <w:t xml:space="preserve">, Transmittal No. </w:t>
      </w:r>
      <w:r w:rsidR="008D33B7">
        <w:t xml:space="preserve">7 (filed Apr. 30, 2021) </w:t>
      </w:r>
      <w:r w:rsidR="000610F8">
        <w:t>(AT&amp;T Petition)</w:t>
      </w:r>
      <w:r w:rsidR="009945F3">
        <w:t xml:space="preserve">; Petition of Bandwidth Inc. </w:t>
      </w:r>
      <w:r w:rsidR="001356D5">
        <w:t xml:space="preserve">and Bandwidth.com CLEC, LLC </w:t>
      </w:r>
      <w:r w:rsidR="009945F3">
        <w:t>to Reject or Suspend and Investigate</w:t>
      </w:r>
      <w:r w:rsidRPr="008D33B7" w:rsidR="009945F3">
        <w:t xml:space="preserve"> </w:t>
      </w:r>
      <w:r w:rsidR="009945F3">
        <w:t>Teliax, Inc.</w:t>
      </w:r>
      <w:r w:rsidRPr="004125AB" w:rsidR="009945F3">
        <w:t xml:space="preserve"> Tariff F.C.C. No. </w:t>
      </w:r>
      <w:r w:rsidR="009945F3">
        <w:t>1</w:t>
      </w:r>
      <w:r w:rsidRPr="004125AB" w:rsidR="009945F3">
        <w:t xml:space="preserve">, Transmittal No. </w:t>
      </w:r>
      <w:r w:rsidR="009945F3">
        <w:t>7 (filed Apr. 30, 2021)</w:t>
      </w:r>
      <w:r w:rsidR="00FE0040">
        <w:t xml:space="preserve"> (Bandwidth Petition)</w:t>
      </w:r>
      <w:r w:rsidR="00001BC8">
        <w:t xml:space="preserve"> (collectively, Petitions)</w:t>
      </w:r>
      <w:r w:rsidR="008D33B7">
        <w:t>.</w:t>
      </w:r>
    </w:p>
  </w:footnote>
  <w:footnote w:id="20">
    <w:p w:rsidR="004125AB" w:rsidRPr="008F0D56" w14:paraId="5523295D" w14:textId="77777777">
      <w:pPr>
        <w:pStyle w:val="FootnoteText"/>
      </w:pPr>
      <w:r>
        <w:rPr>
          <w:rStyle w:val="FootnoteReference"/>
        </w:rPr>
        <w:footnoteRef/>
      </w:r>
      <w:r>
        <w:t xml:space="preserve"> </w:t>
      </w:r>
      <w:r w:rsidR="000610F8">
        <w:t>CenturyLink</w:t>
      </w:r>
      <w:r w:rsidR="000E1BF4">
        <w:t xml:space="preserve"> </w:t>
      </w:r>
      <w:r w:rsidR="000610F8">
        <w:t>Petition</w:t>
      </w:r>
      <w:r w:rsidR="00D83F48">
        <w:t xml:space="preserve"> at 2-</w:t>
      </w:r>
      <w:r w:rsidR="000610F8">
        <w:t>9; AT&amp;T Petition at 1-3</w:t>
      </w:r>
      <w:r w:rsidR="00FE0040">
        <w:t xml:space="preserve">; </w:t>
      </w:r>
      <w:r w:rsidR="00001BC8">
        <w:t>Bandwidth Petition at 1-2</w:t>
      </w:r>
      <w:r w:rsidRPr="00051D30" w:rsidR="0077284B">
        <w:t>;</w:t>
      </w:r>
      <w:r w:rsidR="0077284B">
        <w:rPr>
          <w:i/>
          <w:iCs/>
        </w:rPr>
        <w:t xml:space="preserve"> s</w:t>
      </w:r>
      <w:r w:rsidR="008F0D56">
        <w:rPr>
          <w:i/>
          <w:iCs/>
        </w:rPr>
        <w:t xml:space="preserve">ee </w:t>
      </w:r>
      <w:r w:rsidRPr="008F0D56" w:rsidR="008F0D56">
        <w:t xml:space="preserve">47 CFR </w:t>
      </w:r>
      <w:r w:rsidR="00FE0040">
        <w:t>§ </w:t>
      </w:r>
      <w:r w:rsidRPr="008F0D56" w:rsidR="008F0D56">
        <w:t>61</w:t>
      </w:r>
      <w:r w:rsidR="008F0D56">
        <w:t>.26.</w:t>
      </w:r>
    </w:p>
  </w:footnote>
  <w:footnote w:id="21">
    <w:p w:rsidR="00745CEB" w:rsidRPr="00DE427B" w:rsidP="00051D30" w14:paraId="40F6BD03" w14:textId="77777777">
      <w:pPr>
        <w:pStyle w:val="Default"/>
        <w:spacing w:after="120"/>
      </w:pPr>
      <w:r w:rsidRPr="00745CEB">
        <w:rPr>
          <w:rStyle w:val="FootnoteReference"/>
          <w:szCs w:val="20"/>
        </w:rPr>
        <w:footnoteRef/>
      </w:r>
      <w:r w:rsidRPr="00051D30">
        <w:rPr>
          <w:sz w:val="20"/>
          <w:szCs w:val="20"/>
        </w:rPr>
        <w:t xml:space="preserve"> Teliax’s</w:t>
      </w:r>
      <w:r w:rsidRPr="00051D30">
        <w:rPr>
          <w:sz w:val="20"/>
          <w:szCs w:val="20"/>
        </w:rPr>
        <w:t xml:space="preserve"> Response to Petitions of CenturyLink Communications, LLC and Leve</w:t>
      </w:r>
      <w:r w:rsidR="00051D30">
        <w:rPr>
          <w:sz w:val="20"/>
          <w:szCs w:val="20"/>
        </w:rPr>
        <w:t>l</w:t>
      </w:r>
      <w:r w:rsidRPr="00051D30">
        <w:rPr>
          <w:sz w:val="20"/>
          <w:szCs w:val="20"/>
        </w:rPr>
        <w:t xml:space="preserve"> 3 Communications, LLC, AT&amp;T Services, Inc. and Bandwidth.com CLEC, LLC, to Suspen</w:t>
      </w:r>
      <w:r w:rsidR="0077284B">
        <w:rPr>
          <w:sz w:val="20"/>
          <w:szCs w:val="20"/>
        </w:rPr>
        <w:t>d</w:t>
      </w:r>
      <w:r w:rsidRPr="00051D30">
        <w:rPr>
          <w:sz w:val="20"/>
          <w:szCs w:val="20"/>
        </w:rPr>
        <w:t xml:space="preserve"> or Reject Teliax’s Revised Tariff</w:t>
      </w:r>
      <w:r w:rsidR="0077284B">
        <w:rPr>
          <w:sz w:val="20"/>
          <w:szCs w:val="20"/>
        </w:rPr>
        <w:t xml:space="preserve"> (</w:t>
      </w:r>
      <w:r w:rsidRPr="00051D30">
        <w:rPr>
          <w:sz w:val="20"/>
          <w:szCs w:val="20"/>
        </w:rPr>
        <w:t>filed May 6, 2021</w:t>
      </w:r>
      <w:r w:rsidR="0077284B">
        <w:rPr>
          <w:sz w:val="20"/>
          <w:szCs w:val="20"/>
        </w:rPr>
        <w:t>)</w:t>
      </w:r>
      <w:r w:rsidRPr="00051D30">
        <w:rPr>
          <w:sz w:val="20"/>
          <w:szCs w:val="20"/>
        </w:rPr>
        <w:t xml:space="preserve"> (</w:t>
      </w:r>
      <w:r w:rsidR="000E1BF4">
        <w:rPr>
          <w:sz w:val="20"/>
          <w:szCs w:val="20"/>
        </w:rPr>
        <w:t xml:space="preserve">Teliax </w:t>
      </w:r>
      <w:r w:rsidR="0091506C">
        <w:rPr>
          <w:sz w:val="20"/>
          <w:szCs w:val="20"/>
        </w:rPr>
        <w:t>Response</w:t>
      </w:r>
      <w:r w:rsidRPr="00051D30">
        <w:rPr>
          <w:sz w:val="20"/>
          <w:szCs w:val="20"/>
        </w:rPr>
        <w:t>).</w:t>
      </w:r>
    </w:p>
  </w:footnote>
  <w:footnote w:id="22">
    <w:p w:rsidR="00517DC7" w:rsidP="00517DC7" w14:paraId="54BDE8F7" w14:textId="77777777">
      <w:pPr>
        <w:pStyle w:val="FootnoteText"/>
      </w:pPr>
      <w:r>
        <w:rPr>
          <w:rStyle w:val="FootnoteReference"/>
        </w:rPr>
        <w:footnoteRef/>
      </w:r>
      <w:r>
        <w:t xml:space="preserve"> </w:t>
      </w:r>
      <w:r w:rsidRPr="003144FA" w:rsidR="000E1BF4">
        <w:rPr>
          <w:i/>
          <w:iCs/>
        </w:rPr>
        <w:t>Id</w:t>
      </w:r>
      <w:r w:rsidR="000E1BF4">
        <w:t>.</w:t>
      </w:r>
      <w:r>
        <w:t xml:space="preserve"> at 2.</w:t>
      </w:r>
    </w:p>
  </w:footnote>
  <w:footnote w:id="23">
    <w:p w:rsidR="00517DC7" w14:paraId="149F3382" w14:textId="77777777">
      <w:pPr>
        <w:pStyle w:val="FootnoteText"/>
      </w:pPr>
      <w:r>
        <w:rPr>
          <w:rStyle w:val="FootnoteReference"/>
        </w:rPr>
        <w:footnoteRef/>
      </w:r>
      <w:r>
        <w:t xml:space="preserve"> </w:t>
      </w:r>
      <w:r w:rsidRPr="003A2637" w:rsidR="000E1BF4">
        <w:rPr>
          <w:i/>
          <w:iCs/>
        </w:rPr>
        <w:t>Id</w:t>
      </w:r>
      <w:r w:rsidR="000E1BF4">
        <w:t xml:space="preserve">. </w:t>
      </w:r>
      <w:r>
        <w:t>at 2, 7.</w:t>
      </w:r>
    </w:p>
  </w:footnote>
  <w:footnote w:id="24">
    <w:p w:rsidR="00DA6109" w:rsidP="00DA6109" w14:paraId="3A87CBA8" w14:textId="77777777">
      <w:pPr>
        <w:pStyle w:val="FootnoteText"/>
      </w:pPr>
      <w:r>
        <w:rPr>
          <w:rStyle w:val="FootnoteReference"/>
        </w:rPr>
        <w:footnoteRef/>
      </w:r>
      <w:r>
        <w:t xml:space="preserve"> </w:t>
      </w:r>
      <w:r w:rsidRPr="003A2637" w:rsidR="000E1BF4">
        <w:rPr>
          <w:i/>
          <w:iCs/>
        </w:rPr>
        <w:t>Id</w:t>
      </w:r>
      <w:r w:rsidR="000E1BF4">
        <w:t xml:space="preserve">. </w:t>
      </w:r>
      <w:r>
        <w:t>at 2.</w:t>
      </w:r>
    </w:p>
  </w:footnote>
  <w:footnote w:id="25">
    <w:p w:rsidR="0091506C" w:rsidRPr="005B4676" w:rsidP="0091506C" w14:paraId="069CC62C" w14:textId="77777777">
      <w:pPr>
        <w:pStyle w:val="FootnoteText"/>
      </w:pPr>
      <w:r>
        <w:rPr>
          <w:rStyle w:val="FootnoteReference"/>
        </w:rPr>
        <w:footnoteRef/>
      </w:r>
      <w:r>
        <w:t xml:space="preserve"> </w:t>
      </w:r>
      <w:r w:rsidRPr="003A2637" w:rsidR="000E1BF4">
        <w:rPr>
          <w:i/>
          <w:iCs/>
        </w:rPr>
        <w:t>Id</w:t>
      </w:r>
      <w:r w:rsidR="000E1BF4">
        <w:t xml:space="preserve">. </w:t>
      </w:r>
      <w:r>
        <w:t>at</w:t>
      </w:r>
      <w:r w:rsidR="00DA6109">
        <w:t xml:space="preserve"> 3</w:t>
      </w:r>
      <w:r>
        <w:t>.</w:t>
      </w:r>
    </w:p>
  </w:footnote>
  <w:footnote w:id="26">
    <w:p w:rsidR="004125AB" w14:paraId="476B4D2B" w14:textId="77777777">
      <w:pPr>
        <w:pStyle w:val="FootnoteText"/>
      </w:pPr>
      <w:r>
        <w:rPr>
          <w:rStyle w:val="FootnoteReference"/>
        </w:rPr>
        <w:footnoteRef/>
      </w:r>
      <w:r>
        <w:t xml:space="preserve"> </w:t>
      </w:r>
      <w:r w:rsidRPr="004125AB">
        <w:t xml:space="preserve">47 U.S.C. </w:t>
      </w:r>
      <w:r w:rsidR="001356D5">
        <w:t>§ </w:t>
      </w:r>
      <w:r w:rsidRPr="004125AB">
        <w:t>204</w:t>
      </w:r>
      <w:r>
        <w:t>.</w:t>
      </w:r>
    </w:p>
  </w:footnote>
  <w:footnote w:id="27">
    <w:p w:rsidR="004125AB" w:rsidP="004125AB" w14:paraId="7A7C3386" w14:textId="77777777">
      <w:pPr>
        <w:pStyle w:val="FootnoteText"/>
      </w:pPr>
      <w:r>
        <w:rPr>
          <w:rStyle w:val="FootnoteReference"/>
        </w:rPr>
        <w:footnoteRef/>
      </w:r>
      <w:r>
        <w:t xml:space="preserve"> </w:t>
      </w:r>
      <w:r w:rsidRPr="004125AB">
        <w:rPr>
          <w:i/>
          <w:iCs/>
        </w:rPr>
        <w:t>Associated Press v. FCC</w:t>
      </w:r>
      <w:r>
        <w:t xml:space="preserve">, 448 F.2d 1095, 1103 (D.C. Cir. 1971); </w:t>
      </w:r>
      <w:r w:rsidRPr="004125AB">
        <w:rPr>
          <w:i/>
          <w:iCs/>
        </w:rPr>
        <w:t>see also Municipal Light Bds. v. FPC</w:t>
      </w:r>
      <w:r>
        <w:t xml:space="preserve">, 450 F.2d  1341, 1346 (D.C. Cir. 1971), </w:t>
      </w:r>
      <w:r w:rsidRPr="009545B0">
        <w:rPr>
          <w:i/>
          <w:iCs/>
        </w:rPr>
        <w:t>cert. denied</w:t>
      </w:r>
      <w:r>
        <w:t>, 405 U.S. 989 (1972) (finding that the Commission may reject</w:t>
      </w:r>
      <w:r>
        <w:t xml:space="preserve"> a tariff filing if the filing is “so patently a nullity as a matter of substantive law, that administrative efficiency and justice are furthered by obviating any docket at the threshold rather than opening a futile docket.”); </w:t>
      </w:r>
      <w:r w:rsidRPr="004125AB">
        <w:rPr>
          <w:i/>
          <w:iCs/>
        </w:rPr>
        <w:t>Capital Network Sys., Inc. v.</w:t>
      </w:r>
      <w:r w:rsidRPr="004125AB">
        <w:rPr>
          <w:i/>
          <w:iCs/>
        </w:rPr>
        <w:t xml:space="preserve"> FCC</w:t>
      </w:r>
      <w:r>
        <w:t xml:space="preserve">, 28 F.3d 201, 204 (D.C. Cir. 1994); </w:t>
      </w:r>
      <w:r w:rsidRPr="004125AB">
        <w:rPr>
          <w:i/>
          <w:iCs/>
        </w:rPr>
        <w:t>American Broadcasting Cos. v. FCC</w:t>
      </w:r>
      <w:r>
        <w:t>, 663 F.2d 133, 138 (D.C. Cir. 1980).</w:t>
      </w:r>
    </w:p>
  </w:footnote>
  <w:footnote w:id="28">
    <w:p w:rsidR="009A136C" w:rsidRPr="00364BE4" w:rsidP="009A136C" w14:paraId="09D191C5" w14:textId="77777777">
      <w:pPr>
        <w:pStyle w:val="FootnoteText"/>
      </w:pPr>
      <w:r>
        <w:rPr>
          <w:rStyle w:val="FootnoteReference"/>
        </w:rPr>
        <w:footnoteRef/>
      </w:r>
      <w:r>
        <w:t xml:space="preserve"> </w:t>
      </w:r>
      <w:r w:rsidR="00A07726">
        <w:t xml:space="preserve">In deciding whether to reject proposed tariff revisions, we look at whether the revisions are unlawful on their face.  </w:t>
      </w:r>
      <w:r w:rsidRPr="00864B39" w:rsidR="0077284B">
        <w:rPr>
          <w:rFonts w:ascii="TimesNewRoman" w:hAnsi="TimesNewRoman" w:eastAsiaTheme="minorHAnsi" w:cs="Calibri"/>
          <w:i/>
          <w:iCs/>
        </w:rPr>
        <w:t>Ameritech Operating Companies Tariff F.C.C. No. 2 et al</w:t>
      </w:r>
      <w:r w:rsidRPr="00864B39" w:rsidR="0077284B">
        <w:rPr>
          <w:rFonts w:ascii="TimesNewRoman" w:hAnsi="TimesNewRoman" w:eastAsiaTheme="minorHAnsi" w:cs="Calibri"/>
        </w:rPr>
        <w:t xml:space="preserve">., Transmittal No. 1847 et al., Order, 31 FCC Rcd 7673 (WCB 2016); </w:t>
      </w:r>
      <w:r w:rsidRPr="00864B39" w:rsidR="0077284B">
        <w:rPr>
          <w:rFonts w:ascii="TimesNewRomanPSMT" w:hAnsi="TimesNewRomanPSMT" w:eastAsiaTheme="minorHAnsi" w:cs="Calibri"/>
          <w:i/>
          <w:iCs/>
          <w:color w:val="020100"/>
        </w:rPr>
        <w:t>LTE Wireless Inc. June 12, 2020 Access Charge Tariff Filing, Tariff F.C.C. No. 1</w:t>
      </w:r>
      <w:r w:rsidRPr="00864B39" w:rsidR="0077284B">
        <w:rPr>
          <w:rFonts w:ascii="TimesNewRomanPSMT" w:hAnsi="TimesNewRomanPSMT" w:eastAsiaTheme="minorHAnsi" w:cs="Calibri"/>
          <w:color w:val="020100"/>
        </w:rPr>
        <w:t xml:space="preserve">, WCB/Pricing File No. 20-01, Transmittal No. 1, Order, 35 FCC Rcd 6511 (PPD 2020); </w:t>
      </w:r>
      <w:r w:rsidRPr="00864B39" w:rsidR="0077284B">
        <w:rPr>
          <w:rFonts w:ascii="TimesNewRomanPSMT" w:hAnsi="TimesNewRomanPSMT" w:eastAsiaTheme="minorHAnsi" w:cs="Calibri"/>
          <w:i/>
          <w:iCs/>
          <w:color w:val="020100"/>
        </w:rPr>
        <w:t>Standard Tandem LLC October 3, 2019 Access Charge Tariff Filing, Tariff F.C.C. No. 1</w:t>
      </w:r>
      <w:r w:rsidRPr="00864B39" w:rsidR="0077284B">
        <w:rPr>
          <w:rFonts w:ascii="TimesNewRomanPSMT" w:hAnsi="TimesNewRomanPSMT" w:eastAsiaTheme="minorHAnsi" w:cs="Calibri"/>
          <w:color w:val="020100"/>
        </w:rPr>
        <w:t xml:space="preserve">, WCB/Pricing File No. 19-02, Transmittal No. 1, Order, 34 FCC Rcd 9479 (PPD 2019).  </w:t>
      </w:r>
      <w:r w:rsidR="00AD467D">
        <w:t xml:space="preserve">Teliax’s reliance on section 1.773(a)(ii) of the Commission’s rules is misplaced.  </w:t>
      </w:r>
      <w:r w:rsidRPr="009638EC" w:rsidR="00AD467D">
        <w:rPr>
          <w:i/>
          <w:iCs/>
        </w:rPr>
        <w:t>See</w:t>
      </w:r>
      <w:r w:rsidR="00AD467D">
        <w:t xml:space="preserve"> Reply at 3-4; 47 CFR § 1.773(a)(ii).  That provision, by its terms, applies only to petitions to suspend, not to petitions to reject, or to the Commission’s authority to act on its own initiative.  </w:t>
      </w:r>
      <w:r w:rsidRPr="0077284B" w:rsidR="00AD467D">
        <w:rPr>
          <w:i/>
          <w:iCs/>
        </w:rPr>
        <w:t>See</w:t>
      </w:r>
      <w:r w:rsidRPr="0077284B" w:rsidR="00AD467D">
        <w:t xml:space="preserve"> </w:t>
      </w:r>
      <w:r w:rsidR="00AD467D">
        <w:t>47 CFR § 1.773(a)(ii) (“tariff filings by nondominant carriers . . . will not be suspended by the </w:t>
      </w:r>
      <w:hyperlink r:id="rId1" w:history="1">
        <w:r w:rsidRPr="00051D30" w:rsidR="00AD467D">
          <w:rPr>
            <w:rStyle w:val="Hyperlink"/>
            <w:color w:val="auto"/>
            <w:u w:val="none"/>
          </w:rPr>
          <w:t>Commission</w:t>
        </w:r>
      </w:hyperlink>
      <w:r w:rsidR="00AD467D">
        <w:t xml:space="preserve"> unless the </w:t>
      </w:r>
      <w:r w:rsidRPr="00051D30" w:rsidR="00AD467D">
        <w:rPr>
          <w:i/>
          <w:iCs/>
        </w:rPr>
        <w:t>petition</w:t>
      </w:r>
      <w:r w:rsidR="00AD467D">
        <w:t xml:space="preserve"> requesting </w:t>
      </w:r>
      <w:r w:rsidRPr="00051D30" w:rsidR="00AD467D">
        <w:rPr>
          <w:i/>
          <w:iCs/>
        </w:rPr>
        <w:t>suspension</w:t>
      </w:r>
      <w:r w:rsidRPr="00051D30" w:rsidR="00AD467D">
        <w:t>”</w:t>
      </w:r>
      <w:r w:rsidR="00AD467D">
        <w:rPr>
          <w:i/>
          <w:iCs/>
        </w:rPr>
        <w:t xml:space="preserve"> </w:t>
      </w:r>
      <w:r w:rsidRPr="00051D30" w:rsidR="00AD467D">
        <w:t>meets the four</w:t>
      </w:r>
      <w:r w:rsidR="0019167F">
        <w:t>-</w:t>
      </w:r>
      <w:r w:rsidRPr="00051D30" w:rsidR="00AD467D">
        <w:t>prong test Teliax cites in its Response</w:t>
      </w:r>
      <w:r w:rsidR="00B43DD3">
        <w:t>)</w:t>
      </w:r>
      <w:r w:rsidR="00F11CBA">
        <w:t xml:space="preserve"> </w:t>
      </w:r>
      <w:r w:rsidR="00AD467D">
        <w:t>(emphasis added).</w:t>
      </w:r>
    </w:p>
  </w:footnote>
  <w:footnote w:id="29">
    <w:p w:rsidR="000A03BA" w14:paraId="47D1F03B" w14:textId="77777777">
      <w:pPr>
        <w:pStyle w:val="FootnoteText"/>
      </w:pPr>
      <w:r>
        <w:rPr>
          <w:rStyle w:val="FootnoteReference"/>
        </w:rPr>
        <w:footnoteRef/>
      </w:r>
      <w:r>
        <w:t xml:space="preserve"> </w:t>
      </w:r>
      <w:r w:rsidR="00001BC8">
        <w:t>CenturyLink</w:t>
      </w:r>
      <w:r w:rsidR="000E1BF4">
        <w:t xml:space="preserve"> </w:t>
      </w:r>
      <w:r w:rsidR="00001BC8">
        <w:t>Petition at 2-4.</w:t>
      </w:r>
    </w:p>
  </w:footnote>
  <w:footnote w:id="30">
    <w:p w:rsidR="00FE0040" w14:paraId="5BF9F414" w14:textId="77777777">
      <w:pPr>
        <w:pStyle w:val="FootnoteText"/>
      </w:pPr>
      <w:r>
        <w:rPr>
          <w:rStyle w:val="FootnoteReference"/>
        </w:rPr>
        <w:footnoteRef/>
      </w:r>
      <w:r>
        <w:t xml:space="preserve"> </w:t>
      </w:r>
      <w:r w:rsidR="009A6EB2">
        <w:t xml:space="preserve">CenturyLink Petition at i-ii; </w:t>
      </w:r>
      <w:r w:rsidR="00001BC8">
        <w:t>Bandwidth Petition at 1-2.</w:t>
      </w:r>
    </w:p>
  </w:footnote>
  <w:footnote w:id="31">
    <w:p w:rsidR="00FC1971" w14:paraId="1F158BA5" w14:textId="77777777">
      <w:pPr>
        <w:pStyle w:val="FootnoteText"/>
      </w:pPr>
      <w:r>
        <w:rPr>
          <w:rStyle w:val="FootnoteReference"/>
        </w:rPr>
        <w:footnoteRef/>
      </w:r>
      <w:r>
        <w:t xml:space="preserve"> Teliax Response at 7-8.  To the extent that Teliax</w:t>
      </w:r>
      <w:r>
        <w:t xml:space="preserve"> argues that we or the Petitioners are misreading its tariff because “IP-to-IP interconnection’ means different things in different contexts,” its proposed revisions are impermissibly vague and ambiguous.  Teliax Response at 7, n. 7; </w:t>
      </w:r>
      <w:r>
        <w:rPr>
          <w:i/>
          <w:iCs/>
        </w:rPr>
        <w:t xml:space="preserve">see </w:t>
      </w:r>
      <w:r w:rsidRPr="00281A30">
        <w:rPr>
          <w:i/>
          <w:iCs/>
        </w:rPr>
        <w:t>also</w:t>
      </w:r>
      <w:r w:rsidR="00281A30">
        <w:t xml:space="preserve"> </w:t>
      </w:r>
      <w:r w:rsidRPr="00281A30" w:rsidR="00281A30">
        <w:t>47 CFR §</w:t>
      </w:r>
      <w:r w:rsidR="00281A30">
        <w:t xml:space="preserve"> 6</w:t>
      </w:r>
      <w:r w:rsidR="00BA0090">
        <w:t>1.</w:t>
      </w:r>
      <w:r w:rsidR="00281A30">
        <w:t xml:space="preserve">2(a) (all tariffs must contain </w:t>
      </w:r>
      <w:r w:rsidR="00BA0090">
        <w:t>“clear</w:t>
      </w:r>
      <w:r w:rsidRPr="00281A30" w:rsidR="00281A30">
        <w:t xml:space="preserve"> </w:t>
      </w:r>
      <w:r w:rsidRPr="00BA0090" w:rsidR="00BA0090">
        <w:t>and explicit explanatory statements regarding the rates and regulations” to “remove all doubt as to their proper application</w:t>
      </w:r>
      <w:r w:rsidR="00BA0090">
        <w:t>.”)</w:t>
      </w:r>
      <w:r w:rsidR="007C54E7">
        <w:t>.</w:t>
      </w:r>
      <w:r w:rsidR="00281A30">
        <w:t xml:space="preserve"> </w:t>
      </w:r>
      <w:r w:rsidR="00DE427B">
        <w:t xml:space="preserve"> </w:t>
      </w:r>
      <w:r>
        <w:t>The application of a tariff provision should be clear to everyone and should not mean dif</w:t>
      </w:r>
      <w:r>
        <w:t xml:space="preserve">ferent things to different people. </w:t>
      </w:r>
    </w:p>
  </w:footnote>
  <w:footnote w:id="32">
    <w:p w:rsidR="00EE4529" w14:paraId="189AED65" w14:textId="77777777">
      <w:pPr>
        <w:pStyle w:val="FootnoteText"/>
      </w:pPr>
      <w:r>
        <w:rPr>
          <w:rStyle w:val="FootnoteReference"/>
        </w:rPr>
        <w:footnoteRef/>
      </w:r>
      <w:r>
        <w:t xml:space="preserve"> </w:t>
      </w:r>
      <w:r w:rsidRPr="00AF6216" w:rsidR="00001BC8">
        <w:rPr>
          <w:i/>
          <w:iCs/>
        </w:rPr>
        <w:t>USF/ICC Transformation Order</w:t>
      </w:r>
      <w:r w:rsidR="006210C7">
        <w:t>,</w:t>
      </w:r>
      <w:r w:rsidR="00001BC8">
        <w:t xml:space="preserve"> </w:t>
      </w:r>
      <w:r w:rsidRPr="00BB20AC" w:rsidR="00C0464A">
        <w:t xml:space="preserve">26 FCC Rcd </w:t>
      </w:r>
      <w:r w:rsidR="00001BC8">
        <w:t>at 18005-06, para. 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08D" w:rsidP="00CC308D" w14:paraId="5B2BCF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F2" w:rsidRPr="007454F2" w:rsidP="00CC308D" w14:paraId="1D96E907" w14:textId="77777777">
    <w:pPr>
      <w:pStyle w:val="Header"/>
    </w:pPr>
    <w:r w:rsidRPr="007454F2">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7454F2">
      <w:tab/>
    </w:r>
    <w:r w:rsidR="00CC308D">
      <w:t>Federal Communications Commission</w:t>
    </w:r>
    <w:r w:rsidR="00CC308D">
      <w:tab/>
    </w:r>
    <w:r w:rsidR="00CC308D">
      <w:rPr>
        <w:spacing w:val="-2"/>
      </w:rPr>
      <w:t>DA 21-543</w:t>
    </w:r>
  </w:p>
  <w:p w:rsidR="00D25FB5" w:rsidRPr="00524102" w:rsidP="00524102" w14:paraId="41766CF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3" w:name="_Hlk67910353"/>
  <w:bookmarkStart w:id="4" w:name="_Hlk67910354"/>
  <w:p w:rsidR="00D25FB5" w:rsidP="00CC308D" w14:paraId="08FE46D2"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133BFB">
      <w:tab/>
      <w:t>Federal Communications Commission</w:t>
    </w:r>
    <w:r w:rsidR="00133BFB">
      <w:tab/>
    </w:r>
    <w:r w:rsidR="00524102">
      <w:rPr>
        <w:spacing w:val="-2"/>
      </w:rPr>
      <w:t xml:space="preserve">DA </w:t>
    </w:r>
    <w:r w:rsidR="00051D30">
      <w:rPr>
        <w:spacing w:val="-2"/>
      </w:rPr>
      <w:t>21-543</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7609C6"/>
    <w:multiLevelType w:val="hybridMultilevel"/>
    <w:tmpl w:val="158CFD0C"/>
    <w:lvl w:ilvl="0">
      <w:start w:val="1"/>
      <w:numFmt w:val="decimal"/>
      <w:lvlText w:val="%1."/>
      <w:lvlJc w:val="left"/>
      <w:pPr>
        <w:tabs>
          <w:tab w:val="num" w:pos="1482"/>
        </w:tabs>
        <w:ind w:firstLine="720"/>
      </w:pPr>
      <w:rPr>
        <w:rFonts w:ascii="Times New Roman" w:hAnsi="Times New Roman" w:cs="Times New Roman" w:hint="default"/>
        <w:b w:val="0"/>
        <w:i w:val="0"/>
        <w:dstrike w:val="0"/>
        <w:color w:val="000000"/>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48EA92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0E4D9D"/>
    <w:multiLevelType w:val="hybridMultilevel"/>
    <w:tmpl w:val="70A63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1182925"/>
    <w:multiLevelType w:val="multilevel"/>
    <w:tmpl w:val="AC40ADA2"/>
    <w:lvl w:ilvl="0">
      <w:start w:val="1"/>
      <w:numFmt w:val="decimal"/>
      <w:pStyle w:val="ParaNum"/>
      <w:lvlText w:val="%1."/>
      <w:lvlJc w:val="left"/>
      <w:pPr>
        <w:tabs>
          <w:tab w:val="num" w:pos="1080"/>
        </w:tabs>
        <w:ind w:left="0" w:firstLine="72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E73143"/>
    <w:multiLevelType w:val="hybridMultilevel"/>
    <w:tmpl w:val="F3D27F10"/>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7"/>
    <w:lvlOverride w:ilvl="0">
      <w:startOverride w:val="1"/>
    </w:lvlOverride>
  </w:num>
  <w:num w:numId="9">
    <w:abstractNumId w:val="4"/>
  </w:num>
  <w:num w:numId="10">
    <w:abstractNumId w:val="4"/>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02"/>
    <w:rsid w:val="00001625"/>
    <w:rsid w:val="00001BC8"/>
    <w:rsid w:val="000051B6"/>
    <w:rsid w:val="00005890"/>
    <w:rsid w:val="000210F8"/>
    <w:rsid w:val="0002364F"/>
    <w:rsid w:val="0003323B"/>
    <w:rsid w:val="00036039"/>
    <w:rsid w:val="00037F90"/>
    <w:rsid w:val="0004001A"/>
    <w:rsid w:val="0004045B"/>
    <w:rsid w:val="00043825"/>
    <w:rsid w:val="00051D30"/>
    <w:rsid w:val="00053E58"/>
    <w:rsid w:val="00056AD4"/>
    <w:rsid w:val="00057CCB"/>
    <w:rsid w:val="000610F8"/>
    <w:rsid w:val="000614E4"/>
    <w:rsid w:val="000833CB"/>
    <w:rsid w:val="000875BF"/>
    <w:rsid w:val="00091F8E"/>
    <w:rsid w:val="00096D8C"/>
    <w:rsid w:val="000A03BA"/>
    <w:rsid w:val="000A0B56"/>
    <w:rsid w:val="000A1B45"/>
    <w:rsid w:val="000B3E31"/>
    <w:rsid w:val="000C0B65"/>
    <w:rsid w:val="000C40AB"/>
    <w:rsid w:val="000D29D3"/>
    <w:rsid w:val="000D3698"/>
    <w:rsid w:val="000D4E5F"/>
    <w:rsid w:val="000E05FE"/>
    <w:rsid w:val="000E1BF4"/>
    <w:rsid w:val="000E3D42"/>
    <w:rsid w:val="000F3632"/>
    <w:rsid w:val="000F7F93"/>
    <w:rsid w:val="001002A5"/>
    <w:rsid w:val="001106B2"/>
    <w:rsid w:val="00117814"/>
    <w:rsid w:val="00122BD5"/>
    <w:rsid w:val="001263AE"/>
    <w:rsid w:val="00133BFB"/>
    <w:rsid w:val="00133F79"/>
    <w:rsid w:val="00134075"/>
    <w:rsid w:val="001356D5"/>
    <w:rsid w:val="00136A6C"/>
    <w:rsid w:val="001377C4"/>
    <w:rsid w:val="00154D56"/>
    <w:rsid w:val="0016223B"/>
    <w:rsid w:val="00176B84"/>
    <w:rsid w:val="001802B5"/>
    <w:rsid w:val="00181DE7"/>
    <w:rsid w:val="0019167F"/>
    <w:rsid w:val="00191748"/>
    <w:rsid w:val="00194A66"/>
    <w:rsid w:val="001B05B1"/>
    <w:rsid w:val="001B08C0"/>
    <w:rsid w:val="001B20EE"/>
    <w:rsid w:val="001C28BB"/>
    <w:rsid w:val="001C73FB"/>
    <w:rsid w:val="001D203A"/>
    <w:rsid w:val="001D6BCF"/>
    <w:rsid w:val="001E01CA"/>
    <w:rsid w:val="001E0B93"/>
    <w:rsid w:val="001E25BC"/>
    <w:rsid w:val="001F605B"/>
    <w:rsid w:val="0021608B"/>
    <w:rsid w:val="00223A95"/>
    <w:rsid w:val="002243C8"/>
    <w:rsid w:val="002438F4"/>
    <w:rsid w:val="00247A8C"/>
    <w:rsid w:val="00262A58"/>
    <w:rsid w:val="0026596D"/>
    <w:rsid w:val="00265983"/>
    <w:rsid w:val="00275CF5"/>
    <w:rsid w:val="00281A30"/>
    <w:rsid w:val="002825CB"/>
    <w:rsid w:val="0028301F"/>
    <w:rsid w:val="00285017"/>
    <w:rsid w:val="00285458"/>
    <w:rsid w:val="00291D5E"/>
    <w:rsid w:val="00292E76"/>
    <w:rsid w:val="00294510"/>
    <w:rsid w:val="00294C05"/>
    <w:rsid w:val="002A0FA9"/>
    <w:rsid w:val="002A2D2E"/>
    <w:rsid w:val="002C00E8"/>
    <w:rsid w:val="002E78E1"/>
    <w:rsid w:val="002F1343"/>
    <w:rsid w:val="00300BDB"/>
    <w:rsid w:val="003064E3"/>
    <w:rsid w:val="0030696E"/>
    <w:rsid w:val="003144FA"/>
    <w:rsid w:val="0032035A"/>
    <w:rsid w:val="00324929"/>
    <w:rsid w:val="00332655"/>
    <w:rsid w:val="00333F3E"/>
    <w:rsid w:val="00333FFA"/>
    <w:rsid w:val="00341C89"/>
    <w:rsid w:val="00343749"/>
    <w:rsid w:val="00351250"/>
    <w:rsid w:val="00351F92"/>
    <w:rsid w:val="00364BE4"/>
    <w:rsid w:val="003660ED"/>
    <w:rsid w:val="00395422"/>
    <w:rsid w:val="00397671"/>
    <w:rsid w:val="00397BF9"/>
    <w:rsid w:val="003A10C7"/>
    <w:rsid w:val="003A2637"/>
    <w:rsid w:val="003A3E0A"/>
    <w:rsid w:val="003B0550"/>
    <w:rsid w:val="003B694F"/>
    <w:rsid w:val="003C60C8"/>
    <w:rsid w:val="003D2A8E"/>
    <w:rsid w:val="003D320A"/>
    <w:rsid w:val="003D48BE"/>
    <w:rsid w:val="003E5311"/>
    <w:rsid w:val="003F000C"/>
    <w:rsid w:val="003F171C"/>
    <w:rsid w:val="003F31DE"/>
    <w:rsid w:val="00404E26"/>
    <w:rsid w:val="00411046"/>
    <w:rsid w:val="004125AB"/>
    <w:rsid w:val="00412FC5"/>
    <w:rsid w:val="00422276"/>
    <w:rsid w:val="004242F1"/>
    <w:rsid w:val="00424D5F"/>
    <w:rsid w:val="00440563"/>
    <w:rsid w:val="00445A00"/>
    <w:rsid w:val="004477FE"/>
    <w:rsid w:val="00451B0F"/>
    <w:rsid w:val="004526AC"/>
    <w:rsid w:val="00461BA7"/>
    <w:rsid w:val="00462E90"/>
    <w:rsid w:val="004637A6"/>
    <w:rsid w:val="00464965"/>
    <w:rsid w:val="00466C28"/>
    <w:rsid w:val="004719A2"/>
    <w:rsid w:val="004751C4"/>
    <w:rsid w:val="00480008"/>
    <w:rsid w:val="0049715E"/>
    <w:rsid w:val="004A3967"/>
    <w:rsid w:val="004A4204"/>
    <w:rsid w:val="004B0284"/>
    <w:rsid w:val="004B288A"/>
    <w:rsid w:val="004B3133"/>
    <w:rsid w:val="004B71B7"/>
    <w:rsid w:val="004C2EE3"/>
    <w:rsid w:val="004E4A22"/>
    <w:rsid w:val="004E5830"/>
    <w:rsid w:val="004E7E5F"/>
    <w:rsid w:val="004F6F7A"/>
    <w:rsid w:val="00503DA8"/>
    <w:rsid w:val="00506FF6"/>
    <w:rsid w:val="00510E59"/>
    <w:rsid w:val="00511968"/>
    <w:rsid w:val="00511C2D"/>
    <w:rsid w:val="0051246A"/>
    <w:rsid w:val="005162A1"/>
    <w:rsid w:val="00517ADA"/>
    <w:rsid w:val="00517DC7"/>
    <w:rsid w:val="00517E28"/>
    <w:rsid w:val="00524102"/>
    <w:rsid w:val="00535C51"/>
    <w:rsid w:val="005378A5"/>
    <w:rsid w:val="005519F6"/>
    <w:rsid w:val="0055614C"/>
    <w:rsid w:val="00557C3A"/>
    <w:rsid w:val="00562D9B"/>
    <w:rsid w:val="00566D06"/>
    <w:rsid w:val="005746AB"/>
    <w:rsid w:val="00582A82"/>
    <w:rsid w:val="00594478"/>
    <w:rsid w:val="005B4676"/>
    <w:rsid w:val="005C5060"/>
    <w:rsid w:val="005C7643"/>
    <w:rsid w:val="005D3503"/>
    <w:rsid w:val="005D576B"/>
    <w:rsid w:val="005E14C2"/>
    <w:rsid w:val="005E413A"/>
    <w:rsid w:val="005F33FD"/>
    <w:rsid w:val="005F3CDA"/>
    <w:rsid w:val="005F51DB"/>
    <w:rsid w:val="00607BA5"/>
    <w:rsid w:val="0061180A"/>
    <w:rsid w:val="006123A7"/>
    <w:rsid w:val="00613249"/>
    <w:rsid w:val="00617858"/>
    <w:rsid w:val="00617953"/>
    <w:rsid w:val="006210C7"/>
    <w:rsid w:val="00626EB6"/>
    <w:rsid w:val="006336C6"/>
    <w:rsid w:val="006336EB"/>
    <w:rsid w:val="00655D03"/>
    <w:rsid w:val="0066438F"/>
    <w:rsid w:val="00665F10"/>
    <w:rsid w:val="00670A80"/>
    <w:rsid w:val="00674BD8"/>
    <w:rsid w:val="00683388"/>
    <w:rsid w:val="00683F84"/>
    <w:rsid w:val="006846B4"/>
    <w:rsid w:val="00694861"/>
    <w:rsid w:val="00695AD5"/>
    <w:rsid w:val="006A01A3"/>
    <w:rsid w:val="006A3966"/>
    <w:rsid w:val="006A4C46"/>
    <w:rsid w:val="006A6A81"/>
    <w:rsid w:val="006B0BF7"/>
    <w:rsid w:val="006B1C63"/>
    <w:rsid w:val="006B238D"/>
    <w:rsid w:val="006C19F7"/>
    <w:rsid w:val="006C56DE"/>
    <w:rsid w:val="006E3137"/>
    <w:rsid w:val="006F1B86"/>
    <w:rsid w:val="006F4025"/>
    <w:rsid w:val="006F426F"/>
    <w:rsid w:val="006F51F8"/>
    <w:rsid w:val="006F7393"/>
    <w:rsid w:val="006F7815"/>
    <w:rsid w:val="0070224F"/>
    <w:rsid w:val="00710311"/>
    <w:rsid w:val="00710F60"/>
    <w:rsid w:val="007115F7"/>
    <w:rsid w:val="00713C85"/>
    <w:rsid w:val="007228B3"/>
    <w:rsid w:val="00722D0A"/>
    <w:rsid w:val="007234DB"/>
    <w:rsid w:val="00724B90"/>
    <w:rsid w:val="00726A79"/>
    <w:rsid w:val="00734FC8"/>
    <w:rsid w:val="0074243F"/>
    <w:rsid w:val="007454F2"/>
    <w:rsid w:val="00745CEB"/>
    <w:rsid w:val="007601D8"/>
    <w:rsid w:val="0076090F"/>
    <w:rsid w:val="0077284B"/>
    <w:rsid w:val="00774E94"/>
    <w:rsid w:val="00785689"/>
    <w:rsid w:val="00785A47"/>
    <w:rsid w:val="007867AE"/>
    <w:rsid w:val="00790B18"/>
    <w:rsid w:val="0079754B"/>
    <w:rsid w:val="007A1E6D"/>
    <w:rsid w:val="007B0EB2"/>
    <w:rsid w:val="007B6CBF"/>
    <w:rsid w:val="007C1D23"/>
    <w:rsid w:val="007C54E7"/>
    <w:rsid w:val="007D0A32"/>
    <w:rsid w:val="007D623A"/>
    <w:rsid w:val="007E3901"/>
    <w:rsid w:val="007F1EDE"/>
    <w:rsid w:val="007F25B0"/>
    <w:rsid w:val="007F4C47"/>
    <w:rsid w:val="007F55AA"/>
    <w:rsid w:val="00804643"/>
    <w:rsid w:val="00810B6F"/>
    <w:rsid w:val="00822CE0"/>
    <w:rsid w:val="008263E2"/>
    <w:rsid w:val="00833E96"/>
    <w:rsid w:val="00841AB1"/>
    <w:rsid w:val="00854C5A"/>
    <w:rsid w:val="00856CB2"/>
    <w:rsid w:val="00864B39"/>
    <w:rsid w:val="00874565"/>
    <w:rsid w:val="00877E01"/>
    <w:rsid w:val="00887092"/>
    <w:rsid w:val="00896B07"/>
    <w:rsid w:val="00897D16"/>
    <w:rsid w:val="008A7058"/>
    <w:rsid w:val="008A7FEB"/>
    <w:rsid w:val="008B7427"/>
    <w:rsid w:val="008C1EB1"/>
    <w:rsid w:val="008C68F1"/>
    <w:rsid w:val="008D0756"/>
    <w:rsid w:val="008D33B7"/>
    <w:rsid w:val="008D521F"/>
    <w:rsid w:val="008D6E59"/>
    <w:rsid w:val="008E16DF"/>
    <w:rsid w:val="008E3017"/>
    <w:rsid w:val="008F0D56"/>
    <w:rsid w:val="008F50BF"/>
    <w:rsid w:val="00900FAB"/>
    <w:rsid w:val="00905205"/>
    <w:rsid w:val="0091506C"/>
    <w:rsid w:val="00915807"/>
    <w:rsid w:val="00921803"/>
    <w:rsid w:val="00922F54"/>
    <w:rsid w:val="00926503"/>
    <w:rsid w:val="009334C6"/>
    <w:rsid w:val="0093617A"/>
    <w:rsid w:val="009545B0"/>
    <w:rsid w:val="00956C34"/>
    <w:rsid w:val="009638EC"/>
    <w:rsid w:val="009726D8"/>
    <w:rsid w:val="009772F2"/>
    <w:rsid w:val="00983B65"/>
    <w:rsid w:val="00984DDC"/>
    <w:rsid w:val="00990306"/>
    <w:rsid w:val="00993DAC"/>
    <w:rsid w:val="009945F3"/>
    <w:rsid w:val="00994840"/>
    <w:rsid w:val="009973F6"/>
    <w:rsid w:val="009A136C"/>
    <w:rsid w:val="009A3F72"/>
    <w:rsid w:val="009A6EB2"/>
    <w:rsid w:val="009B0A77"/>
    <w:rsid w:val="009C0683"/>
    <w:rsid w:val="009C14DC"/>
    <w:rsid w:val="009C24A4"/>
    <w:rsid w:val="009C53AC"/>
    <w:rsid w:val="009C5745"/>
    <w:rsid w:val="009D32FA"/>
    <w:rsid w:val="009D7308"/>
    <w:rsid w:val="009E679B"/>
    <w:rsid w:val="009E78E9"/>
    <w:rsid w:val="009F0195"/>
    <w:rsid w:val="009F41FD"/>
    <w:rsid w:val="009F43D3"/>
    <w:rsid w:val="009F76DB"/>
    <w:rsid w:val="00A007A7"/>
    <w:rsid w:val="00A00F4A"/>
    <w:rsid w:val="00A02E8D"/>
    <w:rsid w:val="00A06049"/>
    <w:rsid w:val="00A07726"/>
    <w:rsid w:val="00A07833"/>
    <w:rsid w:val="00A10AB3"/>
    <w:rsid w:val="00A110A0"/>
    <w:rsid w:val="00A171C4"/>
    <w:rsid w:val="00A24715"/>
    <w:rsid w:val="00A318AB"/>
    <w:rsid w:val="00A32C3B"/>
    <w:rsid w:val="00A40EDB"/>
    <w:rsid w:val="00A4212E"/>
    <w:rsid w:val="00A45F4F"/>
    <w:rsid w:val="00A51687"/>
    <w:rsid w:val="00A600A9"/>
    <w:rsid w:val="00A6520D"/>
    <w:rsid w:val="00A65240"/>
    <w:rsid w:val="00A66B4A"/>
    <w:rsid w:val="00A72C04"/>
    <w:rsid w:val="00A81848"/>
    <w:rsid w:val="00A86867"/>
    <w:rsid w:val="00A92BE6"/>
    <w:rsid w:val="00AA03CB"/>
    <w:rsid w:val="00AA460C"/>
    <w:rsid w:val="00AA46BD"/>
    <w:rsid w:val="00AA55B7"/>
    <w:rsid w:val="00AA5B9E"/>
    <w:rsid w:val="00AB2407"/>
    <w:rsid w:val="00AB53DF"/>
    <w:rsid w:val="00AC1EBF"/>
    <w:rsid w:val="00AC22ED"/>
    <w:rsid w:val="00AD467D"/>
    <w:rsid w:val="00AF077D"/>
    <w:rsid w:val="00AF2985"/>
    <w:rsid w:val="00AF6216"/>
    <w:rsid w:val="00AF7AA6"/>
    <w:rsid w:val="00B010B1"/>
    <w:rsid w:val="00B07E5C"/>
    <w:rsid w:val="00B118AF"/>
    <w:rsid w:val="00B1428C"/>
    <w:rsid w:val="00B20218"/>
    <w:rsid w:val="00B213F6"/>
    <w:rsid w:val="00B25A6D"/>
    <w:rsid w:val="00B3204D"/>
    <w:rsid w:val="00B33563"/>
    <w:rsid w:val="00B34EF4"/>
    <w:rsid w:val="00B41C0D"/>
    <w:rsid w:val="00B43DD3"/>
    <w:rsid w:val="00B47B2F"/>
    <w:rsid w:val="00B60B9C"/>
    <w:rsid w:val="00B655E3"/>
    <w:rsid w:val="00B67508"/>
    <w:rsid w:val="00B70AB9"/>
    <w:rsid w:val="00B811F7"/>
    <w:rsid w:val="00B82FBB"/>
    <w:rsid w:val="00B8529F"/>
    <w:rsid w:val="00B85B49"/>
    <w:rsid w:val="00B91FCA"/>
    <w:rsid w:val="00BA0090"/>
    <w:rsid w:val="00BA5DC6"/>
    <w:rsid w:val="00BA6196"/>
    <w:rsid w:val="00BB20AC"/>
    <w:rsid w:val="00BB6A9E"/>
    <w:rsid w:val="00BC6385"/>
    <w:rsid w:val="00BC6D8C"/>
    <w:rsid w:val="00BD4AD7"/>
    <w:rsid w:val="00C0464A"/>
    <w:rsid w:val="00C04A49"/>
    <w:rsid w:val="00C0750F"/>
    <w:rsid w:val="00C26C0B"/>
    <w:rsid w:val="00C27F15"/>
    <w:rsid w:val="00C3312C"/>
    <w:rsid w:val="00C33C53"/>
    <w:rsid w:val="00C33CE5"/>
    <w:rsid w:val="00C34006"/>
    <w:rsid w:val="00C36B4C"/>
    <w:rsid w:val="00C426B1"/>
    <w:rsid w:val="00C435F9"/>
    <w:rsid w:val="00C561E9"/>
    <w:rsid w:val="00C64193"/>
    <w:rsid w:val="00C66160"/>
    <w:rsid w:val="00C71822"/>
    <w:rsid w:val="00C721AC"/>
    <w:rsid w:val="00C90D6A"/>
    <w:rsid w:val="00C9114A"/>
    <w:rsid w:val="00CA247E"/>
    <w:rsid w:val="00CA6D21"/>
    <w:rsid w:val="00CB5200"/>
    <w:rsid w:val="00CC308D"/>
    <w:rsid w:val="00CC4E6B"/>
    <w:rsid w:val="00CC66ED"/>
    <w:rsid w:val="00CC72B6"/>
    <w:rsid w:val="00CD2778"/>
    <w:rsid w:val="00CD459A"/>
    <w:rsid w:val="00CE3161"/>
    <w:rsid w:val="00CE512E"/>
    <w:rsid w:val="00CE692E"/>
    <w:rsid w:val="00CF1544"/>
    <w:rsid w:val="00CF3B31"/>
    <w:rsid w:val="00D019A7"/>
    <w:rsid w:val="00D0218D"/>
    <w:rsid w:val="00D12B10"/>
    <w:rsid w:val="00D12D09"/>
    <w:rsid w:val="00D253E5"/>
    <w:rsid w:val="00D25FB5"/>
    <w:rsid w:val="00D27A34"/>
    <w:rsid w:val="00D35B3B"/>
    <w:rsid w:val="00D44223"/>
    <w:rsid w:val="00D54AD7"/>
    <w:rsid w:val="00D61D22"/>
    <w:rsid w:val="00D63317"/>
    <w:rsid w:val="00D6457C"/>
    <w:rsid w:val="00D658EC"/>
    <w:rsid w:val="00D77E1A"/>
    <w:rsid w:val="00D8165A"/>
    <w:rsid w:val="00D83F48"/>
    <w:rsid w:val="00D87695"/>
    <w:rsid w:val="00D9545B"/>
    <w:rsid w:val="00DA2529"/>
    <w:rsid w:val="00DA4E7F"/>
    <w:rsid w:val="00DA6109"/>
    <w:rsid w:val="00DB130A"/>
    <w:rsid w:val="00DB2EBB"/>
    <w:rsid w:val="00DB7829"/>
    <w:rsid w:val="00DC10A1"/>
    <w:rsid w:val="00DC655F"/>
    <w:rsid w:val="00DC6CF2"/>
    <w:rsid w:val="00DD0B59"/>
    <w:rsid w:val="00DD2399"/>
    <w:rsid w:val="00DD7EBD"/>
    <w:rsid w:val="00DE427B"/>
    <w:rsid w:val="00DF31FE"/>
    <w:rsid w:val="00DF5D54"/>
    <w:rsid w:val="00DF62B6"/>
    <w:rsid w:val="00DF6358"/>
    <w:rsid w:val="00DF7B4F"/>
    <w:rsid w:val="00E013F6"/>
    <w:rsid w:val="00E07225"/>
    <w:rsid w:val="00E20DF5"/>
    <w:rsid w:val="00E32E92"/>
    <w:rsid w:val="00E40D42"/>
    <w:rsid w:val="00E53599"/>
    <w:rsid w:val="00E5409F"/>
    <w:rsid w:val="00E57987"/>
    <w:rsid w:val="00E75DB1"/>
    <w:rsid w:val="00E92AC1"/>
    <w:rsid w:val="00E92DA0"/>
    <w:rsid w:val="00EA36B9"/>
    <w:rsid w:val="00EA716E"/>
    <w:rsid w:val="00EC15DB"/>
    <w:rsid w:val="00EC5859"/>
    <w:rsid w:val="00ED0D69"/>
    <w:rsid w:val="00ED2344"/>
    <w:rsid w:val="00EE4529"/>
    <w:rsid w:val="00EE6488"/>
    <w:rsid w:val="00F021FA"/>
    <w:rsid w:val="00F02E35"/>
    <w:rsid w:val="00F03230"/>
    <w:rsid w:val="00F11CBA"/>
    <w:rsid w:val="00F13258"/>
    <w:rsid w:val="00F20672"/>
    <w:rsid w:val="00F30BB2"/>
    <w:rsid w:val="00F415B0"/>
    <w:rsid w:val="00F41A57"/>
    <w:rsid w:val="00F43046"/>
    <w:rsid w:val="00F4350F"/>
    <w:rsid w:val="00F620F7"/>
    <w:rsid w:val="00F62E97"/>
    <w:rsid w:val="00F64209"/>
    <w:rsid w:val="00F650AA"/>
    <w:rsid w:val="00F848B2"/>
    <w:rsid w:val="00F93BF5"/>
    <w:rsid w:val="00F969C2"/>
    <w:rsid w:val="00F976BC"/>
    <w:rsid w:val="00FA0A18"/>
    <w:rsid w:val="00FA180E"/>
    <w:rsid w:val="00FB3BFC"/>
    <w:rsid w:val="00FB4427"/>
    <w:rsid w:val="00FC1971"/>
    <w:rsid w:val="00FD0ED4"/>
    <w:rsid w:val="00FD4AFA"/>
    <w:rsid w:val="00FE0040"/>
    <w:rsid w:val="00FE2ED0"/>
    <w:rsid w:val="00FE408C"/>
    <w:rsid w:val="00FF2E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F88453"/>
  <w15:chartTrackingRefBased/>
  <w15:docId w15:val="{91FE47DB-FDC0-4E80-8FED-3199A5A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02"/>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8B7427"/>
    <w:pPr>
      <w:keepNext/>
      <w:numPr>
        <w:ilvl w:val="1"/>
        <w:numId w:val="3"/>
      </w:numPr>
      <w:spacing w:after="120"/>
      <w:outlineLvl w:val="1"/>
    </w:pPr>
    <w:rPr>
      <w:bCs/>
      <w:iCs/>
    </w:rPr>
  </w:style>
  <w:style w:type="paragraph" w:styleId="Heading3">
    <w:name w:val="heading 3"/>
    <w:aliases w:val="Heading 3 Char,Heading 3 Char Char,Heading 3 Char Char Char,Heading 3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524102"/>
    <w:pPr>
      <w:numPr>
        <w:numId w:val="2"/>
      </w:numPr>
      <w:spacing w:after="120"/>
    </w:pPr>
    <w:rPr>
      <w:szCs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fn Char,fn Char Char,fn Char Char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C308D"/>
    <w:pP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524102"/>
    <w:rPr>
      <w:rFonts w:ascii="Times New Roman Bold" w:hAnsi="Times New Roman Bold"/>
      <w:b/>
      <w:caps/>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524102"/>
  </w:style>
  <w:style w:type="character" w:customStyle="1" w:styleId="ParaNumCharChar1">
    <w:name w:val="ParaNum Char Char1"/>
    <w:link w:val="ParaNum"/>
    <w:locked/>
    <w:rsid w:val="00524102"/>
    <w:rPr>
      <w:snapToGrid w:val="0"/>
      <w:kern w:val="28"/>
      <w:sz w:val="22"/>
      <w:szCs w:val="22"/>
    </w:rPr>
  </w:style>
  <w:style w:type="character" w:customStyle="1" w:styleId="UnresolvedMention1">
    <w:name w:val="Unresolved Mention1"/>
    <w:basedOn w:val="DefaultParagraphFont"/>
    <w:rsid w:val="000D3698"/>
    <w:rPr>
      <w:color w:val="605E5C"/>
      <w:shd w:val="clear" w:color="auto" w:fill="E1DFDD"/>
    </w:rPr>
  </w:style>
  <w:style w:type="paragraph" w:styleId="BalloonText">
    <w:name w:val="Balloon Text"/>
    <w:basedOn w:val="Normal"/>
    <w:link w:val="BalloonTextChar"/>
    <w:semiHidden/>
    <w:unhideWhenUsed/>
    <w:rsid w:val="00D61D22"/>
    <w:rPr>
      <w:rFonts w:ascii="Segoe UI" w:hAnsi="Segoe UI" w:cs="Segoe UI"/>
      <w:sz w:val="18"/>
      <w:szCs w:val="18"/>
    </w:rPr>
  </w:style>
  <w:style w:type="character" w:customStyle="1" w:styleId="BalloonTextChar">
    <w:name w:val="Balloon Text Char"/>
    <w:basedOn w:val="DefaultParagraphFont"/>
    <w:link w:val="BalloonText"/>
    <w:semiHidden/>
    <w:rsid w:val="00D61D22"/>
    <w:rPr>
      <w:rFonts w:ascii="Segoe UI" w:hAnsi="Segoe UI" w:cs="Segoe UI"/>
      <w:snapToGrid w:val="0"/>
      <w:kern w:val="28"/>
      <w:sz w:val="18"/>
      <w:szCs w:val="18"/>
    </w:rPr>
  </w:style>
  <w:style w:type="paragraph" w:styleId="ListParagraph">
    <w:name w:val="List Paragraph"/>
    <w:basedOn w:val="Normal"/>
    <w:uiPriority w:val="34"/>
    <w:qFormat/>
    <w:rsid w:val="006336C6"/>
    <w:pPr>
      <w:ind w:left="720"/>
      <w:contextualSpacing/>
    </w:pPr>
  </w:style>
  <w:style w:type="character" w:styleId="CommentReference">
    <w:name w:val="annotation reference"/>
    <w:basedOn w:val="DefaultParagraphFont"/>
    <w:rsid w:val="00324929"/>
    <w:rPr>
      <w:sz w:val="16"/>
      <w:szCs w:val="16"/>
    </w:rPr>
  </w:style>
  <w:style w:type="paragraph" w:styleId="CommentText">
    <w:name w:val="annotation text"/>
    <w:basedOn w:val="Normal"/>
    <w:link w:val="CommentTextChar"/>
    <w:rsid w:val="00324929"/>
    <w:rPr>
      <w:sz w:val="20"/>
    </w:rPr>
  </w:style>
  <w:style w:type="character" w:customStyle="1" w:styleId="CommentTextChar">
    <w:name w:val="Comment Text Char"/>
    <w:basedOn w:val="DefaultParagraphFont"/>
    <w:link w:val="CommentText"/>
    <w:rsid w:val="00324929"/>
    <w:rPr>
      <w:snapToGrid w:val="0"/>
      <w:kern w:val="28"/>
    </w:rPr>
  </w:style>
  <w:style w:type="paragraph" w:styleId="CommentSubject">
    <w:name w:val="annotation subject"/>
    <w:basedOn w:val="CommentText"/>
    <w:next w:val="CommentText"/>
    <w:link w:val="CommentSubjectChar"/>
    <w:rsid w:val="00324929"/>
    <w:rPr>
      <w:b/>
      <w:bCs/>
    </w:rPr>
  </w:style>
  <w:style w:type="character" w:customStyle="1" w:styleId="CommentSubjectChar">
    <w:name w:val="Comment Subject Char"/>
    <w:basedOn w:val="CommentTextChar"/>
    <w:link w:val="CommentSubject"/>
    <w:rsid w:val="00324929"/>
    <w:rPr>
      <w:b/>
      <w:bCs/>
      <w:snapToGrid w:val="0"/>
      <w:kern w:val="28"/>
    </w:rPr>
  </w:style>
  <w:style w:type="character" w:customStyle="1" w:styleId="FootnoteTextChar2CharChar">
    <w:name w:val="Footnote Text Char2 Char Char"/>
    <w:aliases w:val="Footnote Text Char2 Char1 Char1 Char Char,Footnote Text Char3 Char1 Char Char,Footnote Text Char3 Char1 Char Char Char Char,f Char1,fn Char1 Char1,fn Char2"/>
    <w:semiHidden/>
    <w:locked/>
    <w:rsid w:val="001377C4"/>
    <w:rPr>
      <w:rFonts w:eastAsia="MS Mincho"/>
      <w:lang w:val="en-US" w:eastAsia="en-US" w:bidi="ar-SA"/>
    </w:rPr>
  </w:style>
  <w:style w:type="character" w:customStyle="1" w:styleId="FootnoteTextChar2Char">
    <w:name w:val="Footnote Text Char2 Char"/>
    <w:aliases w:val="Footnote Text Char2 Char1 Char1 Char,Footnote Text Char2 Char1 Char1 Char Char Char,Footnote Text Char3 Char1 Char,Footnote Text Char3 Char1 Char Char Char,Footnote Text Char3 Char1 Char Char Char Char Char"/>
    <w:rsid w:val="00464965"/>
  </w:style>
  <w:style w:type="paragraph" w:customStyle="1" w:styleId="Default">
    <w:name w:val="Default"/>
    <w:rsid w:val="00745C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law.cornell.edu/definitions/index.php?width=840&amp;height=800&amp;iframe=true&amp;def_id=a6297a35c9ac3fd0044718728be4adbe&amp;term_occur=999&amp;term_src=Title:47:Chapter:I:Subchapter:A:Part:1:Subpart:E:Subjgrp:175:1.77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