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07BDD" w:rsidP="00EC780F" w14:paraId="75A0A582" w14:textId="1BE0F65B">
      <w:pPr>
        <w:ind w:left="1440" w:firstLine="720"/>
        <w:jc w:val="right"/>
        <w:rPr>
          <w:b/>
          <w:sz w:val="24"/>
        </w:rPr>
      </w:pPr>
      <w:r>
        <w:rPr>
          <w:b/>
          <w:sz w:val="24"/>
        </w:rPr>
        <w:t>DA 21-</w:t>
      </w:r>
      <w:r w:rsidR="00294672">
        <w:rPr>
          <w:b/>
          <w:sz w:val="24"/>
        </w:rPr>
        <w:t>546</w:t>
      </w:r>
    </w:p>
    <w:p w:rsidR="00C07BDD" w14:paraId="2EFA59A0" w14:textId="79D1CC62">
      <w:pPr>
        <w:spacing w:before="60"/>
        <w:jc w:val="right"/>
        <w:rPr>
          <w:b/>
          <w:sz w:val="24"/>
        </w:rPr>
      </w:pPr>
      <w:r>
        <w:rPr>
          <w:b/>
          <w:sz w:val="24"/>
        </w:rPr>
        <w:t xml:space="preserve">Released:  </w:t>
      </w:r>
      <w:r w:rsidR="003E57DE">
        <w:rPr>
          <w:b/>
          <w:sz w:val="24"/>
        </w:rPr>
        <w:t xml:space="preserve">May </w:t>
      </w:r>
      <w:r w:rsidR="00196746">
        <w:rPr>
          <w:b/>
          <w:sz w:val="24"/>
        </w:rPr>
        <w:t>10</w:t>
      </w:r>
      <w:r w:rsidR="009A6407">
        <w:rPr>
          <w:b/>
          <w:sz w:val="24"/>
        </w:rPr>
        <w:t>, 2021</w:t>
      </w:r>
    </w:p>
    <w:p w:rsidR="00C07BDD" w14:paraId="554D0A18" w14:textId="77777777">
      <w:pPr>
        <w:jc w:val="right"/>
        <w:rPr>
          <w:sz w:val="24"/>
        </w:rPr>
      </w:pPr>
    </w:p>
    <w:p w:rsidR="00C07BDD" w14:paraId="078912B0" w14:textId="77777777">
      <w:pPr>
        <w:spacing w:after="240"/>
        <w:jc w:val="center"/>
        <w:rPr>
          <w:rFonts w:ascii="Times New Roman Bold" w:hAnsi="Times New Roman Bold"/>
          <w:b/>
          <w:caps/>
          <w:sz w:val="24"/>
        </w:rPr>
      </w:pPr>
      <w:r>
        <w:rPr>
          <w:rFonts w:ascii="Times New Roman Bold" w:hAnsi="Times New Roman Bold"/>
          <w:b/>
          <w:caps/>
          <w:sz w:val="24"/>
        </w:rPr>
        <w:t xml:space="preserve">Wireline Competition Bureau Seeks comment on protective order for </w:t>
      </w:r>
      <w:r w:rsidR="009C020B">
        <w:rPr>
          <w:rFonts w:ascii="Times New Roman Bold" w:hAnsi="Times New Roman Bold"/>
          <w:b/>
          <w:caps/>
          <w:sz w:val="24"/>
        </w:rPr>
        <w:t>robocall mitigation database</w:t>
      </w:r>
      <w:r w:rsidR="005215A5">
        <w:rPr>
          <w:rFonts w:ascii="Times New Roman Bold" w:hAnsi="Times New Roman Bold"/>
          <w:b/>
          <w:caps/>
          <w:sz w:val="24"/>
        </w:rPr>
        <w:t xml:space="preserve"> COLLECTION</w:t>
      </w:r>
    </w:p>
    <w:p w:rsidR="00C07BDD" w:rsidRPr="00EC780F" w14:paraId="309EA6DB" w14:textId="77777777">
      <w:pPr>
        <w:jc w:val="center"/>
        <w:rPr>
          <w:b/>
          <w:szCs w:val="18"/>
        </w:rPr>
      </w:pPr>
      <w:r w:rsidRPr="00EC780F">
        <w:rPr>
          <w:b/>
          <w:szCs w:val="18"/>
        </w:rPr>
        <w:t>WC Docket No. 17-97</w:t>
      </w:r>
    </w:p>
    <w:p w:rsidR="00A84388" w:rsidRPr="00E65074" w14:paraId="5173ECE2" w14:textId="77777777">
      <w:pPr>
        <w:jc w:val="center"/>
        <w:rPr>
          <w:b/>
          <w:szCs w:val="22"/>
        </w:rPr>
      </w:pPr>
    </w:p>
    <w:p w:rsidR="00A84388" w:rsidRPr="00E65074" w:rsidP="00A84388" w14:paraId="67538552" w14:textId="77777777">
      <w:pPr>
        <w:rPr>
          <w:b/>
          <w:szCs w:val="22"/>
        </w:rPr>
      </w:pPr>
      <w:r w:rsidRPr="00E65074">
        <w:rPr>
          <w:b/>
          <w:szCs w:val="22"/>
        </w:rPr>
        <w:t>Comment</w:t>
      </w:r>
      <w:r w:rsidRPr="00E65074" w:rsidR="00917D45">
        <w:rPr>
          <w:b/>
          <w:szCs w:val="22"/>
        </w:rPr>
        <w:t>s</w:t>
      </w:r>
      <w:r w:rsidRPr="00E65074">
        <w:rPr>
          <w:b/>
          <w:szCs w:val="22"/>
        </w:rPr>
        <w:t xml:space="preserve"> </w:t>
      </w:r>
      <w:r w:rsidRPr="00E65074" w:rsidR="00917D45">
        <w:rPr>
          <w:b/>
          <w:szCs w:val="22"/>
        </w:rPr>
        <w:t>Due</w:t>
      </w:r>
      <w:r w:rsidRPr="00E65074">
        <w:rPr>
          <w:b/>
          <w:szCs w:val="22"/>
        </w:rPr>
        <w:t xml:space="preserve">:  </w:t>
      </w:r>
      <w:r w:rsidRPr="00E65074" w:rsidR="002963AD">
        <w:rPr>
          <w:b/>
          <w:szCs w:val="22"/>
        </w:rPr>
        <w:t>(</w:t>
      </w:r>
      <w:r w:rsidRPr="00E65074" w:rsidR="00763ACD">
        <w:rPr>
          <w:b/>
          <w:szCs w:val="22"/>
        </w:rPr>
        <w:t>10 days after the date of publication in the Federal Register</w:t>
      </w:r>
      <w:r w:rsidRPr="00E65074" w:rsidR="002963AD">
        <w:rPr>
          <w:b/>
          <w:szCs w:val="22"/>
        </w:rPr>
        <w:t>)</w:t>
      </w:r>
    </w:p>
    <w:p w:rsidR="00915DBD" w:rsidRPr="00E65074" w:rsidP="00A84388" w14:paraId="0A2E9839" w14:textId="6408899D">
      <w:pPr>
        <w:rPr>
          <w:b/>
          <w:szCs w:val="22"/>
        </w:rPr>
      </w:pPr>
      <w:r w:rsidRPr="00E65074">
        <w:rPr>
          <w:b/>
          <w:szCs w:val="22"/>
        </w:rPr>
        <w:t>Reply Comment</w:t>
      </w:r>
      <w:r w:rsidRPr="00E65074" w:rsidR="00917D45">
        <w:rPr>
          <w:b/>
          <w:szCs w:val="22"/>
        </w:rPr>
        <w:t>s</w:t>
      </w:r>
      <w:r w:rsidRPr="00E65074">
        <w:rPr>
          <w:b/>
          <w:szCs w:val="22"/>
        </w:rPr>
        <w:t xml:space="preserve"> </w:t>
      </w:r>
      <w:r w:rsidRPr="00E65074" w:rsidR="00917D45">
        <w:rPr>
          <w:b/>
          <w:szCs w:val="22"/>
        </w:rPr>
        <w:t>Due</w:t>
      </w:r>
      <w:r w:rsidRPr="00E65074">
        <w:rPr>
          <w:b/>
          <w:szCs w:val="22"/>
        </w:rPr>
        <w:t xml:space="preserve">:  </w:t>
      </w:r>
      <w:r w:rsidRPr="00E65074" w:rsidR="002963AD">
        <w:rPr>
          <w:b/>
          <w:szCs w:val="22"/>
        </w:rPr>
        <w:t>(1</w:t>
      </w:r>
      <w:r w:rsidRPr="00E65074" w:rsidR="00763ACD">
        <w:rPr>
          <w:b/>
          <w:szCs w:val="22"/>
        </w:rPr>
        <w:t xml:space="preserve">5 days after </w:t>
      </w:r>
      <w:r w:rsidRPr="00E65074" w:rsidR="002963AD">
        <w:rPr>
          <w:b/>
          <w:szCs w:val="22"/>
        </w:rPr>
        <w:t>publication in the Federal Register)</w:t>
      </w:r>
    </w:p>
    <w:p w:rsidR="00A84388" w:rsidP="00A84388" w14:paraId="389278BB" w14:textId="77777777">
      <w:pPr>
        <w:rPr>
          <w:b/>
          <w:sz w:val="24"/>
        </w:rPr>
      </w:pPr>
    </w:p>
    <w:p w:rsidR="00591738" w:rsidRPr="00EC6281" w:rsidP="00EC780F" w14:paraId="662E7659" w14:textId="352ED9C9">
      <w:pPr>
        <w:spacing w:after="120"/>
        <w:rPr>
          <w:bCs/>
          <w:szCs w:val="22"/>
        </w:rPr>
      </w:pPr>
      <w:r>
        <w:rPr>
          <w:bCs/>
          <w:sz w:val="24"/>
        </w:rPr>
        <w:tab/>
      </w:r>
      <w:r w:rsidRPr="00EC6281" w:rsidR="00633EBA">
        <w:rPr>
          <w:bCs/>
          <w:szCs w:val="22"/>
        </w:rPr>
        <w:t xml:space="preserve">On September 29, 2020, </w:t>
      </w:r>
      <w:r w:rsidR="00CA4205">
        <w:rPr>
          <w:bCs/>
          <w:szCs w:val="22"/>
        </w:rPr>
        <w:t>i</w:t>
      </w:r>
      <w:r w:rsidR="00C54EAD">
        <w:rPr>
          <w:bCs/>
          <w:szCs w:val="22"/>
        </w:rPr>
        <w:t xml:space="preserve">n its continuing effort to combat illegal robocalls, </w:t>
      </w:r>
      <w:r w:rsidRPr="00EC6281" w:rsidR="00633EBA">
        <w:rPr>
          <w:bCs/>
          <w:szCs w:val="22"/>
        </w:rPr>
        <w:t>the Federal Communications Commission (Commission) adopted a Second Report and Order</w:t>
      </w:r>
      <w:r w:rsidR="00A27E5C">
        <w:rPr>
          <w:bCs/>
          <w:szCs w:val="22"/>
        </w:rPr>
        <w:t xml:space="preserve"> </w:t>
      </w:r>
      <w:r w:rsidRPr="00EC6281" w:rsidR="00633EBA">
        <w:rPr>
          <w:bCs/>
          <w:szCs w:val="22"/>
        </w:rPr>
        <w:t>which, among other things, required all voice service providers to file certifications with the Commission regarding their efforts to stem the origination of illegal robocalls on their networks.</w:t>
      </w:r>
      <w:r>
        <w:rPr>
          <w:rStyle w:val="FootnoteReference"/>
          <w:bCs/>
          <w:szCs w:val="22"/>
        </w:rPr>
        <w:footnoteReference w:id="3"/>
      </w:r>
      <w:r w:rsidRPr="00EC6281" w:rsidR="00B6153C">
        <w:rPr>
          <w:bCs/>
          <w:szCs w:val="22"/>
        </w:rPr>
        <w:t xml:space="preserve">  The Commission further directed the Wireline Competition Bureau</w:t>
      </w:r>
      <w:r w:rsidRPr="00EC6281" w:rsidR="00334BD6">
        <w:rPr>
          <w:bCs/>
          <w:szCs w:val="22"/>
        </w:rPr>
        <w:t xml:space="preserve"> (Bureau)</w:t>
      </w:r>
      <w:r w:rsidRPr="00EC6281" w:rsidR="00B6153C">
        <w:rPr>
          <w:bCs/>
          <w:szCs w:val="22"/>
        </w:rPr>
        <w:t xml:space="preserve"> to </w:t>
      </w:r>
      <w:r w:rsidRPr="00EC6281" w:rsidR="00633EBA">
        <w:rPr>
          <w:bCs/>
          <w:szCs w:val="22"/>
        </w:rPr>
        <w:t xml:space="preserve">establish a publicly accessible database in which </w:t>
      </w:r>
      <w:r w:rsidRPr="00EC6281" w:rsidR="00B6153C">
        <w:rPr>
          <w:bCs/>
          <w:szCs w:val="22"/>
        </w:rPr>
        <w:t xml:space="preserve">such </w:t>
      </w:r>
      <w:r w:rsidRPr="00EC6281" w:rsidR="00633EBA">
        <w:rPr>
          <w:bCs/>
          <w:szCs w:val="22"/>
        </w:rPr>
        <w:t xml:space="preserve">certifications </w:t>
      </w:r>
      <w:r w:rsidR="005215A5">
        <w:rPr>
          <w:bCs/>
          <w:szCs w:val="22"/>
        </w:rPr>
        <w:t>w</w:t>
      </w:r>
      <w:r w:rsidRPr="00EC6281" w:rsidR="00334BD6">
        <w:rPr>
          <w:bCs/>
          <w:szCs w:val="22"/>
        </w:rPr>
        <w:t>ould be listed</w:t>
      </w:r>
      <w:r w:rsidRPr="00EC6281" w:rsidR="007F747B">
        <w:rPr>
          <w:bCs/>
          <w:szCs w:val="22"/>
        </w:rPr>
        <w:t xml:space="preserve">, and to issue a protective order regarding the treatment of any confidential and highly confidential information included in </w:t>
      </w:r>
      <w:r w:rsidRPr="00EC6281" w:rsidR="00502322">
        <w:rPr>
          <w:bCs/>
          <w:szCs w:val="22"/>
        </w:rPr>
        <w:t>said</w:t>
      </w:r>
      <w:r w:rsidRPr="00EC6281" w:rsidR="007F747B">
        <w:rPr>
          <w:bCs/>
          <w:szCs w:val="22"/>
        </w:rPr>
        <w:t xml:space="preserve"> certifications.  </w:t>
      </w:r>
      <w:r w:rsidR="005215A5">
        <w:rPr>
          <w:bCs/>
          <w:szCs w:val="22"/>
        </w:rPr>
        <w:t>Consistent with this direction</w:t>
      </w:r>
      <w:r w:rsidRPr="00EC6281">
        <w:rPr>
          <w:bCs/>
          <w:szCs w:val="22"/>
        </w:rPr>
        <w:t xml:space="preserve">, </w:t>
      </w:r>
      <w:r w:rsidR="005215A5">
        <w:rPr>
          <w:bCs/>
          <w:szCs w:val="22"/>
        </w:rPr>
        <w:t>the Bureau now</w:t>
      </w:r>
      <w:r w:rsidRPr="00EC6281" w:rsidR="005215A5">
        <w:rPr>
          <w:bCs/>
          <w:szCs w:val="22"/>
        </w:rPr>
        <w:t xml:space="preserve"> </w:t>
      </w:r>
      <w:r w:rsidR="001C5E0D">
        <w:rPr>
          <w:bCs/>
          <w:szCs w:val="22"/>
        </w:rPr>
        <w:t>provide</w:t>
      </w:r>
      <w:r w:rsidR="005215A5">
        <w:rPr>
          <w:bCs/>
          <w:szCs w:val="22"/>
        </w:rPr>
        <w:t>s</w:t>
      </w:r>
      <w:r w:rsidR="001C5E0D">
        <w:rPr>
          <w:bCs/>
          <w:szCs w:val="22"/>
        </w:rPr>
        <w:t xml:space="preserve"> information and </w:t>
      </w:r>
      <w:r w:rsidRPr="00EC6281">
        <w:rPr>
          <w:bCs/>
          <w:szCs w:val="22"/>
        </w:rPr>
        <w:t>seek</w:t>
      </w:r>
      <w:r w:rsidR="005215A5">
        <w:rPr>
          <w:bCs/>
          <w:szCs w:val="22"/>
        </w:rPr>
        <w:t>s</w:t>
      </w:r>
      <w:r w:rsidRPr="00EC6281">
        <w:rPr>
          <w:bCs/>
          <w:szCs w:val="22"/>
        </w:rPr>
        <w:t xml:space="preserve"> </w:t>
      </w:r>
      <w:r w:rsidR="00F3585B">
        <w:rPr>
          <w:bCs/>
          <w:szCs w:val="22"/>
        </w:rPr>
        <w:t xml:space="preserve">comment </w:t>
      </w:r>
      <w:r w:rsidR="003938DD">
        <w:rPr>
          <w:bCs/>
          <w:szCs w:val="22"/>
        </w:rPr>
        <w:t>on adopting a Protective Order</w:t>
      </w:r>
      <w:r w:rsidRPr="00EC6281" w:rsidR="003938DD">
        <w:rPr>
          <w:bCs/>
          <w:szCs w:val="22"/>
        </w:rPr>
        <w:t xml:space="preserve"> similar to </w:t>
      </w:r>
      <w:r w:rsidR="003938DD">
        <w:rPr>
          <w:bCs/>
          <w:szCs w:val="22"/>
        </w:rPr>
        <w:t>that</w:t>
      </w:r>
      <w:r w:rsidRPr="00EC6281" w:rsidR="003938DD">
        <w:rPr>
          <w:bCs/>
          <w:szCs w:val="22"/>
        </w:rPr>
        <w:t xml:space="preserve"> used by the Bureau in other proceedings</w:t>
      </w:r>
      <w:r w:rsidR="003938DD">
        <w:rPr>
          <w:bCs/>
          <w:szCs w:val="22"/>
        </w:rPr>
        <w:t>,</w:t>
      </w:r>
      <w:r>
        <w:rPr>
          <w:rStyle w:val="FootnoteReference"/>
          <w:bCs/>
          <w:szCs w:val="22"/>
        </w:rPr>
        <w:footnoteReference w:id="4"/>
      </w:r>
      <w:r w:rsidRPr="00EC6281" w:rsidR="003938DD">
        <w:rPr>
          <w:bCs/>
          <w:szCs w:val="22"/>
        </w:rPr>
        <w:t xml:space="preserve"> </w:t>
      </w:r>
      <w:r w:rsidR="003938DD">
        <w:rPr>
          <w:bCs/>
          <w:szCs w:val="22"/>
        </w:rPr>
        <w:t>with modifications appropriate in the context of the Robocall Mitigation Database</w:t>
      </w:r>
      <w:r w:rsidRPr="00EC6281" w:rsidR="003938DD">
        <w:rPr>
          <w:bCs/>
          <w:szCs w:val="22"/>
        </w:rPr>
        <w:t>.</w:t>
      </w:r>
    </w:p>
    <w:p w:rsidR="00EC780F" w:rsidP="00EC780F" w14:paraId="1D57E8C3" w14:textId="77777777">
      <w:pPr>
        <w:widowControl/>
        <w:spacing w:after="120"/>
        <w:ind w:firstLine="720"/>
        <w:rPr>
          <w:bCs/>
          <w:szCs w:val="22"/>
        </w:rPr>
      </w:pPr>
      <w:r>
        <w:rPr>
          <w:bCs/>
          <w:szCs w:val="22"/>
        </w:rPr>
        <w:t xml:space="preserve">The </w:t>
      </w:r>
      <w:r w:rsidR="005215A5">
        <w:rPr>
          <w:bCs/>
          <w:szCs w:val="22"/>
        </w:rPr>
        <w:t>Commission</w:t>
      </w:r>
      <w:r>
        <w:rPr>
          <w:bCs/>
          <w:szCs w:val="22"/>
        </w:rPr>
        <w:t>’s</w:t>
      </w:r>
      <w:r w:rsidR="005215A5">
        <w:rPr>
          <w:bCs/>
          <w:szCs w:val="22"/>
        </w:rPr>
        <w:t xml:space="preserve"> rules require</w:t>
      </w:r>
      <w:r w:rsidRPr="00EC6281" w:rsidR="00494A28">
        <w:rPr>
          <w:bCs/>
          <w:szCs w:val="22"/>
        </w:rPr>
        <w:t xml:space="preserve"> voice service providers to certify that their</w:t>
      </w:r>
      <w:r w:rsidRPr="00EC6281" w:rsidR="00AE0FB8">
        <w:rPr>
          <w:bCs/>
          <w:szCs w:val="22"/>
        </w:rPr>
        <w:t xml:space="preserve"> </w:t>
      </w:r>
      <w:r w:rsidRPr="00EC6281" w:rsidR="00494A28">
        <w:rPr>
          <w:bCs/>
          <w:szCs w:val="22"/>
        </w:rPr>
        <w:t>traffic is either signed with STIR/SHAKEN</w:t>
      </w:r>
      <w:r w:rsidRPr="00EC6281" w:rsidR="00AE0FB8">
        <w:rPr>
          <w:bCs/>
          <w:szCs w:val="22"/>
        </w:rPr>
        <w:t xml:space="preserve"> caller ID authentication technology</w:t>
      </w:r>
      <w:r w:rsidRPr="00EC6281" w:rsidR="00494A28">
        <w:rPr>
          <w:bCs/>
          <w:szCs w:val="22"/>
        </w:rPr>
        <w:t xml:space="preserve"> or subject to a robocall mitigation program.</w:t>
      </w:r>
      <w:r w:rsidRPr="00EC6281" w:rsidR="00AE0FB8">
        <w:rPr>
          <w:bCs/>
          <w:szCs w:val="22"/>
        </w:rPr>
        <w:t xml:space="preserve">  </w:t>
      </w:r>
      <w:r w:rsidRPr="00EC6281" w:rsidR="00357881">
        <w:rPr>
          <w:bCs/>
          <w:szCs w:val="22"/>
        </w:rPr>
        <w:t>Voice service providers that certify that some or all of their traffic is subject to a robocall mitigation program are also required to detail in their certifications the reasonable steps they have taken to avoid originating illegal robocall traffic.</w:t>
      </w:r>
      <w:r w:rsidR="002C712B">
        <w:rPr>
          <w:bCs/>
          <w:szCs w:val="22"/>
        </w:rPr>
        <w:t xml:space="preserve">  In establishing this public database, the Commission stated its goals were to promote transparency and to allow and encourage industry to self-police by making robocall mitigation plans visible to other voice service providers and the public at large.</w:t>
      </w:r>
      <w:r>
        <w:rPr>
          <w:rStyle w:val="FootnoteReference"/>
          <w:bCs/>
          <w:szCs w:val="22"/>
        </w:rPr>
        <w:footnoteReference w:id="5"/>
      </w:r>
      <w:r w:rsidR="0014433B">
        <w:rPr>
          <w:bCs/>
          <w:szCs w:val="22"/>
        </w:rPr>
        <w:t xml:space="preserve">  A party could, for example, review a robocall mitigation plan to determine whether it wishes to do business with the voice service provider or to report insufficient robocall mitigation efforts to the Commission.</w:t>
      </w:r>
      <w:r w:rsidR="002C712B">
        <w:rPr>
          <w:bCs/>
          <w:szCs w:val="22"/>
        </w:rPr>
        <w:t xml:space="preserve">  At the same time,</w:t>
      </w:r>
      <w:r w:rsidRPr="00EC6281" w:rsidR="0067387A">
        <w:rPr>
          <w:bCs/>
          <w:szCs w:val="22"/>
        </w:rPr>
        <w:t xml:space="preserve"> </w:t>
      </w:r>
      <w:r w:rsidR="002C712B">
        <w:rPr>
          <w:bCs/>
          <w:szCs w:val="22"/>
        </w:rPr>
        <w:t>r</w:t>
      </w:r>
      <w:r w:rsidRPr="00EC6281" w:rsidR="0067387A">
        <w:rPr>
          <w:bCs/>
          <w:szCs w:val="22"/>
        </w:rPr>
        <w:t xml:space="preserve">ecognizing the </w:t>
      </w:r>
      <w:r w:rsidR="004641F0">
        <w:rPr>
          <w:bCs/>
          <w:szCs w:val="22"/>
        </w:rPr>
        <w:t xml:space="preserve">potential </w:t>
      </w:r>
      <w:r w:rsidRPr="00EC6281" w:rsidR="0067387A">
        <w:rPr>
          <w:bCs/>
          <w:szCs w:val="22"/>
        </w:rPr>
        <w:t>sensitivity of this information</w:t>
      </w:r>
      <w:r w:rsidR="002C712B">
        <w:rPr>
          <w:bCs/>
          <w:szCs w:val="22"/>
        </w:rPr>
        <w:t>,</w:t>
      </w:r>
      <w:r w:rsidRPr="00EC6281" w:rsidR="0067387A">
        <w:rPr>
          <w:bCs/>
          <w:szCs w:val="22"/>
        </w:rPr>
        <w:t xml:space="preserve"> </w:t>
      </w:r>
      <w:r w:rsidRPr="00EC6281" w:rsidR="00E0014A">
        <w:rPr>
          <w:bCs/>
          <w:szCs w:val="22"/>
        </w:rPr>
        <w:t xml:space="preserve">the </w:t>
      </w:r>
      <w:r w:rsidR="00E0014A">
        <w:rPr>
          <w:bCs/>
          <w:szCs w:val="22"/>
        </w:rPr>
        <w:t>Commission</w:t>
      </w:r>
      <w:r w:rsidR="002C712B">
        <w:rPr>
          <w:bCs/>
          <w:szCs w:val="22"/>
        </w:rPr>
        <w:t xml:space="preserve"> directed the Bureau to adopt a Protective Order governing </w:t>
      </w:r>
      <w:r w:rsidR="000F10D7">
        <w:rPr>
          <w:bCs/>
          <w:szCs w:val="22"/>
        </w:rPr>
        <w:t xml:space="preserve">submission of and </w:t>
      </w:r>
      <w:r w:rsidRPr="00EC6281" w:rsidR="00B30567">
        <w:rPr>
          <w:bCs/>
          <w:szCs w:val="22"/>
        </w:rPr>
        <w:t>access to confidential and highly confidential</w:t>
      </w:r>
      <w:r w:rsidRPr="00EC6281" w:rsidR="0091555F">
        <w:rPr>
          <w:bCs/>
          <w:szCs w:val="22"/>
        </w:rPr>
        <w:t xml:space="preserve"> </w:t>
      </w:r>
      <w:r w:rsidRPr="00EC6281" w:rsidR="00B30567">
        <w:rPr>
          <w:bCs/>
          <w:szCs w:val="22"/>
        </w:rPr>
        <w:t xml:space="preserve">information </w:t>
      </w:r>
      <w:r w:rsidRPr="00EC6281" w:rsidR="00B30567">
        <w:rPr>
          <w:bCs/>
          <w:szCs w:val="22"/>
        </w:rPr>
        <w:t xml:space="preserve">included </w:t>
      </w:r>
      <w:r w:rsidR="000F10D7">
        <w:rPr>
          <w:bCs/>
          <w:szCs w:val="22"/>
        </w:rPr>
        <w:t>with</w:t>
      </w:r>
      <w:r w:rsidRPr="00EC6281" w:rsidR="00B30567">
        <w:rPr>
          <w:bCs/>
          <w:szCs w:val="22"/>
        </w:rPr>
        <w:t xml:space="preserve"> </w:t>
      </w:r>
      <w:r w:rsidRPr="00EC6281" w:rsidR="00EA3E34">
        <w:rPr>
          <w:bCs/>
          <w:szCs w:val="22"/>
        </w:rPr>
        <w:t xml:space="preserve">the </w:t>
      </w:r>
      <w:r w:rsidRPr="00EC6281" w:rsidR="00B30567">
        <w:rPr>
          <w:bCs/>
          <w:szCs w:val="22"/>
        </w:rPr>
        <w:t>certifications.</w:t>
      </w:r>
      <w:r>
        <w:rPr>
          <w:rStyle w:val="FootnoteReference"/>
          <w:bCs/>
          <w:szCs w:val="22"/>
        </w:rPr>
        <w:footnoteReference w:id="6"/>
      </w:r>
      <w:r w:rsidR="007B6564">
        <w:rPr>
          <w:bCs/>
          <w:szCs w:val="22"/>
        </w:rPr>
        <w:t xml:space="preserve">  </w:t>
      </w:r>
      <w:r w:rsidR="00E0391F">
        <w:rPr>
          <w:bCs/>
          <w:szCs w:val="22"/>
        </w:rPr>
        <w:t xml:space="preserve">We </w:t>
      </w:r>
      <w:r w:rsidR="00177A16">
        <w:rPr>
          <w:bCs/>
          <w:szCs w:val="22"/>
        </w:rPr>
        <w:t xml:space="preserve">seek comment </w:t>
      </w:r>
      <w:r w:rsidR="00E0391F">
        <w:rPr>
          <w:bCs/>
          <w:szCs w:val="22"/>
        </w:rPr>
        <w:t xml:space="preserve">below </w:t>
      </w:r>
      <w:r w:rsidRPr="00EC6281" w:rsidR="00E0391F">
        <w:rPr>
          <w:bCs/>
          <w:szCs w:val="22"/>
        </w:rPr>
        <w:t>on the procedures for submitting</w:t>
      </w:r>
      <w:r w:rsidR="00E0391F">
        <w:rPr>
          <w:bCs/>
          <w:szCs w:val="22"/>
        </w:rPr>
        <w:t xml:space="preserve"> </w:t>
      </w:r>
      <w:r w:rsidRPr="00EC6281" w:rsidR="00E0391F">
        <w:rPr>
          <w:bCs/>
          <w:szCs w:val="22"/>
        </w:rPr>
        <w:t xml:space="preserve">and accessing confidential and highly confidential information </w:t>
      </w:r>
      <w:r w:rsidR="00F3585B">
        <w:rPr>
          <w:bCs/>
          <w:szCs w:val="22"/>
        </w:rPr>
        <w:t>submitted in conjunction with t</w:t>
      </w:r>
      <w:r w:rsidR="00E0391F">
        <w:rPr>
          <w:bCs/>
          <w:szCs w:val="22"/>
        </w:rPr>
        <w:t>his proceeding</w:t>
      </w:r>
      <w:r w:rsidRPr="00EC6281" w:rsidR="001B5BB9">
        <w:rPr>
          <w:bCs/>
          <w:szCs w:val="22"/>
        </w:rPr>
        <w:t>.</w:t>
      </w:r>
    </w:p>
    <w:p w:rsidR="00EC780F" w:rsidP="00EC780F" w14:paraId="76AC1076" w14:textId="77777777">
      <w:pPr>
        <w:widowControl/>
        <w:spacing w:after="120"/>
        <w:ind w:firstLine="720"/>
        <w:rPr>
          <w:bCs/>
          <w:szCs w:val="22"/>
        </w:rPr>
      </w:pPr>
      <w:r w:rsidRPr="00EC6281">
        <w:rPr>
          <w:bCs/>
          <w:i/>
          <w:iCs/>
          <w:szCs w:val="22"/>
        </w:rPr>
        <w:t xml:space="preserve">Submission </w:t>
      </w:r>
      <w:r w:rsidRPr="00EC6281" w:rsidR="001F0402">
        <w:rPr>
          <w:bCs/>
          <w:i/>
          <w:iCs/>
          <w:szCs w:val="22"/>
        </w:rPr>
        <w:t>of Information</w:t>
      </w:r>
      <w:r w:rsidRPr="00C73DE7" w:rsidR="001F0402">
        <w:rPr>
          <w:bCs/>
          <w:szCs w:val="22"/>
        </w:rPr>
        <w:t xml:space="preserve">. </w:t>
      </w:r>
      <w:r w:rsidRPr="00C73DE7" w:rsidR="004E6E36">
        <w:rPr>
          <w:bCs/>
          <w:szCs w:val="22"/>
        </w:rPr>
        <w:t xml:space="preserve"> </w:t>
      </w:r>
      <w:r w:rsidR="00476CA5">
        <w:rPr>
          <w:bCs/>
          <w:szCs w:val="22"/>
        </w:rPr>
        <w:t xml:space="preserve">We propose to adopt in the Protective Order </w:t>
      </w:r>
      <w:r w:rsidR="0030499C">
        <w:rPr>
          <w:bCs/>
          <w:szCs w:val="22"/>
        </w:rPr>
        <w:t>a</w:t>
      </w:r>
      <w:r w:rsidR="00476CA5">
        <w:rPr>
          <w:bCs/>
          <w:szCs w:val="22"/>
        </w:rPr>
        <w:t xml:space="preserve"> process for submitting confidential information described i</w:t>
      </w:r>
      <w:r w:rsidR="00A00225">
        <w:rPr>
          <w:bCs/>
          <w:szCs w:val="22"/>
        </w:rPr>
        <w:t>n the Public Notice announcing the Robocall Mitigation Database</w:t>
      </w:r>
      <w:r w:rsidR="00476CA5">
        <w:rPr>
          <w:bCs/>
          <w:szCs w:val="22"/>
        </w:rPr>
        <w:t>.  In that Public Notice</w:t>
      </w:r>
      <w:r w:rsidR="00A00225">
        <w:rPr>
          <w:bCs/>
          <w:szCs w:val="22"/>
        </w:rPr>
        <w:t xml:space="preserve">, we explained that filers are “able to request that any materials or information submitted </w:t>
      </w:r>
      <w:r w:rsidR="00476CA5">
        <w:rPr>
          <w:bCs/>
          <w:szCs w:val="22"/>
        </w:rPr>
        <w:t>to</w:t>
      </w:r>
      <w:r w:rsidR="00A00225">
        <w:rPr>
          <w:bCs/>
          <w:szCs w:val="22"/>
        </w:rPr>
        <w:t xml:space="preserve"> the Commission in their certifications be withheld from public inspection.”</w:t>
      </w:r>
      <w:r>
        <w:rPr>
          <w:rStyle w:val="FootnoteReference"/>
          <w:bCs/>
          <w:szCs w:val="22"/>
        </w:rPr>
        <w:footnoteReference w:id="7"/>
      </w:r>
      <w:r w:rsidR="00476CA5">
        <w:rPr>
          <w:bCs/>
          <w:szCs w:val="22"/>
        </w:rPr>
        <w:t xml:space="preserve">  We further explained that, to submit a confidential filing, a voice service provider “must first submit a confidentiality request in WC Docket No 17-97 through the Commission’s Electronic Comment Filing System (ECFS)” and “will then be able to submit redacted (i.e., public) and unredacted (i.e., non-public) copies of its robocall mitigation program description via the Commission’s portal.”</w:t>
      </w:r>
      <w:r>
        <w:rPr>
          <w:rStyle w:val="FootnoteReference"/>
          <w:bCs/>
          <w:szCs w:val="22"/>
        </w:rPr>
        <w:footnoteReference w:id="8"/>
      </w:r>
      <w:r w:rsidR="00A00225">
        <w:rPr>
          <w:bCs/>
          <w:szCs w:val="22"/>
        </w:rPr>
        <w:t xml:space="preserve">  </w:t>
      </w:r>
      <w:r w:rsidR="00AF0775">
        <w:rPr>
          <w:bCs/>
          <w:szCs w:val="22"/>
        </w:rPr>
        <w:t xml:space="preserve">Having considered the issue further, </w:t>
      </w:r>
      <w:r w:rsidR="00AD3A9B">
        <w:rPr>
          <w:bCs/>
          <w:szCs w:val="22"/>
        </w:rPr>
        <w:t>we propose</w:t>
      </w:r>
      <w:r w:rsidR="0060779A">
        <w:rPr>
          <w:bCs/>
          <w:szCs w:val="22"/>
        </w:rPr>
        <w:t xml:space="preserve"> formalizing this approach in the Protective Order</w:t>
      </w:r>
      <w:r w:rsidR="003C35FA">
        <w:rPr>
          <w:bCs/>
          <w:szCs w:val="22"/>
        </w:rPr>
        <w:t>.</w:t>
      </w:r>
      <w:r w:rsidRPr="00EC6281" w:rsidR="007B2950">
        <w:rPr>
          <w:bCs/>
          <w:szCs w:val="22"/>
        </w:rPr>
        <w:t xml:space="preserve">  </w:t>
      </w:r>
      <w:r w:rsidRPr="00EC6281" w:rsidR="005E64B7">
        <w:rPr>
          <w:bCs/>
          <w:szCs w:val="22"/>
        </w:rPr>
        <w:t xml:space="preserve">Rather than ask for redacted copies of confidential and highly confidential documents to be filed through the Commission’s Electronic Comment Filing System (ECFS), </w:t>
      </w:r>
      <w:r w:rsidR="00AD3A9B">
        <w:rPr>
          <w:bCs/>
          <w:szCs w:val="22"/>
        </w:rPr>
        <w:t>our proposed</w:t>
      </w:r>
      <w:r w:rsidRPr="00EC6281" w:rsidR="00DD0D30">
        <w:rPr>
          <w:bCs/>
          <w:szCs w:val="22"/>
        </w:rPr>
        <w:t xml:space="preserve"> Protective Order</w:t>
      </w:r>
      <w:r w:rsidRPr="00EC6281" w:rsidR="005E64B7">
        <w:rPr>
          <w:bCs/>
          <w:szCs w:val="22"/>
        </w:rPr>
        <w:t xml:space="preserve"> </w:t>
      </w:r>
      <w:r w:rsidR="00476CA5">
        <w:rPr>
          <w:bCs/>
          <w:szCs w:val="22"/>
        </w:rPr>
        <w:t>would</w:t>
      </w:r>
      <w:r w:rsidRPr="00EC6281" w:rsidR="00BE7332">
        <w:rPr>
          <w:bCs/>
          <w:szCs w:val="22"/>
        </w:rPr>
        <w:t xml:space="preserve"> direct voice service providers</w:t>
      </w:r>
      <w:r w:rsidRPr="00EC6281" w:rsidR="009F42B2">
        <w:rPr>
          <w:bCs/>
          <w:szCs w:val="22"/>
        </w:rPr>
        <w:t xml:space="preserve"> to</w:t>
      </w:r>
      <w:r w:rsidRPr="00EC6281" w:rsidR="00BE7332">
        <w:rPr>
          <w:bCs/>
          <w:szCs w:val="22"/>
        </w:rPr>
        <w:t xml:space="preserve"> file a request for confidentiality in ECFS and then submit any redacted copies of documents directly through the portal accompanying the database.</w:t>
      </w:r>
      <w:r w:rsidRPr="00EC6281" w:rsidR="005428D8">
        <w:rPr>
          <w:bCs/>
          <w:szCs w:val="22"/>
        </w:rPr>
        <w:t xml:space="preserve"> </w:t>
      </w:r>
      <w:r w:rsidRPr="00EC6281" w:rsidR="00951FF7">
        <w:rPr>
          <w:bCs/>
          <w:szCs w:val="22"/>
        </w:rPr>
        <w:t xml:space="preserve"> </w:t>
      </w:r>
      <w:r w:rsidRPr="001F1A69" w:rsidR="000D639C">
        <w:rPr>
          <w:bCs/>
          <w:szCs w:val="22"/>
        </w:rPr>
        <w:t xml:space="preserve">This </w:t>
      </w:r>
      <w:r w:rsidR="00AD3A9B">
        <w:rPr>
          <w:bCs/>
          <w:szCs w:val="22"/>
        </w:rPr>
        <w:t xml:space="preserve">proposed </w:t>
      </w:r>
      <w:r w:rsidRPr="001F1A69" w:rsidR="00951FF7">
        <w:rPr>
          <w:bCs/>
          <w:szCs w:val="22"/>
        </w:rPr>
        <w:t>Protective Order</w:t>
      </w:r>
      <w:r w:rsidRPr="00EC6281" w:rsidR="00951FF7">
        <w:rPr>
          <w:bCs/>
          <w:szCs w:val="22"/>
        </w:rPr>
        <w:t xml:space="preserve"> </w:t>
      </w:r>
      <w:r w:rsidR="00476CA5">
        <w:rPr>
          <w:bCs/>
          <w:szCs w:val="22"/>
        </w:rPr>
        <w:t>would</w:t>
      </w:r>
      <w:r w:rsidRPr="00EC6281" w:rsidR="00476CA5">
        <w:rPr>
          <w:bCs/>
          <w:szCs w:val="22"/>
        </w:rPr>
        <w:t xml:space="preserve"> </w:t>
      </w:r>
      <w:r w:rsidRPr="00EC6281" w:rsidR="000D639C">
        <w:rPr>
          <w:bCs/>
          <w:szCs w:val="22"/>
        </w:rPr>
        <w:t xml:space="preserve">also </w:t>
      </w:r>
      <w:r w:rsidRPr="00EC6281" w:rsidR="00951FF7">
        <w:rPr>
          <w:bCs/>
          <w:szCs w:val="22"/>
        </w:rPr>
        <w:t xml:space="preserve">direct providers to file unredacted copies of confidential and highly confidential documents </w:t>
      </w:r>
      <w:r w:rsidRPr="00EC6281" w:rsidR="00DF6E0F">
        <w:rPr>
          <w:bCs/>
          <w:szCs w:val="22"/>
        </w:rPr>
        <w:t>through</w:t>
      </w:r>
      <w:r w:rsidRPr="00EC6281" w:rsidR="00951FF7">
        <w:rPr>
          <w:bCs/>
          <w:szCs w:val="22"/>
        </w:rPr>
        <w:t xml:space="preserve"> the </w:t>
      </w:r>
      <w:r w:rsidRPr="00EC6281" w:rsidR="000D639C">
        <w:rPr>
          <w:bCs/>
          <w:szCs w:val="22"/>
        </w:rPr>
        <w:t xml:space="preserve">database’s </w:t>
      </w:r>
      <w:r w:rsidRPr="00EC6281" w:rsidR="00951FF7">
        <w:rPr>
          <w:bCs/>
          <w:szCs w:val="22"/>
        </w:rPr>
        <w:t>portal</w:t>
      </w:r>
      <w:r w:rsidRPr="00EC6281" w:rsidR="00DF6E0F">
        <w:rPr>
          <w:bCs/>
          <w:szCs w:val="22"/>
        </w:rPr>
        <w:t>, which</w:t>
      </w:r>
      <w:r w:rsidR="00EC3CA1">
        <w:rPr>
          <w:bCs/>
          <w:szCs w:val="22"/>
        </w:rPr>
        <w:t xml:space="preserve"> </w:t>
      </w:r>
      <w:r w:rsidRPr="00EC6281" w:rsidR="000D639C">
        <w:rPr>
          <w:bCs/>
          <w:szCs w:val="22"/>
        </w:rPr>
        <w:t>differs</w:t>
      </w:r>
      <w:r w:rsidRPr="00EC6281" w:rsidR="009F42B2">
        <w:rPr>
          <w:bCs/>
          <w:szCs w:val="22"/>
        </w:rPr>
        <w:t xml:space="preserve"> from the typical Protective Order </w:t>
      </w:r>
      <w:r w:rsidRPr="00EC6281" w:rsidR="000D639C">
        <w:rPr>
          <w:bCs/>
          <w:szCs w:val="22"/>
        </w:rPr>
        <w:t>process</w:t>
      </w:r>
      <w:r w:rsidRPr="00EC6281" w:rsidR="009F42B2">
        <w:rPr>
          <w:bCs/>
          <w:szCs w:val="22"/>
        </w:rPr>
        <w:t xml:space="preserve"> of submitting these documents to the Secretary’s Office and</w:t>
      </w:r>
      <w:r w:rsidRPr="00EC6281" w:rsidR="000D639C">
        <w:rPr>
          <w:bCs/>
          <w:szCs w:val="22"/>
        </w:rPr>
        <w:t xml:space="preserve"> </w:t>
      </w:r>
      <w:r w:rsidRPr="00EC6281" w:rsidR="009F42B2">
        <w:rPr>
          <w:bCs/>
          <w:szCs w:val="22"/>
        </w:rPr>
        <w:t>designated Bureau staff</w:t>
      </w:r>
      <w:r w:rsidRPr="00EC6281" w:rsidR="00DF6E0F">
        <w:rPr>
          <w:bCs/>
          <w:szCs w:val="22"/>
        </w:rPr>
        <w:t>.</w:t>
      </w:r>
      <w:r>
        <w:rPr>
          <w:rStyle w:val="FootnoteReference"/>
          <w:bCs/>
          <w:szCs w:val="22"/>
        </w:rPr>
        <w:footnoteReference w:id="9"/>
      </w:r>
      <w:r w:rsidR="00E1207D">
        <w:rPr>
          <w:bCs/>
          <w:szCs w:val="22"/>
        </w:rPr>
        <w:t xml:space="preserve">  We seek comment on these proposals and whether we should modify the process described in the </w:t>
      </w:r>
      <w:r w:rsidR="00AD3A9B">
        <w:rPr>
          <w:bCs/>
          <w:szCs w:val="22"/>
        </w:rPr>
        <w:t xml:space="preserve">earlier </w:t>
      </w:r>
      <w:r w:rsidR="00E1207D">
        <w:rPr>
          <w:bCs/>
          <w:szCs w:val="22"/>
        </w:rPr>
        <w:t>Public Notice</w:t>
      </w:r>
      <w:r w:rsidR="00637841">
        <w:rPr>
          <w:bCs/>
          <w:szCs w:val="22"/>
        </w:rPr>
        <w:t>.</w:t>
      </w:r>
      <w:r w:rsidR="00AD3A9B">
        <w:rPr>
          <w:bCs/>
          <w:szCs w:val="22"/>
        </w:rPr>
        <w:t xml:space="preserve"> </w:t>
      </w:r>
    </w:p>
    <w:p w:rsidR="00936A84" w:rsidP="00EC780F" w14:paraId="354419CA" w14:textId="74C9A42C">
      <w:pPr>
        <w:widowControl/>
        <w:spacing w:after="120"/>
        <w:ind w:firstLine="720"/>
        <w:rPr>
          <w:bCs/>
          <w:szCs w:val="22"/>
        </w:rPr>
      </w:pPr>
      <w:r w:rsidRPr="00EC6281">
        <w:rPr>
          <w:bCs/>
          <w:i/>
          <w:iCs/>
          <w:szCs w:val="22"/>
        </w:rPr>
        <w:t>Access to Information</w:t>
      </w:r>
      <w:r w:rsidRPr="005375D0">
        <w:rPr>
          <w:bCs/>
          <w:szCs w:val="22"/>
        </w:rPr>
        <w:t xml:space="preserve">.  </w:t>
      </w:r>
      <w:r w:rsidR="00CC4A8A">
        <w:rPr>
          <w:bCs/>
          <w:szCs w:val="22"/>
        </w:rPr>
        <w:t>We</w:t>
      </w:r>
      <w:r w:rsidRPr="00EC6281" w:rsidR="004759B7">
        <w:rPr>
          <w:bCs/>
          <w:szCs w:val="22"/>
        </w:rPr>
        <w:t xml:space="preserve"> seek comment on which parties should</w:t>
      </w:r>
      <w:r w:rsidRPr="00EC6281" w:rsidR="00753537">
        <w:rPr>
          <w:bCs/>
          <w:szCs w:val="22"/>
        </w:rPr>
        <w:t xml:space="preserve"> and should not</w:t>
      </w:r>
      <w:r w:rsidRPr="00EC6281" w:rsidR="004759B7">
        <w:rPr>
          <w:bCs/>
          <w:szCs w:val="22"/>
        </w:rPr>
        <w:t xml:space="preserve"> ultimately be granted access to the confidential and highly confidential information included by voice service providers in their certifications. </w:t>
      </w:r>
      <w:r w:rsidRPr="00EC6281" w:rsidR="005D2A55">
        <w:rPr>
          <w:bCs/>
          <w:szCs w:val="22"/>
        </w:rPr>
        <w:t xml:space="preserve"> </w:t>
      </w:r>
      <w:r w:rsidR="00EA741C">
        <w:rPr>
          <w:bCs/>
          <w:szCs w:val="22"/>
        </w:rPr>
        <w:t>W</w:t>
      </w:r>
      <w:r w:rsidRPr="00EC6281" w:rsidR="00AC1239">
        <w:rPr>
          <w:bCs/>
          <w:szCs w:val="22"/>
        </w:rPr>
        <w:t xml:space="preserve">e propose </w:t>
      </w:r>
      <w:r w:rsidR="00EA741C">
        <w:rPr>
          <w:bCs/>
          <w:szCs w:val="22"/>
        </w:rPr>
        <w:t>only allowing access</w:t>
      </w:r>
      <w:r w:rsidR="00496ACF">
        <w:rPr>
          <w:bCs/>
          <w:szCs w:val="22"/>
        </w:rPr>
        <w:t xml:space="preserve"> to</w:t>
      </w:r>
      <w:r w:rsidR="007B0ACC">
        <w:rPr>
          <w:bCs/>
          <w:szCs w:val="22"/>
        </w:rPr>
        <w:t xml:space="preserve"> limited categories of entities</w:t>
      </w:r>
      <w:r w:rsidR="00496ACF">
        <w:rPr>
          <w:bCs/>
          <w:szCs w:val="22"/>
        </w:rPr>
        <w:t xml:space="preserve"> and individuals</w:t>
      </w:r>
      <w:r w:rsidR="007B0ACC">
        <w:rPr>
          <w:bCs/>
          <w:szCs w:val="22"/>
        </w:rPr>
        <w:t xml:space="preserve"> and only </w:t>
      </w:r>
      <w:r w:rsidR="00634B92">
        <w:rPr>
          <w:bCs/>
          <w:szCs w:val="22"/>
        </w:rPr>
        <w:t xml:space="preserve">after such entities or individuals complete an </w:t>
      </w:r>
      <w:r w:rsidR="008F2CD6">
        <w:rPr>
          <w:bCs/>
          <w:szCs w:val="22"/>
        </w:rPr>
        <w:t>appropriate process</w:t>
      </w:r>
      <w:r w:rsidRPr="00EC6281" w:rsidR="009D003E">
        <w:rPr>
          <w:bCs/>
          <w:szCs w:val="22"/>
        </w:rPr>
        <w:t>.</w:t>
      </w:r>
      <w:r w:rsidR="00496ACF">
        <w:rPr>
          <w:bCs/>
          <w:szCs w:val="22"/>
        </w:rPr>
        <w:t xml:space="preserve">  </w:t>
      </w:r>
      <w:r w:rsidR="00634B92">
        <w:rPr>
          <w:bCs/>
          <w:szCs w:val="22"/>
        </w:rPr>
        <w:t>We propose that entities</w:t>
      </w:r>
      <w:r w:rsidR="0010621E">
        <w:rPr>
          <w:bCs/>
          <w:szCs w:val="22"/>
        </w:rPr>
        <w:t xml:space="preserve"> or individuals</w:t>
      </w:r>
      <w:r w:rsidR="00BB385D">
        <w:rPr>
          <w:bCs/>
          <w:szCs w:val="22"/>
        </w:rPr>
        <w:t xml:space="preserve"> </w:t>
      </w:r>
      <w:r w:rsidR="00634B92">
        <w:rPr>
          <w:bCs/>
          <w:szCs w:val="22"/>
        </w:rPr>
        <w:t>that may seek to obtain access</w:t>
      </w:r>
      <w:r w:rsidR="00496ACF">
        <w:rPr>
          <w:bCs/>
          <w:szCs w:val="22"/>
        </w:rPr>
        <w:t xml:space="preserve"> include: </w:t>
      </w:r>
      <w:r w:rsidR="008F2CD6">
        <w:rPr>
          <w:bCs/>
          <w:szCs w:val="22"/>
        </w:rPr>
        <w:t xml:space="preserve"> </w:t>
      </w:r>
      <w:r w:rsidR="00401063">
        <w:rPr>
          <w:bCs/>
          <w:szCs w:val="22"/>
        </w:rPr>
        <w:t>federal, state</w:t>
      </w:r>
      <w:r w:rsidR="00AE58C5">
        <w:rPr>
          <w:bCs/>
          <w:szCs w:val="22"/>
        </w:rPr>
        <w:t>,</w:t>
      </w:r>
      <w:r w:rsidR="00401063">
        <w:rPr>
          <w:bCs/>
          <w:szCs w:val="22"/>
        </w:rPr>
        <w:t xml:space="preserve"> local</w:t>
      </w:r>
      <w:r w:rsidR="00634B92">
        <w:rPr>
          <w:bCs/>
          <w:szCs w:val="22"/>
        </w:rPr>
        <w:t>, and Tribal</w:t>
      </w:r>
      <w:r w:rsidR="00401063">
        <w:rPr>
          <w:bCs/>
          <w:szCs w:val="22"/>
        </w:rPr>
        <w:t xml:space="preserve"> government</w:t>
      </w:r>
      <w:r w:rsidR="00CB5569">
        <w:rPr>
          <w:bCs/>
          <w:szCs w:val="22"/>
        </w:rPr>
        <w:t>al entities</w:t>
      </w:r>
      <w:r w:rsidR="00401063">
        <w:rPr>
          <w:bCs/>
          <w:szCs w:val="22"/>
        </w:rPr>
        <w:t xml:space="preserve"> involved in </w:t>
      </w:r>
      <w:r>
        <w:rPr>
          <w:bCs/>
          <w:szCs w:val="22"/>
        </w:rPr>
        <w:t xml:space="preserve">robocall </w:t>
      </w:r>
      <w:r w:rsidR="00401063">
        <w:rPr>
          <w:bCs/>
          <w:szCs w:val="22"/>
        </w:rPr>
        <w:t>enforcement</w:t>
      </w:r>
      <w:r w:rsidR="008F2CD6">
        <w:rPr>
          <w:bCs/>
          <w:szCs w:val="22"/>
        </w:rPr>
        <w:t>;</w:t>
      </w:r>
      <w:r w:rsidR="00401063">
        <w:rPr>
          <w:bCs/>
          <w:szCs w:val="22"/>
        </w:rPr>
        <w:t xml:space="preserve"> the </w:t>
      </w:r>
      <w:r w:rsidR="008F2CD6">
        <w:rPr>
          <w:bCs/>
          <w:szCs w:val="22"/>
        </w:rPr>
        <w:t xml:space="preserve">registered </w:t>
      </w:r>
      <w:r w:rsidR="00401063">
        <w:rPr>
          <w:bCs/>
          <w:szCs w:val="22"/>
        </w:rPr>
        <w:t>industry traceback consortium</w:t>
      </w:r>
      <w:r w:rsidR="008F2CD6">
        <w:rPr>
          <w:bCs/>
          <w:szCs w:val="22"/>
        </w:rPr>
        <w:t>;</w:t>
      </w:r>
      <w:r>
        <w:rPr>
          <w:rStyle w:val="FootnoteReference"/>
          <w:bCs/>
          <w:szCs w:val="22"/>
        </w:rPr>
        <w:footnoteReference w:id="10"/>
      </w:r>
      <w:r w:rsidR="00401063">
        <w:rPr>
          <w:bCs/>
          <w:szCs w:val="22"/>
        </w:rPr>
        <w:t xml:space="preserve"> the STIR/SHAKEN Governance Authority</w:t>
      </w:r>
      <w:r w:rsidR="008F2CD6">
        <w:rPr>
          <w:bCs/>
          <w:szCs w:val="22"/>
        </w:rPr>
        <w:t>;</w:t>
      </w:r>
      <w:r>
        <w:rPr>
          <w:rStyle w:val="FootnoteReference"/>
          <w:bCs/>
          <w:szCs w:val="22"/>
        </w:rPr>
        <w:footnoteReference w:id="11"/>
      </w:r>
      <w:r w:rsidR="008F2CD6">
        <w:rPr>
          <w:bCs/>
          <w:szCs w:val="22"/>
        </w:rPr>
        <w:t xml:space="preserve"> and</w:t>
      </w:r>
      <w:r w:rsidR="00E47F13">
        <w:rPr>
          <w:bCs/>
          <w:szCs w:val="22"/>
        </w:rPr>
        <w:t xml:space="preserve"> </w:t>
      </w:r>
      <w:r w:rsidR="008F2CD6">
        <w:rPr>
          <w:bCs/>
          <w:szCs w:val="22"/>
        </w:rPr>
        <w:t xml:space="preserve">intermediate providers and </w:t>
      </w:r>
      <w:r w:rsidR="006D7EE7">
        <w:rPr>
          <w:bCs/>
          <w:szCs w:val="22"/>
        </w:rPr>
        <w:t>voice service providers who accept call traffic directly from a</w:t>
      </w:r>
      <w:r w:rsidR="008F2CD6">
        <w:rPr>
          <w:bCs/>
          <w:szCs w:val="22"/>
        </w:rPr>
        <w:t xml:space="preserve"> voice service</w:t>
      </w:r>
      <w:r w:rsidR="006D7EE7">
        <w:rPr>
          <w:bCs/>
          <w:szCs w:val="22"/>
        </w:rPr>
        <w:t xml:space="preserve"> provider listed in the database and </w:t>
      </w:r>
      <w:r w:rsidR="008F2CD6">
        <w:rPr>
          <w:bCs/>
          <w:szCs w:val="22"/>
        </w:rPr>
        <w:t>request to review</w:t>
      </w:r>
      <w:r w:rsidR="006D7EE7">
        <w:rPr>
          <w:bCs/>
          <w:szCs w:val="22"/>
        </w:rPr>
        <w:t xml:space="preserve"> what actions that provider is taking to combat the origination of illegal robocalls.</w:t>
      </w:r>
      <w:r w:rsidR="004F0B02">
        <w:rPr>
          <w:bCs/>
          <w:szCs w:val="22"/>
        </w:rPr>
        <w:t xml:space="preserve">  </w:t>
      </w:r>
      <w:r>
        <w:rPr>
          <w:bCs/>
          <w:szCs w:val="22"/>
        </w:rPr>
        <w:t xml:space="preserve">For this final group, </w:t>
      </w:r>
      <w:r w:rsidR="008F2CD6">
        <w:rPr>
          <w:bCs/>
          <w:szCs w:val="22"/>
        </w:rPr>
        <w:t xml:space="preserve">we propose limiting </w:t>
      </w:r>
      <w:r>
        <w:rPr>
          <w:bCs/>
          <w:szCs w:val="22"/>
        </w:rPr>
        <w:t xml:space="preserve">access to the requesting </w:t>
      </w:r>
      <w:r w:rsidR="008F2CD6">
        <w:rPr>
          <w:bCs/>
          <w:szCs w:val="22"/>
        </w:rPr>
        <w:t xml:space="preserve">party’s </w:t>
      </w:r>
      <w:r>
        <w:rPr>
          <w:bCs/>
          <w:szCs w:val="22"/>
        </w:rPr>
        <w:t>outside counsel and consultants, as well as the employees and support personnel of these outside firms.</w:t>
      </w:r>
      <w:r w:rsidR="00082D81">
        <w:rPr>
          <w:bCs/>
          <w:szCs w:val="22"/>
        </w:rPr>
        <w:t xml:space="preserve"> </w:t>
      </w:r>
      <w:r w:rsidR="00411CDE">
        <w:rPr>
          <w:bCs/>
          <w:szCs w:val="22"/>
        </w:rPr>
        <w:t xml:space="preserve"> </w:t>
      </w:r>
      <w:r w:rsidR="003B47FB">
        <w:rPr>
          <w:bCs/>
          <w:szCs w:val="22"/>
        </w:rPr>
        <w:t>We propose limiting access to these groups to balance the Commission’s goals of promoting transparency in robocall mitigation efforts and protecting providers’ sensitive information from competitors and bad actors attempting to circumvent these mitigation efforts.</w:t>
      </w:r>
      <w:r>
        <w:rPr>
          <w:rStyle w:val="FootnoteReference"/>
          <w:bCs/>
          <w:szCs w:val="22"/>
        </w:rPr>
        <w:footnoteReference w:id="12"/>
      </w:r>
      <w:r w:rsidR="003B47FB">
        <w:rPr>
          <w:bCs/>
          <w:szCs w:val="22"/>
        </w:rPr>
        <w:t xml:space="preserve">  </w:t>
      </w:r>
      <w:r w:rsidR="006B3A3F">
        <w:rPr>
          <w:bCs/>
          <w:szCs w:val="22"/>
        </w:rPr>
        <w:t>We seek comment</w:t>
      </w:r>
      <w:r w:rsidR="007950BA">
        <w:rPr>
          <w:bCs/>
          <w:szCs w:val="22"/>
        </w:rPr>
        <w:t xml:space="preserve"> on</w:t>
      </w:r>
      <w:r w:rsidR="008F2CD6">
        <w:rPr>
          <w:bCs/>
          <w:szCs w:val="22"/>
        </w:rPr>
        <w:t xml:space="preserve"> this proposed</w:t>
      </w:r>
      <w:r w:rsidR="00D64388">
        <w:rPr>
          <w:bCs/>
          <w:szCs w:val="22"/>
        </w:rPr>
        <w:t xml:space="preserve"> scope of eligible reviewing parties, and</w:t>
      </w:r>
      <w:r w:rsidR="006B3A3F">
        <w:rPr>
          <w:bCs/>
          <w:szCs w:val="22"/>
        </w:rPr>
        <w:t xml:space="preserve"> whether </w:t>
      </w:r>
      <w:r w:rsidR="003B47FB">
        <w:rPr>
          <w:bCs/>
          <w:szCs w:val="22"/>
        </w:rPr>
        <w:t xml:space="preserve">a broader or narrower group would better balance the goals of promoting transparency and protecting sensitive </w:t>
      </w:r>
      <w:r w:rsidR="003B47FB">
        <w:rPr>
          <w:bCs/>
          <w:szCs w:val="22"/>
        </w:rPr>
        <w:t>information</w:t>
      </w:r>
      <w:r w:rsidR="005D7359">
        <w:rPr>
          <w:bCs/>
          <w:szCs w:val="22"/>
        </w:rPr>
        <w:t>.</w:t>
      </w:r>
      <w:r w:rsidR="006875D9">
        <w:rPr>
          <w:bCs/>
          <w:szCs w:val="22"/>
        </w:rPr>
        <w:t xml:space="preserve">  </w:t>
      </w:r>
      <w:r w:rsidR="00677FF2">
        <w:rPr>
          <w:bCs/>
          <w:szCs w:val="22"/>
        </w:rPr>
        <w:t>We also propose adopting the standard process for obtaining access to confidential and highly confidential information used by the Bureau in other proceedings.  This process would require any person other than support personnel seeking access to confidential or highly confidential information pursuant to the Protective Order to sign and date an Acknowledgement of Confidentiality agreeing to be bound by the terms and conditions of the Protective Order, and to file the Acknowledgment with the Commission and deliver a copy to the filing provider.</w:t>
      </w:r>
      <w:r>
        <w:rPr>
          <w:rStyle w:val="FootnoteReference"/>
          <w:bCs/>
          <w:szCs w:val="22"/>
        </w:rPr>
        <w:footnoteReference w:id="13"/>
      </w:r>
    </w:p>
    <w:p w:rsidR="00CC4A8A" w:rsidP="00EC780F" w14:paraId="51780648" w14:textId="4092313B">
      <w:pPr>
        <w:spacing w:after="120"/>
        <w:ind w:firstLine="720"/>
        <w:rPr>
          <w:bCs/>
          <w:szCs w:val="22"/>
        </w:rPr>
      </w:pPr>
      <w:r w:rsidRPr="00A5737D">
        <w:rPr>
          <w:bCs/>
          <w:i/>
          <w:iCs/>
          <w:szCs w:val="22"/>
        </w:rPr>
        <w:t>Other Protective Order Provisions</w:t>
      </w:r>
      <w:r w:rsidRPr="00A5737D">
        <w:rPr>
          <w:bCs/>
          <w:szCs w:val="22"/>
        </w:rPr>
        <w:t xml:space="preserve">.  </w:t>
      </w:r>
      <w:r w:rsidR="00CD71A9">
        <w:rPr>
          <w:bCs/>
          <w:szCs w:val="22"/>
        </w:rPr>
        <w:t>Beyond the changes proposed above</w:t>
      </w:r>
      <w:r w:rsidRPr="00A5737D" w:rsidR="00C37A49">
        <w:rPr>
          <w:bCs/>
          <w:szCs w:val="22"/>
        </w:rPr>
        <w:t xml:space="preserve">, we propose </w:t>
      </w:r>
      <w:r w:rsidRPr="00A5737D" w:rsidR="00A5737D">
        <w:rPr>
          <w:bCs/>
          <w:szCs w:val="22"/>
        </w:rPr>
        <w:t>adopting</w:t>
      </w:r>
      <w:r w:rsidRPr="00A5737D" w:rsidR="00C37A49">
        <w:rPr>
          <w:bCs/>
          <w:szCs w:val="22"/>
        </w:rPr>
        <w:t xml:space="preserve"> the standard provisions</w:t>
      </w:r>
      <w:r w:rsidR="00A00225">
        <w:rPr>
          <w:bCs/>
          <w:szCs w:val="22"/>
        </w:rPr>
        <w:t xml:space="preserve"> found in other Commission Protective Orders.  For example, we propose adopting standard provisions</w:t>
      </w:r>
      <w:r w:rsidRPr="00A5737D" w:rsidR="00C37A49">
        <w:rPr>
          <w:bCs/>
          <w:szCs w:val="22"/>
        </w:rPr>
        <w:t xml:space="preserve"> governing the designation of information as confidential or highly confidential, challenges to designations, the procedure for objecting to the disclosure of confidential or highly confidential information,</w:t>
      </w:r>
      <w:r w:rsidR="00A00225">
        <w:rPr>
          <w:bCs/>
          <w:szCs w:val="22"/>
        </w:rPr>
        <w:t xml:space="preserve"> and</w:t>
      </w:r>
      <w:r w:rsidRPr="00A5737D" w:rsidR="00C37A49">
        <w:rPr>
          <w:bCs/>
          <w:szCs w:val="22"/>
        </w:rPr>
        <w:t xml:space="preserve"> the review of confidential and highly confidential documents.</w:t>
      </w:r>
      <w:r>
        <w:rPr>
          <w:rStyle w:val="FootnoteReference"/>
          <w:bCs/>
          <w:szCs w:val="22"/>
        </w:rPr>
        <w:footnoteReference w:id="14"/>
      </w:r>
      <w:r w:rsidRPr="00A5737D" w:rsidR="00C37A49">
        <w:rPr>
          <w:bCs/>
          <w:szCs w:val="22"/>
        </w:rPr>
        <w:t xml:space="preserve"> </w:t>
      </w:r>
      <w:r w:rsidRPr="00A5737D" w:rsidR="00A5737D">
        <w:rPr>
          <w:bCs/>
          <w:szCs w:val="22"/>
        </w:rPr>
        <w:t xml:space="preserve"> Additionally, we propose adopting</w:t>
      </w:r>
      <w:r w:rsidR="004D32F2">
        <w:rPr>
          <w:bCs/>
          <w:szCs w:val="22"/>
        </w:rPr>
        <w:t xml:space="preserve"> similar appendices, including one which contains an Acknowledgement of Confidentiality, and another which details what information and documents can be designated as highly confidential.</w:t>
      </w:r>
      <w:r>
        <w:rPr>
          <w:rStyle w:val="FootnoteReference"/>
          <w:bCs/>
          <w:szCs w:val="22"/>
        </w:rPr>
        <w:footnoteReference w:id="15"/>
      </w:r>
      <w:r w:rsidR="004D32F2">
        <w:rPr>
          <w:bCs/>
          <w:szCs w:val="22"/>
        </w:rPr>
        <w:t xml:space="preserve"> </w:t>
      </w:r>
      <w:r w:rsidRPr="00A5737D" w:rsidR="00C37A49">
        <w:rPr>
          <w:bCs/>
          <w:szCs w:val="22"/>
        </w:rPr>
        <w:t xml:space="preserve"> </w:t>
      </w:r>
      <w:r w:rsidR="001E73E8">
        <w:rPr>
          <w:bCs/>
          <w:szCs w:val="22"/>
        </w:rPr>
        <w:t>We seek comment on whether</w:t>
      </w:r>
      <w:r w:rsidR="00A00225">
        <w:rPr>
          <w:bCs/>
          <w:szCs w:val="22"/>
        </w:rPr>
        <w:t xml:space="preserve"> and how</w:t>
      </w:r>
      <w:r w:rsidR="001E73E8">
        <w:rPr>
          <w:bCs/>
          <w:szCs w:val="22"/>
        </w:rPr>
        <w:t xml:space="preserve"> we should modify these provisions</w:t>
      </w:r>
      <w:r w:rsidR="00082D81">
        <w:rPr>
          <w:bCs/>
          <w:szCs w:val="22"/>
        </w:rPr>
        <w:t xml:space="preserve"> or appendices</w:t>
      </w:r>
      <w:r w:rsidR="001E73E8">
        <w:rPr>
          <w:bCs/>
          <w:szCs w:val="22"/>
        </w:rPr>
        <w:t xml:space="preserve"> in the context of the Robocall Mitigation Database.</w:t>
      </w:r>
    </w:p>
    <w:p w:rsidR="00EC780F" w:rsidP="00EC780F" w14:paraId="5735F08D" w14:textId="77777777">
      <w:pPr>
        <w:spacing w:after="120"/>
        <w:ind w:firstLine="720"/>
        <w:rPr>
          <w:b/>
          <w:bCs/>
          <w:snapToGrid/>
          <w:color w:val="000000"/>
          <w:kern w:val="0"/>
          <w:szCs w:val="22"/>
        </w:rPr>
      </w:pPr>
      <w:r w:rsidRPr="00EC6281">
        <w:rPr>
          <w:snapToGrid/>
          <w:color w:val="000000"/>
          <w:kern w:val="0"/>
          <w:szCs w:val="22"/>
        </w:rPr>
        <w:t xml:space="preserve">Pursuant to section 1.415 and 1.419 of the Commission’s rules, 47 CFR §§ 1.415, 1.419, interested parties may file comments </w:t>
      </w:r>
      <w:r w:rsidRPr="00396FE6" w:rsidR="00396FE6">
        <w:rPr>
          <w:snapToGrid/>
          <w:color w:val="000000"/>
          <w:kern w:val="0"/>
          <w:szCs w:val="22"/>
        </w:rPr>
        <w:t>on or before</w:t>
      </w:r>
      <w:r w:rsidR="00396FE6">
        <w:rPr>
          <w:snapToGrid/>
          <w:color w:val="000000"/>
          <w:kern w:val="0"/>
          <w:szCs w:val="22"/>
        </w:rPr>
        <w:t xml:space="preserve"> </w:t>
      </w:r>
      <w:r w:rsidR="003025AE">
        <w:rPr>
          <w:snapToGrid/>
          <w:color w:val="000000"/>
          <w:kern w:val="0"/>
          <w:szCs w:val="22"/>
        </w:rPr>
        <w:t>10 days</w:t>
      </w:r>
      <w:r w:rsidR="00396FE6">
        <w:rPr>
          <w:snapToGrid/>
          <w:color w:val="000000"/>
          <w:kern w:val="0"/>
          <w:szCs w:val="22"/>
        </w:rPr>
        <w:t xml:space="preserve"> after publication</w:t>
      </w:r>
      <w:r w:rsidR="003025AE">
        <w:rPr>
          <w:snapToGrid/>
          <w:color w:val="000000"/>
          <w:kern w:val="0"/>
          <w:szCs w:val="22"/>
        </w:rPr>
        <w:t xml:space="preserve"> of this Public Notice</w:t>
      </w:r>
      <w:r w:rsidR="00396FE6">
        <w:rPr>
          <w:snapToGrid/>
          <w:color w:val="000000"/>
          <w:kern w:val="0"/>
          <w:szCs w:val="22"/>
        </w:rPr>
        <w:t xml:space="preserve"> in the Federal Register </w:t>
      </w:r>
      <w:r w:rsidRPr="00EC6281">
        <w:rPr>
          <w:snapToGrid/>
          <w:color w:val="000000"/>
          <w:kern w:val="0"/>
          <w:szCs w:val="22"/>
        </w:rPr>
        <w:t xml:space="preserve">and reply comments on or before </w:t>
      </w:r>
      <w:r w:rsidR="003025AE">
        <w:rPr>
          <w:snapToGrid/>
          <w:color w:val="000000"/>
          <w:kern w:val="0"/>
          <w:szCs w:val="22"/>
        </w:rPr>
        <w:t>15</w:t>
      </w:r>
      <w:r w:rsidR="00396FE6">
        <w:rPr>
          <w:snapToGrid/>
          <w:color w:val="000000"/>
          <w:kern w:val="0"/>
          <w:szCs w:val="22"/>
        </w:rPr>
        <w:t xml:space="preserve"> day</w:t>
      </w:r>
      <w:r w:rsidR="003025AE">
        <w:rPr>
          <w:snapToGrid/>
          <w:color w:val="000000"/>
          <w:kern w:val="0"/>
          <w:szCs w:val="22"/>
        </w:rPr>
        <w:t>s</w:t>
      </w:r>
      <w:r w:rsidR="00396FE6">
        <w:rPr>
          <w:snapToGrid/>
          <w:color w:val="000000"/>
          <w:kern w:val="0"/>
          <w:szCs w:val="22"/>
        </w:rPr>
        <w:t xml:space="preserve"> after </w:t>
      </w:r>
      <w:r w:rsidR="003025AE">
        <w:rPr>
          <w:snapToGrid/>
          <w:color w:val="000000"/>
          <w:kern w:val="0"/>
          <w:szCs w:val="22"/>
        </w:rPr>
        <w:t>publication of this Public Notice in the Federal Register</w:t>
      </w:r>
      <w:r w:rsidRPr="00396FE6">
        <w:rPr>
          <w:snapToGrid/>
          <w:color w:val="000000"/>
          <w:kern w:val="0"/>
          <w:szCs w:val="22"/>
        </w:rPr>
        <w:t>.</w:t>
      </w:r>
    </w:p>
    <w:p w:rsidR="0091555F" w:rsidRPr="00EC780F" w:rsidP="00EC780F" w14:paraId="480FFA33" w14:textId="7DE583A0">
      <w:pPr>
        <w:spacing w:after="120"/>
        <w:ind w:firstLine="720"/>
        <w:rPr>
          <w:b/>
          <w:bCs/>
          <w:snapToGrid/>
          <w:color w:val="000000"/>
          <w:kern w:val="0"/>
          <w:szCs w:val="22"/>
        </w:rPr>
      </w:pPr>
      <w:r w:rsidRPr="00EC6281">
        <w:rPr>
          <w:i/>
          <w:szCs w:val="22"/>
        </w:rPr>
        <w:t xml:space="preserve">Filing Requirements.  </w:t>
      </w:r>
      <w:r w:rsidRPr="00EC6281">
        <w:rPr>
          <w:iCs/>
          <w:szCs w:val="22"/>
        </w:rPr>
        <w:t>All filings must refer to</w:t>
      </w:r>
      <w:r w:rsidRPr="00EC6281">
        <w:rPr>
          <w:szCs w:val="22"/>
        </w:rPr>
        <w:t xml:space="preserve"> </w:t>
      </w:r>
      <w:r w:rsidRPr="00EC6281">
        <w:rPr>
          <w:b/>
          <w:bCs/>
          <w:iCs/>
          <w:szCs w:val="22"/>
        </w:rPr>
        <w:t>WC Docket No. 17-97</w:t>
      </w:r>
      <w:r w:rsidRPr="00EC6281">
        <w:rPr>
          <w:iCs/>
          <w:szCs w:val="22"/>
        </w:rPr>
        <w:t xml:space="preserve">.  </w:t>
      </w:r>
      <w:r w:rsidRPr="00EC6281">
        <w:rPr>
          <w:szCs w:val="22"/>
        </w:rPr>
        <w:t>Comments may be filed using ECFS.</w:t>
      </w:r>
      <w:r>
        <w:rPr>
          <w:szCs w:val="22"/>
          <w:vertAlign w:val="superscript"/>
        </w:rPr>
        <w:footnoteReference w:id="16"/>
      </w:r>
    </w:p>
    <w:p w:rsidR="00404EA0" w:rsidRPr="00EC6281" w:rsidP="002F3FFF" w14:paraId="27FE52FE" w14:textId="77777777">
      <w:pPr>
        <w:pStyle w:val="ListParagraph"/>
        <w:numPr>
          <w:ilvl w:val="0"/>
          <w:numId w:val="7"/>
        </w:numPr>
        <w:rPr>
          <w:szCs w:val="22"/>
        </w:rPr>
      </w:pPr>
      <w:r w:rsidRPr="00EC6281">
        <w:rPr>
          <w:szCs w:val="22"/>
        </w:rPr>
        <w:t xml:space="preserve">Electronic Filers:  Comments may be filed electronically using the Internet by accessing ECFS:   </w:t>
      </w:r>
      <w:hyperlink r:id="rId5" w:history="1">
        <w:r w:rsidRPr="00EC6281">
          <w:rPr>
            <w:rStyle w:val="Hyperlink"/>
            <w:szCs w:val="22"/>
          </w:rPr>
          <w:t>https://www.fcc.gov/ecfs/</w:t>
        </w:r>
      </w:hyperlink>
      <w:r w:rsidRPr="00EC6281">
        <w:rPr>
          <w:szCs w:val="22"/>
        </w:rPr>
        <w:t xml:space="preserve">.    </w:t>
      </w:r>
    </w:p>
    <w:p w:rsidR="00404EA0" w:rsidRPr="00EC6281" w:rsidP="002F3FFF" w14:paraId="62C2934B" w14:textId="77777777">
      <w:pPr>
        <w:pStyle w:val="ListParagraph"/>
        <w:rPr>
          <w:szCs w:val="22"/>
        </w:rPr>
      </w:pPr>
    </w:p>
    <w:p w:rsidR="00B86B55" w:rsidRPr="00EC6281" w:rsidP="002F3FFF" w14:paraId="5D9986DA" w14:textId="77777777">
      <w:pPr>
        <w:pStyle w:val="ListParagraph"/>
        <w:numPr>
          <w:ilvl w:val="0"/>
          <w:numId w:val="7"/>
        </w:numPr>
        <w:rPr>
          <w:szCs w:val="22"/>
        </w:rPr>
      </w:pPr>
      <w:r w:rsidRPr="00EC6281">
        <w:rPr>
          <w:szCs w:val="22"/>
        </w:rPr>
        <w:t xml:space="preserve">Paper Filers:  Parties who choose to file by paper must file an original and one copy of each filing.  </w:t>
      </w:r>
    </w:p>
    <w:p w:rsidR="00B86B55" w:rsidRPr="00EC6281" w:rsidP="002F3FFF" w14:paraId="65D73488" w14:textId="77777777">
      <w:pPr>
        <w:pStyle w:val="ListParagraph"/>
        <w:rPr>
          <w:szCs w:val="22"/>
        </w:rPr>
      </w:pPr>
    </w:p>
    <w:p w:rsidR="00B86B55" w:rsidRPr="00EC6281" w:rsidP="002F3FFF" w14:paraId="0C072F5C" w14:textId="77777777">
      <w:pPr>
        <w:pStyle w:val="ListParagraph"/>
        <w:numPr>
          <w:ilvl w:val="0"/>
          <w:numId w:val="7"/>
        </w:numPr>
        <w:rPr>
          <w:szCs w:val="22"/>
        </w:rPr>
      </w:pPr>
      <w:r w:rsidRPr="00EC6281">
        <w:rPr>
          <w:szCs w:val="22"/>
        </w:rPr>
        <w:t>Filings can be sent by commercial overnight courier, or by first-class or overnight U.S-. Postal Service mail.  All filings must be addressed to the Commission’s Secretary, Office of the Secretary, Federal Communications Commission.</w:t>
      </w:r>
    </w:p>
    <w:p w:rsidR="00B86B55" w:rsidRPr="00EC6281" w:rsidP="002F3FFF" w14:paraId="0AB089C2" w14:textId="77777777">
      <w:pPr>
        <w:pStyle w:val="ListParagraph"/>
        <w:rPr>
          <w:szCs w:val="22"/>
        </w:rPr>
      </w:pPr>
    </w:p>
    <w:p w:rsidR="00B86B55" w:rsidRPr="00EC6281" w:rsidP="002F3FFF" w14:paraId="31A186D5" w14:textId="45B9FAFE">
      <w:pPr>
        <w:pStyle w:val="ListParagraph"/>
        <w:numPr>
          <w:ilvl w:val="0"/>
          <w:numId w:val="7"/>
        </w:numPr>
        <w:rPr>
          <w:szCs w:val="22"/>
        </w:rPr>
      </w:pPr>
      <w:r w:rsidRPr="00EC6281">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B86B55" w:rsidRPr="00EC6281" w:rsidP="002F3FFF" w14:paraId="1CBE6B6E" w14:textId="77777777">
      <w:pPr>
        <w:pStyle w:val="ListParagraph"/>
        <w:rPr>
          <w:szCs w:val="22"/>
        </w:rPr>
      </w:pPr>
    </w:p>
    <w:p w:rsidR="00B86B55" w:rsidRPr="00EC6281" w:rsidP="00EC780F" w14:paraId="502C0A77" w14:textId="77777777">
      <w:pPr>
        <w:pStyle w:val="ListParagraph"/>
        <w:widowControl/>
        <w:numPr>
          <w:ilvl w:val="0"/>
          <w:numId w:val="7"/>
        </w:numPr>
        <w:spacing w:after="120"/>
        <w:rPr>
          <w:szCs w:val="22"/>
        </w:rPr>
      </w:pPr>
      <w:r w:rsidRPr="00EC6281">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7"/>
      </w:r>
    </w:p>
    <w:p w:rsidR="002F3FFF" w:rsidRPr="00EC6281" w:rsidP="00EC780F" w14:paraId="7010A69B" w14:textId="77777777">
      <w:pPr>
        <w:pStyle w:val="ListParagraph"/>
        <w:spacing w:after="120"/>
        <w:ind w:left="0" w:firstLine="720"/>
        <w:rPr>
          <w:szCs w:val="22"/>
        </w:rPr>
      </w:pPr>
      <w:r w:rsidRPr="00EC6281">
        <w:rPr>
          <w:i/>
          <w:iCs/>
          <w:szCs w:val="22"/>
        </w:rPr>
        <w:t>People with Disabilitie</w:t>
      </w:r>
      <w:r w:rsidRPr="00EC6281">
        <w:rPr>
          <w:i/>
          <w:iCs/>
          <w:szCs w:val="22"/>
        </w:rPr>
        <w:t>s</w:t>
      </w:r>
      <w:r w:rsidRPr="00EC6281">
        <w:rPr>
          <w:szCs w:val="22"/>
        </w:rPr>
        <w:t>.</w:t>
      </w:r>
      <w:r w:rsidRPr="00EC6281">
        <w:rPr>
          <w:szCs w:val="22"/>
        </w:rPr>
        <w:t xml:space="preserve">  To request materials in accessible formats for people with disabilities (braille, large print, electronic files, audio format), send an e-mail to </w:t>
      </w:r>
      <w:hyperlink r:id="rId6" w:history="1">
        <w:r w:rsidRPr="00EC6281">
          <w:rPr>
            <w:rStyle w:val="Hyperlink"/>
            <w:szCs w:val="22"/>
          </w:rPr>
          <w:t>fcc504@fcc.gov</w:t>
        </w:r>
      </w:hyperlink>
      <w:r w:rsidRPr="00EC6281">
        <w:rPr>
          <w:szCs w:val="22"/>
        </w:rPr>
        <w:t xml:space="preserve"> or call the Consumer &amp; Government Affairs Bureau at (202) 418-0530.</w:t>
      </w:r>
    </w:p>
    <w:p w:rsidR="002F3FFF" w:rsidRPr="00EC6281" w:rsidP="00EC780F" w14:paraId="74CE91A7" w14:textId="6FF8908F">
      <w:pPr>
        <w:pStyle w:val="ListParagraph"/>
        <w:spacing w:after="120"/>
        <w:ind w:left="0" w:firstLine="720"/>
        <w:rPr>
          <w:szCs w:val="22"/>
        </w:rPr>
      </w:pPr>
      <w:r w:rsidRPr="00EC6281">
        <w:rPr>
          <w:szCs w:val="22"/>
        </w:rPr>
        <w:t xml:space="preserve"> </w:t>
      </w:r>
      <w:r w:rsidRPr="00EC6281">
        <w:rPr>
          <w:i/>
          <w:iCs/>
          <w:szCs w:val="22"/>
        </w:rPr>
        <w:t xml:space="preserve">Ex </w:t>
      </w:r>
      <w:r w:rsidRPr="00EC6281">
        <w:rPr>
          <w:i/>
          <w:iCs/>
          <w:szCs w:val="22"/>
        </w:rPr>
        <w:t>Parte</w:t>
      </w:r>
      <w:r w:rsidRPr="00EC6281">
        <w:rPr>
          <w:i/>
          <w:iCs/>
          <w:szCs w:val="22"/>
        </w:rPr>
        <w:t xml:space="preserve"> Rules</w:t>
      </w:r>
      <w:r w:rsidRPr="00EC6281">
        <w:rPr>
          <w:szCs w:val="22"/>
        </w:rPr>
        <w:t xml:space="preserve">.  This proceeding shall be treated as a “permit-but-disclose” proceeding in accordance with the Commission’s </w:t>
      </w:r>
      <w:r w:rsidRPr="00EC6281">
        <w:rPr>
          <w:i/>
          <w:iCs/>
          <w:szCs w:val="22"/>
        </w:rPr>
        <w:t>ex parte</w:t>
      </w:r>
      <w:r w:rsidRPr="00EC6281">
        <w:rPr>
          <w:szCs w:val="22"/>
        </w:rPr>
        <w:t xml:space="preserve"> rules.</w:t>
      </w:r>
      <w:r>
        <w:rPr>
          <w:rStyle w:val="FootnoteReference"/>
          <w:szCs w:val="22"/>
        </w:rPr>
        <w:footnoteReference w:id="18"/>
      </w:r>
      <w:r w:rsidRPr="00EC6281">
        <w:rPr>
          <w:szCs w:val="22"/>
        </w:rPr>
        <w:t xml:space="preserve">  Persons making </w:t>
      </w:r>
      <w:r w:rsidRPr="00EC6281">
        <w:rPr>
          <w:i/>
          <w:iCs/>
          <w:szCs w:val="22"/>
        </w:rPr>
        <w:t>ex parte</w:t>
      </w:r>
      <w:r w:rsidRPr="00EC6281">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281">
        <w:rPr>
          <w:i/>
          <w:iCs/>
          <w:szCs w:val="22"/>
        </w:rPr>
        <w:t>ex parte</w:t>
      </w:r>
      <w:r w:rsidRPr="00EC6281">
        <w:rPr>
          <w:szCs w:val="22"/>
        </w:rPr>
        <w:t xml:space="preserve"> presentations are reminded that memoranda summarizing the presentation must: (1) list all persons attending or otherwise participating in the meeting at which the </w:t>
      </w:r>
      <w:r w:rsidRPr="00EC6281">
        <w:rPr>
          <w:i/>
          <w:iCs/>
          <w:szCs w:val="22"/>
        </w:rPr>
        <w:t>ex parte</w:t>
      </w:r>
      <w:r w:rsidRPr="00EC6281">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281">
        <w:rPr>
          <w:i/>
          <w:iCs/>
          <w:szCs w:val="22"/>
        </w:rPr>
        <w:t>ex parte</w:t>
      </w:r>
      <w:r w:rsidRPr="00EC6281">
        <w:rPr>
          <w:szCs w:val="22"/>
        </w:rPr>
        <w:t xml:space="preserve"> meetings are deemed to be written </w:t>
      </w:r>
      <w:r w:rsidRPr="00EC6281">
        <w:rPr>
          <w:i/>
          <w:iCs/>
          <w:szCs w:val="22"/>
        </w:rPr>
        <w:t>ex parte</w:t>
      </w:r>
      <w:r w:rsidRPr="00EC6281">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EC6281">
        <w:rPr>
          <w:i/>
          <w:iCs/>
          <w:szCs w:val="22"/>
        </w:rPr>
        <w:t>ex parte</w:t>
      </w:r>
      <w:r w:rsidRPr="00EC6281">
        <w:rPr>
          <w:szCs w:val="22"/>
        </w:rPr>
        <w:t xml:space="preserve"> presentations and memoranda summarizing oral </w:t>
      </w:r>
      <w:r w:rsidRPr="00EC6281">
        <w:rPr>
          <w:i/>
          <w:iCs/>
          <w:szCs w:val="22"/>
        </w:rPr>
        <w:t xml:space="preserve">ex parte </w:t>
      </w:r>
      <w:r w:rsidRPr="00EC6281">
        <w:rPr>
          <w:szCs w:val="22"/>
        </w:rPr>
        <w:t>presentations, and all attachments thereto, must be filed through the electronic comment filing system available for that proceeding, and must be filed in their native format (e.g., .doc, .xml., .ppt, searchable .pdf).</w:t>
      </w:r>
      <w:r>
        <w:rPr>
          <w:rStyle w:val="FootnoteReference"/>
          <w:szCs w:val="22"/>
        </w:rPr>
        <w:footnoteReference w:id="19"/>
      </w:r>
      <w:r w:rsidRPr="00EC6281">
        <w:rPr>
          <w:szCs w:val="22"/>
        </w:rPr>
        <w:t xml:space="preserve">  Participants in this proceeding should familiarize themselves with the Commission’s </w:t>
      </w:r>
      <w:r w:rsidRPr="00EC6281">
        <w:rPr>
          <w:i/>
          <w:iCs/>
          <w:szCs w:val="22"/>
        </w:rPr>
        <w:t>ex parte</w:t>
      </w:r>
      <w:r w:rsidRPr="00EC6281">
        <w:rPr>
          <w:szCs w:val="22"/>
        </w:rPr>
        <w:t xml:space="preserve"> rules.</w:t>
      </w:r>
    </w:p>
    <w:p w:rsidR="009A6407" w:rsidRPr="002D5FC9" w:rsidP="00EC780F" w14:paraId="41872F38" w14:textId="048395D2">
      <w:pPr>
        <w:widowControl/>
        <w:spacing w:after="120"/>
        <w:ind w:firstLine="720"/>
        <w:rPr>
          <w:color w:val="000000"/>
          <w:szCs w:val="22"/>
        </w:rPr>
      </w:pPr>
      <w:r w:rsidRPr="00EC6281">
        <w:rPr>
          <w:color w:val="000000"/>
          <w:szCs w:val="22"/>
        </w:rPr>
        <w:t xml:space="preserve">For further information, please contact Michael Nemcik, </w:t>
      </w:r>
      <w:r w:rsidRPr="00EC6281" w:rsidR="007B6564">
        <w:rPr>
          <w:color w:val="000000"/>
          <w:szCs w:val="22"/>
        </w:rPr>
        <w:t xml:space="preserve">Competition Policy Division, </w:t>
      </w:r>
      <w:r w:rsidRPr="00EC6281">
        <w:rPr>
          <w:color w:val="000000"/>
          <w:szCs w:val="22"/>
        </w:rPr>
        <w:t xml:space="preserve">Wireline Competition Bureau, at (202) 418-2343 or by email at </w:t>
      </w:r>
      <w:hyperlink r:id="rId7" w:history="1">
        <w:r w:rsidRPr="00EC6281">
          <w:rPr>
            <w:rStyle w:val="Hyperlink"/>
            <w:szCs w:val="22"/>
          </w:rPr>
          <w:t>Michael.Nemcik@fcc.gov</w:t>
        </w:r>
      </w:hyperlink>
      <w:r w:rsidRPr="00EC6281">
        <w:rPr>
          <w:color w:val="000000"/>
          <w:szCs w:val="22"/>
        </w:rPr>
        <w:t>.</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7BDD" w14:paraId="5FC059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C07BDD" w14:paraId="713CF8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7BDD" w14:paraId="22BCFDD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7BDD" w14:paraId="336474F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6EAB" w14:paraId="68E98087" w14:textId="77777777">
      <w:r>
        <w:separator/>
      </w:r>
    </w:p>
  </w:footnote>
  <w:footnote w:type="continuationSeparator" w:id="1">
    <w:p w:rsidR="00F96EAB" w14:paraId="246D57D7" w14:textId="77777777">
      <w:pPr>
        <w:rPr>
          <w:sz w:val="20"/>
        </w:rPr>
      </w:pPr>
      <w:r>
        <w:rPr>
          <w:sz w:val="20"/>
        </w:rPr>
        <w:t xml:space="preserve">(Continued from previous page)  </w:t>
      </w:r>
      <w:r>
        <w:rPr>
          <w:sz w:val="20"/>
        </w:rPr>
        <w:separator/>
      </w:r>
    </w:p>
  </w:footnote>
  <w:footnote w:type="continuationNotice" w:id="2">
    <w:p w:rsidR="00F96EAB" w14:paraId="65EE5FCF" w14:textId="77777777">
      <w:pPr>
        <w:jc w:val="right"/>
        <w:rPr>
          <w:sz w:val="20"/>
        </w:rPr>
      </w:pPr>
      <w:r>
        <w:rPr>
          <w:sz w:val="20"/>
        </w:rPr>
        <w:t>(continued….)</w:t>
      </w:r>
    </w:p>
  </w:footnote>
  <w:footnote w:id="3">
    <w:p w:rsidR="00633EBA" w14:paraId="3C185A59" w14:textId="77777777">
      <w:pPr>
        <w:pStyle w:val="FootnoteText"/>
      </w:pPr>
      <w:r>
        <w:rPr>
          <w:rStyle w:val="FootnoteReference"/>
        </w:rPr>
        <w:footnoteRef/>
      </w:r>
      <w:r>
        <w:t xml:space="preserve"> </w:t>
      </w:r>
      <w:r w:rsidRPr="00ED2251" w:rsidR="00A27E5C">
        <w:rPr>
          <w:i/>
          <w:iCs/>
        </w:rPr>
        <w:t>Call Authentication Trust Anchor</w:t>
      </w:r>
      <w:r w:rsidRPr="00ED2251" w:rsidR="00A27E5C">
        <w:t xml:space="preserve">, WC Docket No. 17-97, Second Report and Order, FCC 20-136, at </w:t>
      </w:r>
      <w:r w:rsidR="00A27E5C">
        <w:t>44-45</w:t>
      </w:r>
      <w:r w:rsidRPr="00ED2251" w:rsidR="00A27E5C">
        <w:t xml:space="preserve">, para. </w:t>
      </w:r>
      <w:r w:rsidR="00A27E5C">
        <w:t>82</w:t>
      </w:r>
      <w:r w:rsidRPr="00ED2251" w:rsidR="00A27E5C">
        <w:t xml:space="preserve"> (Sept. 29, 2020) (</w:t>
      </w:r>
      <w:r w:rsidRPr="00ED2251" w:rsidR="00A27E5C">
        <w:rPr>
          <w:i/>
          <w:iCs/>
        </w:rPr>
        <w:t>Second STIR/SHAKEN Order</w:t>
      </w:r>
      <w:r w:rsidRPr="00ED2251" w:rsidR="00A27E5C">
        <w:t>)</w:t>
      </w:r>
      <w:r w:rsidR="00A27E5C">
        <w:t>.</w:t>
      </w:r>
    </w:p>
  </w:footnote>
  <w:footnote w:id="4">
    <w:p w:rsidR="003938DD" w:rsidRPr="007F0828" w:rsidP="003938DD" w14:paraId="4D0D03FF" w14:textId="77777777">
      <w:pPr>
        <w:pStyle w:val="FootnoteText"/>
      </w:pPr>
      <w:r>
        <w:rPr>
          <w:rStyle w:val="FootnoteReference"/>
        </w:rPr>
        <w:footnoteRef/>
      </w:r>
      <w:r>
        <w:t xml:space="preserve"> </w:t>
      </w:r>
      <w:r w:rsidRPr="00A77B67">
        <w:rPr>
          <w:i/>
          <w:iCs/>
        </w:rPr>
        <w:t>Protective Order issued in the matter of Applications for HDC Alpha, LLC; HDC Beta, LLC; HDC Gamma, LLC; HDC Delta, LLC; HDC Epsilon, LLC for iVoip Authorization Pursuant to Section 52.15(g)(3) of the Commission's Rules</w:t>
      </w:r>
      <w:r>
        <w:t>, WC Docket Nos. 19-313, 19-314, 19-315, 19-316, and 19-317, Protective Order, DA 21-105 (WCB Feb. 1, 2021) (</w:t>
      </w:r>
      <w:r>
        <w:rPr>
          <w:i/>
          <w:iCs/>
        </w:rPr>
        <w:t>HDC Protective Order</w:t>
      </w:r>
      <w:r>
        <w:t xml:space="preserve">); </w:t>
      </w:r>
      <w:r w:rsidRPr="007F0828">
        <w:rPr>
          <w:i/>
          <w:iCs/>
        </w:rPr>
        <w:t>Updating the Intercarrier Compensation Regime to Eliminate Access Arbitrage</w:t>
      </w:r>
      <w:r>
        <w:t>, WC Docket No. 18-155, Protective Order, DA 20-596 (WCB June 5, 2020) (</w:t>
      </w:r>
      <w:r>
        <w:rPr>
          <w:i/>
          <w:iCs/>
        </w:rPr>
        <w:t>Access Arbitrage Protective Order</w:t>
      </w:r>
      <w:r>
        <w:t>).</w:t>
      </w:r>
    </w:p>
  </w:footnote>
  <w:footnote w:id="5">
    <w:p w:rsidR="002C712B" w14:paraId="65822301" w14:textId="77777777">
      <w:pPr>
        <w:pStyle w:val="FootnoteText"/>
      </w:pPr>
      <w:r>
        <w:rPr>
          <w:rStyle w:val="FootnoteReference"/>
        </w:rPr>
        <w:footnoteRef/>
      </w:r>
      <w:r>
        <w:t xml:space="preserve"> </w:t>
      </w:r>
      <w:r w:rsidRPr="00E0014A">
        <w:rPr>
          <w:i/>
          <w:iCs/>
        </w:rPr>
        <w:t>S</w:t>
      </w:r>
      <w:r>
        <w:rPr>
          <w:i/>
          <w:iCs/>
        </w:rPr>
        <w:t>ee S</w:t>
      </w:r>
      <w:r w:rsidRPr="00E0014A">
        <w:rPr>
          <w:i/>
          <w:iCs/>
        </w:rPr>
        <w:t>econd STIR/SHAKEN Order</w:t>
      </w:r>
      <w:r w:rsidRPr="00E0014A">
        <w:t xml:space="preserve"> at 42, para. 77</w:t>
      </w:r>
      <w:r>
        <w:t>.</w:t>
      </w:r>
    </w:p>
  </w:footnote>
  <w:footnote w:id="6">
    <w:p w:rsidR="002C712B" w14:paraId="4C85CD3B" w14:textId="77777777">
      <w:pPr>
        <w:pStyle w:val="FootnoteText"/>
      </w:pPr>
      <w:r>
        <w:rPr>
          <w:rStyle w:val="FootnoteReference"/>
        </w:rPr>
        <w:footnoteRef/>
      </w:r>
      <w:r>
        <w:t xml:space="preserve"> </w:t>
      </w:r>
      <w:r w:rsidRPr="00ED2251" w:rsidR="0014433B">
        <w:rPr>
          <w:i/>
          <w:iCs/>
        </w:rPr>
        <w:t>Second STIR/SHAKEN Order</w:t>
      </w:r>
      <w:r w:rsidR="0014433B">
        <w:t xml:space="preserve"> at 45, para. 83.</w:t>
      </w:r>
    </w:p>
  </w:footnote>
  <w:footnote w:id="7">
    <w:p w:rsidR="00A00225" w14:paraId="7BBC648E" w14:textId="79E01399">
      <w:pPr>
        <w:pStyle w:val="FootnoteText"/>
      </w:pPr>
      <w:r>
        <w:rPr>
          <w:rStyle w:val="FootnoteReference"/>
        </w:rPr>
        <w:footnoteRef/>
      </w:r>
      <w:r>
        <w:t xml:space="preserve"> </w:t>
      </w:r>
      <w:r w:rsidR="0014433B">
        <w:rPr>
          <w:i/>
          <w:iCs/>
        </w:rPr>
        <w:t>Wireline Competition Bureau Announces Opening of Robocall Mitigation Database and Provides Filing Instructions and Deadlines</w:t>
      </w:r>
      <w:r w:rsidR="0014433B">
        <w:t xml:space="preserve">, WC Docket No. 17-97, Public Notice, </w:t>
      </w:r>
      <w:r w:rsidRPr="00AE58C5" w:rsidR="0014433B">
        <w:t>DA 21-454, at 3 (WCB Apr. 20, 2021)</w:t>
      </w:r>
      <w:r w:rsidR="0014433B">
        <w:t xml:space="preserve"> (</w:t>
      </w:r>
      <w:r w:rsidR="0014433B">
        <w:rPr>
          <w:i/>
          <w:iCs/>
        </w:rPr>
        <w:t>Database Public Notice</w:t>
      </w:r>
      <w:r w:rsidR="0014433B">
        <w:t>)</w:t>
      </w:r>
      <w:r>
        <w:t>.</w:t>
      </w:r>
    </w:p>
  </w:footnote>
  <w:footnote w:id="8">
    <w:p w:rsidR="00476CA5" w14:paraId="056A8B3C" w14:textId="77777777">
      <w:pPr>
        <w:pStyle w:val="FootnoteText"/>
      </w:pPr>
      <w:r>
        <w:rPr>
          <w:rStyle w:val="FootnoteReference"/>
        </w:rPr>
        <w:footnoteRef/>
      </w:r>
      <w:r>
        <w:t xml:space="preserve"> </w:t>
      </w:r>
      <w:r w:rsidRPr="00AE58C5" w:rsidR="0014433B">
        <w:rPr>
          <w:i/>
          <w:iCs/>
        </w:rPr>
        <w:t>Database Public Notice</w:t>
      </w:r>
      <w:r>
        <w:t xml:space="preserve"> at 3-4.</w:t>
      </w:r>
    </w:p>
  </w:footnote>
  <w:footnote w:id="9">
    <w:p w:rsidR="0010745E" w:rsidRPr="00AE5F2A" w14:paraId="1E21AD85" w14:textId="77777777">
      <w:pPr>
        <w:pStyle w:val="FootnoteText"/>
      </w:pPr>
      <w:r>
        <w:rPr>
          <w:rStyle w:val="FootnoteReference"/>
        </w:rPr>
        <w:footnoteRef/>
      </w:r>
      <w:r>
        <w:t xml:space="preserve"> </w:t>
      </w:r>
      <w:r w:rsidR="00AE5F2A">
        <w:rPr>
          <w:i/>
          <w:iCs/>
        </w:rPr>
        <w:t>HDC Protective Order</w:t>
      </w:r>
      <w:r w:rsidR="00AE5F2A">
        <w:t xml:space="preserve"> at 4, para. 5; </w:t>
      </w:r>
      <w:r w:rsidR="00AE5F2A">
        <w:rPr>
          <w:i/>
          <w:iCs/>
        </w:rPr>
        <w:t xml:space="preserve">Access Arbitrage Protective Order </w:t>
      </w:r>
      <w:r w:rsidR="00AE5F2A">
        <w:t>at 4, para. 5.</w:t>
      </w:r>
    </w:p>
  </w:footnote>
  <w:footnote w:id="10">
    <w:p w:rsidR="00AE58C5" w14:paraId="0D0A7879" w14:textId="2634CF40">
      <w:pPr>
        <w:pStyle w:val="FootnoteText"/>
      </w:pPr>
      <w:r>
        <w:rPr>
          <w:rStyle w:val="FootnoteReference"/>
        </w:rPr>
        <w:footnoteRef/>
      </w:r>
      <w:r>
        <w:t xml:space="preserve"> On July 27, 2020, after an application process, the Commission designated the Industry Traceback Group as the registered Traceback Consortium.  </w:t>
      </w:r>
      <w:r w:rsidRPr="00411CDE">
        <w:rPr>
          <w:i/>
          <w:iCs/>
        </w:rPr>
        <w:t>Implementing Section 13(d) of the Pallone-Thune Telephone Robocall Abuse Criminal Enforcement and Deterrence Act (TRACED Act)</w:t>
      </w:r>
      <w:r w:rsidRPr="006F4935">
        <w:t>, EB Docket No. 20-22, Report and Order,</w:t>
      </w:r>
      <w:r>
        <w:t xml:space="preserve"> 35 FCC Rcd 7886</w:t>
      </w:r>
      <w:r w:rsidR="00411CDE">
        <w:t xml:space="preserve"> </w:t>
      </w:r>
      <w:r w:rsidRPr="006F4935">
        <w:t>(</w:t>
      </w:r>
      <w:r>
        <w:t>EB</w:t>
      </w:r>
      <w:r w:rsidRPr="006F4935">
        <w:t xml:space="preserve"> 2020).</w:t>
      </w:r>
    </w:p>
  </w:footnote>
  <w:footnote w:id="11">
    <w:p w:rsidR="00AE58C5" w:rsidRPr="00AE58C5" w14:paraId="65BC736D" w14:textId="4180590C">
      <w:pPr>
        <w:pStyle w:val="FootnoteText"/>
      </w:pPr>
      <w:r>
        <w:rPr>
          <w:rStyle w:val="FootnoteReference"/>
        </w:rPr>
        <w:footnoteRef/>
      </w:r>
      <w:r>
        <w:t xml:space="preserve"> The Governance Authority defines policies and procedures for which entities can acquire “certificate</w:t>
      </w:r>
      <w:r w:rsidR="00FC0650">
        <w:t>s</w:t>
      </w:r>
      <w:r>
        <w:t xml:space="preserve">” needed to participate in STIR/SHAKEN.  The current Governance Authority is the Secure Telephone Identity Governance Authority (STI-GA).  </w:t>
      </w:r>
      <w:r>
        <w:rPr>
          <w:i/>
          <w:iCs/>
        </w:rPr>
        <w:t>See</w:t>
      </w:r>
      <w:r>
        <w:t xml:space="preserve"> </w:t>
      </w:r>
      <w:r>
        <w:rPr>
          <w:i/>
          <w:iCs/>
        </w:rPr>
        <w:t>Second STIR/SHAKEN Order</w:t>
      </w:r>
      <w:r>
        <w:t xml:space="preserve"> at 6, para. 11 </w:t>
      </w:r>
      <w:r w:rsidR="00FC0650">
        <w:t>&amp;</w:t>
      </w:r>
      <w:r>
        <w:t xml:space="preserve"> n.37.</w:t>
      </w:r>
    </w:p>
  </w:footnote>
  <w:footnote w:id="12">
    <w:p w:rsidR="003B47FB" w:rsidP="003B47FB" w14:paraId="09A502A7" w14:textId="77777777">
      <w:pPr>
        <w:pStyle w:val="FootnoteText"/>
      </w:pPr>
      <w:r>
        <w:rPr>
          <w:rStyle w:val="FootnoteReference"/>
        </w:rPr>
        <w:footnoteRef/>
      </w:r>
      <w:r>
        <w:t xml:space="preserve"> </w:t>
      </w:r>
      <w:r w:rsidRPr="00E0014A">
        <w:rPr>
          <w:i/>
          <w:iCs/>
        </w:rPr>
        <w:t>Second STIR/SHAKEN Order</w:t>
      </w:r>
      <w:r w:rsidRPr="00E0014A">
        <w:t xml:space="preserve"> at</w:t>
      </w:r>
      <w:r>
        <w:t xml:space="preserve"> 44-46, paras. 82-83.</w:t>
      </w:r>
    </w:p>
  </w:footnote>
  <w:footnote w:id="13">
    <w:p w:rsidR="00677FF2" w:rsidRPr="00BE2B7F" w:rsidP="00677FF2" w14:paraId="64FB1DE3" w14:textId="77777777">
      <w:pPr>
        <w:pStyle w:val="FootnoteText"/>
      </w:pPr>
      <w:r>
        <w:rPr>
          <w:rStyle w:val="FootnoteReference"/>
        </w:rPr>
        <w:footnoteRef/>
      </w:r>
      <w:r>
        <w:t xml:space="preserve"> </w:t>
      </w:r>
      <w:r>
        <w:rPr>
          <w:i/>
          <w:iCs/>
        </w:rPr>
        <w:t>HDC Protective Order</w:t>
      </w:r>
      <w:r>
        <w:t xml:space="preserve"> at 4-5, para. 7; </w:t>
      </w:r>
      <w:r>
        <w:rPr>
          <w:i/>
          <w:iCs/>
        </w:rPr>
        <w:t xml:space="preserve">Access Arbitrage Protective Order </w:t>
      </w:r>
      <w:r>
        <w:t>at 4-5, para. 7.</w:t>
      </w:r>
    </w:p>
  </w:footnote>
  <w:footnote w:id="14">
    <w:p w:rsidR="00D16201" w:rsidRPr="00D16201" w14:paraId="5ED49CD6" w14:textId="77777777">
      <w:pPr>
        <w:pStyle w:val="FootnoteText"/>
      </w:pPr>
      <w:r>
        <w:rPr>
          <w:rStyle w:val="FootnoteReference"/>
        </w:rPr>
        <w:footnoteRef/>
      </w:r>
      <w:r>
        <w:t xml:space="preserve"> </w:t>
      </w:r>
      <w:r>
        <w:rPr>
          <w:i/>
          <w:iCs/>
        </w:rPr>
        <w:t>HDC Protective Order</w:t>
      </w:r>
      <w:r>
        <w:t xml:space="preserve"> (providing an example of a typical Bureau protective order and relevant provisions); </w:t>
      </w:r>
      <w:r>
        <w:rPr>
          <w:i/>
          <w:iCs/>
        </w:rPr>
        <w:t xml:space="preserve">Access Arbitrage Protective Order </w:t>
      </w:r>
      <w:r>
        <w:t xml:space="preserve">(providing another example of a typical Bureau protective order and relevant provisions). </w:t>
      </w:r>
    </w:p>
  </w:footnote>
  <w:footnote w:id="15">
    <w:p w:rsidR="004D32F2" w:rsidRPr="004D32F2" w14:paraId="1D91B15C" w14:textId="77777777">
      <w:pPr>
        <w:pStyle w:val="FootnoteText"/>
      </w:pPr>
      <w:r>
        <w:rPr>
          <w:rStyle w:val="FootnoteReference"/>
        </w:rPr>
        <w:footnoteRef/>
      </w:r>
      <w:r>
        <w:t xml:space="preserve"> </w:t>
      </w:r>
      <w:r>
        <w:rPr>
          <w:i/>
          <w:iCs/>
        </w:rPr>
        <w:t xml:space="preserve">HDC Protective Order </w:t>
      </w:r>
      <w:r>
        <w:t xml:space="preserve">at Appendices A and B (providing examples of appendices containing an Acknowledgement of Confidentiality and a list of highly confidential information and documents); </w:t>
      </w:r>
      <w:r>
        <w:rPr>
          <w:i/>
          <w:iCs/>
        </w:rPr>
        <w:t xml:space="preserve">Access Arbitrage Protective Order </w:t>
      </w:r>
      <w:r>
        <w:t>at Appendices A and B (</w:t>
      </w:r>
      <w:r w:rsidR="00E053B8">
        <w:t>providing examples of appendices containing an Acknowledgement of Confidentiality and a list of highly confidential information and documents).</w:t>
      </w:r>
    </w:p>
  </w:footnote>
  <w:footnote w:id="16">
    <w:p w:rsidR="0034694A" w:rsidRPr="001212ED" w:rsidP="0034694A" w14:paraId="794DD44F"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FR 24121 (1998).</w:t>
      </w:r>
    </w:p>
  </w:footnote>
  <w:footnote w:id="17">
    <w:p w:rsidR="00B86B55" w:rsidRPr="0038566F" w:rsidP="00B86B55" w14:paraId="39D6DC40"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Public Notice, 35 FCC Rcd 2788 (Mar.</w:t>
      </w:r>
      <w:r w:rsidRPr="007F7B6A">
        <w:t xml:space="preserve"> 19, 2020), </w:t>
      </w:r>
      <w:hyperlink r:id="rId1" w:history="1">
        <w:r w:rsidRPr="0038566F">
          <w:rPr>
            <w:rStyle w:val="Hyperlink"/>
          </w:rPr>
          <w:t>https://www.fcc.gov/document/fcc-closes-headquarters-open-window-and-changes-hand-delivery-policy</w:t>
        </w:r>
      </w:hyperlink>
      <w:r w:rsidRPr="001212ED">
        <w:rPr>
          <w:rStyle w:val="Hyperlink"/>
          <w:u w:val="none"/>
        </w:rPr>
        <w:t>.</w:t>
      </w:r>
    </w:p>
  </w:footnote>
  <w:footnote w:id="18">
    <w:p w:rsidR="00B86B55" w:rsidRPr="00526349" w:rsidP="00B86B55" w14:paraId="02CC5F57"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19">
    <w:p w:rsidR="00B86B55" w:rsidRPr="0014668A" w:rsidP="00B86B55" w14:paraId="75724925"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7BDD" w14:paraId="4A03D7D7" w14:textId="3D491C74">
    <w:pPr>
      <w:tabs>
        <w:tab w:val="center" w:pos="4680"/>
        <w:tab w:val="right" w:pos="9360"/>
      </w:tabs>
    </w:pPr>
    <w:r>
      <w:rPr>
        <w:b/>
      </w:rPr>
      <w:tab/>
      <w:t>Federal Communications Commission</w:t>
    </w:r>
    <w:r>
      <w:rPr>
        <w:b/>
      </w:rPr>
      <w:tab/>
    </w:r>
    <w:r w:rsidR="007F7511">
      <w:rPr>
        <w:b/>
      </w:rPr>
      <w:t>DA 21-</w:t>
    </w:r>
    <w:r w:rsidR="00294672">
      <w:rPr>
        <w:b/>
      </w:rPr>
      <w:t>546</w:t>
    </w:r>
  </w:p>
  <w:p w:rsidR="00C07BDD" w14:paraId="107C260E" w14:textId="4FEF72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C07BDD" w14:paraId="05CC9D7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7BDD" w14:paraId="1B5B7701" w14:textId="4E388C41">
    <w:pPr>
      <w:pStyle w:val="Header"/>
      <w:rPr>
        <w:noProof/>
        <w:snapToGrid/>
      </w:rPr>
    </w:pPr>
    <w:r>
      <w:rPr>
        <w:noProof/>
        <w:snapToGrid/>
      </w:rPr>
      <w:drawing>
        <wp:inline distT="0" distB="0" distL="0" distR="0">
          <wp:extent cx="6567805" cy="140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67805" cy="1407160"/>
                  </a:xfrm>
                  <a:prstGeom prst="rect">
                    <a:avLst/>
                  </a:prstGeom>
                  <a:noFill/>
                  <a:ln>
                    <a:noFill/>
                  </a:ln>
                </pic:spPr>
              </pic:pic>
            </a:graphicData>
          </a:graphic>
        </wp:inline>
      </w:drawing>
    </w:r>
  </w:p>
  <w:p w:rsidR="00C07BDD" w14:paraId="1EF11B83"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141E12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07"/>
    <w:rsid w:val="00010FDB"/>
    <w:rsid w:val="00015C19"/>
    <w:rsid w:val="00017BB7"/>
    <w:rsid w:val="0003002C"/>
    <w:rsid w:val="00030EAC"/>
    <w:rsid w:val="0003588B"/>
    <w:rsid w:val="000363A2"/>
    <w:rsid w:val="00056D81"/>
    <w:rsid w:val="00082D81"/>
    <w:rsid w:val="00093232"/>
    <w:rsid w:val="000A0B7B"/>
    <w:rsid w:val="000B3DF5"/>
    <w:rsid w:val="000C3387"/>
    <w:rsid w:val="000D0F3D"/>
    <w:rsid w:val="000D639C"/>
    <w:rsid w:val="000E0F8D"/>
    <w:rsid w:val="000E39C0"/>
    <w:rsid w:val="000F10D7"/>
    <w:rsid w:val="000F1891"/>
    <w:rsid w:val="000F651A"/>
    <w:rsid w:val="000F6F44"/>
    <w:rsid w:val="00103E66"/>
    <w:rsid w:val="0010621E"/>
    <w:rsid w:val="0010745E"/>
    <w:rsid w:val="001212ED"/>
    <w:rsid w:val="0013111D"/>
    <w:rsid w:val="001329EB"/>
    <w:rsid w:val="0014433B"/>
    <w:rsid w:val="0014611C"/>
    <w:rsid w:val="0014668A"/>
    <w:rsid w:val="00146D6B"/>
    <w:rsid w:val="001677F8"/>
    <w:rsid w:val="00171B7E"/>
    <w:rsid w:val="00177A16"/>
    <w:rsid w:val="00181C78"/>
    <w:rsid w:val="00196746"/>
    <w:rsid w:val="001A53A9"/>
    <w:rsid w:val="001A7867"/>
    <w:rsid w:val="001B2000"/>
    <w:rsid w:val="001B5BB9"/>
    <w:rsid w:val="001C1963"/>
    <w:rsid w:val="001C5E0D"/>
    <w:rsid w:val="001D02B0"/>
    <w:rsid w:val="001D5376"/>
    <w:rsid w:val="001E03C7"/>
    <w:rsid w:val="001E130D"/>
    <w:rsid w:val="001E1E60"/>
    <w:rsid w:val="001E73E8"/>
    <w:rsid w:val="001F0402"/>
    <w:rsid w:val="001F0B37"/>
    <w:rsid w:val="001F16E2"/>
    <w:rsid w:val="001F1A69"/>
    <w:rsid w:val="00215020"/>
    <w:rsid w:val="002166C1"/>
    <w:rsid w:val="00217135"/>
    <w:rsid w:val="00220FB3"/>
    <w:rsid w:val="00242076"/>
    <w:rsid w:val="002611B1"/>
    <w:rsid w:val="00266C5C"/>
    <w:rsid w:val="00276B44"/>
    <w:rsid w:val="00280984"/>
    <w:rsid w:val="002935C8"/>
    <w:rsid w:val="00294672"/>
    <w:rsid w:val="002963AD"/>
    <w:rsid w:val="002A41EB"/>
    <w:rsid w:val="002A52C3"/>
    <w:rsid w:val="002C712B"/>
    <w:rsid w:val="002D3129"/>
    <w:rsid w:val="002D5FC9"/>
    <w:rsid w:val="002E7110"/>
    <w:rsid w:val="002F3FFF"/>
    <w:rsid w:val="002F5C58"/>
    <w:rsid w:val="00301BE0"/>
    <w:rsid w:val="003025AE"/>
    <w:rsid w:val="003038A8"/>
    <w:rsid w:val="0030499C"/>
    <w:rsid w:val="00310624"/>
    <w:rsid w:val="00314D43"/>
    <w:rsid w:val="00316265"/>
    <w:rsid w:val="00322E2C"/>
    <w:rsid w:val="00334BD6"/>
    <w:rsid w:val="003360F5"/>
    <w:rsid w:val="0034694A"/>
    <w:rsid w:val="003474D1"/>
    <w:rsid w:val="00357881"/>
    <w:rsid w:val="003769C4"/>
    <w:rsid w:val="00377A9C"/>
    <w:rsid w:val="00383D05"/>
    <w:rsid w:val="00384D82"/>
    <w:rsid w:val="0038566F"/>
    <w:rsid w:val="003938DD"/>
    <w:rsid w:val="00394243"/>
    <w:rsid w:val="003957AB"/>
    <w:rsid w:val="00396FE6"/>
    <w:rsid w:val="003A1651"/>
    <w:rsid w:val="003A7CAA"/>
    <w:rsid w:val="003B47FB"/>
    <w:rsid w:val="003C35FA"/>
    <w:rsid w:val="003D5CC5"/>
    <w:rsid w:val="003E57DE"/>
    <w:rsid w:val="003F4D42"/>
    <w:rsid w:val="003F56AD"/>
    <w:rsid w:val="003F5A20"/>
    <w:rsid w:val="00401063"/>
    <w:rsid w:val="00404EA0"/>
    <w:rsid w:val="00411CDE"/>
    <w:rsid w:val="00416884"/>
    <w:rsid w:val="00427421"/>
    <w:rsid w:val="0043150A"/>
    <w:rsid w:val="00433EFB"/>
    <w:rsid w:val="00435F91"/>
    <w:rsid w:val="00436C23"/>
    <w:rsid w:val="004435EE"/>
    <w:rsid w:val="004457E3"/>
    <w:rsid w:val="0045229F"/>
    <w:rsid w:val="004641F0"/>
    <w:rsid w:val="0047185C"/>
    <w:rsid w:val="004759B7"/>
    <w:rsid w:val="00476CA5"/>
    <w:rsid w:val="00486545"/>
    <w:rsid w:val="00494A28"/>
    <w:rsid w:val="00496ACF"/>
    <w:rsid w:val="004B7921"/>
    <w:rsid w:val="004C50FA"/>
    <w:rsid w:val="004C76D8"/>
    <w:rsid w:val="004D32F2"/>
    <w:rsid w:val="004D6AAD"/>
    <w:rsid w:val="004E6E36"/>
    <w:rsid w:val="004F0B02"/>
    <w:rsid w:val="00502322"/>
    <w:rsid w:val="00504488"/>
    <w:rsid w:val="00512A87"/>
    <w:rsid w:val="00516E86"/>
    <w:rsid w:val="005215A5"/>
    <w:rsid w:val="005255F4"/>
    <w:rsid w:val="00526349"/>
    <w:rsid w:val="005375D0"/>
    <w:rsid w:val="00541C72"/>
    <w:rsid w:val="005427F3"/>
    <w:rsid w:val="005428D8"/>
    <w:rsid w:val="005510EB"/>
    <w:rsid w:val="00555BDD"/>
    <w:rsid w:val="00562211"/>
    <w:rsid w:val="0056271B"/>
    <w:rsid w:val="00567DBE"/>
    <w:rsid w:val="005853B8"/>
    <w:rsid w:val="00591738"/>
    <w:rsid w:val="00591987"/>
    <w:rsid w:val="00596977"/>
    <w:rsid w:val="005A6293"/>
    <w:rsid w:val="005C4610"/>
    <w:rsid w:val="005C76D2"/>
    <w:rsid w:val="005D2A55"/>
    <w:rsid w:val="005D71EB"/>
    <w:rsid w:val="005D7359"/>
    <w:rsid w:val="005D7E3D"/>
    <w:rsid w:val="005E64B7"/>
    <w:rsid w:val="0060779A"/>
    <w:rsid w:val="00613AFB"/>
    <w:rsid w:val="00622203"/>
    <w:rsid w:val="00631564"/>
    <w:rsid w:val="00633830"/>
    <w:rsid w:val="00633EBA"/>
    <w:rsid w:val="00634B92"/>
    <w:rsid w:val="0063637B"/>
    <w:rsid w:val="00637841"/>
    <w:rsid w:val="00641C37"/>
    <w:rsid w:val="006428BE"/>
    <w:rsid w:val="00645808"/>
    <w:rsid w:val="00652CD1"/>
    <w:rsid w:val="00661329"/>
    <w:rsid w:val="00662BA3"/>
    <w:rsid w:val="0067387A"/>
    <w:rsid w:val="006770CA"/>
    <w:rsid w:val="00677FF2"/>
    <w:rsid w:val="006851BF"/>
    <w:rsid w:val="00686ACC"/>
    <w:rsid w:val="006875D9"/>
    <w:rsid w:val="00695709"/>
    <w:rsid w:val="006A10A7"/>
    <w:rsid w:val="006A5548"/>
    <w:rsid w:val="006B37DB"/>
    <w:rsid w:val="006B3A3F"/>
    <w:rsid w:val="006D7EE7"/>
    <w:rsid w:val="006E2EF7"/>
    <w:rsid w:val="006E35D2"/>
    <w:rsid w:val="006F4935"/>
    <w:rsid w:val="00710E8D"/>
    <w:rsid w:val="0071350A"/>
    <w:rsid w:val="00725123"/>
    <w:rsid w:val="00736469"/>
    <w:rsid w:val="00753537"/>
    <w:rsid w:val="00763ACD"/>
    <w:rsid w:val="00777E0F"/>
    <w:rsid w:val="00784546"/>
    <w:rsid w:val="00784E7E"/>
    <w:rsid w:val="00787381"/>
    <w:rsid w:val="007950BA"/>
    <w:rsid w:val="00797ED5"/>
    <w:rsid w:val="007B0014"/>
    <w:rsid w:val="007B0ACC"/>
    <w:rsid w:val="007B2950"/>
    <w:rsid w:val="007B6564"/>
    <w:rsid w:val="007E6268"/>
    <w:rsid w:val="007F0756"/>
    <w:rsid w:val="007F0828"/>
    <w:rsid w:val="007F747B"/>
    <w:rsid w:val="007F7511"/>
    <w:rsid w:val="007F7B6A"/>
    <w:rsid w:val="00803E06"/>
    <w:rsid w:val="00817D9A"/>
    <w:rsid w:val="00836FE1"/>
    <w:rsid w:val="0084348C"/>
    <w:rsid w:val="0085408E"/>
    <w:rsid w:val="008555B7"/>
    <w:rsid w:val="008567C4"/>
    <w:rsid w:val="00861606"/>
    <w:rsid w:val="0086752A"/>
    <w:rsid w:val="008A05EB"/>
    <w:rsid w:val="008B5F77"/>
    <w:rsid w:val="008D3A62"/>
    <w:rsid w:val="008D72AB"/>
    <w:rsid w:val="008E4C81"/>
    <w:rsid w:val="008E6212"/>
    <w:rsid w:val="008E6305"/>
    <w:rsid w:val="008F2CD6"/>
    <w:rsid w:val="0091555F"/>
    <w:rsid w:val="00915DBD"/>
    <w:rsid w:val="00917D45"/>
    <w:rsid w:val="00922133"/>
    <w:rsid w:val="00927A0C"/>
    <w:rsid w:val="0093477D"/>
    <w:rsid w:val="00936A84"/>
    <w:rsid w:val="00936B67"/>
    <w:rsid w:val="00942B3F"/>
    <w:rsid w:val="0095189A"/>
    <w:rsid w:val="00951FF7"/>
    <w:rsid w:val="009547E2"/>
    <w:rsid w:val="00961168"/>
    <w:rsid w:val="00977A92"/>
    <w:rsid w:val="00987829"/>
    <w:rsid w:val="009978BF"/>
    <w:rsid w:val="009A2373"/>
    <w:rsid w:val="009A6407"/>
    <w:rsid w:val="009B51BC"/>
    <w:rsid w:val="009C020B"/>
    <w:rsid w:val="009C207D"/>
    <w:rsid w:val="009C7CE8"/>
    <w:rsid w:val="009D003E"/>
    <w:rsid w:val="009D2F41"/>
    <w:rsid w:val="009D7E11"/>
    <w:rsid w:val="009E1834"/>
    <w:rsid w:val="009E6F97"/>
    <w:rsid w:val="009F42B2"/>
    <w:rsid w:val="00A00225"/>
    <w:rsid w:val="00A12140"/>
    <w:rsid w:val="00A166E7"/>
    <w:rsid w:val="00A17AE9"/>
    <w:rsid w:val="00A21732"/>
    <w:rsid w:val="00A221AC"/>
    <w:rsid w:val="00A22FB8"/>
    <w:rsid w:val="00A26929"/>
    <w:rsid w:val="00A27E5C"/>
    <w:rsid w:val="00A32B19"/>
    <w:rsid w:val="00A5737D"/>
    <w:rsid w:val="00A70707"/>
    <w:rsid w:val="00A77B67"/>
    <w:rsid w:val="00A84388"/>
    <w:rsid w:val="00A844AE"/>
    <w:rsid w:val="00A930B1"/>
    <w:rsid w:val="00AB013E"/>
    <w:rsid w:val="00AB1135"/>
    <w:rsid w:val="00AB38D3"/>
    <w:rsid w:val="00AB6E80"/>
    <w:rsid w:val="00AB733C"/>
    <w:rsid w:val="00AC118A"/>
    <w:rsid w:val="00AC1239"/>
    <w:rsid w:val="00AD39A5"/>
    <w:rsid w:val="00AD3A9B"/>
    <w:rsid w:val="00AD657E"/>
    <w:rsid w:val="00AE0FB8"/>
    <w:rsid w:val="00AE513B"/>
    <w:rsid w:val="00AE58C5"/>
    <w:rsid w:val="00AE5F2A"/>
    <w:rsid w:val="00AF0775"/>
    <w:rsid w:val="00B048C6"/>
    <w:rsid w:val="00B122F7"/>
    <w:rsid w:val="00B165B9"/>
    <w:rsid w:val="00B1695F"/>
    <w:rsid w:val="00B22BBF"/>
    <w:rsid w:val="00B30567"/>
    <w:rsid w:val="00B30F57"/>
    <w:rsid w:val="00B3198B"/>
    <w:rsid w:val="00B37847"/>
    <w:rsid w:val="00B44BE0"/>
    <w:rsid w:val="00B476FB"/>
    <w:rsid w:val="00B54310"/>
    <w:rsid w:val="00B6153C"/>
    <w:rsid w:val="00B6504D"/>
    <w:rsid w:val="00B86B55"/>
    <w:rsid w:val="00B90330"/>
    <w:rsid w:val="00BB385D"/>
    <w:rsid w:val="00BB3F2A"/>
    <w:rsid w:val="00BD1825"/>
    <w:rsid w:val="00BD32E1"/>
    <w:rsid w:val="00BE2B7F"/>
    <w:rsid w:val="00BE7332"/>
    <w:rsid w:val="00BF3F61"/>
    <w:rsid w:val="00C06565"/>
    <w:rsid w:val="00C07BDD"/>
    <w:rsid w:val="00C22990"/>
    <w:rsid w:val="00C275EB"/>
    <w:rsid w:val="00C32C09"/>
    <w:rsid w:val="00C37A49"/>
    <w:rsid w:val="00C45676"/>
    <w:rsid w:val="00C54EAD"/>
    <w:rsid w:val="00C561BA"/>
    <w:rsid w:val="00C66A38"/>
    <w:rsid w:val="00C73DE7"/>
    <w:rsid w:val="00CA11A0"/>
    <w:rsid w:val="00CA4205"/>
    <w:rsid w:val="00CA7364"/>
    <w:rsid w:val="00CB5569"/>
    <w:rsid w:val="00CC144E"/>
    <w:rsid w:val="00CC21D9"/>
    <w:rsid w:val="00CC4A8A"/>
    <w:rsid w:val="00CC4FD4"/>
    <w:rsid w:val="00CC7F78"/>
    <w:rsid w:val="00CD1FD8"/>
    <w:rsid w:val="00CD71A9"/>
    <w:rsid w:val="00CF5435"/>
    <w:rsid w:val="00D03451"/>
    <w:rsid w:val="00D060BD"/>
    <w:rsid w:val="00D11DE1"/>
    <w:rsid w:val="00D16201"/>
    <w:rsid w:val="00D27C42"/>
    <w:rsid w:val="00D3043E"/>
    <w:rsid w:val="00D37728"/>
    <w:rsid w:val="00D41E73"/>
    <w:rsid w:val="00D4371E"/>
    <w:rsid w:val="00D47E7F"/>
    <w:rsid w:val="00D5283D"/>
    <w:rsid w:val="00D54425"/>
    <w:rsid w:val="00D566F0"/>
    <w:rsid w:val="00D64388"/>
    <w:rsid w:val="00D70EBC"/>
    <w:rsid w:val="00D76ABF"/>
    <w:rsid w:val="00D8036F"/>
    <w:rsid w:val="00D919E9"/>
    <w:rsid w:val="00D91F98"/>
    <w:rsid w:val="00D92B27"/>
    <w:rsid w:val="00D97C1B"/>
    <w:rsid w:val="00DB41B3"/>
    <w:rsid w:val="00DC7F54"/>
    <w:rsid w:val="00DD0D30"/>
    <w:rsid w:val="00DD4FCB"/>
    <w:rsid w:val="00DD64BA"/>
    <w:rsid w:val="00DF3915"/>
    <w:rsid w:val="00DF6E0F"/>
    <w:rsid w:val="00E0014A"/>
    <w:rsid w:val="00E0391F"/>
    <w:rsid w:val="00E053B8"/>
    <w:rsid w:val="00E07403"/>
    <w:rsid w:val="00E078CE"/>
    <w:rsid w:val="00E1207D"/>
    <w:rsid w:val="00E20BA2"/>
    <w:rsid w:val="00E20DA2"/>
    <w:rsid w:val="00E338D7"/>
    <w:rsid w:val="00E42ECD"/>
    <w:rsid w:val="00E47F13"/>
    <w:rsid w:val="00E65074"/>
    <w:rsid w:val="00E82EDA"/>
    <w:rsid w:val="00E8626B"/>
    <w:rsid w:val="00E90F2A"/>
    <w:rsid w:val="00E929E0"/>
    <w:rsid w:val="00EA3A5B"/>
    <w:rsid w:val="00EA3E34"/>
    <w:rsid w:val="00EA4E0F"/>
    <w:rsid w:val="00EA741C"/>
    <w:rsid w:val="00EB40D3"/>
    <w:rsid w:val="00EB5EAD"/>
    <w:rsid w:val="00EC3CA1"/>
    <w:rsid w:val="00EC6281"/>
    <w:rsid w:val="00EC780F"/>
    <w:rsid w:val="00ED2251"/>
    <w:rsid w:val="00ED6EE8"/>
    <w:rsid w:val="00EE5F42"/>
    <w:rsid w:val="00EF04EF"/>
    <w:rsid w:val="00EF3396"/>
    <w:rsid w:val="00EF6A76"/>
    <w:rsid w:val="00F10BAD"/>
    <w:rsid w:val="00F10D93"/>
    <w:rsid w:val="00F12B37"/>
    <w:rsid w:val="00F1547A"/>
    <w:rsid w:val="00F3585B"/>
    <w:rsid w:val="00F41593"/>
    <w:rsid w:val="00F4414F"/>
    <w:rsid w:val="00F457DD"/>
    <w:rsid w:val="00F5503F"/>
    <w:rsid w:val="00F570A7"/>
    <w:rsid w:val="00F67ACF"/>
    <w:rsid w:val="00F96EAB"/>
    <w:rsid w:val="00FA56F8"/>
    <w:rsid w:val="00FA68A5"/>
    <w:rsid w:val="00FB105C"/>
    <w:rsid w:val="00FB45C3"/>
    <w:rsid w:val="00FC0650"/>
    <w:rsid w:val="00FC3928"/>
    <w:rsid w:val="00FD6E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4C44D8"/>
  <w15:chartTrackingRefBased/>
  <w15:docId w15:val="{BF26CCB6-450D-4F74-94E9-05D9B761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0F"/>
    <w:pPr>
      <w:widowControl w:val="0"/>
    </w:pPr>
    <w:rPr>
      <w:snapToGrid w:val="0"/>
      <w:kern w:val="28"/>
      <w:sz w:val="22"/>
    </w:rPr>
  </w:style>
  <w:style w:type="paragraph" w:styleId="Heading1">
    <w:name w:val="heading 1"/>
    <w:basedOn w:val="Normal"/>
    <w:next w:val="ParaNum"/>
    <w:qFormat/>
    <w:rsid w:val="00EC780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C780F"/>
    <w:pPr>
      <w:keepNext/>
      <w:numPr>
        <w:ilvl w:val="1"/>
        <w:numId w:val="3"/>
      </w:numPr>
      <w:spacing w:after="120"/>
      <w:outlineLvl w:val="1"/>
    </w:pPr>
    <w:rPr>
      <w:b/>
    </w:rPr>
  </w:style>
  <w:style w:type="paragraph" w:styleId="Heading3">
    <w:name w:val="heading 3"/>
    <w:basedOn w:val="Normal"/>
    <w:next w:val="ParaNum"/>
    <w:qFormat/>
    <w:rsid w:val="00EC780F"/>
    <w:pPr>
      <w:keepNext/>
      <w:numPr>
        <w:ilvl w:val="2"/>
        <w:numId w:val="3"/>
      </w:numPr>
      <w:tabs>
        <w:tab w:val="left" w:pos="2160"/>
      </w:tabs>
      <w:spacing w:after="120"/>
      <w:outlineLvl w:val="2"/>
    </w:pPr>
    <w:rPr>
      <w:b/>
    </w:rPr>
  </w:style>
  <w:style w:type="paragraph" w:styleId="Heading4">
    <w:name w:val="heading 4"/>
    <w:basedOn w:val="Normal"/>
    <w:next w:val="ParaNum"/>
    <w:qFormat/>
    <w:rsid w:val="00EC780F"/>
    <w:pPr>
      <w:keepNext/>
      <w:numPr>
        <w:ilvl w:val="3"/>
        <w:numId w:val="3"/>
      </w:numPr>
      <w:tabs>
        <w:tab w:val="left" w:pos="2880"/>
      </w:tabs>
      <w:spacing w:after="120"/>
      <w:outlineLvl w:val="3"/>
    </w:pPr>
    <w:rPr>
      <w:b/>
    </w:rPr>
  </w:style>
  <w:style w:type="paragraph" w:styleId="Heading5">
    <w:name w:val="heading 5"/>
    <w:basedOn w:val="Normal"/>
    <w:next w:val="ParaNum"/>
    <w:qFormat/>
    <w:rsid w:val="00EC780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C780F"/>
    <w:pPr>
      <w:numPr>
        <w:ilvl w:val="5"/>
        <w:numId w:val="3"/>
      </w:numPr>
      <w:tabs>
        <w:tab w:val="left" w:pos="4320"/>
      </w:tabs>
      <w:spacing w:after="120"/>
      <w:outlineLvl w:val="5"/>
    </w:pPr>
    <w:rPr>
      <w:b/>
    </w:rPr>
  </w:style>
  <w:style w:type="paragraph" w:styleId="Heading7">
    <w:name w:val="heading 7"/>
    <w:basedOn w:val="Normal"/>
    <w:next w:val="ParaNum"/>
    <w:qFormat/>
    <w:rsid w:val="00EC780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C780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C780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C78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C780F"/>
  </w:style>
  <w:style w:type="paragraph" w:customStyle="1" w:styleId="ParaNum">
    <w:name w:val="ParaNum"/>
    <w:basedOn w:val="Normal"/>
    <w:rsid w:val="00EC780F"/>
    <w:pPr>
      <w:numPr>
        <w:numId w:val="2"/>
      </w:numPr>
      <w:tabs>
        <w:tab w:val="clear" w:pos="1080"/>
        <w:tab w:val="num" w:pos="1440"/>
      </w:tabs>
      <w:spacing w:after="120"/>
    </w:pPr>
  </w:style>
  <w:style w:type="paragraph" w:styleId="EndnoteText">
    <w:name w:val="endnote text"/>
    <w:basedOn w:val="Normal"/>
    <w:semiHidden/>
    <w:rsid w:val="00EC780F"/>
    <w:rPr>
      <w:sz w:val="20"/>
    </w:rPr>
  </w:style>
  <w:style w:type="character" w:styleId="EndnoteReference">
    <w:name w:val="endnote reference"/>
    <w:semiHidden/>
    <w:rsid w:val="00EC780F"/>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EC780F"/>
    <w:pPr>
      <w:spacing w:after="120"/>
    </w:pPr>
  </w:style>
  <w:style w:type="character" w:styleId="FootnoteReference">
    <w:name w:val="footnote reference"/>
    <w:rsid w:val="00EC780F"/>
    <w:rPr>
      <w:rFonts w:ascii="Times New Roman" w:hAnsi="Times New Roman"/>
      <w:dstrike w:val="0"/>
      <w:color w:val="auto"/>
      <w:sz w:val="22"/>
      <w:vertAlign w:val="superscript"/>
    </w:rPr>
  </w:style>
  <w:style w:type="paragraph" w:styleId="TOC1">
    <w:name w:val="toc 1"/>
    <w:basedOn w:val="Normal"/>
    <w:next w:val="Normal"/>
    <w:uiPriority w:val="39"/>
    <w:rsid w:val="00EC780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C780F"/>
    <w:pPr>
      <w:tabs>
        <w:tab w:val="left" w:pos="720"/>
        <w:tab w:val="right" w:leader="dot" w:pos="9360"/>
      </w:tabs>
      <w:suppressAutoHyphens/>
      <w:ind w:left="720" w:right="720" w:hanging="360"/>
    </w:pPr>
    <w:rPr>
      <w:noProof/>
    </w:rPr>
  </w:style>
  <w:style w:type="paragraph" w:styleId="TOC3">
    <w:name w:val="toc 3"/>
    <w:basedOn w:val="Normal"/>
    <w:next w:val="Normal"/>
    <w:semiHidden/>
    <w:rsid w:val="00EC780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78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78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78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78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78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78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780F"/>
    <w:pPr>
      <w:tabs>
        <w:tab w:val="right" w:pos="9360"/>
      </w:tabs>
      <w:suppressAutoHyphens/>
    </w:pPr>
  </w:style>
  <w:style w:type="character" w:customStyle="1" w:styleId="EquationCaption">
    <w:name w:val="_Equation Caption"/>
    <w:rsid w:val="00EC780F"/>
  </w:style>
  <w:style w:type="paragraph" w:styleId="Header">
    <w:name w:val="header"/>
    <w:basedOn w:val="Normal"/>
    <w:autoRedefine/>
    <w:rsid w:val="00EC780F"/>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EC780F"/>
    <w:pPr>
      <w:tabs>
        <w:tab w:val="center" w:pos="4320"/>
        <w:tab w:val="right" w:pos="8640"/>
      </w:tabs>
    </w:pPr>
  </w:style>
  <w:style w:type="character" w:styleId="PageNumber">
    <w:name w:val="page number"/>
    <w:basedOn w:val="DefaultParagraphFont"/>
    <w:rsid w:val="00EC780F"/>
  </w:style>
  <w:style w:type="paragraph" w:styleId="BlockText">
    <w:name w:val="Block Text"/>
    <w:basedOn w:val="Normal"/>
    <w:rsid w:val="00EC780F"/>
    <w:pPr>
      <w:spacing w:after="240"/>
      <w:ind w:left="1440" w:right="1440"/>
    </w:pPr>
  </w:style>
  <w:style w:type="paragraph" w:customStyle="1" w:styleId="Paratitle">
    <w:name w:val="Para title"/>
    <w:basedOn w:val="Normal"/>
    <w:rsid w:val="00EC780F"/>
    <w:pPr>
      <w:tabs>
        <w:tab w:val="center" w:pos="9270"/>
      </w:tabs>
      <w:spacing w:after="240"/>
    </w:pPr>
    <w:rPr>
      <w:spacing w:val="-2"/>
    </w:rPr>
  </w:style>
  <w:style w:type="paragraph" w:customStyle="1" w:styleId="Bullet">
    <w:name w:val="Bullet"/>
    <w:basedOn w:val="Normal"/>
    <w:rsid w:val="00EC780F"/>
    <w:pPr>
      <w:numPr>
        <w:numId w:val="1"/>
      </w:numPr>
      <w:tabs>
        <w:tab w:val="clear" w:pos="360"/>
        <w:tab w:val="left" w:pos="2160"/>
      </w:tabs>
      <w:spacing w:after="220"/>
      <w:ind w:left="2160" w:hanging="720"/>
    </w:pPr>
  </w:style>
  <w:style w:type="paragraph" w:customStyle="1" w:styleId="TableFormat">
    <w:name w:val="TableFormat"/>
    <w:basedOn w:val="Bullet"/>
    <w:rsid w:val="00EC780F"/>
    <w:pPr>
      <w:numPr>
        <w:numId w:val="0"/>
      </w:numPr>
      <w:tabs>
        <w:tab w:val="clear" w:pos="2160"/>
        <w:tab w:val="left" w:pos="5040"/>
      </w:tabs>
      <w:ind w:left="5040" w:hanging="3600"/>
    </w:pPr>
  </w:style>
  <w:style w:type="paragraph" w:customStyle="1" w:styleId="TOCTitle">
    <w:name w:val="TOC Title"/>
    <w:basedOn w:val="Normal"/>
    <w:rsid w:val="00EC78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780F"/>
    <w:pPr>
      <w:jc w:val="center"/>
    </w:pPr>
    <w:rPr>
      <w:rFonts w:ascii="Times New Roman Bold" w:hAnsi="Times New Roman Bold"/>
      <w:b/>
      <w:bCs/>
      <w:caps/>
      <w:szCs w:val="22"/>
    </w:rPr>
  </w:style>
  <w:style w:type="character" w:styleId="Hyperlink">
    <w:name w:val="Hyperlink"/>
    <w:rsid w:val="00EC780F"/>
    <w:rPr>
      <w:color w:val="0000FF"/>
      <w:u w:val="single"/>
    </w:rPr>
  </w:style>
  <w:style w:type="character" w:customStyle="1" w:styleId="FooterChar">
    <w:name w:val="Footer Char"/>
    <w:link w:val="Footer"/>
    <w:uiPriority w:val="99"/>
    <w:rsid w:val="00EC780F"/>
    <w:rPr>
      <w:snapToGrid w:val="0"/>
      <w:kern w:val="28"/>
      <w:sz w:val="22"/>
    </w:rPr>
  </w:style>
  <w:style w:type="paragraph" w:styleId="BalloonText">
    <w:name w:val="Balloon Text"/>
    <w:basedOn w:val="Normal"/>
    <w:link w:val="BalloonTextChar"/>
    <w:uiPriority w:val="99"/>
    <w:semiHidden/>
    <w:unhideWhenUsed/>
    <w:rsid w:val="009A6407"/>
    <w:rPr>
      <w:rFonts w:ascii="Segoe UI" w:hAnsi="Segoe UI" w:cs="Segoe UI"/>
      <w:sz w:val="18"/>
      <w:szCs w:val="18"/>
    </w:rPr>
  </w:style>
  <w:style w:type="character" w:customStyle="1" w:styleId="BalloonTextChar">
    <w:name w:val="Balloon Text Char"/>
    <w:link w:val="BalloonText"/>
    <w:uiPriority w:val="99"/>
    <w:semiHidden/>
    <w:rsid w:val="009A6407"/>
    <w:rPr>
      <w:rFonts w:ascii="Segoe UI" w:hAnsi="Segoe UI" w:cs="Segoe UI"/>
      <w:snapToGrid w:val="0"/>
      <w:kern w:val="28"/>
      <w:sz w:val="18"/>
      <w:szCs w:val="18"/>
    </w:rPr>
  </w:style>
  <w:style w:type="character" w:styleId="CommentReference">
    <w:name w:val="annotation reference"/>
    <w:uiPriority w:val="99"/>
    <w:semiHidden/>
    <w:unhideWhenUsed/>
    <w:rsid w:val="0067387A"/>
    <w:rPr>
      <w:sz w:val="16"/>
      <w:szCs w:val="16"/>
    </w:rPr>
  </w:style>
  <w:style w:type="paragraph" w:styleId="CommentText">
    <w:name w:val="annotation text"/>
    <w:basedOn w:val="Normal"/>
    <w:link w:val="CommentTextChar"/>
    <w:uiPriority w:val="99"/>
    <w:unhideWhenUsed/>
    <w:rsid w:val="0067387A"/>
    <w:rPr>
      <w:sz w:val="20"/>
    </w:rPr>
  </w:style>
  <w:style w:type="character" w:customStyle="1" w:styleId="CommentTextChar">
    <w:name w:val="Comment Text Char"/>
    <w:link w:val="CommentText"/>
    <w:uiPriority w:val="99"/>
    <w:rsid w:val="0067387A"/>
    <w:rPr>
      <w:snapToGrid w:val="0"/>
      <w:kern w:val="28"/>
    </w:rPr>
  </w:style>
  <w:style w:type="paragraph" w:styleId="CommentSubject">
    <w:name w:val="annotation subject"/>
    <w:basedOn w:val="CommentText"/>
    <w:next w:val="CommentText"/>
    <w:link w:val="CommentSubjectChar"/>
    <w:uiPriority w:val="99"/>
    <w:semiHidden/>
    <w:unhideWhenUsed/>
    <w:rsid w:val="0067387A"/>
    <w:rPr>
      <w:b/>
      <w:bCs/>
    </w:rPr>
  </w:style>
  <w:style w:type="character" w:customStyle="1" w:styleId="CommentSubjectChar">
    <w:name w:val="Comment Subject Char"/>
    <w:link w:val="CommentSubject"/>
    <w:uiPriority w:val="99"/>
    <w:semiHidden/>
    <w:rsid w:val="0067387A"/>
    <w:rPr>
      <w:b/>
      <w:bCs/>
      <w:snapToGrid w:val="0"/>
      <w:kern w:val="28"/>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34694A"/>
  </w:style>
  <w:style w:type="paragraph" w:styleId="ListParagraph">
    <w:name w:val="List Paragraph"/>
    <w:basedOn w:val="Normal"/>
    <w:uiPriority w:val="34"/>
    <w:qFormat/>
    <w:rsid w:val="00404EA0"/>
    <w:pPr>
      <w:ind w:left="720"/>
    </w:pPr>
  </w:style>
  <w:style w:type="paragraph" w:styleId="Revision">
    <w:name w:val="Revision"/>
    <w:hidden/>
    <w:uiPriority w:val="99"/>
    <w:semiHidden/>
    <w:rsid w:val="000F651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Nemcik@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