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72B22" w:rsidP="00372B22" w14:paraId="13C49125" w14:textId="38822DF4">
      <w:pPr>
        <w:jc w:val="right"/>
        <w:rPr>
          <w:b/>
          <w:szCs w:val="22"/>
        </w:rPr>
      </w:pPr>
      <w:r>
        <w:rPr>
          <w:b/>
          <w:szCs w:val="22"/>
        </w:rPr>
        <w:t xml:space="preserve">DA </w:t>
      </w:r>
      <w:r w:rsidR="0066695D">
        <w:rPr>
          <w:b/>
          <w:szCs w:val="22"/>
        </w:rPr>
        <w:t>21-550</w:t>
      </w:r>
    </w:p>
    <w:p w:rsidR="00372B22" w:rsidP="00372B22" w14:paraId="7700F834" w14:textId="7529C413">
      <w:pPr>
        <w:spacing w:before="60"/>
        <w:jc w:val="right"/>
        <w:rPr>
          <w:szCs w:val="22"/>
        </w:rPr>
      </w:pPr>
      <w:r>
        <w:rPr>
          <w:b/>
          <w:szCs w:val="22"/>
        </w:rPr>
        <w:t>Released:  May 1</w:t>
      </w:r>
      <w:r w:rsidR="00CC3F58">
        <w:rPr>
          <w:b/>
          <w:szCs w:val="22"/>
        </w:rPr>
        <w:t>1</w:t>
      </w:r>
      <w:r>
        <w:rPr>
          <w:b/>
          <w:szCs w:val="22"/>
        </w:rPr>
        <w:t>, 2021</w:t>
      </w:r>
    </w:p>
    <w:p w:rsidR="00372B22" w:rsidP="00372B22" w14:paraId="7B3ED2D5" w14:textId="77777777">
      <w:pPr>
        <w:jc w:val="center"/>
        <w:rPr>
          <w:szCs w:val="22"/>
        </w:rPr>
      </w:pPr>
    </w:p>
    <w:p w:rsidR="00372B22" w:rsidP="00372B22" w14:paraId="342B1D9B" w14:textId="77777777">
      <w:pPr>
        <w:jc w:val="center"/>
        <w:rPr>
          <w:b/>
          <w:caps/>
          <w:szCs w:val="22"/>
        </w:rPr>
      </w:pPr>
      <w:r>
        <w:rPr>
          <w:b/>
          <w:caps/>
          <w:szCs w:val="22"/>
        </w:rPr>
        <w:t>Wireless telecommunications BUREAU SEEKS COMMENT ON the impact of the global semiconductor SHORTAGE ON THE U.S. COMMUNICATIONS SECTOR</w:t>
      </w:r>
    </w:p>
    <w:p w:rsidR="00372B22" w:rsidP="00372B22" w14:paraId="751B9042" w14:textId="77777777">
      <w:pPr>
        <w:jc w:val="center"/>
        <w:rPr>
          <w:b/>
          <w:szCs w:val="22"/>
        </w:rPr>
      </w:pPr>
    </w:p>
    <w:p w:rsidR="00372B22" w:rsidP="00372B22" w14:paraId="3D7A22B9" w14:textId="77777777">
      <w:pPr>
        <w:jc w:val="center"/>
        <w:rPr>
          <w:b/>
          <w:szCs w:val="22"/>
        </w:rPr>
      </w:pPr>
      <w:r>
        <w:rPr>
          <w:b/>
          <w:szCs w:val="22"/>
        </w:rPr>
        <w:t>WT Docket No. 21-195</w:t>
      </w:r>
    </w:p>
    <w:p w:rsidR="00372B22" w:rsidP="006A23F1" w14:paraId="1192D8AB" w14:textId="4B8C40A6">
      <w:pPr>
        <w:rPr>
          <w:b/>
          <w:szCs w:val="22"/>
        </w:rPr>
      </w:pPr>
    </w:p>
    <w:p w:rsidR="00372B22" w:rsidP="00372B22" w14:paraId="498EDA35" w14:textId="5E541652">
      <w:pPr>
        <w:rPr>
          <w:b/>
          <w:szCs w:val="22"/>
        </w:rPr>
      </w:pPr>
      <w:r>
        <w:rPr>
          <w:b/>
          <w:szCs w:val="22"/>
        </w:rPr>
        <w:t xml:space="preserve">Comments Due:  June </w:t>
      </w:r>
      <w:r w:rsidR="00CC3F58">
        <w:rPr>
          <w:b/>
          <w:szCs w:val="22"/>
        </w:rPr>
        <w:t>10</w:t>
      </w:r>
      <w:r>
        <w:rPr>
          <w:b/>
          <w:szCs w:val="22"/>
        </w:rPr>
        <w:t>, 2021</w:t>
      </w:r>
    </w:p>
    <w:p w:rsidR="00372B22" w:rsidP="00372B22" w14:paraId="0856050A" w14:textId="56415101">
      <w:pPr>
        <w:rPr>
          <w:b/>
          <w:szCs w:val="22"/>
        </w:rPr>
      </w:pPr>
      <w:r>
        <w:rPr>
          <w:b/>
          <w:szCs w:val="22"/>
        </w:rPr>
        <w:t xml:space="preserve">Reply Comments Due: </w:t>
      </w:r>
      <w:r w:rsidR="009432E7">
        <w:rPr>
          <w:b/>
          <w:szCs w:val="22"/>
        </w:rPr>
        <w:t xml:space="preserve"> </w:t>
      </w:r>
      <w:r>
        <w:rPr>
          <w:b/>
          <w:szCs w:val="22"/>
        </w:rPr>
        <w:t>June 2</w:t>
      </w:r>
      <w:r w:rsidR="00CC3F58">
        <w:rPr>
          <w:b/>
          <w:szCs w:val="22"/>
        </w:rPr>
        <w:t>5</w:t>
      </w:r>
      <w:r>
        <w:rPr>
          <w:b/>
          <w:szCs w:val="22"/>
        </w:rPr>
        <w:t>, 2021</w:t>
      </w:r>
    </w:p>
    <w:p w:rsidR="00372B22" w:rsidP="00372B22" w14:paraId="670C05AE" w14:textId="77777777">
      <w:pPr>
        <w:rPr>
          <w:b/>
          <w:szCs w:val="22"/>
        </w:rPr>
      </w:pPr>
    </w:p>
    <w:p w:rsidR="00372B22" w:rsidP="00372B22" w14:paraId="5342D521" w14:textId="72B8A0EE">
      <w:pPr>
        <w:spacing w:after="120"/>
        <w:ind w:firstLine="720"/>
      </w:pPr>
      <w:bookmarkStart w:id="0" w:name="OLE_LINK1"/>
      <w:bookmarkStart w:id="1" w:name="OLE_LINK2"/>
      <w:r>
        <w:t>In this Public Notice, the Wireless Telecommunications Bureau seeks comment to help assess the potentia</w:t>
      </w:r>
      <w:r w:rsidR="00A55DFE">
        <w:t>l</w:t>
      </w:r>
      <w:r>
        <w:t xml:space="preserve"> impacts o</w:t>
      </w:r>
      <w:r w:rsidR="00A55DFE">
        <w:t>f a</w:t>
      </w:r>
      <w:r>
        <w:t xml:space="preserve"> continuing global shortage of semiconductor</w:t>
      </w:r>
      <w:r w:rsidR="00A55DFE">
        <w:t>s</w:t>
      </w:r>
      <w:r>
        <w:t xml:space="preserve"> on the U.S. communications industry and on Federal Communications Commission priorities and initiatives.</w:t>
      </w:r>
    </w:p>
    <w:p w:rsidR="00372B22" w:rsidP="00372B22" w14:paraId="45F72290" w14:textId="79A5FF66">
      <w:pPr>
        <w:spacing w:after="120"/>
        <w:ind w:firstLine="720"/>
      </w:pPr>
      <w:r>
        <w:t>Both the Administration and Congress</w:t>
      </w:r>
      <w:r>
        <w:rPr>
          <w:rStyle w:val="FootnoteReference"/>
        </w:rPr>
        <w:footnoteReference w:id="3"/>
      </w:r>
      <w:r>
        <w:t xml:space="preserve"> have acknowledged challenges facing the semiconductor industry in the United States, including a current shortage.  The cause of the shortage has been attributed to a number of factors, including pandemic-related slowdowns in global production, unanticipated spikes in demand, the temporary closure of several large U.S. semiconductor manufacturing facilities due to severe weather,</w:t>
      </w:r>
      <w:r>
        <w:rPr>
          <w:rStyle w:val="FootnoteReference"/>
        </w:rPr>
        <w:footnoteReference w:id="4"/>
      </w:r>
      <w:r>
        <w:t xml:space="preserve"> and a recent fire in an overseas semiconductor wafer fabrication plant.</w:t>
      </w:r>
      <w:r>
        <w:rPr>
          <w:rStyle w:val="FootnoteReference"/>
        </w:rPr>
        <w:footnoteReference w:id="5"/>
      </w:r>
      <w:r>
        <w:t xml:space="preserve">  Complex supply chains are involved in the production of these chips, and while the current shortage so far has had an outsized impact on automakers,</w:t>
      </w:r>
      <w:r>
        <w:rPr>
          <w:rStyle w:val="FootnoteReference"/>
        </w:rPr>
        <w:footnoteReference w:id="6"/>
      </w:r>
      <w:r>
        <w:t xml:space="preserve"> reverberations are being reported throughout the U.S. economy as a whole</w:t>
      </w:r>
      <w:r w:rsidR="00A55DFE">
        <w:t>, including in the communications sector</w:t>
      </w:r>
      <w:r>
        <w:t>.</w:t>
      </w:r>
      <w:r>
        <w:rPr>
          <w:rStyle w:val="FootnoteReference"/>
        </w:rPr>
        <w:footnoteReference w:id="7"/>
      </w:r>
      <w:r>
        <w:t xml:space="preserve">  </w:t>
      </w:r>
    </w:p>
    <w:p w:rsidR="00372B22" w:rsidP="00372B22" w14:paraId="34F5C468" w14:textId="0489BF3C">
      <w:pPr>
        <w:spacing w:after="120"/>
        <w:ind w:firstLine="720"/>
        <w:rPr>
          <w:szCs w:val="22"/>
        </w:rPr>
      </w:pPr>
      <w:r>
        <w:t xml:space="preserve">The U.S. government </w:t>
      </w:r>
      <w:r w:rsidR="00A55DFE">
        <w:t>is taking</w:t>
      </w:r>
      <w:r>
        <w:t xml:space="preserve"> steps to address these challenges.  </w:t>
      </w:r>
      <w:r w:rsidR="00A55DFE">
        <w:t xml:space="preserve">On January 1, 2021, Congress passed the </w:t>
      </w:r>
      <w:r w:rsidRPr="00A55DFE" w:rsidR="00A55DFE">
        <w:t>Creating Helpful Incentives to Produce Semiconductors for America Act (CHIPS Act)</w:t>
      </w:r>
      <w:r w:rsidR="00A55DFE">
        <w:t xml:space="preserve"> into law as part of the National Defense Authorization Act for Fiscal Year 2021.</w:t>
      </w:r>
      <w:r>
        <w:rPr>
          <w:rStyle w:val="FootnoteReference"/>
        </w:rPr>
        <w:footnoteReference w:id="8"/>
      </w:r>
      <w:r w:rsidR="00A55DFE">
        <w:t xml:space="preserve">  </w:t>
      </w:r>
      <w:r w:rsidR="00D72129">
        <w:t>The CHIPS Act</w:t>
      </w:r>
      <w:r w:rsidRPr="00D72129" w:rsidR="00D72129">
        <w:t xml:space="preserve"> </w:t>
      </w:r>
      <w:r w:rsidR="00D72129">
        <w:t xml:space="preserve">establishes </w:t>
      </w:r>
      <w:r w:rsidRPr="00D91F06" w:rsidR="00D72129">
        <w:t>incentives</w:t>
      </w:r>
      <w:r w:rsidR="00D72129">
        <w:t xml:space="preserve"> </w:t>
      </w:r>
      <w:r w:rsidRPr="00D91F06" w:rsidR="00D72129">
        <w:t>to</w:t>
      </w:r>
      <w:r w:rsidR="00D72129">
        <w:t xml:space="preserve"> promote and</w:t>
      </w:r>
      <w:r w:rsidRPr="00D91F06" w:rsidR="00D72129">
        <w:t xml:space="preserve"> support </w:t>
      </w:r>
      <w:r w:rsidR="00D72129">
        <w:t xml:space="preserve">investment in </w:t>
      </w:r>
      <w:r w:rsidRPr="00D91F06" w:rsidR="00D72129">
        <w:t>U.S. semiconductor manufacturing, research and development, and supply chain security</w:t>
      </w:r>
      <w:r w:rsidR="00D72129">
        <w:t>.</w:t>
      </w:r>
      <w:r w:rsidRPr="12877E8B" w:rsidR="00D72129">
        <w:t xml:space="preserve"> </w:t>
      </w:r>
      <w:r w:rsidR="00D72129">
        <w:t xml:space="preserve"> </w:t>
      </w:r>
      <w:r w:rsidRPr="12877E8B">
        <w:t>On February 24, 2021, President Biden issued an executive order on America’s Supply Chains which</w:t>
      </w:r>
      <w:r>
        <w:rPr>
          <w:szCs w:val="22"/>
        </w:rPr>
        <w:t xml:space="preserve"> </w:t>
      </w:r>
      <w:r w:rsidRPr="12877E8B">
        <w:t xml:space="preserve">states that the </w:t>
      </w:r>
      <w:r w:rsidR="00A55DFE">
        <w:t>United States</w:t>
      </w:r>
      <w:r w:rsidRPr="12877E8B">
        <w:t xml:space="preserve"> “needs resilient, diverse, and secure </w:t>
      </w:r>
      <w:r w:rsidRPr="12877E8B">
        <w:t>supply chains to ensure our economic prosperity and national security” and notes that shortages of critical components such as semiconductors “can reduce critical manufacturing capacity and the availability and integrity of critical goods, products, and services</w:t>
      </w:r>
      <w:r>
        <w:rPr>
          <w:szCs w:val="22"/>
        </w:rPr>
        <w:t>.”</w:t>
      </w:r>
      <w:r>
        <w:rPr>
          <w:rStyle w:val="FootnoteReference"/>
        </w:rPr>
        <w:footnoteReference w:id="9"/>
      </w:r>
      <w:r w:rsidRPr="12877E8B">
        <w:t xml:space="preserve">  In order to strengthen the resilience of such critical supply chains, and </w:t>
      </w:r>
      <w:r>
        <w:t xml:space="preserve">to </w:t>
      </w:r>
      <w:r w:rsidRPr="12877E8B">
        <w:t xml:space="preserve">move forward with addressing current shortages of certain critical manufacturing components, </w:t>
      </w:r>
      <w:r>
        <w:t>the executive order</w:t>
      </w:r>
      <w:r w:rsidRPr="12877E8B">
        <w:t xml:space="preserve"> direct</w:t>
      </w:r>
      <w:r>
        <w:t>s</w:t>
      </w:r>
      <w:r w:rsidRPr="12877E8B">
        <w:t xml:space="preserve"> the Secretary of Commerce to produce a report “identifying the risks in the semiconductor manufacturing and advanced packaging supply chains</w:t>
      </w:r>
      <w:r>
        <w:rPr>
          <w:szCs w:val="22"/>
        </w:rPr>
        <w:t>.”</w:t>
      </w:r>
      <w:r>
        <w:rPr>
          <w:rStyle w:val="FootnoteReference"/>
        </w:rPr>
        <w:footnoteReference w:id="10"/>
      </w:r>
      <w:r>
        <w:rPr>
          <w:szCs w:val="22"/>
        </w:rPr>
        <w:t xml:space="preserve">  </w:t>
      </w:r>
      <w:r w:rsidRPr="12877E8B">
        <w:t xml:space="preserve">The executive order </w:t>
      </w:r>
      <w:r>
        <w:t>also</w:t>
      </w:r>
      <w:r w:rsidRPr="12877E8B">
        <w:t xml:space="preserve"> directs the Secretary of Commerce and the Secretary of Homeland Security to produce a report on supply chains “for critical sectors and subsectors of the information and communications technology</w:t>
      </w:r>
      <w:r>
        <w:t xml:space="preserve"> industrial base</w:t>
      </w:r>
      <w:r w:rsidRPr="12877E8B">
        <w:t>,” recognizing the importance of this industry to the U.S. economy.</w:t>
      </w:r>
      <w:r>
        <w:rPr>
          <w:rStyle w:val="FootnoteReference"/>
        </w:rPr>
        <w:footnoteReference w:id="11"/>
      </w:r>
      <w:r>
        <w:rPr>
          <w:szCs w:val="22"/>
        </w:rPr>
        <w:t xml:space="preserve">  </w:t>
      </w:r>
    </w:p>
    <w:p w:rsidR="00D43EFE" w:rsidP="00372B22" w14:paraId="0665A405" w14:textId="6E122B78">
      <w:pPr>
        <w:spacing w:after="120"/>
        <w:ind w:firstLine="720"/>
      </w:pPr>
      <w:r>
        <w:t xml:space="preserve">A shortfall in the global supply of semiconductors can have consequences for the U.S. communications industry and for Commission priorities and initiatives.  </w:t>
      </w:r>
      <w:bookmarkStart w:id="2" w:name="_Hlk71567104"/>
      <w:r w:rsidR="00746EC2">
        <w:t>These consequences could take a variety of different forms, including increased lead times (the duration between when an order for a semiconductor is placed and when it is actually filled)</w:t>
      </w:r>
      <w:r>
        <w:rPr>
          <w:rStyle w:val="FootnoteReference"/>
        </w:rPr>
        <w:footnoteReference w:id="12"/>
      </w:r>
      <w:r w:rsidR="00746EC2">
        <w:t xml:space="preserve"> or cost increases.  Ensuring reliable access to semiconductors is essential for Commission initiatives as well as the nation’s continued advancement in next-generation technologies like</w:t>
      </w:r>
      <w:bookmarkEnd w:id="2"/>
      <w:r w:rsidR="00746EC2">
        <w:t xml:space="preserve"> </w:t>
      </w:r>
      <w:r>
        <w:t xml:space="preserve">fifth-generation (5G) wireless </w:t>
      </w:r>
      <w:r>
        <w:t>services</w:t>
      </w:r>
      <w:r>
        <w:t xml:space="preserve">, Wi-Fi, Open Radio Access Networks (Open RAN), satellites, and connected devices, to name a few.  </w:t>
      </w:r>
      <w:bookmarkStart w:id="3" w:name="_Hlk71567157"/>
      <w:r>
        <w:t>It is also important for communications capabilities that are key to the nation’s national and economic security.</w:t>
      </w:r>
      <w:bookmarkEnd w:id="3"/>
    </w:p>
    <w:p w:rsidR="00372B22" w:rsidP="00372B22" w14:paraId="6DEBCFF6" w14:textId="1FD67078">
      <w:pPr>
        <w:spacing w:after="120"/>
        <w:ind w:firstLine="720"/>
        <w:rPr>
          <w:szCs w:val="22"/>
        </w:rPr>
      </w:pPr>
      <w:r>
        <w:rPr>
          <w:szCs w:val="22"/>
        </w:rPr>
        <w:t>Accordingly, the Wireless Telecommunications Bureau seeks comment on the impact of semiconductor supply chain constraints and other supply chain challenges on the communications sector</w:t>
      </w:r>
      <w:r w:rsidR="000F5745">
        <w:rPr>
          <w:szCs w:val="22"/>
        </w:rPr>
        <w:t xml:space="preserve">, </w:t>
      </w:r>
      <w:r>
        <w:rPr>
          <w:szCs w:val="22"/>
        </w:rPr>
        <w:t>on Commission priorities and initiatives</w:t>
      </w:r>
      <w:bookmarkStart w:id="4" w:name="_Hlk71567187"/>
      <w:r w:rsidR="00D43EFE">
        <w:rPr>
          <w:szCs w:val="22"/>
        </w:rPr>
        <w:t>, and on steps the Commission can take to ensure a resilient supply chain for communications technologies now and in the future</w:t>
      </w:r>
      <w:r>
        <w:rPr>
          <w:szCs w:val="22"/>
        </w:rPr>
        <w:t xml:space="preserve">.  </w:t>
      </w:r>
      <w:bookmarkEnd w:id="4"/>
    </w:p>
    <w:p w:rsidR="00372B22" w:rsidP="00372B22" w14:paraId="0A95F23A" w14:textId="77777777">
      <w:pPr>
        <w:numPr>
          <w:ilvl w:val="0"/>
          <w:numId w:val="8"/>
        </w:numPr>
        <w:spacing w:after="120"/>
        <w:rPr>
          <w:szCs w:val="22"/>
        </w:rPr>
      </w:pPr>
      <w:r>
        <w:rPr>
          <w:szCs w:val="22"/>
        </w:rPr>
        <w:t>Has the global semiconductor shortage spread to the communications sector?  If so, to what segments?  What are the impacts on lead times and costs of communications equipment and devices?  Are there other industry trends that are relevant?</w:t>
      </w:r>
    </w:p>
    <w:p w:rsidR="00372B22" w:rsidP="00372B22" w14:paraId="357A573D" w14:textId="77777777">
      <w:pPr>
        <w:numPr>
          <w:ilvl w:val="0"/>
          <w:numId w:val="8"/>
        </w:numPr>
        <w:spacing w:after="120"/>
        <w:rPr>
          <w:szCs w:val="22"/>
        </w:rPr>
      </w:pPr>
      <w:r>
        <w:rPr>
          <w:szCs w:val="22"/>
        </w:rPr>
        <w:t xml:space="preserve">What is the nature and extent of semiconductor shortages or shortages of other components that are critical to the communications sector?  What is the short- and long-term capacity of manufacturers of semiconductors and semiconductor components to keep up with the communication sector’s demand?  How long is the current shortage expected to last?  </w:t>
      </w:r>
    </w:p>
    <w:p w:rsidR="00372B22" w:rsidRPr="00DC250B" w:rsidP="00372B22" w14:paraId="31719388" w14:textId="68E0B393">
      <w:pPr>
        <w:numPr>
          <w:ilvl w:val="0"/>
          <w:numId w:val="8"/>
        </w:numPr>
        <w:spacing w:after="120"/>
        <w:rPr>
          <w:szCs w:val="22"/>
        </w:rPr>
      </w:pPr>
      <w:r>
        <w:rPr>
          <w:szCs w:val="22"/>
        </w:rPr>
        <w:t>Wh</w:t>
      </w:r>
      <w:r w:rsidR="00D43EFE">
        <w:rPr>
          <w:szCs w:val="22"/>
        </w:rPr>
        <w:t>ich semiconductor</w:t>
      </w:r>
      <w:r>
        <w:rPr>
          <w:szCs w:val="22"/>
        </w:rPr>
        <w:t xml:space="preserve"> technology nodes in particular have been impacted or are expected to be impacted by the shortage?  Wh</w:t>
      </w:r>
      <w:r w:rsidR="00D43EFE">
        <w:rPr>
          <w:szCs w:val="22"/>
        </w:rPr>
        <w:t>ich</w:t>
      </w:r>
      <w:r>
        <w:rPr>
          <w:szCs w:val="22"/>
        </w:rPr>
        <w:t xml:space="preserve"> technology nodes are important to the short- and long-term needs of the communications sector?</w:t>
      </w:r>
    </w:p>
    <w:p w:rsidR="00372B22" w:rsidP="00372B22" w14:paraId="6D35901C" w14:textId="77777777">
      <w:pPr>
        <w:numPr>
          <w:ilvl w:val="0"/>
          <w:numId w:val="8"/>
        </w:numPr>
        <w:spacing w:after="120"/>
        <w:rPr>
          <w:szCs w:val="22"/>
        </w:rPr>
      </w:pPr>
      <w:r>
        <w:rPr>
          <w:szCs w:val="22"/>
        </w:rPr>
        <w:t xml:space="preserve">What are the factors impacting the supply of semiconductors and other manufacturing components which are critical to the communications sector?  Commenters should consider the ongoing COVID-19 pandemic, the availability of materials, manufacturing capacity, shipping, rapidly increasing demand for particular types of products, excessive reliance on certain manufacturers for critical semiconductor components, and any other factors impacting these markets.  </w:t>
      </w:r>
    </w:p>
    <w:p w:rsidR="00372B22" w:rsidP="00372B22" w14:paraId="3AE67BDB" w14:textId="77777777">
      <w:pPr>
        <w:numPr>
          <w:ilvl w:val="0"/>
          <w:numId w:val="8"/>
        </w:numPr>
        <w:spacing w:after="120"/>
        <w:rPr>
          <w:szCs w:val="22"/>
        </w:rPr>
      </w:pPr>
      <w:r>
        <w:t xml:space="preserve">To what extent are supply constraints impacting different uses of semiconductors, such as systems-on-a-chip, microprocessors, memory chips, and standard chips? </w:t>
      </w:r>
    </w:p>
    <w:p w:rsidR="00372B22" w:rsidP="00372B22" w14:paraId="372A59CD" w14:textId="77AECCED">
      <w:pPr>
        <w:numPr>
          <w:ilvl w:val="0"/>
          <w:numId w:val="8"/>
        </w:numPr>
        <w:spacing w:after="120"/>
        <w:rPr>
          <w:szCs w:val="22"/>
        </w:rPr>
      </w:pPr>
      <w:r>
        <w:rPr>
          <w:szCs w:val="22"/>
        </w:rPr>
        <w:t xml:space="preserve">What are the impacts of shortages of semiconductors or other critical components on the communications sector, including on consumers, enterprise system users, private network operators (such as critical infrastructure), and service providers?  To what extent are these shortages driving changes to </w:t>
      </w:r>
      <w:r w:rsidR="005519AF">
        <w:rPr>
          <w:szCs w:val="22"/>
        </w:rPr>
        <w:t xml:space="preserve">stakeholders’ </w:t>
      </w:r>
      <w:r>
        <w:rPr>
          <w:szCs w:val="22"/>
        </w:rPr>
        <w:t>plans and priorities and resulting in changes to the communications industry more broadly?</w:t>
      </w:r>
    </w:p>
    <w:p w:rsidR="00372B22" w:rsidP="00372B22" w14:paraId="6EC3CDC2" w14:textId="77777777">
      <w:pPr>
        <w:numPr>
          <w:ilvl w:val="0"/>
          <w:numId w:val="8"/>
        </w:numPr>
        <w:spacing w:after="120"/>
        <w:rPr>
          <w:szCs w:val="22"/>
        </w:rPr>
      </w:pPr>
      <w:r w:rsidRPr="00AA171E">
        <w:rPr>
          <w:szCs w:val="22"/>
        </w:rPr>
        <w:t xml:space="preserve">What are the </w:t>
      </w:r>
      <w:r>
        <w:rPr>
          <w:szCs w:val="22"/>
        </w:rPr>
        <w:t>impacts of these shortages on the public interest</w:t>
      </w:r>
      <w:r w:rsidRPr="001275D0">
        <w:rPr>
          <w:szCs w:val="22"/>
        </w:rPr>
        <w:t>?</w:t>
      </w:r>
      <w:r w:rsidRPr="00880A08">
        <w:t xml:space="preserve"> </w:t>
      </w:r>
      <w:r>
        <w:t xml:space="preserve"> </w:t>
      </w:r>
      <w:r w:rsidRPr="00AA171E">
        <w:rPr>
          <w:szCs w:val="22"/>
        </w:rPr>
        <w:t xml:space="preserve">How do these challenges affect the </w:t>
      </w:r>
      <w:r>
        <w:rPr>
          <w:szCs w:val="22"/>
        </w:rPr>
        <w:t xml:space="preserve">security of the United States and its </w:t>
      </w:r>
      <w:r w:rsidRPr="00AA171E">
        <w:rPr>
          <w:szCs w:val="22"/>
        </w:rPr>
        <w:t>competitiveness in the global economy</w:t>
      </w:r>
      <w:r>
        <w:rPr>
          <w:szCs w:val="22"/>
        </w:rPr>
        <w:t>?  How do these challenges impact the deployment of next-generation networks and technologies?  How do these challenges affect</w:t>
      </w:r>
      <w:r w:rsidRPr="00AA171E">
        <w:rPr>
          <w:szCs w:val="22"/>
        </w:rPr>
        <w:t xml:space="preserve"> communities of color</w:t>
      </w:r>
      <w:r>
        <w:rPr>
          <w:szCs w:val="22"/>
        </w:rPr>
        <w:t xml:space="preserve">, </w:t>
      </w:r>
      <w:r w:rsidRPr="00AA171E">
        <w:rPr>
          <w:szCs w:val="22"/>
        </w:rPr>
        <w:t>economically distressed areas</w:t>
      </w:r>
      <w:r>
        <w:rPr>
          <w:szCs w:val="22"/>
        </w:rPr>
        <w:t>, and small businesses?</w:t>
      </w:r>
    </w:p>
    <w:p w:rsidR="00372B22" w:rsidRPr="001140C1" w:rsidP="00372B22" w14:paraId="68B985D5" w14:textId="77777777">
      <w:pPr>
        <w:numPr>
          <w:ilvl w:val="0"/>
          <w:numId w:val="8"/>
        </w:numPr>
        <w:spacing w:after="120"/>
        <w:rPr>
          <w:szCs w:val="22"/>
        </w:rPr>
      </w:pPr>
      <w:r>
        <w:t>What are the effects of semiconductor shortages on remote learning, telehealth, and other services that have moved online during the pandemic?</w:t>
      </w:r>
    </w:p>
    <w:p w:rsidR="00372B22" w:rsidRPr="0050101E" w:rsidP="00372B22" w14:paraId="30502E0C" w14:textId="18A1D9DA">
      <w:pPr>
        <w:numPr>
          <w:ilvl w:val="0"/>
          <w:numId w:val="8"/>
        </w:numPr>
        <w:spacing w:after="120"/>
        <w:rPr>
          <w:szCs w:val="22"/>
        </w:rPr>
      </w:pPr>
      <w:r>
        <w:rPr>
          <w:szCs w:val="22"/>
        </w:rPr>
        <w:t>What are the potential impacts of the failure to sustain reliable access to semiconductors for the communications sector</w:t>
      </w:r>
      <w:r w:rsidR="00D43EFE">
        <w:rPr>
          <w:szCs w:val="22"/>
        </w:rPr>
        <w:t>, including the impact on key vertical markets</w:t>
      </w:r>
      <w:r>
        <w:rPr>
          <w:szCs w:val="22"/>
        </w:rPr>
        <w:t xml:space="preserve">?  </w:t>
      </w:r>
    </w:p>
    <w:p w:rsidR="00372B22" w:rsidP="00372B22" w14:paraId="0F034AE5" w14:textId="77777777">
      <w:pPr>
        <w:numPr>
          <w:ilvl w:val="0"/>
          <w:numId w:val="8"/>
        </w:numPr>
        <w:spacing w:after="120"/>
        <w:rPr>
          <w:szCs w:val="22"/>
        </w:rPr>
      </w:pPr>
      <w:r>
        <w:rPr>
          <w:szCs w:val="22"/>
        </w:rPr>
        <w:t xml:space="preserve">What steps can be taken by the Commission, either working on its own or in concert with Federal partners, to help address </w:t>
      </w:r>
      <w:r w:rsidRPr="003E2751">
        <w:rPr>
          <w:szCs w:val="22"/>
        </w:rPr>
        <w:t>the</w:t>
      </w:r>
      <w:r>
        <w:rPr>
          <w:szCs w:val="22"/>
        </w:rPr>
        <w:t xml:space="preserve">se current challenges?  </w:t>
      </w:r>
    </w:p>
    <w:p w:rsidR="00372B22" w:rsidP="00372B22" w14:paraId="0C5CE014" w14:textId="77777777">
      <w:pPr>
        <w:numPr>
          <w:ilvl w:val="0"/>
          <w:numId w:val="8"/>
        </w:numPr>
        <w:spacing w:after="120"/>
        <w:rPr>
          <w:szCs w:val="22"/>
        </w:rPr>
      </w:pPr>
      <w:r>
        <w:rPr>
          <w:szCs w:val="22"/>
        </w:rPr>
        <w:t xml:space="preserve">What steps can be taken to prevent similar challenges in the future, particularly those challenges related to unanticipated, catastrophic, global events?  How can the Commission help to ensure that the benefits of United States leadership in semiconductor manufacturing will </w:t>
      </w:r>
      <w:r w:rsidRPr="003E2751">
        <w:rPr>
          <w:szCs w:val="22"/>
        </w:rPr>
        <w:t>flow to all Americans</w:t>
      </w:r>
      <w:r>
        <w:rPr>
          <w:szCs w:val="22"/>
        </w:rPr>
        <w:t xml:space="preserve">? </w:t>
      </w:r>
    </w:p>
    <w:bookmarkEnd w:id="0"/>
    <w:bookmarkEnd w:id="1"/>
    <w:p w:rsidR="00372B22" w:rsidP="00372B22" w14:paraId="620D0B2C" w14:textId="514120DC">
      <w:pPr>
        <w:spacing w:after="120"/>
        <w:ind w:firstLine="720"/>
        <w:rPr>
          <w:szCs w:val="18"/>
        </w:rPr>
      </w:pPr>
      <w:r>
        <w:t xml:space="preserve">Interested parties may file comments on or before </w:t>
      </w:r>
      <w:r>
        <w:rPr>
          <w:b/>
        </w:rPr>
        <w:t xml:space="preserve">June </w:t>
      </w:r>
      <w:r w:rsidR="00E71831">
        <w:rPr>
          <w:b/>
        </w:rPr>
        <w:t>10</w:t>
      </w:r>
      <w:r>
        <w:rPr>
          <w:b/>
        </w:rPr>
        <w:t>, 2021</w:t>
      </w:r>
      <w:r>
        <w:t xml:space="preserve">.  Comments in reply to the initial round of comments should be filed by </w:t>
      </w:r>
      <w:r w:rsidRPr="00743C38">
        <w:rPr>
          <w:b/>
          <w:bCs/>
        </w:rPr>
        <w:t>Ju</w:t>
      </w:r>
      <w:r>
        <w:rPr>
          <w:b/>
          <w:bCs/>
        </w:rPr>
        <w:t>ne 2</w:t>
      </w:r>
      <w:r w:rsidR="00E71831">
        <w:rPr>
          <w:b/>
          <w:bCs/>
        </w:rPr>
        <w:t>5</w:t>
      </w:r>
      <w:r w:rsidRPr="00743C38">
        <w:rPr>
          <w:b/>
          <w:bCs/>
        </w:rPr>
        <w:t>, 2021</w:t>
      </w:r>
      <w:r>
        <w:t xml:space="preserve">.  </w:t>
      </w:r>
      <w:r>
        <w:rPr>
          <w:rFonts w:eastAsia="Calibri"/>
        </w:rPr>
        <w:t xml:space="preserve">Comments may be filed using the Commission’s Electronic Comment Filing System (ECFS).  </w:t>
      </w:r>
      <w:r>
        <w:rPr>
          <w:rFonts w:eastAsia="Calibri"/>
          <w:i/>
        </w:rPr>
        <w:t>See Electronic Filing of Documents in Rulemaking Proceedings</w:t>
      </w:r>
      <w:r>
        <w:rPr>
          <w:rFonts w:eastAsia="Calibri"/>
        </w:rPr>
        <w:t>, 63 FR 24121 (1998).</w:t>
      </w:r>
    </w:p>
    <w:p w:rsidR="00372B22" w:rsidP="00372B22" w14:paraId="297281C2" w14:textId="77777777">
      <w:pPr>
        <w:widowControl w:val="0"/>
        <w:numPr>
          <w:ilvl w:val="0"/>
          <w:numId w:val="7"/>
        </w:numPr>
        <w:spacing w:after="120"/>
        <w:rPr>
          <w:szCs w:val="18"/>
        </w:rPr>
      </w:pPr>
      <w:r>
        <w:rPr>
          <w:szCs w:val="18"/>
        </w:rPr>
        <w:t xml:space="preserve">Electronic Filers:  Comments may be filed electronically using the Internet by accessing the ECFS:  http://apps.fcc.gov/ecfs/.  </w:t>
      </w:r>
    </w:p>
    <w:p w:rsidR="00372B22" w:rsidP="00372B22" w14:paraId="28E8C319" w14:textId="77777777">
      <w:pPr>
        <w:widowControl w:val="0"/>
        <w:numPr>
          <w:ilvl w:val="0"/>
          <w:numId w:val="7"/>
        </w:numPr>
        <w:spacing w:after="120"/>
        <w:rPr>
          <w:szCs w:val="18"/>
        </w:rPr>
      </w:pPr>
      <w:r>
        <w:rPr>
          <w:szCs w:val="18"/>
        </w:rPr>
        <w:t xml:space="preserve">Paper Filers:  Parties who choose to file by paper must file an original and one copy of each filing. </w:t>
      </w:r>
    </w:p>
    <w:p w:rsidR="00372B22" w:rsidP="00372B22" w14:paraId="049164D6" w14:textId="77777777">
      <w:pPr>
        <w:widowControl w:val="0"/>
        <w:numPr>
          <w:ilvl w:val="0"/>
          <w:numId w:val="7"/>
        </w:numPr>
        <w:spacing w:after="120"/>
        <w:rPr>
          <w:szCs w:val="18"/>
        </w:rPr>
      </w:pPr>
      <w:r>
        <w:rPr>
          <w:szCs w:val="18"/>
        </w:rPr>
        <w:t>Filings can be sent by commercial overnight courier, or by first-class or overnight U.S. Postal Service mail.  All filings must be addressed to the Commission’s Secretary, Office of the Secretary, Federal Communications Commission.</w:t>
      </w:r>
    </w:p>
    <w:p w:rsidR="00372B22" w:rsidP="00372B22" w14:paraId="58D6158C" w14:textId="77777777">
      <w:pPr>
        <w:widowControl w:val="0"/>
        <w:numPr>
          <w:ilvl w:val="1"/>
          <w:numId w:val="7"/>
        </w:numPr>
        <w:spacing w:after="120"/>
        <w:rPr>
          <w:szCs w:val="18"/>
        </w:rPr>
      </w:pPr>
      <w:r>
        <w:rPr>
          <w:szCs w:val="18"/>
        </w:rPr>
        <w:t>Commercial overnight mail (other than U.S. Postal Service Express Mail and Priority Mail) must be sent to 9050 Junction Drive, Annapolis Junction, MD  20701.</w:t>
      </w:r>
    </w:p>
    <w:p w:rsidR="00372B22" w:rsidP="00372B22" w14:paraId="2805715B" w14:textId="77777777">
      <w:pPr>
        <w:widowControl w:val="0"/>
        <w:numPr>
          <w:ilvl w:val="1"/>
          <w:numId w:val="7"/>
        </w:numPr>
        <w:spacing w:after="120"/>
        <w:rPr>
          <w:szCs w:val="18"/>
        </w:rPr>
      </w:pPr>
      <w:r>
        <w:rPr>
          <w:szCs w:val="18"/>
        </w:rPr>
        <w:t>U.S. Postal Service first-class, Express, and Priority mail must be addressed to 45 L Street, NE, Washington, DC 20554.</w:t>
      </w:r>
    </w:p>
    <w:p w:rsidR="00372B22" w:rsidP="00372B22" w14:paraId="73DA6D32" w14:textId="77777777">
      <w:pPr>
        <w:widowControl w:val="0"/>
        <w:numPr>
          <w:ilvl w:val="0"/>
          <w:numId w:val="7"/>
        </w:numPr>
        <w:spacing w:after="120"/>
        <w:rPr>
          <w:szCs w:val="18"/>
        </w:rPr>
      </w:pPr>
      <w:r>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372B22" w:rsidP="00372B22" w14:paraId="1D9C1FC3" w14:textId="77777777">
      <w:pPr>
        <w:widowControl w:val="0"/>
        <w:numPr>
          <w:ilvl w:val="0"/>
          <w:numId w:val="7"/>
        </w:numPr>
        <w:spacing w:after="120"/>
        <w:rPr>
          <w:szCs w:val="18"/>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72B22" w:rsidP="00372B22" w14:paraId="097B346A" w14:textId="77777777">
      <w:pPr>
        <w:spacing w:after="120"/>
        <w:ind w:firstLine="720"/>
        <w:rPr>
          <w:szCs w:val="18"/>
        </w:rPr>
      </w:pPr>
      <w:r>
        <w:rPr>
          <w:i/>
          <w:iCs/>
          <w:szCs w:val="18"/>
        </w:rPr>
        <w:t>People with Disabilities</w:t>
      </w:r>
      <w:r>
        <w:rPr>
          <w:szCs w:val="18"/>
        </w:rPr>
        <w:t xml:space="preserve">.  To request materials in accessible formats for people with disabilities (braille, large print, electronic files, audio format), send an e-mail to </w:t>
      </w:r>
      <w:hyperlink r:id="rId5" w:history="1">
        <w:r>
          <w:rPr>
            <w:rStyle w:val="Hyperlink"/>
            <w:szCs w:val="18"/>
          </w:rPr>
          <w:t>fcc504@fcc.gov</w:t>
        </w:r>
      </w:hyperlink>
      <w:r>
        <w:rPr>
          <w:szCs w:val="18"/>
        </w:rPr>
        <w:t xml:space="preserve"> or call the FCC’s Consumer and Governmental Affairs Bureau at (202) 418-0530 (voice).</w:t>
      </w:r>
    </w:p>
    <w:p w:rsidR="00372B22" w:rsidP="00372B22" w14:paraId="56967F4D" w14:textId="77777777">
      <w:pPr>
        <w:spacing w:after="120"/>
        <w:ind w:firstLine="720"/>
        <w:rPr>
          <w:szCs w:val="18"/>
          <w:highlight w:val="yellow"/>
        </w:rPr>
      </w:pPr>
      <w:r>
        <w:rPr>
          <w:i/>
          <w:iCs/>
          <w:szCs w:val="18"/>
        </w:rPr>
        <w:t>Availability of Documents</w:t>
      </w:r>
      <w:r>
        <w:rPr>
          <w:szCs w:val="18"/>
        </w:rPr>
        <w:t xml:space="preserve">.  Comments, reply comments, and </w:t>
      </w:r>
      <w:r>
        <w:rPr>
          <w:i/>
          <w:iCs/>
          <w:szCs w:val="18"/>
        </w:rPr>
        <w:t>ex parte</w:t>
      </w:r>
      <w:r>
        <w:rPr>
          <w:szCs w:val="18"/>
        </w:rPr>
        <w:t xml:space="preserve"> submissions will be available via ECFS.  Documents will be available electronically in ASCII, Microsoft Word, and/or Adobe Acrobat.</w:t>
      </w:r>
    </w:p>
    <w:p w:rsidR="00372B22" w:rsidP="00D3307F" w14:paraId="669EA109" w14:textId="3F88F95E">
      <w:pPr>
        <w:spacing w:after="120"/>
        <w:ind w:firstLine="720"/>
      </w:pPr>
      <w:r>
        <w:t xml:space="preserve">This matter shall be treated as a “permit-but-disclose” proceeding in accordance with the Commission's </w:t>
      </w:r>
      <w:r>
        <w:rPr>
          <w:i/>
        </w:rPr>
        <w:t>ex parte</w:t>
      </w:r>
      <w:r>
        <w:t xml:space="preserve"> rules.</w:t>
      </w:r>
      <w:r>
        <w:rPr>
          <w:rStyle w:val="FootnoteReference"/>
        </w:rPr>
        <w:footnoteReference w:id="13"/>
      </w:r>
      <w:r>
        <w:t xml:space="preserve">  Persons making oral </w:t>
      </w:r>
      <w:r>
        <w:rPr>
          <w:i/>
        </w:rPr>
        <w:t>ex parte</w:t>
      </w:r>
      <w:r>
        <w:t xml:space="preserve"> presentations are reminded that memoranda </w:t>
      </w:r>
      <w:r w:rsidRPr="00566446">
        <w:rPr>
          <w:szCs w:val="18"/>
        </w:rPr>
        <w:t>summarizing</w:t>
      </w:r>
      <w:r>
        <w:t xml:space="preserve"> the presentations must contain summaries of the substance of the presentations and not merely a listing of the subjects discussed.  More than a one- or two-sentence description of the views and arguments presented generally is required.</w:t>
      </w:r>
      <w:r>
        <w:rPr>
          <w:rStyle w:val="FootnoteReference"/>
        </w:rPr>
        <w:footnoteReference w:id="14"/>
      </w:r>
      <w:r>
        <w:t xml:space="preserve">  Other requirements pertaining to oral and written presentations are set forth in section 1.1206(b) of the Commission</w:t>
      </w:r>
      <w:r w:rsidR="008D5F16">
        <w:t>’</w:t>
      </w:r>
      <w:r>
        <w:t>s rules.</w:t>
      </w:r>
      <w:r>
        <w:rPr>
          <w:rStyle w:val="FootnoteReference"/>
        </w:rPr>
        <w:footnoteReference w:id="15"/>
      </w:r>
    </w:p>
    <w:p w:rsidR="00372B22" w:rsidP="00372B22" w14:paraId="6E94BDF8" w14:textId="084AF51E">
      <w:pPr>
        <w:spacing w:after="120"/>
        <w:ind w:firstLine="720"/>
      </w:pPr>
      <w:r>
        <w:t>For further information regarding this public notice, contact Paul Powell, Associate Division Chief, Mobility Division, Wireless Telecommunications Bureau, at (202) 418-1613 or Jon Markman, Attorney Advisor, Mobility Division, Wireless Telecommunications Bureau, at (202) 418-7090.</w:t>
      </w:r>
      <w:r w:rsidR="00BF5A91">
        <w:t xml:space="preserve">  </w:t>
      </w:r>
      <w:r w:rsidRPr="00BF5A91" w:rsidR="00BF5A91">
        <w:t xml:space="preserve">All media inquiries should be directed to Cecilia Sulhoff at (202) 418-0587 or </w:t>
      </w:r>
      <w:hyperlink r:id="rId6" w:history="1">
        <w:r w:rsidRPr="00E148EA" w:rsidR="00732A56">
          <w:rPr>
            <w:rStyle w:val="Hyperlink"/>
          </w:rPr>
          <w:t>Cecilia.Sulhoff@fcc.gov</w:t>
        </w:r>
      </w:hyperlink>
      <w:r w:rsidR="00F62D13">
        <w:t xml:space="preserve">. </w:t>
      </w:r>
    </w:p>
    <w:p w:rsidR="00372B22" w:rsidP="00372B22" w14:paraId="5B48BBEB" w14:textId="77777777">
      <w:pPr>
        <w:spacing w:after="120"/>
        <w:jc w:val="center"/>
      </w:pPr>
      <w:r>
        <w:rPr>
          <w:szCs w:val="22"/>
        </w:rPr>
        <w:t>– FCC –</w:t>
      </w:r>
    </w:p>
    <w:p w:rsidR="00DE7FF3" w14:paraId="0805B153" w14:textId="77777777">
      <w:pPr>
        <w:rPr>
          <w:b/>
          <w:sz w:val="24"/>
        </w:rPr>
      </w:pPr>
    </w:p>
    <w:p w:rsidR="00372B22" w14:paraId="5D706BAE" w14:textId="77777777">
      <w:pPr>
        <w:rPr>
          <w:bCs/>
          <w:sz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FF3" w14:paraId="510EE1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E7FF3" w14:paraId="42F537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FF3" w14:paraId="4E066F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FF3" w14:paraId="1DB6CC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A00" w14:paraId="1BC6A0B9" w14:textId="77777777">
      <w:r>
        <w:separator/>
      </w:r>
    </w:p>
  </w:footnote>
  <w:footnote w:type="continuationSeparator" w:id="1">
    <w:p w:rsidR="00504A00" w14:paraId="4CF77B7A" w14:textId="77777777">
      <w:pPr>
        <w:rPr>
          <w:sz w:val="20"/>
        </w:rPr>
      </w:pPr>
      <w:r>
        <w:rPr>
          <w:sz w:val="20"/>
        </w:rPr>
        <w:t xml:space="preserve">(Continued from previous page)  </w:t>
      </w:r>
      <w:r>
        <w:rPr>
          <w:sz w:val="20"/>
        </w:rPr>
        <w:separator/>
      </w:r>
    </w:p>
  </w:footnote>
  <w:footnote w:type="continuationNotice" w:id="2">
    <w:p w:rsidR="00504A00" w14:paraId="7EC63577" w14:textId="77777777">
      <w:pPr>
        <w:jc w:val="right"/>
        <w:rPr>
          <w:sz w:val="20"/>
        </w:rPr>
      </w:pPr>
      <w:r>
        <w:rPr>
          <w:sz w:val="20"/>
        </w:rPr>
        <w:t>(continued….)</w:t>
      </w:r>
    </w:p>
  </w:footnote>
  <w:footnote w:id="3">
    <w:p w:rsidR="00BF2324" w14:paraId="7043D70D" w14:textId="0D1DDDDC">
      <w:pPr>
        <w:pStyle w:val="FootnoteText"/>
      </w:pPr>
      <w:r>
        <w:rPr>
          <w:rStyle w:val="FootnoteReference"/>
        </w:rPr>
        <w:footnoteRef/>
      </w:r>
      <w:r>
        <w:t xml:space="preserve"> </w:t>
      </w:r>
      <w:r w:rsidRPr="008518BE">
        <w:rPr>
          <w:i/>
          <w:iCs/>
        </w:rPr>
        <w:t>See</w:t>
      </w:r>
      <w:r w:rsidRPr="008518BE">
        <w:t xml:space="preserve"> Remarks by President Biden at Signing of Executive Order on Supply Chains (Feb. 24, 2021)</w:t>
      </w:r>
      <w:r>
        <w:t xml:space="preserve"> and Press Release, Office of Congress Michael McCaul, </w:t>
      </w:r>
      <w:r w:rsidRPr="00DD5401">
        <w:rPr>
          <w:i/>
          <w:iCs/>
        </w:rPr>
        <w:t>Bipartisan, Bicameral Support for the CHIPS Act</w:t>
      </w:r>
      <w:r>
        <w:t xml:space="preserve"> (Mar. 17, 2021).</w:t>
      </w:r>
    </w:p>
  </w:footnote>
  <w:footnote w:id="4">
    <w:p w:rsidR="00372B22" w:rsidRPr="008518BE" w:rsidP="00372B22" w14:paraId="62A7F5AE" w14:textId="77777777">
      <w:pPr>
        <w:pStyle w:val="FootnoteText"/>
      </w:pPr>
      <w:r w:rsidRPr="008518BE">
        <w:rPr>
          <w:rStyle w:val="FootnoteReference"/>
        </w:rPr>
        <w:footnoteRef/>
      </w:r>
      <w:r w:rsidRPr="008518BE">
        <w:t xml:space="preserve"> Ina Fried, </w:t>
      </w:r>
      <w:r w:rsidRPr="008518BE">
        <w:rPr>
          <w:i/>
          <w:iCs/>
        </w:rPr>
        <w:t>Texas power outages force chipmakers to halt production</w:t>
      </w:r>
      <w:r w:rsidRPr="008518BE">
        <w:t xml:space="preserve">, AXIOS (Feb. 18, 2021) and Alan Patterson, </w:t>
      </w:r>
      <w:r w:rsidRPr="008518BE">
        <w:rPr>
          <w:i/>
          <w:iCs/>
        </w:rPr>
        <w:t>Chipmakers Halt Production in Texas After Power Outages</w:t>
      </w:r>
      <w:r w:rsidRPr="008518BE">
        <w:t xml:space="preserve">, EE Times (Feb. 18, 2021). </w:t>
      </w:r>
    </w:p>
  </w:footnote>
  <w:footnote w:id="5">
    <w:p w:rsidR="00372B22" w:rsidRPr="008518BE" w:rsidP="00372B22" w14:paraId="6088F338" w14:textId="77777777">
      <w:pPr>
        <w:pStyle w:val="FootnoteText"/>
      </w:pPr>
      <w:r w:rsidRPr="008518BE">
        <w:rPr>
          <w:rStyle w:val="FootnoteReference"/>
        </w:rPr>
        <w:footnoteRef/>
      </w:r>
      <w:r w:rsidRPr="008518BE">
        <w:t xml:space="preserve"> </w:t>
      </w:r>
      <w:r w:rsidRPr="008518BE">
        <w:t>Eimi</w:t>
      </w:r>
      <w:r w:rsidRPr="008518BE">
        <w:t xml:space="preserve"> </w:t>
      </w:r>
      <w:r w:rsidRPr="008518BE">
        <w:t>Yamamitsu</w:t>
      </w:r>
      <w:r w:rsidRPr="008518BE">
        <w:t xml:space="preserve">, </w:t>
      </w:r>
      <w:r w:rsidRPr="008518BE">
        <w:rPr>
          <w:i/>
          <w:iCs/>
        </w:rPr>
        <w:t>Renesas says normal production at fire-hit chip plant to take 100-120 days</w:t>
      </w:r>
      <w:r w:rsidRPr="008518BE">
        <w:t xml:space="preserve">, Reuters (Mar. 29, 2021) and Yang </w:t>
      </w:r>
      <w:r w:rsidRPr="008518BE">
        <w:t>Jie</w:t>
      </w:r>
      <w:r w:rsidRPr="008518BE">
        <w:t xml:space="preserve">, </w:t>
      </w:r>
      <w:r w:rsidRPr="008518BE">
        <w:rPr>
          <w:i/>
          <w:iCs/>
        </w:rPr>
        <w:t>Fire at Giant Auto-Chip Plant Fuels Supply Concerns</w:t>
      </w:r>
      <w:r w:rsidRPr="008518BE">
        <w:t xml:space="preserve">, Wall Street Journal (Mar. 23, 2021). </w:t>
      </w:r>
    </w:p>
  </w:footnote>
  <w:footnote w:id="6">
    <w:p w:rsidR="00372B22" w:rsidRPr="008518BE" w:rsidP="00372B22" w14:paraId="00E7917A" w14:textId="77777777">
      <w:pPr>
        <w:pStyle w:val="FootnoteText"/>
      </w:pPr>
      <w:r w:rsidRPr="008518BE">
        <w:rPr>
          <w:rStyle w:val="FootnoteReference"/>
        </w:rPr>
        <w:footnoteRef/>
      </w:r>
      <w:r w:rsidRPr="008518BE">
        <w:t xml:space="preserve"> Jack Ewing &amp; Neal E. </w:t>
      </w:r>
      <w:r w:rsidRPr="008518BE">
        <w:t>Boudette</w:t>
      </w:r>
      <w:r w:rsidRPr="008518BE">
        <w:t xml:space="preserve">, </w:t>
      </w:r>
      <w:r w:rsidRPr="008518BE">
        <w:rPr>
          <w:i/>
          <w:iCs/>
        </w:rPr>
        <w:t>A Tiny Part’s Big Ripple: Global Chip Shortage Hobbles the Auto Industry</w:t>
      </w:r>
      <w:r w:rsidRPr="008518BE">
        <w:t>, New York Times (Apr. 23, 2021).</w:t>
      </w:r>
    </w:p>
  </w:footnote>
  <w:footnote w:id="7">
    <w:p w:rsidR="00372B22" w:rsidRPr="008518BE" w:rsidP="00372B22" w14:paraId="4EC49889" w14:textId="77777777">
      <w:pPr>
        <w:pStyle w:val="FootnoteText"/>
      </w:pPr>
      <w:r w:rsidRPr="008518BE">
        <w:rPr>
          <w:rStyle w:val="FootnoteReference"/>
        </w:rPr>
        <w:footnoteRef/>
      </w:r>
      <w:r w:rsidRPr="008518BE">
        <w:t xml:space="preserve"> Don Clark, </w:t>
      </w:r>
      <w:r w:rsidRPr="008518BE">
        <w:rPr>
          <w:i/>
          <w:iCs/>
        </w:rPr>
        <w:t>‘It’s a Roller-Coaster Ride’: Global Chip Shortage is Making Industries Sweat</w:t>
      </w:r>
      <w:r w:rsidRPr="008518BE">
        <w:t xml:space="preserve">, New York Times (Apr. 15, 2021) (noting that the semiconductor shortage is affecting “the server systems and PCs used to deliver and consume internet services”). </w:t>
      </w:r>
    </w:p>
  </w:footnote>
  <w:footnote w:id="8">
    <w:p w:rsidR="00A55DFE" w14:paraId="7BBE3A54" w14:textId="4B6AEEA7">
      <w:pPr>
        <w:pStyle w:val="FootnoteText"/>
      </w:pPr>
      <w:r>
        <w:rPr>
          <w:rStyle w:val="FootnoteReference"/>
        </w:rPr>
        <w:footnoteRef/>
      </w:r>
      <w:r>
        <w:t xml:space="preserve"> </w:t>
      </w:r>
      <w:r w:rsidRPr="00DF1FDD">
        <w:t>William M. (Mac) Thornberry National Defense Authorization Act for Fiscal Year 2021, Pub. L. No. 116-283, 134 Stat. 3388, Div. H, Title XCIX - Creating Helpful Incentives to Produce Semiconductors for America §§ 9901-9908 (Jan. 1, 2021) (CHIPS Act)</w:t>
      </w:r>
      <w:r>
        <w:t>.</w:t>
      </w:r>
    </w:p>
  </w:footnote>
  <w:footnote w:id="9">
    <w:p w:rsidR="00372B22" w:rsidRPr="008518BE" w:rsidP="00372B22" w14:paraId="515FFA3C" w14:textId="77777777">
      <w:pPr>
        <w:pStyle w:val="FootnoteText"/>
      </w:pPr>
      <w:r w:rsidRPr="008518BE">
        <w:rPr>
          <w:rStyle w:val="FootnoteReference"/>
        </w:rPr>
        <w:footnoteRef/>
      </w:r>
      <w:r w:rsidRPr="008518BE">
        <w:t xml:space="preserve"> Exec. Order No. 14017: America’s Supply Chains, 86 FR 11849, Section 1 (Mar. 1, 2021). </w:t>
      </w:r>
    </w:p>
  </w:footnote>
  <w:footnote w:id="10">
    <w:p w:rsidR="00372B22" w:rsidRPr="008518BE" w:rsidP="00372B22" w14:paraId="6A0FB7CC" w14:textId="77777777">
      <w:pPr>
        <w:pStyle w:val="FootnoteText"/>
      </w:pPr>
      <w:r w:rsidRPr="008518BE">
        <w:rPr>
          <w:rStyle w:val="FootnoteReference"/>
        </w:rPr>
        <w:footnoteRef/>
      </w:r>
      <w:r w:rsidRPr="008518BE">
        <w:t xml:space="preserve"> </w:t>
      </w:r>
      <w:r w:rsidRPr="008518BE">
        <w:rPr>
          <w:i/>
          <w:iCs/>
        </w:rPr>
        <w:t>Id.</w:t>
      </w:r>
      <w:r w:rsidRPr="008518BE">
        <w:t>at Section 3(b)(</w:t>
      </w:r>
      <w:r w:rsidRPr="008518BE">
        <w:t>i</w:t>
      </w:r>
      <w:r w:rsidRPr="008518BE">
        <w:t xml:space="preserve">).  This report is due June 4, 2021. </w:t>
      </w:r>
    </w:p>
  </w:footnote>
  <w:footnote w:id="11">
    <w:p w:rsidR="00372B22" w:rsidRPr="008518BE" w:rsidP="00372B22" w14:paraId="780AEB71" w14:textId="77777777">
      <w:pPr>
        <w:pStyle w:val="FootnoteText"/>
      </w:pPr>
      <w:r w:rsidRPr="008518BE">
        <w:rPr>
          <w:rStyle w:val="FootnoteReference"/>
        </w:rPr>
        <w:footnoteRef/>
      </w:r>
      <w:r w:rsidRPr="008518BE">
        <w:t xml:space="preserve"> </w:t>
      </w:r>
      <w:r w:rsidRPr="008518BE">
        <w:rPr>
          <w:i/>
          <w:iCs/>
        </w:rPr>
        <w:t>Id.</w:t>
      </w:r>
      <w:r w:rsidRPr="008518BE">
        <w:t xml:space="preserve"> at Section 4(a)(iii). This report is due June 4, 2021.</w:t>
      </w:r>
    </w:p>
  </w:footnote>
  <w:footnote w:id="12">
    <w:p w:rsidR="00746EC2" w:rsidRPr="008518BE" w:rsidP="00746EC2" w14:paraId="6789B131" w14:textId="77777777">
      <w:pPr>
        <w:pStyle w:val="FootnoteText"/>
      </w:pPr>
      <w:r w:rsidRPr="008518BE">
        <w:rPr>
          <w:rStyle w:val="FootnoteReference"/>
        </w:rPr>
        <w:footnoteRef/>
      </w:r>
      <w:r w:rsidRPr="008518BE">
        <w:t xml:space="preserve"> Ian King, Debby Wu, &amp; Demetrios </w:t>
      </w:r>
      <w:r w:rsidRPr="008518BE">
        <w:t>Pogkas</w:t>
      </w:r>
      <w:r w:rsidRPr="008518BE">
        <w:t xml:space="preserve">, </w:t>
      </w:r>
      <w:r w:rsidRPr="008518BE">
        <w:rPr>
          <w:i/>
          <w:iCs/>
        </w:rPr>
        <w:t>How a Chip Shortage Snarled Everything from Phones to Cars</w:t>
      </w:r>
      <w:r w:rsidRPr="008518BE">
        <w:t xml:space="preserve">, Bloomberg (Mar. 29, 2021) (noting that lead times for orders from one manufacturer have reached record levels and are nearly double what they were in February 2020). </w:t>
      </w:r>
    </w:p>
  </w:footnote>
  <w:footnote w:id="13">
    <w:p w:rsidR="00372B22" w:rsidRPr="008518BE" w:rsidP="00372B22" w14:paraId="09B31A43" w14:textId="77777777">
      <w:pPr>
        <w:pStyle w:val="FootnoteText"/>
      </w:pPr>
      <w:r w:rsidRPr="008518BE">
        <w:rPr>
          <w:rStyle w:val="FootnoteReference"/>
        </w:rPr>
        <w:footnoteRef/>
      </w:r>
      <w:r w:rsidRPr="008518BE">
        <w:t xml:space="preserve"> 47 C.F.R. § 1.1200 </w:t>
      </w:r>
      <w:r w:rsidRPr="008518BE">
        <w:rPr>
          <w:i/>
        </w:rPr>
        <w:t>et seq.</w:t>
      </w:r>
    </w:p>
  </w:footnote>
  <w:footnote w:id="14">
    <w:p w:rsidR="00372B22" w:rsidRPr="008518BE" w:rsidP="00372B22" w14:paraId="37032241" w14:textId="77777777">
      <w:pPr>
        <w:pStyle w:val="FootnoteText"/>
      </w:pPr>
      <w:r w:rsidRPr="008518BE">
        <w:rPr>
          <w:rStyle w:val="FootnoteReference"/>
        </w:rPr>
        <w:footnoteRef/>
      </w:r>
      <w:r w:rsidRPr="008518BE">
        <w:t xml:space="preserve"> </w:t>
      </w:r>
      <w:r w:rsidRPr="008518BE">
        <w:rPr>
          <w:i/>
        </w:rPr>
        <w:t>See</w:t>
      </w:r>
      <w:r w:rsidRPr="008518BE">
        <w:t xml:space="preserve"> 47 C.F.R. § 1.1206(b)(2).</w:t>
      </w:r>
    </w:p>
  </w:footnote>
  <w:footnote w:id="15">
    <w:p w:rsidR="00372B22" w:rsidRPr="008518BE" w:rsidP="00372B22" w14:paraId="0E45EE02" w14:textId="77777777">
      <w:pPr>
        <w:pStyle w:val="FootnoteText"/>
      </w:pPr>
      <w:r w:rsidRPr="008518BE">
        <w:rPr>
          <w:rStyle w:val="FootnoteReference"/>
        </w:rPr>
        <w:footnoteRef/>
      </w:r>
      <w:r w:rsidRPr="008518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FF3" w14:paraId="5A779000" w14:textId="4A968338">
    <w:pPr>
      <w:tabs>
        <w:tab w:val="center" w:pos="4680"/>
        <w:tab w:val="right" w:pos="9360"/>
      </w:tabs>
    </w:pPr>
    <w:r>
      <w:rPr>
        <w:b/>
      </w:rPr>
      <w:tab/>
      <w:t>Federal Communications Commission</w:t>
    </w:r>
    <w:r>
      <w:rPr>
        <w:b/>
      </w:rPr>
      <w:tab/>
    </w:r>
    <w:r w:rsidR="0066695D">
      <w:rPr>
        <w:b/>
      </w:rPr>
      <w:t>DA 21-550</w:t>
    </w:r>
  </w:p>
  <w:p w:rsidR="00DE7FF3" w14:paraId="37DC3BC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E7FF3" w14:paraId="16ED0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FF3" w14:paraId="6B8EE436" w14:textId="20CB5FBC">
    <w:pPr>
      <w:pStyle w:val="Header"/>
      <w:rPr>
        <w:sz w:val="20"/>
        <w:szCs w:val="20"/>
      </w:rPr>
    </w:pPr>
    <w:r>
      <w:rPr>
        <w:b w:val="0"/>
        <w:noProof/>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88004F"/>
    <w:multiLevelType w:val="hybridMultilevel"/>
    <w:tmpl w:val="228238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22"/>
    <w:rsid w:val="00055654"/>
    <w:rsid w:val="000D031B"/>
    <w:rsid w:val="000F444F"/>
    <w:rsid w:val="000F5745"/>
    <w:rsid w:val="00112534"/>
    <w:rsid w:val="001140C1"/>
    <w:rsid w:val="001275D0"/>
    <w:rsid w:val="00135F6C"/>
    <w:rsid w:val="00157ADA"/>
    <w:rsid w:val="001E4278"/>
    <w:rsid w:val="00211FCF"/>
    <w:rsid w:val="00222133"/>
    <w:rsid w:val="00271F38"/>
    <w:rsid w:val="00283B70"/>
    <w:rsid w:val="002D16C9"/>
    <w:rsid w:val="00372B22"/>
    <w:rsid w:val="003E2751"/>
    <w:rsid w:val="004F4F71"/>
    <w:rsid w:val="0050101E"/>
    <w:rsid w:val="00504A00"/>
    <w:rsid w:val="00537016"/>
    <w:rsid w:val="005519AF"/>
    <w:rsid w:val="00566446"/>
    <w:rsid w:val="00581C3C"/>
    <w:rsid w:val="005A1F42"/>
    <w:rsid w:val="005B442B"/>
    <w:rsid w:val="0066695D"/>
    <w:rsid w:val="006A23F1"/>
    <w:rsid w:val="00732A56"/>
    <w:rsid w:val="00743C38"/>
    <w:rsid w:val="00746EC2"/>
    <w:rsid w:val="00784ED3"/>
    <w:rsid w:val="007F545F"/>
    <w:rsid w:val="008518BE"/>
    <w:rsid w:val="00880A08"/>
    <w:rsid w:val="008D5F16"/>
    <w:rsid w:val="009432E7"/>
    <w:rsid w:val="009A2A3D"/>
    <w:rsid w:val="00A32FE1"/>
    <w:rsid w:val="00A35002"/>
    <w:rsid w:val="00A55DFE"/>
    <w:rsid w:val="00AA171E"/>
    <w:rsid w:val="00AE6189"/>
    <w:rsid w:val="00B9242C"/>
    <w:rsid w:val="00BF2324"/>
    <w:rsid w:val="00BF5A91"/>
    <w:rsid w:val="00C253D1"/>
    <w:rsid w:val="00C92EF7"/>
    <w:rsid w:val="00CC3F58"/>
    <w:rsid w:val="00D3307F"/>
    <w:rsid w:val="00D4280B"/>
    <w:rsid w:val="00D43EFE"/>
    <w:rsid w:val="00D72129"/>
    <w:rsid w:val="00D91F06"/>
    <w:rsid w:val="00DC250B"/>
    <w:rsid w:val="00DD5401"/>
    <w:rsid w:val="00DE7FF3"/>
    <w:rsid w:val="00DF1FDD"/>
    <w:rsid w:val="00E148EA"/>
    <w:rsid w:val="00E57188"/>
    <w:rsid w:val="00E61660"/>
    <w:rsid w:val="00E71831"/>
    <w:rsid w:val="00F62D13"/>
    <w:rsid w:val="12877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AF58B4"/>
  <w15:chartTrackingRefBased/>
  <w15:docId w15:val="{04C344EB-A90B-498D-8563-8DDA77E3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22"/>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link w:val="FootnoteTextChar"/>
    <w:semiHidden/>
    <w:pPr>
      <w:spacing w:after="120"/>
    </w:pPr>
  </w:style>
  <w:style w:type="character" w:styleId="FootnoteReference">
    <w:name w:val="footnote reference"/>
    <w:aliases w:val="(NECG) Footnote Reference,Appel note de bas de p,Style 12,Style 124,Style 13,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Char,Footnote Text Char Char Char,Footnote Text Char1 Char,Footnote Text Char1 Char Char Char,Footnote Text Char1 Char Char Char Char Char,Footnote Text Char2 Char,Footnote text Char,fn Cha Char,fn Char"/>
    <w:link w:val="FootnoteText"/>
    <w:semiHidden/>
    <w:rsid w:val="00372B22"/>
  </w:style>
  <w:style w:type="character" w:styleId="CommentReference">
    <w:name w:val="annotation reference"/>
    <w:semiHidden/>
    <w:rsid w:val="00372B22"/>
    <w:rPr>
      <w:sz w:val="16"/>
      <w:szCs w:val="16"/>
    </w:rPr>
  </w:style>
  <w:style w:type="paragraph" w:styleId="CommentText">
    <w:name w:val="annotation text"/>
    <w:basedOn w:val="Normal"/>
    <w:link w:val="CommentTextChar"/>
    <w:semiHidden/>
    <w:rsid w:val="00372B22"/>
    <w:rPr>
      <w:sz w:val="20"/>
    </w:rPr>
  </w:style>
  <w:style w:type="character" w:customStyle="1" w:styleId="CommentTextChar">
    <w:name w:val="Comment Text Char"/>
    <w:basedOn w:val="DefaultParagraphFont"/>
    <w:link w:val="CommentText"/>
    <w:semiHidden/>
    <w:rsid w:val="00372B22"/>
  </w:style>
  <w:style w:type="paragraph" w:styleId="BalloonText">
    <w:name w:val="Balloon Text"/>
    <w:basedOn w:val="Normal"/>
    <w:link w:val="BalloonTextChar"/>
    <w:uiPriority w:val="99"/>
    <w:semiHidden/>
    <w:unhideWhenUsed/>
    <w:rsid w:val="00372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5DFE"/>
    <w:rPr>
      <w:b/>
      <w:bCs/>
    </w:rPr>
  </w:style>
  <w:style w:type="character" w:customStyle="1" w:styleId="CommentSubjectChar">
    <w:name w:val="Comment Subject Char"/>
    <w:basedOn w:val="CommentTextChar"/>
    <w:link w:val="CommentSubject"/>
    <w:uiPriority w:val="99"/>
    <w:semiHidden/>
    <w:rsid w:val="00A55DFE"/>
    <w:rPr>
      <w:b/>
      <w:bCs/>
    </w:rPr>
  </w:style>
  <w:style w:type="character" w:customStyle="1" w:styleId="UnresolvedMention">
    <w:name w:val="Unresolved Mention"/>
    <w:basedOn w:val="DefaultParagraphFont"/>
    <w:uiPriority w:val="99"/>
    <w:semiHidden/>
    <w:unhideWhenUsed/>
    <w:rsid w:val="00F6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Cecilia.Sulhoff@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