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F7F80" w:rsidP="009F7F80" w14:paraId="6EA5B05C" w14:textId="7BF3D494">
      <w:pPr>
        <w:jc w:val="right"/>
        <w:rPr>
          <w:sz w:val="24"/>
        </w:rPr>
      </w:pPr>
      <w:r>
        <w:rPr>
          <w:sz w:val="24"/>
        </w:rPr>
        <w:t xml:space="preserve"> </w:t>
      </w:r>
    </w:p>
    <w:p w:rsidR="009F7F80" w:rsidRPr="00725656" w:rsidP="009F7F80" w14:paraId="656BA684" w14:textId="2036BA93">
      <w:pPr>
        <w:jc w:val="right"/>
        <w:rPr>
          <w:b/>
          <w:szCs w:val="22"/>
        </w:rPr>
      </w:pPr>
      <w:r w:rsidRPr="00725656">
        <w:rPr>
          <w:b/>
          <w:szCs w:val="22"/>
        </w:rPr>
        <w:t xml:space="preserve">DA </w:t>
      </w:r>
      <w:r w:rsidR="00987A71">
        <w:rPr>
          <w:b/>
          <w:szCs w:val="22"/>
        </w:rPr>
        <w:t>21-</w:t>
      </w:r>
      <w:r w:rsidR="00C62E8E">
        <w:rPr>
          <w:b/>
          <w:szCs w:val="22"/>
        </w:rPr>
        <w:t>551</w:t>
      </w:r>
    </w:p>
    <w:p w:rsidR="00C62E8E" w:rsidRPr="00725656" w:rsidP="00C62E8E" w14:paraId="3138910A" w14:textId="77777777">
      <w:pPr>
        <w:spacing w:before="60"/>
        <w:jc w:val="right"/>
        <w:rPr>
          <w:b/>
          <w:szCs w:val="22"/>
        </w:rPr>
      </w:pPr>
      <w:r w:rsidRPr="00725656">
        <w:rPr>
          <w:b/>
          <w:szCs w:val="22"/>
        </w:rPr>
        <w:t>Enforcement Advisory No. 20</w:t>
      </w:r>
      <w:r>
        <w:rPr>
          <w:b/>
          <w:szCs w:val="22"/>
        </w:rPr>
        <w:t>21-06</w:t>
      </w:r>
    </w:p>
    <w:p w:rsidR="009F7F80" w:rsidRPr="00725656" w:rsidP="009F7F80" w14:paraId="6DE001C6" w14:textId="50C87883">
      <w:pPr>
        <w:spacing w:before="60"/>
        <w:jc w:val="right"/>
        <w:rPr>
          <w:b/>
          <w:szCs w:val="22"/>
        </w:rPr>
      </w:pPr>
      <w:r w:rsidRPr="00725656">
        <w:rPr>
          <w:b/>
          <w:szCs w:val="22"/>
        </w:rPr>
        <w:t xml:space="preserve">Released:  </w:t>
      </w:r>
      <w:r w:rsidR="00987A71">
        <w:rPr>
          <w:b/>
          <w:szCs w:val="22"/>
        </w:rPr>
        <w:t xml:space="preserve">May </w:t>
      </w:r>
      <w:r w:rsidR="00C62E8E">
        <w:rPr>
          <w:b/>
          <w:szCs w:val="22"/>
        </w:rPr>
        <w:t>11</w:t>
      </w:r>
      <w:r w:rsidR="00987A71">
        <w:rPr>
          <w:b/>
          <w:szCs w:val="22"/>
        </w:rPr>
        <w:t>, 2021</w:t>
      </w:r>
    </w:p>
    <w:p w:rsidR="009F7F80" w:rsidP="009F7F80" w14:paraId="3028F82C" w14:textId="6E8795F2">
      <w:pPr>
        <w:jc w:val="righ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ge">
                  <wp:posOffset>3076575</wp:posOffset>
                </wp:positionV>
                <wp:extent cx="5270500" cy="495300"/>
                <wp:effectExtent l="19050" t="19050" r="25400" b="38100"/>
                <wp:wrapSquare wrapText="bothSides"/>
                <wp:docPr id="5"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495300"/>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9F7F80" w:rsidRPr="00266F64" w:rsidP="009F7F80" w14:textId="77777777">
                            <w:pPr>
                              <w:spacing w:before="37"/>
                              <w:jc w:val="center"/>
                              <w:rPr>
                                <w:b/>
                                <w:color w:val="FEFFFE"/>
                                <w:sz w:val="44"/>
                              </w:rPr>
                            </w:pPr>
                            <w:r w:rsidRPr="00266F64">
                              <w:rPr>
                                <w:b/>
                                <w:color w:val="FEFFFE"/>
                                <w:sz w:val="44"/>
                              </w:rPr>
                              <w:t>FCC ENFORCEMENT ADVISORY</w:t>
                            </w:r>
                          </w:p>
                          <w:p w:rsidR="009F7F80" w:rsidP="009F7F80" w14:textId="77777777">
                            <w:pPr>
                              <w:rPr>
                                <w:sz w:val="20"/>
                                <w:lang w:bidi="x-none"/>
                              </w:rPr>
                            </w:pPr>
                          </w:p>
                        </w:txbxContent>
                      </wps:txbx>
                      <wps:bodyPr rot="0" vert="horz" wrap="square" lIns="38100" tIns="38100" rIns="38100" bIns="3810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15pt;height:39pt;margin-top:242.25pt;margin-left:25.5pt;mso-height-percent:0;mso-height-relative:page;mso-position-vertical-relative:page;mso-width-percent:0;mso-width-relative:page;mso-wrap-distance-bottom:0;mso-wrap-distance-left:9pt;mso-wrap-distance-right:9pt;mso-wrap-distance-top:0;mso-wrap-style:square;position:absolute;visibility:visible;v-text-anchor:top;z-index:251659264" fillcolor="#17365d" strokecolor="red" strokeweight="3pt">
                <v:stroke joinstyle="round"/>
                <v:shadow on="t" color="#622423" opacity="0.5" offset="1pt"/>
                <v:textbox inset="3pt,3pt,3pt,3pt">
                  <w:txbxContent>
                    <w:p w:rsidR="009F7F80" w:rsidRPr="00266F64" w:rsidP="009F7F80" w14:paraId="6D6CAD04" w14:textId="77777777">
                      <w:pPr>
                        <w:spacing w:before="37"/>
                        <w:jc w:val="center"/>
                        <w:rPr>
                          <w:b/>
                          <w:color w:val="FEFFFE"/>
                          <w:sz w:val="44"/>
                        </w:rPr>
                      </w:pPr>
                      <w:r w:rsidRPr="00266F64">
                        <w:rPr>
                          <w:b/>
                          <w:color w:val="FEFFFE"/>
                          <w:sz w:val="44"/>
                        </w:rPr>
                        <w:t>FCC ENFORCEMENT ADVISORY</w:t>
                      </w:r>
                    </w:p>
                    <w:p w:rsidR="009F7F80" w:rsidP="009F7F80" w14:paraId="7D3664CA" w14:textId="77777777">
                      <w:pPr>
                        <w:rPr>
                          <w:sz w:val="20"/>
                          <w:lang w:bidi="x-none"/>
                        </w:rPr>
                      </w:pPr>
                    </w:p>
                  </w:txbxContent>
                </v:textbox>
                <w10:wrap type="square"/>
              </v:rect>
            </w:pict>
          </mc:Fallback>
        </mc:AlternateContent>
      </w:r>
      <w:r w:rsidR="00EB7B50">
        <w:rPr>
          <w:sz w:val="24"/>
        </w:rPr>
        <w:t xml:space="preserve"> </w:t>
      </w:r>
    </w:p>
    <w:p w:rsidR="009F7F80" w:rsidP="009F7F80" w14:paraId="2EC572F9" w14:textId="77777777">
      <w:pPr>
        <w:jc w:val="right"/>
        <w:rPr>
          <w:sz w:val="24"/>
        </w:rPr>
      </w:pPr>
    </w:p>
    <w:p w:rsidR="00987A71" w:rsidRPr="00987A71" w:rsidP="00987A71" w14:paraId="39A5CDB6" w14:textId="0B2802E2">
      <w:pPr>
        <w:jc w:val="center"/>
        <w:rPr>
          <w:b/>
          <w:bCs/>
          <w:szCs w:val="22"/>
        </w:rPr>
      </w:pPr>
      <w:r w:rsidRPr="00987A71">
        <w:rPr>
          <w:b/>
          <w:bCs/>
          <w:szCs w:val="22"/>
        </w:rPr>
        <w:t xml:space="preserve">BROADBAND PROVIDERS PARTICIPATING IN THE EMERGENCY BROADBAND BENEFIT PROGRAM MUST OBTAIN </w:t>
      </w:r>
      <w:r w:rsidR="00067EED">
        <w:rPr>
          <w:b/>
          <w:bCs/>
          <w:szCs w:val="22"/>
        </w:rPr>
        <w:t xml:space="preserve">INFORMED </w:t>
      </w:r>
      <w:r w:rsidRPr="00987A71">
        <w:rPr>
          <w:b/>
          <w:bCs/>
          <w:szCs w:val="22"/>
        </w:rPr>
        <w:t xml:space="preserve">SUBSCRIBER CONSENT TO ENROLL AND </w:t>
      </w:r>
      <w:r w:rsidR="00A87765">
        <w:rPr>
          <w:b/>
          <w:bCs/>
          <w:szCs w:val="22"/>
        </w:rPr>
        <w:t xml:space="preserve">REQUIRE A </w:t>
      </w:r>
      <w:r w:rsidRPr="00987A71">
        <w:rPr>
          <w:b/>
          <w:bCs/>
          <w:szCs w:val="22"/>
        </w:rPr>
        <w:t>CO-PAY FOR CONNECTED DEVICES</w:t>
      </w:r>
    </w:p>
    <w:p w:rsidR="009F7F80" w:rsidRPr="00725656" w:rsidP="009F7F80" w14:paraId="67D87CC4" w14:textId="77777777">
      <w:pPr>
        <w:rPr>
          <w:szCs w:val="22"/>
        </w:rPr>
      </w:pPr>
    </w:p>
    <w:p w:rsidR="00130F7E" w:rsidRPr="00130F7E" w:rsidP="00130F7E" w14:paraId="288E1C7C" w14:textId="614F99CF">
      <w:pPr>
        <w:rPr>
          <w:szCs w:val="22"/>
        </w:rPr>
      </w:pPr>
      <w:r w:rsidRPr="00130F7E">
        <w:rPr>
          <w:szCs w:val="22"/>
        </w:rPr>
        <w:t xml:space="preserve">The Enforcement Bureau of the Federal Communications Commission (Commission or FCC) issues this Enforcement Advisory to remind broadband providers participating in the </w:t>
      </w:r>
      <w:r w:rsidR="008D0DD1">
        <w:rPr>
          <w:szCs w:val="22"/>
        </w:rPr>
        <w:t>Emergency Broadband Benefit (</w:t>
      </w:r>
      <w:r w:rsidRPr="00130F7E">
        <w:rPr>
          <w:szCs w:val="22"/>
        </w:rPr>
        <w:t>EBB</w:t>
      </w:r>
      <w:r w:rsidR="008D0DD1">
        <w:rPr>
          <w:szCs w:val="22"/>
        </w:rPr>
        <w:t>)</w:t>
      </w:r>
      <w:r w:rsidRPr="00130F7E">
        <w:rPr>
          <w:szCs w:val="22"/>
        </w:rPr>
        <w:t xml:space="preserve"> </w:t>
      </w:r>
      <w:r w:rsidR="00C578E0">
        <w:rPr>
          <w:szCs w:val="22"/>
        </w:rPr>
        <w:t>P</w:t>
      </w:r>
      <w:r w:rsidRPr="00130F7E">
        <w:rPr>
          <w:szCs w:val="22"/>
        </w:rPr>
        <w:t xml:space="preserve">rogram of their obligation to comply with the EBB </w:t>
      </w:r>
      <w:r w:rsidR="00EE74DB">
        <w:rPr>
          <w:szCs w:val="22"/>
        </w:rPr>
        <w:t>P</w:t>
      </w:r>
      <w:r w:rsidR="00FE32E8">
        <w:rPr>
          <w:szCs w:val="22"/>
        </w:rPr>
        <w:t xml:space="preserve">rogram </w:t>
      </w:r>
      <w:r w:rsidRPr="00130F7E">
        <w:rPr>
          <w:szCs w:val="22"/>
        </w:rPr>
        <w:t xml:space="preserve">rules, including ensuring that existing Lifeline customers </w:t>
      </w:r>
      <w:r w:rsidR="00FE32E8">
        <w:rPr>
          <w:szCs w:val="22"/>
        </w:rPr>
        <w:t xml:space="preserve">give their informed </w:t>
      </w:r>
      <w:r w:rsidRPr="00130F7E">
        <w:rPr>
          <w:szCs w:val="22"/>
        </w:rPr>
        <w:t xml:space="preserve">affirmative </w:t>
      </w:r>
      <w:r w:rsidR="00FE32E8">
        <w:rPr>
          <w:szCs w:val="22"/>
        </w:rPr>
        <w:t>consent</w:t>
      </w:r>
      <w:r w:rsidRPr="00130F7E">
        <w:rPr>
          <w:szCs w:val="22"/>
        </w:rPr>
        <w:t xml:space="preserve"> to participate in the EBB </w:t>
      </w:r>
      <w:r w:rsidR="00C829AA">
        <w:rPr>
          <w:szCs w:val="22"/>
        </w:rPr>
        <w:t>P</w:t>
      </w:r>
      <w:r w:rsidRPr="00130F7E">
        <w:rPr>
          <w:szCs w:val="22"/>
        </w:rPr>
        <w:t>rogram</w:t>
      </w:r>
      <w:r w:rsidR="005109DC">
        <w:rPr>
          <w:szCs w:val="22"/>
        </w:rPr>
        <w:t xml:space="preserve"> </w:t>
      </w:r>
      <w:r w:rsidR="00D30EFE">
        <w:rPr>
          <w:szCs w:val="22"/>
        </w:rPr>
        <w:t xml:space="preserve">and </w:t>
      </w:r>
      <w:r w:rsidR="00F31C1F">
        <w:rPr>
          <w:szCs w:val="22"/>
        </w:rPr>
        <w:t xml:space="preserve">are able </w:t>
      </w:r>
      <w:r w:rsidR="005109DC">
        <w:rPr>
          <w:szCs w:val="22"/>
        </w:rPr>
        <w:t>to choose not to apply their emergency broadband benefit with their Lifeline provider</w:t>
      </w:r>
      <w:r w:rsidRPr="00130F7E">
        <w:rPr>
          <w:szCs w:val="22"/>
        </w:rPr>
        <w:t xml:space="preserve"> without jeopardizing their existing Lifeline service</w:t>
      </w:r>
      <w:r w:rsidR="00F31C1F">
        <w:rPr>
          <w:szCs w:val="22"/>
        </w:rPr>
        <w:t>.</w:t>
      </w:r>
      <w:r w:rsidRPr="00130F7E">
        <w:rPr>
          <w:szCs w:val="22"/>
        </w:rPr>
        <w:t xml:space="preserve"> </w:t>
      </w:r>
      <w:r w:rsidR="00F31C1F">
        <w:rPr>
          <w:szCs w:val="22"/>
        </w:rPr>
        <w:t xml:space="preserve"> </w:t>
      </w:r>
      <w:r w:rsidRPr="00130F7E">
        <w:rPr>
          <w:szCs w:val="22"/>
        </w:rPr>
        <w:t xml:space="preserve">Failure to comply with the rules governing the </w:t>
      </w:r>
      <w:r w:rsidR="00FE32E8">
        <w:rPr>
          <w:szCs w:val="22"/>
        </w:rPr>
        <w:t xml:space="preserve">consumer disclosure and </w:t>
      </w:r>
      <w:r w:rsidRPr="00130F7E">
        <w:rPr>
          <w:szCs w:val="22"/>
        </w:rPr>
        <w:t xml:space="preserve">enrollment process </w:t>
      </w:r>
      <w:r w:rsidR="00294C9D">
        <w:rPr>
          <w:szCs w:val="22"/>
        </w:rPr>
        <w:t>may</w:t>
      </w:r>
      <w:r w:rsidRPr="00130F7E">
        <w:rPr>
          <w:szCs w:val="22"/>
        </w:rPr>
        <w:t xml:space="preserve"> lead to customer confusion and loss of service, while potentially providing anticompetitive advantages over other service providers.  Additionally, both the Consolidated Appropriations Act </w:t>
      </w:r>
      <w:r w:rsidR="00215D7E">
        <w:rPr>
          <w:szCs w:val="22"/>
        </w:rPr>
        <w:t xml:space="preserve">of 2021 </w:t>
      </w:r>
      <w:r w:rsidRPr="00130F7E">
        <w:rPr>
          <w:szCs w:val="22"/>
        </w:rPr>
        <w:t>(CAA or Act)</w:t>
      </w:r>
      <w:r>
        <w:rPr>
          <w:rStyle w:val="FootnoteReference"/>
          <w:szCs w:val="22"/>
        </w:rPr>
        <w:footnoteReference w:id="3"/>
      </w:r>
      <w:r w:rsidRPr="00130F7E">
        <w:rPr>
          <w:szCs w:val="22"/>
        </w:rPr>
        <w:t xml:space="preserve"> and the Commission’s rules</w:t>
      </w:r>
      <w:r>
        <w:rPr>
          <w:rStyle w:val="FootnoteReference"/>
          <w:szCs w:val="22"/>
        </w:rPr>
        <w:footnoteReference w:id="4"/>
      </w:r>
      <w:r w:rsidRPr="00130F7E">
        <w:rPr>
          <w:szCs w:val="22"/>
        </w:rPr>
        <w:t xml:space="preserve"> are clear that customers must pay a portion of the cost of a connected device subsidized by the EBB </w:t>
      </w:r>
      <w:r w:rsidR="00AA4378">
        <w:rPr>
          <w:szCs w:val="22"/>
        </w:rPr>
        <w:t>P</w:t>
      </w:r>
      <w:r w:rsidRPr="00130F7E">
        <w:rPr>
          <w:szCs w:val="22"/>
        </w:rPr>
        <w:t xml:space="preserve">rogram.  Circumventing this rule by conjuring a “credit” in lieu of a customer payment or otherwise offering a connected device free of charge is contrary to the policy of requiring households receiving subsidized connected devices to have an ownership stake in the devices.  </w:t>
      </w:r>
      <w:r w:rsidR="007C2B09">
        <w:rPr>
          <w:szCs w:val="22"/>
        </w:rPr>
        <w:t>Congress enacted t</w:t>
      </w:r>
      <w:r w:rsidRPr="00130F7E">
        <w:rPr>
          <w:szCs w:val="22"/>
        </w:rPr>
        <w:t xml:space="preserve">his policy into law in the CAA, </w:t>
      </w:r>
      <w:r w:rsidR="007C2B09">
        <w:rPr>
          <w:szCs w:val="22"/>
        </w:rPr>
        <w:t xml:space="preserve">the Commission </w:t>
      </w:r>
      <w:r w:rsidRPr="00130F7E">
        <w:rPr>
          <w:szCs w:val="22"/>
        </w:rPr>
        <w:t xml:space="preserve">codified </w:t>
      </w:r>
      <w:r w:rsidR="007C2B09">
        <w:rPr>
          <w:szCs w:val="22"/>
        </w:rPr>
        <w:t xml:space="preserve">the </w:t>
      </w:r>
      <w:r w:rsidR="007A45D6">
        <w:rPr>
          <w:szCs w:val="22"/>
        </w:rPr>
        <w:t xml:space="preserve">statute’s </w:t>
      </w:r>
      <w:r w:rsidR="007C2B09">
        <w:rPr>
          <w:szCs w:val="22"/>
        </w:rPr>
        <w:t xml:space="preserve">requirement </w:t>
      </w:r>
      <w:r w:rsidRPr="00130F7E">
        <w:rPr>
          <w:szCs w:val="22"/>
        </w:rPr>
        <w:t xml:space="preserve">in </w:t>
      </w:r>
      <w:r w:rsidR="007C2B09">
        <w:rPr>
          <w:szCs w:val="22"/>
        </w:rPr>
        <w:t>its</w:t>
      </w:r>
      <w:r w:rsidRPr="00130F7E">
        <w:rPr>
          <w:szCs w:val="22"/>
        </w:rPr>
        <w:t xml:space="preserve"> rules, and </w:t>
      </w:r>
      <w:r w:rsidR="007C2B09">
        <w:rPr>
          <w:szCs w:val="22"/>
        </w:rPr>
        <w:t xml:space="preserve">provider adherence to the mandate </w:t>
      </w:r>
      <w:r w:rsidRPr="00130F7E">
        <w:rPr>
          <w:szCs w:val="22"/>
        </w:rPr>
        <w:t>will be subject to confirmation during audits or investigations.</w:t>
      </w:r>
      <w:r w:rsidR="00F31C1F">
        <w:rPr>
          <w:szCs w:val="22"/>
        </w:rPr>
        <w:t xml:space="preserve">  Failure to comply with </w:t>
      </w:r>
      <w:r w:rsidR="008306EA">
        <w:rPr>
          <w:szCs w:val="22"/>
        </w:rPr>
        <w:t xml:space="preserve">the </w:t>
      </w:r>
      <w:r w:rsidR="00F31C1F">
        <w:rPr>
          <w:szCs w:val="22"/>
        </w:rPr>
        <w:t xml:space="preserve">co-payment </w:t>
      </w:r>
      <w:r w:rsidR="008306EA">
        <w:rPr>
          <w:szCs w:val="22"/>
        </w:rPr>
        <w:t>rule</w:t>
      </w:r>
      <w:r w:rsidR="00D30EFE">
        <w:rPr>
          <w:szCs w:val="22"/>
        </w:rPr>
        <w:t xml:space="preserve"> could provide an unfair competitive advantage and </w:t>
      </w:r>
      <w:r w:rsidR="00F31C1F">
        <w:rPr>
          <w:szCs w:val="22"/>
        </w:rPr>
        <w:t xml:space="preserve">undermines </w:t>
      </w:r>
      <w:r w:rsidR="00D30EFE">
        <w:rPr>
          <w:szCs w:val="22"/>
        </w:rPr>
        <w:t xml:space="preserve">program integrity by </w:t>
      </w:r>
      <w:r w:rsidR="00F31C1F">
        <w:rPr>
          <w:szCs w:val="22"/>
        </w:rPr>
        <w:t>introduc</w:t>
      </w:r>
      <w:r w:rsidR="00D30EFE">
        <w:rPr>
          <w:szCs w:val="22"/>
        </w:rPr>
        <w:t>ing</w:t>
      </w:r>
      <w:r w:rsidR="00F31C1F">
        <w:rPr>
          <w:szCs w:val="22"/>
        </w:rPr>
        <w:t xml:space="preserve"> opportunities for waste, fraud</w:t>
      </w:r>
      <w:r w:rsidR="00C62E8E">
        <w:rPr>
          <w:szCs w:val="22"/>
        </w:rPr>
        <w:t>,</w:t>
      </w:r>
      <w:r w:rsidR="00F31C1F">
        <w:rPr>
          <w:szCs w:val="22"/>
        </w:rPr>
        <w:t xml:space="preserve"> and abuse.</w:t>
      </w:r>
    </w:p>
    <w:p w:rsidR="009F7F80" w:rsidRPr="00725656" w:rsidP="009F7F80" w14:paraId="3A0AAAC0" w14:textId="77777777">
      <w:pPr>
        <w:rPr>
          <w:szCs w:val="22"/>
        </w:rPr>
      </w:pPr>
    </w:p>
    <w:p w:rsidR="009F7F80" w:rsidP="009F7F80" w14:paraId="6FCBE35E" w14:textId="6BDAA19C">
      <w:pPr>
        <w:rPr>
          <w:b/>
          <w:color w:val="002060"/>
        </w:rPr>
      </w:pPr>
      <w:r>
        <w:rPr>
          <w:b/>
          <w:color w:val="002060"/>
        </w:rPr>
        <w:t>Subscriber Consent</w:t>
      </w:r>
      <w:r w:rsidR="00883F9C">
        <w:rPr>
          <w:b/>
          <w:color w:val="002060"/>
        </w:rPr>
        <w:t xml:space="preserve"> to Enroll in EBB Program</w:t>
      </w:r>
    </w:p>
    <w:p w:rsidR="00987A71" w:rsidRPr="00725656" w:rsidP="009F7F80" w14:paraId="1D1A383C" w14:textId="77777777">
      <w:pPr>
        <w:rPr>
          <w:b/>
          <w:szCs w:val="22"/>
        </w:rPr>
      </w:pPr>
    </w:p>
    <w:p w:rsidR="00987A71" w:rsidRPr="00987A71" w:rsidP="00987A71" w14:paraId="31308DEA" w14:textId="3146EE0C">
      <w:r w:rsidRPr="3C19495B">
        <w:t xml:space="preserve">Eligible subscribers, including existing Lifeline subscribers, must affirmatively provide their consent to be enrolled in the EBB </w:t>
      </w:r>
      <w:r w:rsidR="00722D59">
        <w:t>P</w:t>
      </w:r>
      <w:r w:rsidRPr="3C19495B">
        <w:t>rogram.</w:t>
      </w:r>
      <w:r>
        <w:rPr>
          <w:rStyle w:val="FootnoteReference"/>
        </w:rPr>
        <w:footnoteReference w:id="5"/>
      </w:r>
      <w:r w:rsidRPr="3C19495B">
        <w:t xml:space="preserve">  It has come to our attention that providers may be linking EBB </w:t>
      </w:r>
      <w:r w:rsidR="004B338C">
        <w:t xml:space="preserve">Program </w:t>
      </w:r>
      <w:r w:rsidRPr="3C19495B">
        <w:t xml:space="preserve">enrollment to </w:t>
      </w:r>
      <w:r w:rsidRPr="3C19495B" w:rsidR="00883F9C">
        <w:t xml:space="preserve">implementation of </w:t>
      </w:r>
      <w:r w:rsidRPr="3C19495B">
        <w:t xml:space="preserve">technical changes necessary to retain </w:t>
      </w:r>
      <w:r w:rsidR="00706744">
        <w:t xml:space="preserve">the subscriber’s existing </w:t>
      </w:r>
      <w:r w:rsidRPr="3C19495B">
        <w:t>service</w:t>
      </w:r>
      <w:r w:rsidR="00347929">
        <w:t xml:space="preserve"> </w:t>
      </w:r>
      <w:r w:rsidR="00314189">
        <w:t xml:space="preserve">or automatically enrolling </w:t>
      </w:r>
      <w:r w:rsidR="00C07593">
        <w:t xml:space="preserve">subscribers that provide information </w:t>
      </w:r>
      <w:r w:rsidR="00C101AB">
        <w:t xml:space="preserve">needed </w:t>
      </w:r>
      <w:r w:rsidR="00C07593">
        <w:t>for another purpose</w:t>
      </w:r>
      <w:r w:rsidRPr="3C19495B">
        <w:t xml:space="preserve">.  </w:t>
      </w:r>
      <w:r w:rsidRPr="3C19495B" w:rsidR="008A5CB0">
        <w:t xml:space="preserve">These </w:t>
      </w:r>
      <w:r w:rsidRPr="3C19495B" w:rsidR="008A5CB0">
        <w:t xml:space="preserve">practices may be deceptive and may undermine the integrity of the EBB Program and threaten to put subscribers at risk of losing their existing Lifeline service.  </w:t>
      </w:r>
      <w:r w:rsidRPr="3C19495B">
        <w:t xml:space="preserve">Providers </w:t>
      </w:r>
      <w:r w:rsidR="003D130B">
        <w:t xml:space="preserve">must </w:t>
      </w:r>
      <w:r w:rsidRPr="3C19495B">
        <w:t xml:space="preserve">ensure that communications to consumers about the EBB </w:t>
      </w:r>
      <w:r w:rsidR="0067139F">
        <w:t>P</w:t>
      </w:r>
      <w:r w:rsidRPr="3C19495B">
        <w:t xml:space="preserve">rogram are clear, accurate, and not misleading as to </w:t>
      </w:r>
      <w:r w:rsidR="00DA175E">
        <w:t xml:space="preserve">the </w:t>
      </w:r>
      <w:r w:rsidRPr="3C19495B">
        <w:t>nature of the program, the progra</w:t>
      </w:r>
      <w:r w:rsidRPr="3C19495B" w:rsidR="008A5CB0">
        <w:t>m</w:t>
      </w:r>
      <w:r w:rsidRPr="3C19495B">
        <w:t xml:space="preserve">’s eligibility requirements, and the timing of the program and application process.  The Commission may consider inaccurate or misleading marketing of the program or processing of applications to be an unjust and unreasonable practice subject to investigation and enforcement action.  To avoid misleading consumers, providers </w:t>
      </w:r>
      <w:r w:rsidR="003D130B">
        <w:t xml:space="preserve">must </w:t>
      </w:r>
      <w:r w:rsidRPr="3C19495B">
        <w:t xml:space="preserve">avoid practices or marketing that may confuse consumers about the EBB </w:t>
      </w:r>
      <w:r w:rsidRPr="3C19495B" w:rsidR="074EDFE7">
        <w:t>P</w:t>
      </w:r>
      <w:r w:rsidRPr="3C19495B">
        <w:t>rogram, including but, not limited to:</w:t>
      </w:r>
    </w:p>
    <w:p w:rsidR="00987A71" w:rsidRPr="00987A71" w:rsidP="00987A71" w14:paraId="2EC12A24" w14:textId="77777777">
      <w:pPr>
        <w:rPr>
          <w:szCs w:val="22"/>
        </w:rPr>
      </w:pPr>
    </w:p>
    <w:p w:rsidR="00987A71" w:rsidP="00987A71" w14:paraId="437A82A4" w14:textId="2A027B31">
      <w:pPr>
        <w:numPr>
          <w:ilvl w:val="0"/>
          <w:numId w:val="7"/>
        </w:numPr>
        <w:rPr>
          <w:szCs w:val="22"/>
        </w:rPr>
      </w:pPr>
      <w:r>
        <w:rPr>
          <w:szCs w:val="22"/>
        </w:rPr>
        <w:t>Not clearly distinguishing</w:t>
      </w:r>
      <w:r w:rsidRPr="00987A71">
        <w:rPr>
          <w:szCs w:val="22"/>
        </w:rPr>
        <w:t xml:space="preserve"> the process of signing up for EBB services </w:t>
      </w:r>
      <w:r>
        <w:rPr>
          <w:szCs w:val="22"/>
        </w:rPr>
        <w:t>from</w:t>
      </w:r>
      <w:r w:rsidRPr="00987A71">
        <w:rPr>
          <w:szCs w:val="22"/>
        </w:rPr>
        <w:t xml:space="preserve"> the process of signing up for, renewing, upgrading</w:t>
      </w:r>
      <w:r w:rsidR="008D1EF9">
        <w:rPr>
          <w:szCs w:val="22"/>
        </w:rPr>
        <w:t>,</w:t>
      </w:r>
      <w:r w:rsidRPr="00987A71">
        <w:rPr>
          <w:szCs w:val="22"/>
        </w:rPr>
        <w:t xml:space="preserve"> or modifying other telecom services, including Lifeline services.</w:t>
      </w:r>
    </w:p>
    <w:p w:rsidR="00883F9C" w:rsidRPr="00987A71" w:rsidP="00883F9C" w14:paraId="4AE0054B" w14:textId="77777777">
      <w:pPr>
        <w:ind w:left="720"/>
        <w:rPr>
          <w:szCs w:val="22"/>
        </w:rPr>
      </w:pPr>
    </w:p>
    <w:p w:rsidR="00987A71" w:rsidP="00987A71" w14:paraId="4DF2A611" w14:textId="6ED54DED">
      <w:pPr>
        <w:numPr>
          <w:ilvl w:val="0"/>
          <w:numId w:val="7"/>
        </w:numPr>
        <w:rPr>
          <w:szCs w:val="22"/>
        </w:rPr>
      </w:pPr>
      <w:r w:rsidRPr="00987A71">
        <w:rPr>
          <w:szCs w:val="22"/>
        </w:rPr>
        <w:t>Suggesting or implying that signing up for EBB services is required for obtaining or continuing other services, including Lifeline services.</w:t>
      </w:r>
    </w:p>
    <w:p w:rsidR="00883F9C" w:rsidRPr="00987A71" w:rsidP="00883F9C" w14:paraId="081B6028" w14:textId="77777777">
      <w:pPr>
        <w:rPr>
          <w:szCs w:val="22"/>
        </w:rPr>
      </w:pPr>
    </w:p>
    <w:p w:rsidR="00987A71" w:rsidP="00987A71" w14:paraId="70D9C7DE" w14:textId="6CC908B8">
      <w:pPr>
        <w:numPr>
          <w:ilvl w:val="0"/>
          <w:numId w:val="7"/>
        </w:numPr>
        <w:rPr>
          <w:szCs w:val="22"/>
        </w:rPr>
      </w:pPr>
      <w:r>
        <w:rPr>
          <w:szCs w:val="22"/>
        </w:rPr>
        <w:t>Tying the submission of c</w:t>
      </w:r>
      <w:r w:rsidR="00C07593">
        <w:rPr>
          <w:szCs w:val="22"/>
        </w:rPr>
        <w:t xml:space="preserve">ustomer </w:t>
      </w:r>
      <w:r>
        <w:rPr>
          <w:szCs w:val="22"/>
        </w:rPr>
        <w:t xml:space="preserve">information provided </w:t>
      </w:r>
      <w:r w:rsidR="00C07593">
        <w:rPr>
          <w:szCs w:val="22"/>
        </w:rPr>
        <w:t xml:space="preserve">for another purpose </w:t>
      </w:r>
      <w:r>
        <w:rPr>
          <w:szCs w:val="22"/>
        </w:rPr>
        <w:t>(e.g., address verification) to enrollment in the EBB Program.</w:t>
      </w:r>
    </w:p>
    <w:p w:rsidR="00883F9C" w:rsidRPr="00987A71" w:rsidP="00883F9C" w14:paraId="34A8CB03" w14:textId="77777777">
      <w:pPr>
        <w:rPr>
          <w:szCs w:val="22"/>
        </w:rPr>
      </w:pPr>
    </w:p>
    <w:p w:rsidR="00987A71" w:rsidP="00987A71" w14:paraId="6DD58CDA" w14:textId="301E636C">
      <w:pPr>
        <w:numPr>
          <w:ilvl w:val="0"/>
          <w:numId w:val="7"/>
        </w:numPr>
        <w:rPr>
          <w:szCs w:val="22"/>
        </w:rPr>
      </w:pPr>
      <w:r w:rsidRPr="00987A71">
        <w:rPr>
          <w:szCs w:val="22"/>
        </w:rPr>
        <w:t xml:space="preserve">Failing to include the EBB </w:t>
      </w:r>
      <w:r w:rsidR="00A83D1A">
        <w:rPr>
          <w:szCs w:val="22"/>
        </w:rPr>
        <w:t>P</w:t>
      </w:r>
      <w:r w:rsidRPr="00987A71">
        <w:rPr>
          <w:szCs w:val="22"/>
        </w:rPr>
        <w:t xml:space="preserve">rogram disclosures required by the EBB </w:t>
      </w:r>
      <w:r w:rsidR="00A83D1A">
        <w:rPr>
          <w:szCs w:val="22"/>
        </w:rPr>
        <w:t>P</w:t>
      </w:r>
      <w:r w:rsidRPr="00987A71">
        <w:rPr>
          <w:szCs w:val="22"/>
        </w:rPr>
        <w:t>rogram rules</w:t>
      </w:r>
      <w:r w:rsidR="00EE0100">
        <w:rPr>
          <w:szCs w:val="22"/>
        </w:rPr>
        <w:t xml:space="preserve"> prior to the point at which the consumer gives their consent to enroll in the EBB Program</w:t>
      </w:r>
      <w:r w:rsidRPr="00987A71">
        <w:rPr>
          <w:szCs w:val="22"/>
        </w:rPr>
        <w:t>.</w:t>
      </w:r>
    </w:p>
    <w:p w:rsidR="00883F9C" w:rsidP="00883F9C" w14:paraId="66004525" w14:textId="77777777">
      <w:pPr>
        <w:pStyle w:val="ListParagraph"/>
        <w:rPr>
          <w:szCs w:val="22"/>
        </w:rPr>
      </w:pPr>
    </w:p>
    <w:p w:rsidR="00987A71" w:rsidRPr="00987A71" w:rsidP="00987A71" w14:paraId="3489751E" w14:textId="78CF537B">
      <w:pPr>
        <w:rPr>
          <w:szCs w:val="22"/>
        </w:rPr>
      </w:pPr>
      <w:r>
        <w:rPr>
          <w:szCs w:val="22"/>
        </w:rPr>
        <w:t xml:space="preserve">At a minimum, </w:t>
      </w:r>
      <w:r w:rsidR="00686FC8">
        <w:rPr>
          <w:szCs w:val="22"/>
        </w:rPr>
        <w:t>Lifeline</w:t>
      </w:r>
      <w:r w:rsidRPr="00987A71" w:rsidR="00686FC8">
        <w:rPr>
          <w:szCs w:val="22"/>
        </w:rPr>
        <w:t xml:space="preserve"> </w:t>
      </w:r>
      <w:r w:rsidRPr="00987A71">
        <w:rPr>
          <w:szCs w:val="22"/>
        </w:rPr>
        <w:t>providers must make it clear that subscribers</w:t>
      </w:r>
      <w:r>
        <w:rPr>
          <w:szCs w:val="22"/>
        </w:rPr>
        <w:t xml:space="preserve">: </w:t>
      </w:r>
      <w:r w:rsidRPr="00987A71">
        <w:rPr>
          <w:szCs w:val="22"/>
        </w:rPr>
        <w:t xml:space="preserve"> </w:t>
      </w:r>
      <w:r>
        <w:rPr>
          <w:szCs w:val="22"/>
        </w:rPr>
        <w:t xml:space="preserve">1) </w:t>
      </w:r>
      <w:r w:rsidR="007C2B09">
        <w:rPr>
          <w:szCs w:val="22"/>
        </w:rPr>
        <w:t>may</w:t>
      </w:r>
      <w:r w:rsidRPr="00987A71" w:rsidR="007C2B09">
        <w:rPr>
          <w:szCs w:val="22"/>
        </w:rPr>
        <w:t xml:space="preserve"> </w:t>
      </w:r>
      <w:r w:rsidRPr="00987A71">
        <w:rPr>
          <w:szCs w:val="22"/>
        </w:rPr>
        <w:t xml:space="preserve">continue their existing Lifeline service without enrolling in the EBB </w:t>
      </w:r>
      <w:r w:rsidR="00845AE0">
        <w:rPr>
          <w:szCs w:val="22"/>
        </w:rPr>
        <w:t>P</w:t>
      </w:r>
      <w:r w:rsidRPr="00987A71">
        <w:rPr>
          <w:szCs w:val="22"/>
        </w:rPr>
        <w:t>rogram</w:t>
      </w:r>
      <w:r>
        <w:rPr>
          <w:szCs w:val="22"/>
        </w:rPr>
        <w:t>;</w:t>
      </w:r>
      <w:r w:rsidRPr="00987A71">
        <w:rPr>
          <w:szCs w:val="22"/>
        </w:rPr>
        <w:t xml:space="preserve"> </w:t>
      </w:r>
      <w:r>
        <w:rPr>
          <w:szCs w:val="22"/>
        </w:rPr>
        <w:t xml:space="preserve">2) </w:t>
      </w:r>
      <w:r w:rsidRPr="00987A71">
        <w:rPr>
          <w:szCs w:val="22"/>
        </w:rPr>
        <w:t xml:space="preserve">may choose to take EBB </w:t>
      </w:r>
      <w:r w:rsidR="00A14F64">
        <w:rPr>
          <w:szCs w:val="22"/>
        </w:rPr>
        <w:t xml:space="preserve">Program </w:t>
      </w:r>
      <w:r w:rsidRPr="00987A71">
        <w:rPr>
          <w:szCs w:val="22"/>
        </w:rPr>
        <w:t>benefits from a service provider other than their existing Lifeline provider</w:t>
      </w:r>
      <w:r>
        <w:rPr>
          <w:szCs w:val="22"/>
        </w:rPr>
        <w:t>;</w:t>
      </w:r>
      <w:r w:rsidRPr="00987A71">
        <w:rPr>
          <w:szCs w:val="22"/>
        </w:rPr>
        <w:t xml:space="preserve"> and </w:t>
      </w:r>
      <w:r>
        <w:rPr>
          <w:szCs w:val="22"/>
        </w:rPr>
        <w:t xml:space="preserve">3) </w:t>
      </w:r>
      <w:r w:rsidR="007C2B09">
        <w:rPr>
          <w:szCs w:val="22"/>
        </w:rPr>
        <w:t>may</w:t>
      </w:r>
      <w:r w:rsidRPr="00987A71" w:rsidR="007C2B09">
        <w:rPr>
          <w:szCs w:val="22"/>
        </w:rPr>
        <w:t xml:space="preserve"> </w:t>
      </w:r>
      <w:r w:rsidRPr="00987A71">
        <w:rPr>
          <w:szCs w:val="22"/>
        </w:rPr>
        <w:t xml:space="preserve">transfer EBB </w:t>
      </w:r>
      <w:r w:rsidR="00A14F64">
        <w:rPr>
          <w:szCs w:val="22"/>
        </w:rPr>
        <w:t xml:space="preserve">Program </w:t>
      </w:r>
      <w:r w:rsidRPr="00987A71">
        <w:rPr>
          <w:szCs w:val="22"/>
        </w:rPr>
        <w:t>benefits to another provider at any time.</w:t>
      </w:r>
      <w:r>
        <w:rPr>
          <w:rStyle w:val="FootnoteReference"/>
          <w:szCs w:val="22"/>
        </w:rPr>
        <w:footnoteReference w:id="6"/>
      </w:r>
      <w:r w:rsidRPr="00987A71">
        <w:rPr>
          <w:szCs w:val="22"/>
        </w:rPr>
        <w:t xml:space="preserve"> </w:t>
      </w:r>
      <w:r w:rsidR="00686FC8">
        <w:rPr>
          <w:szCs w:val="22"/>
        </w:rPr>
        <w:t xml:space="preserve"> </w:t>
      </w:r>
      <w:r w:rsidR="00E94496">
        <w:rPr>
          <w:szCs w:val="22"/>
        </w:rPr>
        <w:t>Consistent with the Commission’s rules, “t</w:t>
      </w:r>
      <w:r w:rsidRPr="00E94496" w:rsidR="00E94496">
        <w:rPr>
          <w:szCs w:val="22"/>
        </w:rPr>
        <w:t>he provider must also retain documentation demonstrating that, having received such disclosures, the household provided affirmative consent to applying their Emergency Broadband Benefit to the service received from the EBB provider</w:t>
      </w:r>
      <w:r w:rsidR="00E94496">
        <w:rPr>
          <w:szCs w:val="22"/>
        </w:rPr>
        <w:t>.”</w:t>
      </w:r>
      <w:r>
        <w:rPr>
          <w:rStyle w:val="FootnoteReference"/>
          <w:szCs w:val="22"/>
        </w:rPr>
        <w:footnoteReference w:id="7"/>
      </w:r>
      <w:r w:rsidR="00E17781">
        <w:rPr>
          <w:szCs w:val="22"/>
        </w:rPr>
        <w:t xml:space="preserve">  Broadband providers may be required to provide such documentation to demonstrate compliance during an audit, validation</w:t>
      </w:r>
      <w:r w:rsidR="007C2B09">
        <w:rPr>
          <w:szCs w:val="22"/>
        </w:rPr>
        <w:t>,</w:t>
      </w:r>
      <w:r w:rsidR="00E17781">
        <w:rPr>
          <w:szCs w:val="22"/>
        </w:rPr>
        <w:t xml:space="preserve"> or investigation.</w:t>
      </w:r>
      <w:r w:rsidRPr="00987A71">
        <w:rPr>
          <w:szCs w:val="22"/>
        </w:rPr>
        <w:t xml:space="preserve"> </w:t>
      </w:r>
    </w:p>
    <w:p w:rsidR="009F7F80" w:rsidRPr="00725656" w:rsidP="009F7F80" w14:paraId="0EBA0CC5" w14:textId="77777777">
      <w:pPr>
        <w:rPr>
          <w:szCs w:val="22"/>
        </w:rPr>
      </w:pPr>
    </w:p>
    <w:p w:rsidR="009F7F80" w:rsidRPr="00010B6F" w:rsidP="00AF008F" w14:paraId="128888C2" w14:textId="10860A6B">
      <w:pPr>
        <w:keepNext/>
        <w:rPr>
          <w:b/>
          <w:color w:val="002060"/>
        </w:rPr>
      </w:pPr>
      <w:r>
        <w:rPr>
          <w:b/>
          <w:color w:val="002060"/>
        </w:rPr>
        <w:t>Connected Device Co-Pay</w:t>
      </w:r>
    </w:p>
    <w:p w:rsidR="009F7F80" w:rsidRPr="00725656" w:rsidP="00AF008F" w14:paraId="1AF32DE1" w14:textId="77777777">
      <w:pPr>
        <w:keepNext/>
        <w:rPr>
          <w:szCs w:val="22"/>
        </w:rPr>
      </w:pPr>
    </w:p>
    <w:p w:rsidR="00130F7E" w:rsidRPr="00130F7E" w:rsidP="00130F7E" w14:paraId="75687941" w14:textId="1216EACF">
      <w:pPr>
        <w:rPr>
          <w:szCs w:val="22"/>
        </w:rPr>
      </w:pPr>
      <w:r w:rsidRPr="00130F7E">
        <w:rPr>
          <w:szCs w:val="22"/>
        </w:rPr>
        <w:t>The Act and the Commission</w:t>
      </w:r>
      <w:r>
        <w:rPr>
          <w:szCs w:val="22"/>
        </w:rPr>
        <w:t>’</w:t>
      </w:r>
      <w:r w:rsidRPr="00130F7E">
        <w:rPr>
          <w:szCs w:val="22"/>
        </w:rPr>
        <w:t>s rules are clear that households must be charged a co-pay toward the cost of a subsidized connected device.</w:t>
      </w:r>
      <w:r>
        <w:rPr>
          <w:rStyle w:val="FootnoteReference"/>
          <w:szCs w:val="22"/>
        </w:rPr>
        <w:footnoteReference w:id="8"/>
      </w:r>
      <w:r w:rsidRPr="00130F7E">
        <w:rPr>
          <w:szCs w:val="22"/>
        </w:rPr>
        <w:t xml:space="preserve">  That is, a broadband provider must actually bill the customer </w:t>
      </w:r>
      <w:r w:rsidR="001841B7">
        <w:rPr>
          <w:szCs w:val="22"/>
        </w:rPr>
        <w:t xml:space="preserve">for the cost of the connected device </w:t>
      </w:r>
      <w:r w:rsidR="005E69C0">
        <w:rPr>
          <w:szCs w:val="22"/>
        </w:rPr>
        <w:t>more than</w:t>
      </w:r>
      <w:r w:rsidR="001841B7">
        <w:rPr>
          <w:szCs w:val="22"/>
        </w:rPr>
        <w:t xml:space="preserve"> $10</w:t>
      </w:r>
      <w:r w:rsidR="00F164D5">
        <w:rPr>
          <w:szCs w:val="22"/>
        </w:rPr>
        <w:t>.00</w:t>
      </w:r>
      <w:r w:rsidR="001841B7">
        <w:rPr>
          <w:szCs w:val="22"/>
        </w:rPr>
        <w:t xml:space="preserve"> but </w:t>
      </w:r>
      <w:r w:rsidR="00393ED3">
        <w:rPr>
          <w:szCs w:val="22"/>
        </w:rPr>
        <w:t>less</w:t>
      </w:r>
      <w:r w:rsidR="001841B7">
        <w:rPr>
          <w:szCs w:val="22"/>
        </w:rPr>
        <w:t xml:space="preserve"> than $50</w:t>
      </w:r>
      <w:r w:rsidR="00F164D5">
        <w:rPr>
          <w:szCs w:val="22"/>
        </w:rPr>
        <w:t>.00</w:t>
      </w:r>
      <w:r w:rsidR="001841B7">
        <w:rPr>
          <w:szCs w:val="22"/>
        </w:rPr>
        <w:t xml:space="preserve"> </w:t>
      </w:r>
      <w:r w:rsidRPr="00130F7E">
        <w:rPr>
          <w:szCs w:val="22"/>
        </w:rPr>
        <w:t xml:space="preserve">and </w:t>
      </w:r>
      <w:r w:rsidR="002C6924">
        <w:rPr>
          <w:szCs w:val="22"/>
        </w:rPr>
        <w:t>the household must make this payment as a contribution toward the cost</w:t>
      </w:r>
      <w:r w:rsidR="00085153">
        <w:rPr>
          <w:szCs w:val="22"/>
        </w:rPr>
        <w:t xml:space="preserve"> of the </w:t>
      </w:r>
      <w:r w:rsidR="00FC580F">
        <w:rPr>
          <w:szCs w:val="22"/>
        </w:rPr>
        <w:t>connected device</w:t>
      </w:r>
      <w:r w:rsidRPr="00130F7E">
        <w:rPr>
          <w:szCs w:val="22"/>
        </w:rPr>
        <w:t>.</w:t>
      </w:r>
      <w:r>
        <w:rPr>
          <w:rStyle w:val="FootnoteReference"/>
          <w:szCs w:val="22"/>
        </w:rPr>
        <w:footnoteReference w:id="9"/>
      </w:r>
      <w:r w:rsidRPr="00130F7E">
        <w:rPr>
          <w:szCs w:val="22"/>
        </w:rPr>
        <w:t xml:space="preserve">  Advertising “free” connected devices as part of the EBB program is inconsistent with the program rules, misleading to customers, and could provide an unfair competitive advantage over other participating broadband providers charging the required co-pay.</w:t>
      </w:r>
      <w:r>
        <w:rPr>
          <w:rStyle w:val="FootnoteReference"/>
          <w:szCs w:val="22"/>
        </w:rPr>
        <w:footnoteReference w:id="10"/>
      </w:r>
      <w:r w:rsidRPr="00130F7E">
        <w:rPr>
          <w:szCs w:val="22"/>
        </w:rPr>
        <w:t xml:space="preserve">  Providers </w:t>
      </w:r>
      <w:r w:rsidR="00057D74">
        <w:rPr>
          <w:szCs w:val="22"/>
        </w:rPr>
        <w:t>can</w:t>
      </w:r>
      <w:r w:rsidRPr="00130F7E">
        <w:rPr>
          <w:szCs w:val="22"/>
        </w:rPr>
        <w:t xml:space="preserve">not use a scheme by which subscribers earn “credits” that can be applied toward the subscriber portion of the shared cost of a connected device to </w:t>
      </w:r>
      <w:r w:rsidR="00EB5414">
        <w:rPr>
          <w:szCs w:val="22"/>
        </w:rPr>
        <w:t>avoid</w:t>
      </w:r>
      <w:r w:rsidRPr="00130F7E">
        <w:rPr>
          <w:szCs w:val="22"/>
        </w:rPr>
        <w:t xml:space="preserve"> the requirement that they </w:t>
      </w:r>
      <w:r w:rsidRPr="00130F7E">
        <w:rPr>
          <w:szCs w:val="22"/>
        </w:rPr>
        <w:t>collect payment from their customers.  Similarly, a broadband provider cannot be said to be charging a co-pay if it universally or generally waives such charge</w:t>
      </w:r>
      <w:r w:rsidR="000C4794">
        <w:rPr>
          <w:szCs w:val="22"/>
        </w:rPr>
        <w:t>s</w:t>
      </w:r>
      <w:r w:rsidRPr="00130F7E">
        <w:rPr>
          <w:szCs w:val="22"/>
        </w:rPr>
        <w:t xml:space="preserve"> for its subscribers</w:t>
      </w:r>
      <w:r w:rsidR="007E728F">
        <w:rPr>
          <w:szCs w:val="22"/>
        </w:rPr>
        <w:t xml:space="preserve">, </w:t>
      </w:r>
      <w:r w:rsidR="00FA62D3">
        <w:rPr>
          <w:szCs w:val="22"/>
        </w:rPr>
        <w:t>because the eligible household must contribute toward the cost of the connected device</w:t>
      </w:r>
      <w:r w:rsidRPr="00130F7E">
        <w:rPr>
          <w:szCs w:val="22"/>
        </w:rPr>
        <w:t>.</w:t>
      </w:r>
      <w:r>
        <w:rPr>
          <w:rStyle w:val="FootnoteReference"/>
          <w:szCs w:val="22"/>
        </w:rPr>
        <w:footnoteReference w:id="11"/>
      </w:r>
      <w:r w:rsidRPr="00130F7E">
        <w:rPr>
          <w:szCs w:val="22"/>
        </w:rPr>
        <w:t xml:space="preserve">  Broadband providers </w:t>
      </w:r>
      <w:r w:rsidR="00366A0A">
        <w:rPr>
          <w:szCs w:val="22"/>
        </w:rPr>
        <w:t xml:space="preserve">seeking reimbursement </w:t>
      </w:r>
      <w:r w:rsidRPr="00130F7E">
        <w:rPr>
          <w:szCs w:val="22"/>
        </w:rPr>
        <w:t>must certify</w:t>
      </w:r>
      <w:r w:rsidR="002C4BB9">
        <w:rPr>
          <w:szCs w:val="22"/>
        </w:rPr>
        <w:t>, among other things,</w:t>
      </w:r>
      <w:r w:rsidRPr="00130F7E">
        <w:rPr>
          <w:szCs w:val="22"/>
        </w:rPr>
        <w:t xml:space="preserve"> that </w:t>
      </w:r>
      <w:r w:rsidR="00366A0A">
        <w:rPr>
          <w:szCs w:val="22"/>
        </w:rPr>
        <w:t>they charged each household more than $10.00 but less than $50.00 for each connected device,</w:t>
      </w:r>
      <w:r>
        <w:rPr>
          <w:rStyle w:val="FootnoteReference"/>
          <w:szCs w:val="22"/>
        </w:rPr>
        <w:footnoteReference w:id="12"/>
      </w:r>
      <w:r w:rsidR="00366A0A">
        <w:rPr>
          <w:szCs w:val="22"/>
        </w:rPr>
        <w:t xml:space="preserve"> and that they retained documentation</w:t>
      </w:r>
      <w:r w:rsidR="00500CBD">
        <w:rPr>
          <w:szCs w:val="22"/>
        </w:rPr>
        <w:t xml:space="preserve"> demonstrating compliance with this requirement</w:t>
      </w:r>
      <w:r w:rsidR="009C1B65">
        <w:rPr>
          <w:szCs w:val="22"/>
        </w:rPr>
        <w:t>, which is subject to audit</w:t>
      </w:r>
      <w:r w:rsidRPr="00130F7E">
        <w:rPr>
          <w:szCs w:val="22"/>
        </w:rPr>
        <w:t>.</w:t>
      </w:r>
      <w:r>
        <w:rPr>
          <w:rStyle w:val="FootnoteReference"/>
          <w:szCs w:val="22"/>
        </w:rPr>
        <w:footnoteReference w:id="13"/>
      </w:r>
      <w:r w:rsidRPr="00130F7E">
        <w:rPr>
          <w:szCs w:val="22"/>
        </w:rPr>
        <w:t xml:space="preserve">  </w:t>
      </w:r>
    </w:p>
    <w:p w:rsidR="00130F7E" w:rsidRPr="00130F7E" w:rsidP="00130F7E" w14:paraId="4400A2EE" w14:textId="77777777">
      <w:pPr>
        <w:rPr>
          <w:szCs w:val="22"/>
        </w:rPr>
      </w:pPr>
    </w:p>
    <w:p w:rsidR="009F7F80" w:rsidRPr="006F1948" w:rsidP="00725656" w14:paraId="76B9E1EA" w14:textId="77777777">
      <w:pPr>
        <w:keepNext/>
        <w:rPr>
          <w:b/>
          <w:color w:val="4472C4" w:themeColor="accent1"/>
          <w:szCs w:val="22"/>
        </w:rPr>
      </w:pPr>
      <w:r w:rsidRPr="00010B6F">
        <w:rPr>
          <w:b/>
          <w:color w:val="002060"/>
        </w:rPr>
        <w:t>Need More Information?</w:t>
      </w:r>
      <w:r w:rsidRPr="00010B6F" w:rsidR="00010B6F">
        <w:rPr>
          <w:b/>
          <w:color w:val="002060"/>
        </w:rPr>
        <w:t xml:space="preserve"> </w:t>
      </w:r>
    </w:p>
    <w:p w:rsidR="009F7F80" w:rsidRPr="00725656" w:rsidP="00725656" w14:paraId="541CB3FC" w14:textId="77777777">
      <w:pPr>
        <w:keepNext/>
        <w:rPr>
          <w:szCs w:val="22"/>
        </w:rPr>
      </w:pPr>
      <w:bookmarkStart w:id="0" w:name="TOChere"/>
    </w:p>
    <w:bookmarkEnd w:id="0"/>
    <w:p w:rsidR="009F7F80" w:rsidRPr="00725656" w:rsidP="00725656" w14:paraId="6C31ACA0" w14:textId="51E129FD">
      <w:pPr>
        <w:keepNext/>
        <w:rPr>
          <w:szCs w:val="22"/>
        </w:rPr>
      </w:pPr>
      <w:r w:rsidRPr="003826F9">
        <w:rPr>
          <w:szCs w:val="22"/>
        </w:rPr>
        <w:t xml:space="preserve">Media inquiries should be directed to Will Wiquist of the Office of Media Relations at: </w:t>
      </w:r>
      <w:r>
        <w:rPr>
          <w:szCs w:val="22"/>
        </w:rPr>
        <w:t xml:space="preserve"> </w:t>
      </w:r>
      <w:r w:rsidRPr="003826F9">
        <w:rPr>
          <w:szCs w:val="22"/>
        </w:rPr>
        <w:t xml:space="preserve">(202) 418-0509, or by e-mail, at: </w:t>
      </w:r>
      <w:hyperlink r:id="rId5" w:history="1">
        <w:r w:rsidRPr="00F639A4">
          <w:rPr>
            <w:rStyle w:val="Hyperlink"/>
            <w:szCs w:val="22"/>
          </w:rPr>
          <w:t>Will.Wiquist@fcc.gov</w:t>
        </w:r>
      </w:hyperlink>
      <w:r w:rsidRPr="003826F9">
        <w:rPr>
          <w:szCs w:val="22"/>
        </w:rPr>
        <w:t>.</w:t>
      </w:r>
      <w:r>
        <w:rPr>
          <w:szCs w:val="22"/>
        </w:rPr>
        <w:t xml:space="preserve">  </w:t>
      </w:r>
      <w:r w:rsidRPr="00725656" w:rsidR="007A2AA3">
        <w:rPr>
          <w:szCs w:val="22"/>
        </w:rPr>
        <w:t xml:space="preserve">Questions about this Enforcement Advisory should be directed to </w:t>
      </w:r>
      <w:r>
        <w:rPr>
          <w:szCs w:val="22"/>
        </w:rPr>
        <w:t xml:space="preserve">the </w:t>
      </w:r>
      <w:r>
        <w:t>Investigations and Hearings Division of the Enforcement Bureau at</w:t>
      </w:r>
      <w:r>
        <w:t xml:space="preserve">: </w:t>
      </w:r>
      <w:r>
        <w:t xml:space="preserve"> </w:t>
      </w:r>
      <w:r>
        <w:t>(</w:t>
      </w:r>
      <w:r>
        <w:t xml:space="preserve">202) 418-1420, or by e-mail, </w:t>
      </w:r>
      <w:r w:rsidRPr="003826F9">
        <w:rPr>
          <w:rStyle w:val="Hyperlink"/>
          <w:szCs w:val="22"/>
        </w:rPr>
        <w:t>EnforcementBureau-IHD@fcc.gov</w:t>
      </w:r>
      <w:r w:rsidRPr="00725656" w:rsidR="007A2AA3">
        <w:rPr>
          <w:szCs w:val="22"/>
        </w:rPr>
        <w:t xml:space="preserve">, or </w:t>
      </w:r>
      <w:r w:rsidR="00DF594F">
        <w:rPr>
          <w:szCs w:val="22"/>
        </w:rPr>
        <w:t>Eric Wu</w:t>
      </w:r>
      <w:r w:rsidRPr="00725656" w:rsidR="007A2AA3">
        <w:rPr>
          <w:szCs w:val="22"/>
        </w:rPr>
        <w:t>, Wireline Competition Bureau, at (202) 418-</w:t>
      </w:r>
      <w:r w:rsidR="00DF594F">
        <w:rPr>
          <w:szCs w:val="22"/>
        </w:rPr>
        <w:t>1543</w:t>
      </w:r>
      <w:r w:rsidRPr="00725656" w:rsidR="007A2AA3">
        <w:rPr>
          <w:szCs w:val="22"/>
        </w:rPr>
        <w:t xml:space="preserve"> or </w:t>
      </w:r>
      <w:r w:rsidRPr="003826F9" w:rsidR="00DF594F">
        <w:rPr>
          <w:rStyle w:val="Hyperlink"/>
        </w:rPr>
        <w:t>Eric.Wu@fcc.gov</w:t>
      </w:r>
      <w:r w:rsidR="009A2A1B">
        <w:rPr>
          <w:szCs w:val="22"/>
        </w:rPr>
        <w:t>.</w:t>
      </w:r>
      <w:r w:rsidRPr="00725656" w:rsidR="007A2AA3">
        <w:rPr>
          <w:szCs w:val="22"/>
        </w:rPr>
        <w:t xml:space="preserve">  </w:t>
      </w:r>
    </w:p>
    <w:p w:rsidR="009F7F80" w:rsidRPr="00725656" w:rsidP="009F7F80" w14:paraId="48B86D69" w14:textId="77777777">
      <w:pPr>
        <w:rPr>
          <w:szCs w:val="22"/>
        </w:rPr>
      </w:pPr>
    </w:p>
    <w:p w:rsidR="009F7F80" w:rsidRPr="00725656" w:rsidP="009F7F80" w14:paraId="664A3593" w14:textId="08419868">
      <w:pPr>
        <w:rPr>
          <w:szCs w:val="22"/>
        </w:rPr>
      </w:pPr>
      <w:r w:rsidRPr="00725656">
        <w:rPr>
          <w:szCs w:val="22"/>
        </w:rPr>
        <w:t>To request materials in accessible formats for people with disabilities (Braille, large print, electronic files, or audio format), send an e</w:t>
      </w:r>
      <w:r w:rsidR="003826F9">
        <w:rPr>
          <w:szCs w:val="22"/>
        </w:rPr>
        <w:t>-</w:t>
      </w:r>
      <w:r w:rsidRPr="00725656">
        <w:rPr>
          <w:szCs w:val="22"/>
        </w:rPr>
        <w:t xml:space="preserve">mail to </w:t>
      </w:r>
      <w:hyperlink r:id="rId6" w:history="1">
        <w:r w:rsidRPr="00135044" w:rsidR="00E422C9">
          <w:rPr>
            <w:rStyle w:val="Hyperlink"/>
            <w:szCs w:val="22"/>
          </w:rPr>
          <w:t>fcc504@fcc.gov</w:t>
        </w:r>
      </w:hyperlink>
      <w:r w:rsidRPr="00725656">
        <w:rPr>
          <w:szCs w:val="22"/>
        </w:rPr>
        <w:t xml:space="preserve"> or call the Consumer and Governmental Affairs Bureau at </w:t>
      </w:r>
      <w:r w:rsidR="003826F9">
        <w:rPr>
          <w:szCs w:val="22"/>
        </w:rPr>
        <w:t>(</w:t>
      </w:r>
      <w:r w:rsidRPr="00725656">
        <w:rPr>
          <w:szCs w:val="22"/>
        </w:rPr>
        <w:t>202</w:t>
      </w:r>
      <w:r w:rsidR="003826F9">
        <w:rPr>
          <w:szCs w:val="22"/>
        </w:rPr>
        <w:t xml:space="preserve">) </w:t>
      </w:r>
      <w:r w:rsidRPr="00725656">
        <w:rPr>
          <w:szCs w:val="22"/>
        </w:rPr>
        <w:t>418-0530 (voice)</w:t>
      </w:r>
      <w:r w:rsidR="00066F0F">
        <w:rPr>
          <w:szCs w:val="22"/>
        </w:rPr>
        <w:t>.</w:t>
      </w:r>
      <w:r w:rsidRPr="00725656">
        <w:rPr>
          <w:szCs w:val="22"/>
        </w:rPr>
        <w:t xml:space="preserve">  You may also contact the Enforcement Bureau on its TTY line at (202) 418-1148 for further information about this Enforcement Advisory.</w:t>
      </w:r>
    </w:p>
    <w:p w:rsidR="009F7F80" w:rsidRPr="00725656" w:rsidP="009F7F80" w14:paraId="47F63FD6" w14:textId="77777777">
      <w:pPr>
        <w:rPr>
          <w:szCs w:val="22"/>
        </w:rPr>
      </w:pPr>
    </w:p>
    <w:p w:rsidR="009F7F80" w:rsidRPr="00725656" w:rsidP="009F7F80" w14:paraId="4CFBE31C" w14:textId="77777777">
      <w:pPr>
        <w:rPr>
          <w:szCs w:val="22"/>
        </w:rPr>
      </w:pPr>
    </w:p>
    <w:p w:rsidR="009F7F80" w:rsidRPr="00725656" w:rsidP="009F7F80" w14:paraId="7644985D" w14:textId="650D2ABD">
      <w:pPr>
        <w:jc w:val="right"/>
        <w:rPr>
          <w:szCs w:val="22"/>
        </w:rPr>
      </w:pPr>
      <w:r w:rsidRPr="00725656">
        <w:rPr>
          <w:szCs w:val="22"/>
        </w:rPr>
        <w:t xml:space="preserve">Issued by: </w:t>
      </w:r>
      <w:r w:rsidR="00C62E8E">
        <w:rPr>
          <w:szCs w:val="22"/>
        </w:rPr>
        <w:t xml:space="preserve"> </w:t>
      </w:r>
      <w:r w:rsidRPr="00725656">
        <w:rPr>
          <w:szCs w:val="22"/>
        </w:rPr>
        <w:t xml:space="preserve">Chief, Enforcement Bureau </w:t>
      </w:r>
    </w:p>
    <w:p w:rsidR="009F7F80" w:rsidRPr="00725656" w:rsidP="009F7F80" w14:paraId="409616E7" w14:textId="77777777">
      <w:pPr>
        <w:rPr>
          <w:szCs w:val="22"/>
        </w:rPr>
      </w:pPr>
    </w:p>
    <w:p w:rsidR="009F7F80" w:rsidRPr="00725656" w:rsidP="009F7F80" w14:paraId="58F98424" w14:textId="77777777">
      <w:pPr>
        <w:rPr>
          <w:szCs w:val="22"/>
        </w:rPr>
      </w:pPr>
    </w:p>
    <w:p w:rsidR="00930ECF" w:rsidRPr="00725656" w:rsidP="00F96F63" w14:paraId="774F4C51"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2BC2D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2702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EB74C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DF6916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3996" w14:paraId="796AD062" w14:textId="77777777">
      <w:r>
        <w:separator/>
      </w:r>
    </w:p>
  </w:footnote>
  <w:footnote w:type="continuationSeparator" w:id="1">
    <w:p w:rsidR="00C83996" w14:paraId="70487784" w14:textId="77777777">
      <w:pPr>
        <w:rPr>
          <w:sz w:val="20"/>
        </w:rPr>
      </w:pPr>
      <w:r>
        <w:continuationSeparator/>
      </w:r>
    </w:p>
  </w:footnote>
  <w:footnote w:type="continuationNotice" w:id="2">
    <w:p w:rsidR="00C83996" w:rsidP="00910F12" w14:paraId="4180B47D" w14:textId="77777777">
      <w:pPr>
        <w:jc w:val="right"/>
        <w:rPr>
          <w:sz w:val="20"/>
        </w:rPr>
      </w:pPr>
    </w:p>
  </w:footnote>
  <w:footnote w:id="3">
    <w:p w:rsidR="00215D7E" w14:paraId="6E93C3CB" w14:textId="67C80151">
      <w:pPr>
        <w:pStyle w:val="FootnoteText"/>
      </w:pPr>
      <w:r>
        <w:rPr>
          <w:rStyle w:val="FootnoteReference"/>
        </w:rPr>
        <w:footnoteRef/>
      </w:r>
      <w:r>
        <w:t xml:space="preserve"> </w:t>
      </w:r>
      <w:r w:rsidRPr="00215D7E">
        <w:t xml:space="preserve">Consolidated Appropriations Act, 2021, Pub. L. No. 116-260, div. N, tit. IX, § 904, 134 Stat. 1182, 2130 (2020), </w:t>
      </w:r>
      <w:r w:rsidRPr="00215D7E">
        <w:rPr>
          <w:i/>
          <w:iCs/>
        </w:rPr>
        <w:t>available at</w:t>
      </w:r>
      <w:r w:rsidRPr="00215D7E">
        <w:t xml:space="preserve"> </w:t>
      </w:r>
      <w:hyperlink r:id="rId1" w:history="1">
        <w:r w:rsidRPr="00215D7E">
          <w:rPr>
            <w:rStyle w:val="Hyperlink"/>
          </w:rPr>
          <w:t>https://www.congress.gov/bill/116th-congress/house-bill/133/text</w:t>
        </w:r>
      </w:hyperlink>
      <w:r w:rsidR="00FB0165">
        <w:t xml:space="preserve"> (Consolidated Appropriations Act).</w:t>
      </w:r>
      <w:r w:rsidR="00C71E54">
        <w:t xml:space="preserve"> </w:t>
      </w:r>
    </w:p>
  </w:footnote>
  <w:footnote w:id="4">
    <w:p w:rsidR="00215D7E" w14:paraId="54FD1D2F" w14:textId="5230123D">
      <w:pPr>
        <w:pStyle w:val="FootnoteText"/>
      </w:pPr>
      <w:r>
        <w:rPr>
          <w:rStyle w:val="FootnoteReference"/>
        </w:rPr>
        <w:footnoteRef/>
      </w:r>
      <w:r>
        <w:t xml:space="preserve"> </w:t>
      </w:r>
      <w:r w:rsidR="00D17366">
        <w:t>47 CFR §</w:t>
      </w:r>
      <w:r w:rsidR="007C2B09">
        <w:t>§</w:t>
      </w:r>
      <w:r w:rsidR="00D17366">
        <w:t xml:space="preserve"> 54.</w:t>
      </w:r>
      <w:r w:rsidR="00C71E54">
        <w:t>1603(b)</w:t>
      </w:r>
      <w:r w:rsidR="00294C9D">
        <w:t>, 54.1608(d).</w:t>
      </w:r>
    </w:p>
  </w:footnote>
  <w:footnote w:id="5">
    <w:p w:rsidR="008D0DD1" w14:paraId="29948906" w14:textId="18B1E404">
      <w:pPr>
        <w:pStyle w:val="FootnoteText"/>
      </w:pPr>
      <w:r>
        <w:rPr>
          <w:rStyle w:val="FootnoteReference"/>
        </w:rPr>
        <w:footnoteRef/>
      </w:r>
      <w:r>
        <w:t xml:space="preserve"> </w:t>
      </w:r>
      <w:r w:rsidR="00544DB7">
        <w:t>47 CFR § 54.1606(d)(6).</w:t>
      </w:r>
    </w:p>
  </w:footnote>
  <w:footnote w:id="6">
    <w:p w:rsidR="00544DB7" w14:paraId="444ED38C" w14:textId="236060F8">
      <w:pPr>
        <w:pStyle w:val="FootnoteText"/>
      </w:pPr>
      <w:r>
        <w:rPr>
          <w:rStyle w:val="FootnoteReference"/>
        </w:rPr>
        <w:footnoteRef/>
      </w:r>
      <w:r>
        <w:t xml:space="preserve"> </w:t>
      </w:r>
      <w:r w:rsidRPr="008C53B5" w:rsidR="008C53B5">
        <w:rPr>
          <w:i/>
          <w:iCs/>
        </w:rPr>
        <w:t>See Emergency Broadband Benefit Program</w:t>
      </w:r>
      <w:r w:rsidRPr="008C53B5" w:rsidR="008C53B5">
        <w:t>, WC Docket No. 20-445, Report and Order, FCC 21-29 (2021) (</w:t>
      </w:r>
      <w:r w:rsidRPr="008C53B5" w:rsidR="008C53B5">
        <w:rPr>
          <w:i/>
          <w:iCs/>
        </w:rPr>
        <w:t>EBB Program Order</w:t>
      </w:r>
      <w:r w:rsidRPr="008C53B5" w:rsidR="008C53B5">
        <w:t>)</w:t>
      </w:r>
      <w:r w:rsidR="008C53B5">
        <w:t xml:space="preserve"> a</w:t>
      </w:r>
      <w:r w:rsidR="00C569AC">
        <w:t>t para. 38.</w:t>
      </w:r>
    </w:p>
  </w:footnote>
  <w:footnote w:id="7">
    <w:p w:rsidR="00E94496" w14:paraId="2A4D1063" w14:textId="70F62143">
      <w:pPr>
        <w:pStyle w:val="FootnoteText"/>
      </w:pPr>
      <w:r>
        <w:rPr>
          <w:rStyle w:val="FootnoteReference"/>
        </w:rPr>
        <w:footnoteRef/>
      </w:r>
      <w:r>
        <w:t xml:space="preserve"> </w:t>
      </w:r>
      <w:r w:rsidRPr="00E92AF8">
        <w:rPr>
          <w:i/>
          <w:iCs/>
        </w:rPr>
        <w:t>Id</w:t>
      </w:r>
      <w:r>
        <w:t>.</w:t>
      </w:r>
    </w:p>
  </w:footnote>
  <w:footnote w:id="8">
    <w:p w:rsidR="00591A8C" w14:paraId="6C820435" w14:textId="5FCB9466">
      <w:pPr>
        <w:pStyle w:val="FootnoteText"/>
      </w:pPr>
      <w:r>
        <w:rPr>
          <w:rStyle w:val="FootnoteReference"/>
        </w:rPr>
        <w:footnoteRef/>
      </w:r>
      <w:r>
        <w:t xml:space="preserve"> </w:t>
      </w:r>
      <w:r w:rsidRPr="00FB0165" w:rsidR="00FB0165">
        <w:t>Consolidated Appropriations Act, div. N, tit. IX, § 904(b)(4)</w:t>
      </w:r>
      <w:r w:rsidR="00FB0165">
        <w:t xml:space="preserve">; </w:t>
      </w:r>
      <w:r w:rsidR="008F2E3C">
        <w:t>47 CFR § 54.1603(b)</w:t>
      </w:r>
      <w:r w:rsidR="00FB0165">
        <w:t>,</w:t>
      </w:r>
      <w:r w:rsidR="008F2E3C">
        <w:t xml:space="preserve"> </w:t>
      </w:r>
      <w:r w:rsidR="00594C7F">
        <w:t>54.1608</w:t>
      </w:r>
      <w:r>
        <w:t>(e)(7)</w:t>
      </w:r>
      <w:r w:rsidR="00475DCB">
        <w:t>.</w:t>
      </w:r>
    </w:p>
  </w:footnote>
  <w:footnote w:id="9">
    <w:p w:rsidR="001841B7" w14:paraId="3E4C6B6A" w14:textId="4C71D991">
      <w:pPr>
        <w:pStyle w:val="FootnoteText"/>
      </w:pPr>
      <w:r>
        <w:rPr>
          <w:rStyle w:val="FootnoteReference"/>
        </w:rPr>
        <w:footnoteRef/>
      </w:r>
      <w:r>
        <w:t xml:space="preserve"> </w:t>
      </w:r>
      <w:r w:rsidRPr="002C6924">
        <w:rPr>
          <w:i/>
          <w:iCs/>
        </w:rPr>
        <w:t>EBB Program Order</w:t>
      </w:r>
      <w:r>
        <w:t xml:space="preserve"> at para. 81.</w:t>
      </w:r>
    </w:p>
  </w:footnote>
  <w:footnote w:id="10">
    <w:p w:rsidR="002C6924" w14:paraId="59272D5B" w14:textId="64D757AE">
      <w:pPr>
        <w:pStyle w:val="FootnoteText"/>
      </w:pPr>
      <w:r>
        <w:rPr>
          <w:rStyle w:val="FootnoteReference"/>
        </w:rPr>
        <w:footnoteRef/>
      </w:r>
      <w:r>
        <w:t xml:space="preserve"> </w:t>
      </w:r>
      <w:r w:rsidRPr="00130F7E">
        <w:t xml:space="preserve">We note that broadband providers </w:t>
      </w:r>
      <w:r>
        <w:t>a</w:t>
      </w:r>
      <w:r w:rsidRPr="00130F7E">
        <w:t xml:space="preserve">re required to disclose their standard rates, including rates for connected devices, in their Election Notice filed with </w:t>
      </w:r>
      <w:r w:rsidR="003D130B">
        <w:t>the Universal Service Administration Company</w:t>
      </w:r>
      <w:r w:rsidRPr="00130F7E">
        <w:t xml:space="preserve">.  We reiterate that </w:t>
      </w:r>
      <w:r>
        <w:t>“</w:t>
      </w:r>
      <w:r w:rsidRPr="00130F7E">
        <w:t>providing materially false information in the election notice will disqualify a provider from participation in the EBB Program.</w:t>
      </w:r>
      <w:r w:rsidR="0056598F">
        <w:t>”</w:t>
      </w:r>
      <w:r w:rsidRPr="00130F7E">
        <w:t xml:space="preserve"> </w:t>
      </w:r>
      <w:r w:rsidR="0056598F">
        <w:t xml:space="preserve"> </w:t>
      </w:r>
      <w:r w:rsidRPr="002C6924">
        <w:rPr>
          <w:i/>
          <w:iCs/>
        </w:rPr>
        <w:t>EBB Program Order</w:t>
      </w:r>
      <w:r>
        <w:t xml:space="preserve"> at </w:t>
      </w:r>
      <w:r w:rsidRPr="00130F7E">
        <w:t>para. 21</w:t>
      </w:r>
      <w:r w:rsidR="00AC17E4">
        <w:t>.</w:t>
      </w:r>
    </w:p>
  </w:footnote>
  <w:footnote w:id="11">
    <w:p w:rsidR="007E728F" w14:paraId="30E0375A" w14:textId="6F1AC701">
      <w:pPr>
        <w:pStyle w:val="FootnoteText"/>
      </w:pPr>
      <w:r>
        <w:rPr>
          <w:rStyle w:val="FootnoteReference"/>
        </w:rPr>
        <w:footnoteRef/>
      </w:r>
      <w:r>
        <w:t xml:space="preserve"> </w:t>
      </w:r>
      <w:r w:rsidRPr="00E569F2" w:rsidR="00FA62D3">
        <w:rPr>
          <w:i/>
          <w:iCs/>
        </w:rPr>
        <w:t>See</w:t>
      </w:r>
      <w:r w:rsidR="00FA62D3">
        <w:t xml:space="preserve"> </w:t>
      </w:r>
      <w:r w:rsidR="00FA62D3">
        <w:rPr>
          <w:i/>
          <w:iCs/>
        </w:rPr>
        <w:t>EBB Program Order</w:t>
      </w:r>
      <w:r w:rsidR="00FA62D3">
        <w:t xml:space="preserve"> at para. 81</w:t>
      </w:r>
      <w:r w:rsidR="00591A8C">
        <w:t>.</w:t>
      </w:r>
    </w:p>
  </w:footnote>
  <w:footnote w:id="12">
    <w:p w:rsidR="00366A0A" w14:paraId="7D3CCB43" w14:textId="54C1E831">
      <w:pPr>
        <w:pStyle w:val="FootnoteText"/>
      </w:pPr>
      <w:r>
        <w:rPr>
          <w:rStyle w:val="FootnoteReference"/>
        </w:rPr>
        <w:footnoteRef/>
      </w:r>
      <w:r>
        <w:t xml:space="preserve"> 47 CFR </w:t>
      </w:r>
      <w:r w:rsidR="009C1B65">
        <w:t xml:space="preserve">§ </w:t>
      </w:r>
      <w:r>
        <w:t>54.1608(e)(7).</w:t>
      </w:r>
    </w:p>
  </w:footnote>
  <w:footnote w:id="13">
    <w:p w:rsidR="009C1B65" w14:paraId="1CA3969B" w14:textId="77EA9F19">
      <w:pPr>
        <w:pStyle w:val="FootnoteText"/>
      </w:pPr>
      <w:r>
        <w:rPr>
          <w:rStyle w:val="FootnoteReference"/>
        </w:rPr>
        <w:footnoteRef/>
      </w:r>
      <w:r>
        <w:t xml:space="preserve"> 47 CFR § 54.1608(e)(11).  </w:t>
      </w:r>
      <w:r w:rsidRPr="009C1B65">
        <w:rPr>
          <w:i/>
          <w:iCs/>
        </w:rPr>
        <w:t>See also EBB Program Order</w:t>
      </w:r>
      <w:r>
        <w:t xml:space="preserve"> at para. 97 (“</w:t>
      </w:r>
      <w:r w:rsidRPr="009C1B65">
        <w:t>We find that requiring certifications under penalty of perjury along with the possibility of an audit will help to encourage compliance with EBB Program requirements and reduce the incidence of improper payments.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5D98EF3" w14:textId="63058005">
    <w:pPr>
      <w:tabs>
        <w:tab w:val="center" w:pos="4680"/>
        <w:tab w:val="right" w:pos="9360"/>
      </w:tabs>
    </w:pPr>
    <w:r w:rsidRPr="009838BC">
      <w:rPr>
        <w:b/>
      </w:rPr>
      <w:tab/>
      <w:t>Federal Communications Commission</w:t>
    </w:r>
    <w:r w:rsidRPr="009838BC">
      <w:rPr>
        <w:b/>
      </w:rPr>
      <w:tab/>
    </w:r>
    <w:r w:rsidR="0000414B">
      <w:rPr>
        <w:b/>
      </w:rPr>
      <w:t xml:space="preserve">DA </w:t>
    </w:r>
    <w:r w:rsidR="00130F7E">
      <w:rPr>
        <w:b/>
      </w:rPr>
      <w:t>21-</w:t>
    </w:r>
    <w:r w:rsidR="00C62E8E">
      <w:rPr>
        <w:b/>
      </w:rPr>
      <w:t>551</w:t>
    </w:r>
  </w:p>
  <w:p w:rsidR="009838BC" w:rsidRPr="009838BC" w:rsidP="009838BC" w14:paraId="464DE5A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5702EA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5A7E2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7A71" w:rsidRPr="002D783A" w:rsidP="00987A71" w14:textId="77777777">
                          <w:pPr>
                            <w:rPr>
                              <w:rFonts w:ascii="Arial" w:hAnsi="Arial" w:cs="Arial"/>
                              <w:b/>
                            </w:rPr>
                          </w:pPr>
                          <w:r w:rsidRPr="002D783A">
                            <w:rPr>
                              <w:rFonts w:ascii="Arial" w:hAnsi="Arial" w:cs="Arial"/>
                              <w:b/>
                            </w:rPr>
                            <w:t xml:space="preserve">45 </w:t>
                          </w:r>
                          <w:r>
                            <w:rPr>
                              <w:rFonts w:ascii="Arial" w:hAnsi="Arial" w:cs="Arial"/>
                              <w:b/>
                            </w:rPr>
                            <w:t>L S</w:t>
                          </w:r>
                          <w:r w:rsidRPr="002D783A">
                            <w:rPr>
                              <w:rFonts w:ascii="Arial" w:hAnsi="Arial" w:cs="Arial"/>
                              <w:b/>
                            </w:rPr>
                            <w:t xml:space="preserve">treet, </w:t>
                          </w:r>
                          <w:r>
                            <w:rPr>
                              <w:rFonts w:ascii="Arial" w:hAnsi="Arial" w:cs="Arial"/>
                              <w:b/>
                            </w:rPr>
                            <w:t>NE</w:t>
                          </w:r>
                        </w:p>
                        <w:p w:rsidR="00987A71" w:rsidRPr="002D783A" w:rsidP="00987A71" w14:textId="77777777">
                          <w:pPr>
                            <w:rPr>
                              <w:rFonts w:ascii="Arial" w:hAnsi="Arial" w:cs="Arial"/>
                              <w:sz w:val="24"/>
                            </w:rPr>
                          </w:pPr>
                          <w:r w:rsidRPr="002D783A">
                            <w:rPr>
                              <w:rFonts w:ascii="Arial" w:hAnsi="Arial" w:cs="Arial"/>
                              <w:b/>
                            </w:rPr>
                            <w:t>Washington, D.C. 20554</w:t>
                          </w:r>
                        </w:p>
                        <w:p w:rsidR="009838BC" w:rsidP="009838BC" w14:textId="0A8A40E9">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CB27706" w14:textId="77777777">
                    <w:pPr>
                      <w:rPr>
                        <w:rFonts w:ascii="Arial" w:hAnsi="Arial"/>
                        <w:b/>
                      </w:rPr>
                    </w:pPr>
                    <w:r>
                      <w:rPr>
                        <w:rFonts w:ascii="Arial" w:hAnsi="Arial"/>
                        <w:b/>
                      </w:rPr>
                      <w:t>Federal Communications Commission</w:t>
                    </w:r>
                  </w:p>
                  <w:p w:rsidR="00987A71" w:rsidRPr="002D783A" w:rsidP="00987A71" w14:paraId="79AC750A" w14:textId="77777777">
                    <w:pPr>
                      <w:rPr>
                        <w:rFonts w:ascii="Arial" w:hAnsi="Arial" w:cs="Arial"/>
                        <w:b/>
                      </w:rPr>
                    </w:pPr>
                    <w:r w:rsidRPr="002D783A">
                      <w:rPr>
                        <w:rFonts w:ascii="Arial" w:hAnsi="Arial" w:cs="Arial"/>
                        <w:b/>
                      </w:rPr>
                      <w:t xml:space="preserve">45 </w:t>
                    </w:r>
                    <w:r>
                      <w:rPr>
                        <w:rFonts w:ascii="Arial" w:hAnsi="Arial" w:cs="Arial"/>
                        <w:b/>
                      </w:rPr>
                      <w:t>L S</w:t>
                    </w:r>
                    <w:r w:rsidRPr="002D783A">
                      <w:rPr>
                        <w:rFonts w:ascii="Arial" w:hAnsi="Arial" w:cs="Arial"/>
                        <w:b/>
                      </w:rPr>
                      <w:t xml:space="preserve">treet, </w:t>
                    </w:r>
                    <w:r>
                      <w:rPr>
                        <w:rFonts w:ascii="Arial" w:hAnsi="Arial" w:cs="Arial"/>
                        <w:b/>
                      </w:rPr>
                      <w:t>NE</w:t>
                    </w:r>
                  </w:p>
                  <w:p w:rsidR="00987A71" w:rsidRPr="002D783A" w:rsidP="00987A71" w14:paraId="6812FB70" w14:textId="77777777">
                    <w:pPr>
                      <w:rPr>
                        <w:rFonts w:ascii="Arial" w:hAnsi="Arial" w:cs="Arial"/>
                        <w:sz w:val="24"/>
                      </w:rPr>
                    </w:pPr>
                    <w:r w:rsidRPr="002D783A">
                      <w:rPr>
                        <w:rFonts w:ascii="Arial" w:hAnsi="Arial" w:cs="Arial"/>
                        <w:b/>
                      </w:rPr>
                      <w:t>Washington, D.C. 20554</w:t>
                    </w:r>
                  </w:p>
                  <w:p w:rsidR="009838BC" w:rsidP="009838BC" w14:paraId="19D4DF87" w14:textId="0A8A40E9">
                    <w:pPr>
                      <w:rPr>
                        <w:rFonts w:ascii="Arial" w:hAnsi="Arial"/>
                        <w:sz w:val="24"/>
                      </w:rPr>
                    </w:pP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3C19495B">
      <w:rPr>
        <w:rFonts w:ascii="Arial" w:hAnsi="Arial" w:cs="Arial"/>
        <w:b/>
        <w:sz w:val="96"/>
        <w:szCs w:val="96"/>
      </w:rPr>
      <w:t>PUBLIC NOTICE</w:t>
    </w:r>
  </w:p>
  <w:p w:rsidR="009838BC" w:rsidRPr="00357D50" w:rsidP="009838BC" w14:paraId="71A6A689"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F9DDA09" w14:textId="77777777">
                    <w:pPr>
                      <w:spacing w:before="40"/>
                      <w:jc w:val="right"/>
                      <w:rPr>
                        <w:rFonts w:ascii="Arial" w:hAnsi="Arial"/>
                        <w:b/>
                        <w:sz w:val="16"/>
                      </w:rPr>
                    </w:pPr>
                    <w:r>
                      <w:rPr>
                        <w:rFonts w:ascii="Arial" w:hAnsi="Arial"/>
                        <w:b/>
                        <w:sz w:val="16"/>
                      </w:rPr>
                      <w:t>News Media Information 202 / 418-0500</w:t>
                    </w:r>
                  </w:p>
                  <w:p w:rsidR="009838BC" w:rsidP="009838BC" w14:paraId="55C2583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BBF4B17" w14:textId="77777777">
                    <w:pPr>
                      <w:jc w:val="right"/>
                    </w:pPr>
                    <w:r>
                      <w:rPr>
                        <w:rFonts w:ascii="Arial" w:hAnsi="Arial"/>
                        <w:b/>
                        <w:sz w:val="16"/>
                      </w:rPr>
                      <w:t>TTY: 1-888-835-5322</w:t>
                    </w:r>
                  </w:p>
                </w:txbxContent>
              </v:textbox>
            </v:shape>
          </w:pict>
        </mc:Fallback>
      </mc:AlternateContent>
    </w:r>
  </w:p>
  <w:p w:rsidR="006F7393" w:rsidRPr="009838BC" w:rsidP="009838BC" w14:paraId="214FC61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EA316F1"/>
    <w:multiLevelType w:val="hybridMultilevel"/>
    <w:tmpl w:val="B1E42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80"/>
    <w:rsid w:val="0000414B"/>
    <w:rsid w:val="000072CE"/>
    <w:rsid w:val="00010B6F"/>
    <w:rsid w:val="00013A8B"/>
    <w:rsid w:val="000206BA"/>
    <w:rsid w:val="00021445"/>
    <w:rsid w:val="00035C2B"/>
    <w:rsid w:val="00036039"/>
    <w:rsid w:val="00037F90"/>
    <w:rsid w:val="0004736B"/>
    <w:rsid w:val="00057D74"/>
    <w:rsid w:val="000659DB"/>
    <w:rsid w:val="00066F0F"/>
    <w:rsid w:val="00067EED"/>
    <w:rsid w:val="00072B5B"/>
    <w:rsid w:val="00073AC0"/>
    <w:rsid w:val="00077A57"/>
    <w:rsid w:val="00085153"/>
    <w:rsid w:val="000875BF"/>
    <w:rsid w:val="00096D8C"/>
    <w:rsid w:val="000C0B65"/>
    <w:rsid w:val="000C4794"/>
    <w:rsid w:val="000C6E3A"/>
    <w:rsid w:val="000E3D42"/>
    <w:rsid w:val="000E43A0"/>
    <w:rsid w:val="000E5884"/>
    <w:rsid w:val="000F488B"/>
    <w:rsid w:val="001101E5"/>
    <w:rsid w:val="00122BD5"/>
    <w:rsid w:val="00130F7E"/>
    <w:rsid w:val="00135044"/>
    <w:rsid w:val="00135D11"/>
    <w:rsid w:val="00146981"/>
    <w:rsid w:val="00151B78"/>
    <w:rsid w:val="001539BA"/>
    <w:rsid w:val="0015570A"/>
    <w:rsid w:val="00162C83"/>
    <w:rsid w:val="001642CB"/>
    <w:rsid w:val="001841B7"/>
    <w:rsid w:val="00186931"/>
    <w:rsid w:val="001870D1"/>
    <w:rsid w:val="00193151"/>
    <w:rsid w:val="001979D9"/>
    <w:rsid w:val="001A6697"/>
    <w:rsid w:val="001A7FE6"/>
    <w:rsid w:val="001C002C"/>
    <w:rsid w:val="001D621A"/>
    <w:rsid w:val="001D6BCF"/>
    <w:rsid w:val="001E0145"/>
    <w:rsid w:val="001E01CA"/>
    <w:rsid w:val="00205982"/>
    <w:rsid w:val="002060D9"/>
    <w:rsid w:val="00215D7E"/>
    <w:rsid w:val="0022530B"/>
    <w:rsid w:val="00226822"/>
    <w:rsid w:val="00260594"/>
    <w:rsid w:val="002614ED"/>
    <w:rsid w:val="00266F64"/>
    <w:rsid w:val="00285017"/>
    <w:rsid w:val="00286629"/>
    <w:rsid w:val="002939C8"/>
    <w:rsid w:val="00294C9D"/>
    <w:rsid w:val="002A2D2E"/>
    <w:rsid w:val="002C4BB9"/>
    <w:rsid w:val="002C6924"/>
    <w:rsid w:val="002D5628"/>
    <w:rsid w:val="002D783A"/>
    <w:rsid w:val="002E03A9"/>
    <w:rsid w:val="002E2A81"/>
    <w:rsid w:val="002E4A0C"/>
    <w:rsid w:val="002F4B81"/>
    <w:rsid w:val="003101FF"/>
    <w:rsid w:val="00314189"/>
    <w:rsid w:val="003148DD"/>
    <w:rsid w:val="00320960"/>
    <w:rsid w:val="003229EB"/>
    <w:rsid w:val="00322B0E"/>
    <w:rsid w:val="003268A4"/>
    <w:rsid w:val="00343749"/>
    <w:rsid w:val="00347929"/>
    <w:rsid w:val="003503AD"/>
    <w:rsid w:val="00357D50"/>
    <w:rsid w:val="00366A0A"/>
    <w:rsid w:val="003826F9"/>
    <w:rsid w:val="003925DC"/>
    <w:rsid w:val="00393ED3"/>
    <w:rsid w:val="003B0550"/>
    <w:rsid w:val="003B17AA"/>
    <w:rsid w:val="003B694F"/>
    <w:rsid w:val="003B74B1"/>
    <w:rsid w:val="003C7FCB"/>
    <w:rsid w:val="003D02F7"/>
    <w:rsid w:val="003D130B"/>
    <w:rsid w:val="003E5230"/>
    <w:rsid w:val="003F0937"/>
    <w:rsid w:val="003F171C"/>
    <w:rsid w:val="003F25FC"/>
    <w:rsid w:val="00412AB0"/>
    <w:rsid w:val="00412FC5"/>
    <w:rsid w:val="00422276"/>
    <w:rsid w:val="004242F1"/>
    <w:rsid w:val="00434FF0"/>
    <w:rsid w:val="00441229"/>
    <w:rsid w:val="00445A00"/>
    <w:rsid w:val="00451B0F"/>
    <w:rsid w:val="0046125F"/>
    <w:rsid w:val="00467F73"/>
    <w:rsid w:val="00475DCB"/>
    <w:rsid w:val="00481486"/>
    <w:rsid w:val="00483249"/>
    <w:rsid w:val="00487524"/>
    <w:rsid w:val="004921DC"/>
    <w:rsid w:val="00496106"/>
    <w:rsid w:val="004976D9"/>
    <w:rsid w:val="004B338C"/>
    <w:rsid w:val="004B3A5F"/>
    <w:rsid w:val="004B40B7"/>
    <w:rsid w:val="004C12D0"/>
    <w:rsid w:val="004C2EE3"/>
    <w:rsid w:val="004E4A22"/>
    <w:rsid w:val="00500CBD"/>
    <w:rsid w:val="005109DC"/>
    <w:rsid w:val="00510AB0"/>
    <w:rsid w:val="00511968"/>
    <w:rsid w:val="00513A91"/>
    <w:rsid w:val="0053518C"/>
    <w:rsid w:val="0054160B"/>
    <w:rsid w:val="005442F8"/>
    <w:rsid w:val="00544DB7"/>
    <w:rsid w:val="00550B54"/>
    <w:rsid w:val="005543BB"/>
    <w:rsid w:val="0055614C"/>
    <w:rsid w:val="0056598F"/>
    <w:rsid w:val="00571003"/>
    <w:rsid w:val="00571D12"/>
    <w:rsid w:val="00572DCC"/>
    <w:rsid w:val="00591A8C"/>
    <w:rsid w:val="00594C7F"/>
    <w:rsid w:val="00597EC0"/>
    <w:rsid w:val="005A20B6"/>
    <w:rsid w:val="005A313E"/>
    <w:rsid w:val="005B2EB4"/>
    <w:rsid w:val="005E4666"/>
    <w:rsid w:val="005E69C0"/>
    <w:rsid w:val="00607BA5"/>
    <w:rsid w:val="00626EB6"/>
    <w:rsid w:val="006353A3"/>
    <w:rsid w:val="00644C57"/>
    <w:rsid w:val="00655D03"/>
    <w:rsid w:val="00663DD1"/>
    <w:rsid w:val="0067139F"/>
    <w:rsid w:val="00683F84"/>
    <w:rsid w:val="006866D3"/>
    <w:rsid w:val="00686FC8"/>
    <w:rsid w:val="006A6A81"/>
    <w:rsid w:val="006A70A0"/>
    <w:rsid w:val="006A729C"/>
    <w:rsid w:val="006B283D"/>
    <w:rsid w:val="006D38E8"/>
    <w:rsid w:val="006E1D29"/>
    <w:rsid w:val="006E26AF"/>
    <w:rsid w:val="006F1948"/>
    <w:rsid w:val="006F7393"/>
    <w:rsid w:val="0070224F"/>
    <w:rsid w:val="00702F0B"/>
    <w:rsid w:val="00703EAA"/>
    <w:rsid w:val="00705C30"/>
    <w:rsid w:val="00706744"/>
    <w:rsid w:val="007115F7"/>
    <w:rsid w:val="00721DE2"/>
    <w:rsid w:val="00722D59"/>
    <w:rsid w:val="007235E7"/>
    <w:rsid w:val="00724C21"/>
    <w:rsid w:val="00725656"/>
    <w:rsid w:val="00762C0A"/>
    <w:rsid w:val="0077217D"/>
    <w:rsid w:val="00780EEE"/>
    <w:rsid w:val="00785689"/>
    <w:rsid w:val="0079754B"/>
    <w:rsid w:val="007A1E6D"/>
    <w:rsid w:val="007A2AA3"/>
    <w:rsid w:val="007A45D6"/>
    <w:rsid w:val="007C2B09"/>
    <w:rsid w:val="007C2E16"/>
    <w:rsid w:val="007E0C99"/>
    <w:rsid w:val="007E516A"/>
    <w:rsid w:val="007E728F"/>
    <w:rsid w:val="00803AF0"/>
    <w:rsid w:val="00815ABE"/>
    <w:rsid w:val="00822CE0"/>
    <w:rsid w:val="008306EA"/>
    <w:rsid w:val="0083401B"/>
    <w:rsid w:val="00837C62"/>
    <w:rsid w:val="00841AB1"/>
    <w:rsid w:val="00845AE0"/>
    <w:rsid w:val="0086175D"/>
    <w:rsid w:val="00883F9C"/>
    <w:rsid w:val="008A5CB0"/>
    <w:rsid w:val="008C22FD"/>
    <w:rsid w:val="008C53B5"/>
    <w:rsid w:val="008C62B8"/>
    <w:rsid w:val="008C7EC6"/>
    <w:rsid w:val="008D0DD1"/>
    <w:rsid w:val="008D1EF9"/>
    <w:rsid w:val="008E11D9"/>
    <w:rsid w:val="008E2089"/>
    <w:rsid w:val="008E2615"/>
    <w:rsid w:val="008E7FA5"/>
    <w:rsid w:val="008F046C"/>
    <w:rsid w:val="008F2E3C"/>
    <w:rsid w:val="00910F12"/>
    <w:rsid w:val="00926503"/>
    <w:rsid w:val="00930ECF"/>
    <w:rsid w:val="00934FFB"/>
    <w:rsid w:val="00943315"/>
    <w:rsid w:val="00945C10"/>
    <w:rsid w:val="00952B7A"/>
    <w:rsid w:val="00956BFE"/>
    <w:rsid w:val="00960076"/>
    <w:rsid w:val="009663E2"/>
    <w:rsid w:val="009838BC"/>
    <w:rsid w:val="00987A71"/>
    <w:rsid w:val="009924D0"/>
    <w:rsid w:val="009936D7"/>
    <w:rsid w:val="00994303"/>
    <w:rsid w:val="009A2A1B"/>
    <w:rsid w:val="009C1B65"/>
    <w:rsid w:val="009F034C"/>
    <w:rsid w:val="009F4704"/>
    <w:rsid w:val="009F5E2A"/>
    <w:rsid w:val="009F7F80"/>
    <w:rsid w:val="00A0346C"/>
    <w:rsid w:val="00A04675"/>
    <w:rsid w:val="00A05C28"/>
    <w:rsid w:val="00A07B29"/>
    <w:rsid w:val="00A11E96"/>
    <w:rsid w:val="00A14F64"/>
    <w:rsid w:val="00A152C2"/>
    <w:rsid w:val="00A2524D"/>
    <w:rsid w:val="00A27971"/>
    <w:rsid w:val="00A317C6"/>
    <w:rsid w:val="00A31E90"/>
    <w:rsid w:val="00A37725"/>
    <w:rsid w:val="00A45F4F"/>
    <w:rsid w:val="00A600A9"/>
    <w:rsid w:val="00A7565A"/>
    <w:rsid w:val="00A77006"/>
    <w:rsid w:val="00A82C21"/>
    <w:rsid w:val="00A83D1A"/>
    <w:rsid w:val="00A866AC"/>
    <w:rsid w:val="00A87765"/>
    <w:rsid w:val="00A87881"/>
    <w:rsid w:val="00A915E6"/>
    <w:rsid w:val="00AA4378"/>
    <w:rsid w:val="00AA55B7"/>
    <w:rsid w:val="00AA5B9E"/>
    <w:rsid w:val="00AB2407"/>
    <w:rsid w:val="00AB265F"/>
    <w:rsid w:val="00AB53DF"/>
    <w:rsid w:val="00AC17E4"/>
    <w:rsid w:val="00AD3A32"/>
    <w:rsid w:val="00AF008F"/>
    <w:rsid w:val="00B07E5C"/>
    <w:rsid w:val="00B138FB"/>
    <w:rsid w:val="00B326E3"/>
    <w:rsid w:val="00B3424A"/>
    <w:rsid w:val="00B409D6"/>
    <w:rsid w:val="00B40DFA"/>
    <w:rsid w:val="00B811F7"/>
    <w:rsid w:val="00B8563B"/>
    <w:rsid w:val="00B873B9"/>
    <w:rsid w:val="00B90351"/>
    <w:rsid w:val="00B9055E"/>
    <w:rsid w:val="00B94407"/>
    <w:rsid w:val="00BA1018"/>
    <w:rsid w:val="00BA1780"/>
    <w:rsid w:val="00BA4633"/>
    <w:rsid w:val="00BA5DC6"/>
    <w:rsid w:val="00BA6196"/>
    <w:rsid w:val="00BA7C79"/>
    <w:rsid w:val="00BB045D"/>
    <w:rsid w:val="00BC6D8C"/>
    <w:rsid w:val="00BD6674"/>
    <w:rsid w:val="00C07593"/>
    <w:rsid w:val="00C101AB"/>
    <w:rsid w:val="00C10D49"/>
    <w:rsid w:val="00C16AF2"/>
    <w:rsid w:val="00C222D4"/>
    <w:rsid w:val="00C319B1"/>
    <w:rsid w:val="00C34006"/>
    <w:rsid w:val="00C426B1"/>
    <w:rsid w:val="00C51172"/>
    <w:rsid w:val="00C569AC"/>
    <w:rsid w:val="00C578E0"/>
    <w:rsid w:val="00C61230"/>
    <w:rsid w:val="00C62E8E"/>
    <w:rsid w:val="00C71E54"/>
    <w:rsid w:val="00C773C4"/>
    <w:rsid w:val="00C829AA"/>
    <w:rsid w:val="00C82B6B"/>
    <w:rsid w:val="00C83996"/>
    <w:rsid w:val="00C90D6A"/>
    <w:rsid w:val="00CC17AD"/>
    <w:rsid w:val="00CC72B6"/>
    <w:rsid w:val="00CD1522"/>
    <w:rsid w:val="00D0218D"/>
    <w:rsid w:val="00D044C2"/>
    <w:rsid w:val="00D06147"/>
    <w:rsid w:val="00D17366"/>
    <w:rsid w:val="00D216CD"/>
    <w:rsid w:val="00D30EFE"/>
    <w:rsid w:val="00D7626C"/>
    <w:rsid w:val="00D9452F"/>
    <w:rsid w:val="00D974EC"/>
    <w:rsid w:val="00DA175E"/>
    <w:rsid w:val="00DA2529"/>
    <w:rsid w:val="00DB0AF8"/>
    <w:rsid w:val="00DB130A"/>
    <w:rsid w:val="00DC10A1"/>
    <w:rsid w:val="00DC655F"/>
    <w:rsid w:val="00DD351B"/>
    <w:rsid w:val="00DD4EBA"/>
    <w:rsid w:val="00DD51AD"/>
    <w:rsid w:val="00DD7EBD"/>
    <w:rsid w:val="00DF594F"/>
    <w:rsid w:val="00DF62B6"/>
    <w:rsid w:val="00E07225"/>
    <w:rsid w:val="00E155B7"/>
    <w:rsid w:val="00E17781"/>
    <w:rsid w:val="00E422C9"/>
    <w:rsid w:val="00E44772"/>
    <w:rsid w:val="00E5409F"/>
    <w:rsid w:val="00E55EF8"/>
    <w:rsid w:val="00E569F2"/>
    <w:rsid w:val="00E65BAA"/>
    <w:rsid w:val="00E70D97"/>
    <w:rsid w:val="00E92AF8"/>
    <w:rsid w:val="00E94496"/>
    <w:rsid w:val="00E94507"/>
    <w:rsid w:val="00EB3E60"/>
    <w:rsid w:val="00EB5414"/>
    <w:rsid w:val="00EB7B50"/>
    <w:rsid w:val="00EC0185"/>
    <w:rsid w:val="00EC1B7B"/>
    <w:rsid w:val="00ED0544"/>
    <w:rsid w:val="00ED3F38"/>
    <w:rsid w:val="00EE0100"/>
    <w:rsid w:val="00EE74DB"/>
    <w:rsid w:val="00F016E5"/>
    <w:rsid w:val="00F017F7"/>
    <w:rsid w:val="00F021FA"/>
    <w:rsid w:val="00F02B05"/>
    <w:rsid w:val="00F164D5"/>
    <w:rsid w:val="00F20A99"/>
    <w:rsid w:val="00F25652"/>
    <w:rsid w:val="00F31C1F"/>
    <w:rsid w:val="00F37F76"/>
    <w:rsid w:val="00F4292F"/>
    <w:rsid w:val="00F57ACA"/>
    <w:rsid w:val="00F62E97"/>
    <w:rsid w:val="00F639A4"/>
    <w:rsid w:val="00F64209"/>
    <w:rsid w:val="00F7527F"/>
    <w:rsid w:val="00F93BF5"/>
    <w:rsid w:val="00F96F63"/>
    <w:rsid w:val="00FA62D3"/>
    <w:rsid w:val="00FB0165"/>
    <w:rsid w:val="00FC580F"/>
    <w:rsid w:val="00FC6D14"/>
    <w:rsid w:val="00FD26FB"/>
    <w:rsid w:val="00FD2B57"/>
    <w:rsid w:val="00FD306C"/>
    <w:rsid w:val="00FD678F"/>
    <w:rsid w:val="00FE32E8"/>
    <w:rsid w:val="074EDFE7"/>
    <w:rsid w:val="3C1949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E72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8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9F7F80"/>
    <w:rPr>
      <w:sz w:val="16"/>
      <w:szCs w:val="16"/>
    </w:rPr>
  </w:style>
  <w:style w:type="paragraph" w:styleId="CommentText">
    <w:name w:val="annotation text"/>
    <w:basedOn w:val="Normal"/>
    <w:link w:val="CommentTextChar"/>
    <w:uiPriority w:val="99"/>
    <w:semiHidden/>
    <w:unhideWhenUsed/>
    <w:rsid w:val="009F7F80"/>
    <w:rPr>
      <w:sz w:val="20"/>
    </w:rPr>
  </w:style>
  <w:style w:type="character" w:customStyle="1" w:styleId="CommentTextChar">
    <w:name w:val="Comment Text Char"/>
    <w:link w:val="CommentText"/>
    <w:uiPriority w:val="99"/>
    <w:semiHidden/>
    <w:rsid w:val="009F7F80"/>
    <w:rPr>
      <w:snapToGrid w:val="0"/>
      <w:kern w:val="28"/>
    </w:rPr>
  </w:style>
  <w:style w:type="paragraph" w:styleId="BalloonText">
    <w:name w:val="Balloon Text"/>
    <w:basedOn w:val="Normal"/>
    <w:link w:val="BalloonTextChar"/>
    <w:uiPriority w:val="99"/>
    <w:semiHidden/>
    <w:unhideWhenUsed/>
    <w:rsid w:val="009F7F80"/>
    <w:rPr>
      <w:rFonts w:ascii="Segoe UI" w:hAnsi="Segoe UI" w:cs="Segoe UI"/>
      <w:sz w:val="18"/>
      <w:szCs w:val="18"/>
    </w:rPr>
  </w:style>
  <w:style w:type="character" w:customStyle="1" w:styleId="BalloonTextChar">
    <w:name w:val="Balloon Text Char"/>
    <w:link w:val="BalloonText"/>
    <w:uiPriority w:val="99"/>
    <w:semiHidden/>
    <w:rsid w:val="009F7F80"/>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F02B05"/>
    <w:rPr>
      <w:b/>
      <w:bCs/>
    </w:rPr>
  </w:style>
  <w:style w:type="character" w:customStyle="1" w:styleId="CommentSubjectChar">
    <w:name w:val="Comment Subject Char"/>
    <w:basedOn w:val="CommentTextChar"/>
    <w:link w:val="CommentSubject"/>
    <w:uiPriority w:val="99"/>
    <w:semiHidden/>
    <w:rsid w:val="00F02B05"/>
    <w:rPr>
      <w:b/>
      <w:bCs/>
      <w:snapToGrid w:val="0"/>
      <w:kern w:val="28"/>
    </w:rPr>
  </w:style>
  <w:style w:type="character" w:customStyle="1" w:styleId="UnresolvedMention1">
    <w:name w:val="Unresolved Mention1"/>
    <w:basedOn w:val="DefaultParagraphFont"/>
    <w:uiPriority w:val="99"/>
    <w:semiHidden/>
    <w:unhideWhenUsed/>
    <w:rsid w:val="001D621A"/>
    <w:rPr>
      <w:color w:val="605E5C"/>
      <w:shd w:val="clear" w:color="auto" w:fill="E1DFDD"/>
    </w:rPr>
  </w:style>
  <w:style w:type="paragraph" w:styleId="ListParagraph">
    <w:name w:val="List Paragraph"/>
    <w:basedOn w:val="Normal"/>
    <w:uiPriority w:val="34"/>
    <w:qFormat/>
    <w:rsid w:val="00883F9C"/>
    <w:pPr>
      <w:ind w:left="720"/>
      <w:contextualSpacing/>
    </w:pPr>
  </w:style>
  <w:style w:type="character" w:customStyle="1" w:styleId="UnresolvedMention">
    <w:name w:val="Unresolved Mention"/>
    <w:basedOn w:val="DefaultParagraphFont"/>
    <w:uiPriority w:val="99"/>
    <w:rsid w:val="00215D7E"/>
    <w:rPr>
      <w:color w:val="605E5C"/>
      <w:shd w:val="clear" w:color="auto" w:fill="E1DFDD"/>
    </w:rPr>
  </w:style>
  <w:style w:type="character" w:styleId="FollowedHyperlink">
    <w:name w:val="FollowedHyperlink"/>
    <w:basedOn w:val="DefaultParagraphFont"/>
    <w:uiPriority w:val="99"/>
    <w:semiHidden/>
    <w:unhideWhenUsed/>
    <w:rsid w:val="00FE32E8"/>
    <w:rPr>
      <w:color w:val="954F72" w:themeColor="followedHyperlink"/>
      <w:u w:val="single"/>
    </w:rPr>
  </w:style>
  <w:style w:type="character" w:customStyle="1" w:styleId="Mention">
    <w:name w:val="Mention"/>
    <w:basedOn w:val="DefaultParagraphFont"/>
    <w:uiPriority w:val="99"/>
    <w:rsid w:val="004B3A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Wiquis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