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953E0" w:rsidRPr="003868D7" w14:paraId="0EE357D9" w14:textId="05BEF8BD">
      <w:pPr>
        <w:jc w:val="right"/>
        <w:rPr>
          <w:b/>
          <w:szCs w:val="22"/>
        </w:rPr>
      </w:pPr>
      <w:r w:rsidRPr="003868D7">
        <w:rPr>
          <w:b/>
          <w:szCs w:val="22"/>
        </w:rPr>
        <w:t>DA 21-</w:t>
      </w:r>
      <w:r w:rsidR="004F00AA">
        <w:rPr>
          <w:b/>
          <w:szCs w:val="22"/>
        </w:rPr>
        <w:t>556</w:t>
      </w:r>
    </w:p>
    <w:p w:rsidR="000953E0" w:rsidRPr="009C13BF" w14:paraId="42ADD063" w14:textId="2DA2297C">
      <w:pPr>
        <w:spacing w:before="60"/>
        <w:jc w:val="right"/>
        <w:rPr>
          <w:b/>
          <w:szCs w:val="22"/>
        </w:rPr>
      </w:pPr>
      <w:r w:rsidRPr="003868D7">
        <w:rPr>
          <w:b/>
          <w:szCs w:val="22"/>
        </w:rPr>
        <w:t>Released</w:t>
      </w:r>
      <w:r w:rsidRPr="009C13BF">
        <w:rPr>
          <w:b/>
          <w:szCs w:val="22"/>
        </w:rPr>
        <w:t xml:space="preserve">:  </w:t>
      </w:r>
      <w:r w:rsidRPr="009C13BF" w:rsidR="00D15D8C">
        <w:rPr>
          <w:b/>
          <w:szCs w:val="22"/>
        </w:rPr>
        <w:t xml:space="preserve">May </w:t>
      </w:r>
      <w:r w:rsidRPr="009C13BF" w:rsidR="009C13BF">
        <w:rPr>
          <w:b/>
          <w:szCs w:val="22"/>
        </w:rPr>
        <w:t>11</w:t>
      </w:r>
      <w:r w:rsidRPr="009C13BF" w:rsidR="00D15D8C">
        <w:rPr>
          <w:b/>
          <w:szCs w:val="22"/>
        </w:rPr>
        <w:t>, 2021</w:t>
      </w:r>
    </w:p>
    <w:p w:rsidR="000953E0" w:rsidRPr="009C13BF" w:rsidP="003868D7" w14:paraId="2120346B" w14:textId="77777777"/>
    <w:p w:rsidR="000953E0" w:rsidRPr="009C13BF" w:rsidP="000A38CF" w14:paraId="4E24DC3C" w14:textId="79B188E1">
      <w:pPr>
        <w:pStyle w:val="StyleBoldCentered"/>
      </w:pPr>
      <w:bookmarkStart w:id="0" w:name="_Hlk8591515"/>
      <w:r w:rsidRPr="009C13BF">
        <w:t>Rolka Loube Associates Submits Payment Formulas and Funding Requirement</w:t>
      </w:r>
      <w:r w:rsidRPr="009C13BF" w:rsidR="00690ABC">
        <w:t>s</w:t>
      </w:r>
      <w:r w:rsidRPr="009C13BF">
        <w:t xml:space="preserve"> for the Interstate Telecommunications Relay Services Fund for the 2021-2022 Fund Year</w:t>
      </w:r>
      <w:bookmarkEnd w:id="0"/>
    </w:p>
    <w:p w:rsidR="000A38CF" w:rsidRPr="009C13BF" w:rsidP="000A38CF" w14:paraId="4FC037D6" w14:textId="77777777">
      <w:pPr>
        <w:pStyle w:val="StyleBoldCentered"/>
      </w:pPr>
    </w:p>
    <w:p w:rsidR="000A38CF" w:rsidRPr="009C13BF" w:rsidP="000A38CF" w14:paraId="3624650F" w14:textId="77777777">
      <w:pPr>
        <w:pStyle w:val="StyleBoldCentered"/>
      </w:pPr>
      <w:r w:rsidRPr="009C13BF">
        <w:t>CONSUMER AND GOVERNMENTAL AFFAIRS BUREAU SEEKS COMMENT ON</w:t>
      </w:r>
    </w:p>
    <w:p w:rsidR="000A38CF" w:rsidRPr="009C13BF" w:rsidP="000A38CF" w14:paraId="2D3BEE9A" w14:textId="4C129ADE">
      <w:pPr>
        <w:pStyle w:val="StyleBoldCentered"/>
      </w:pPr>
      <w:r w:rsidRPr="009C13BF">
        <w:t xml:space="preserve">T-MOBILE’S </w:t>
      </w:r>
      <w:r w:rsidRPr="009C13BF">
        <w:t xml:space="preserve">REQUEST FOR IP RELAY </w:t>
      </w:r>
      <w:r w:rsidRPr="009C13BF" w:rsidR="00031F55">
        <w:t xml:space="preserve">COMPENSATION </w:t>
      </w:r>
      <w:r w:rsidRPr="009C13BF">
        <w:t xml:space="preserve">WAIVERS </w:t>
      </w:r>
    </w:p>
    <w:p w:rsidR="000A38CF" w:rsidRPr="009C13BF" w:rsidP="003D2C7A" w14:paraId="1F219F1A" w14:textId="77777777">
      <w:pPr>
        <w:pStyle w:val="StyleBoldCentered"/>
      </w:pPr>
    </w:p>
    <w:p w:rsidR="000A38CF" w:rsidRPr="009C13BF" w14:paraId="0C901376" w14:textId="29E1CE77">
      <w:pPr>
        <w:jc w:val="center"/>
        <w:rPr>
          <w:b/>
          <w:bCs/>
        </w:rPr>
      </w:pPr>
      <w:r w:rsidRPr="009C13BF">
        <w:rPr>
          <w:b/>
          <w:bCs/>
        </w:rPr>
        <w:t>CG Docket No. 03-123</w:t>
      </w:r>
    </w:p>
    <w:p w:rsidR="000953E0" w:rsidRPr="009C13BF" w14:paraId="669747A9" w14:textId="77777777"/>
    <w:p w:rsidR="002C1A52" w:rsidRPr="009C13BF" w:rsidP="003D2C7A" w14:paraId="08FB0B14" w14:textId="502E9E6A">
      <w:pPr>
        <w:pStyle w:val="StyleBoldAfter6pt"/>
      </w:pPr>
      <w:r w:rsidRPr="009C13BF">
        <w:t>Comments</w:t>
      </w:r>
      <w:r w:rsidRPr="009C13BF" w:rsidR="009C13BF">
        <w:t xml:space="preserve"> Due</w:t>
      </w:r>
      <w:r w:rsidRPr="009C13BF">
        <w:t xml:space="preserve">:  </w:t>
      </w:r>
      <w:r w:rsidRPr="009C13BF" w:rsidR="00F85EBF">
        <w:t>May</w:t>
      </w:r>
      <w:r w:rsidRPr="009C13BF">
        <w:t xml:space="preserve"> </w:t>
      </w:r>
      <w:r w:rsidRPr="009C13BF" w:rsidR="009C13BF">
        <w:t>2</w:t>
      </w:r>
      <w:r w:rsidR="00507D77">
        <w:t>5</w:t>
      </w:r>
      <w:r w:rsidRPr="009C13BF">
        <w:t>, 202</w:t>
      </w:r>
      <w:r w:rsidRPr="009C13BF" w:rsidR="00F85EBF">
        <w:t>1</w:t>
      </w:r>
    </w:p>
    <w:p w:rsidR="002C1A52" w:rsidRPr="00727F85" w:rsidP="002C1A52" w14:paraId="21E4A12F" w14:textId="1129D40D">
      <w:pPr>
        <w:rPr>
          <w:b/>
          <w:bCs/>
        </w:rPr>
      </w:pPr>
      <w:r w:rsidRPr="009C13BF">
        <w:rPr>
          <w:b/>
          <w:bCs/>
        </w:rPr>
        <w:t>Reply Comments</w:t>
      </w:r>
      <w:r w:rsidR="00C56496">
        <w:rPr>
          <w:b/>
          <w:bCs/>
        </w:rPr>
        <w:t xml:space="preserve"> Due</w:t>
      </w:r>
      <w:r w:rsidRPr="009C13BF">
        <w:rPr>
          <w:b/>
          <w:bCs/>
        </w:rPr>
        <w:t xml:space="preserve">:  </w:t>
      </w:r>
      <w:r w:rsidRPr="009C13BF" w:rsidR="00077CBE">
        <w:rPr>
          <w:b/>
          <w:bCs/>
        </w:rPr>
        <w:t xml:space="preserve">June </w:t>
      </w:r>
      <w:r w:rsidR="00507D77">
        <w:rPr>
          <w:b/>
          <w:bCs/>
        </w:rPr>
        <w:t>4</w:t>
      </w:r>
      <w:r w:rsidRPr="009C13BF">
        <w:rPr>
          <w:b/>
          <w:bCs/>
        </w:rPr>
        <w:t>, 20</w:t>
      </w:r>
      <w:r w:rsidR="00507D77">
        <w:rPr>
          <w:b/>
          <w:bCs/>
        </w:rPr>
        <w:t>21</w:t>
      </w:r>
    </w:p>
    <w:p w:rsidR="002C1A52" w:rsidP="002C1A52" w14:paraId="5B085446" w14:textId="77777777">
      <w:pPr>
        <w:rPr>
          <w:b/>
          <w:szCs w:val="22"/>
        </w:rPr>
      </w:pPr>
    </w:p>
    <w:p w:rsidR="002C1A52" w:rsidP="002C1A52" w14:paraId="6995F737" w14:textId="2ADD202B">
      <w:pPr>
        <w:spacing w:after="120"/>
        <w:ind w:firstLine="720"/>
        <w:rPr>
          <w:szCs w:val="22"/>
        </w:rPr>
      </w:pPr>
      <w:r>
        <w:rPr>
          <w:szCs w:val="22"/>
        </w:rPr>
        <w:t>The</w:t>
      </w:r>
      <w:r w:rsidRPr="00C05524">
        <w:rPr>
          <w:szCs w:val="22"/>
        </w:rPr>
        <w:t xml:space="preserve"> Consumer and Governmental Affairs Bureau (CGB</w:t>
      </w:r>
      <w:r>
        <w:rPr>
          <w:szCs w:val="22"/>
        </w:rPr>
        <w:t xml:space="preserve"> or Bureau</w:t>
      </w:r>
      <w:r w:rsidRPr="00C05524">
        <w:rPr>
          <w:szCs w:val="22"/>
        </w:rPr>
        <w:t xml:space="preserve">) </w:t>
      </w:r>
      <w:r>
        <w:rPr>
          <w:szCs w:val="22"/>
        </w:rPr>
        <w:t xml:space="preserve">of the Federal Communications Commission (Commission) </w:t>
      </w:r>
      <w:r w:rsidRPr="00C05524">
        <w:rPr>
          <w:szCs w:val="22"/>
        </w:rPr>
        <w:t xml:space="preserve">seeks comment on the Interstate Telecommunications Relay Services Fund </w:t>
      </w:r>
      <w:r w:rsidR="00750093">
        <w:rPr>
          <w:szCs w:val="22"/>
        </w:rPr>
        <w:t xml:space="preserve">(TRS Fund or Fund) </w:t>
      </w:r>
      <w:r w:rsidRPr="00C05524">
        <w:rPr>
          <w:szCs w:val="22"/>
        </w:rPr>
        <w:t xml:space="preserve">administrator’s proposed provider compensation </w:t>
      </w:r>
      <w:r w:rsidR="003D2C7A">
        <w:rPr>
          <w:szCs w:val="22"/>
        </w:rPr>
        <w:t>formulas</w:t>
      </w:r>
      <w:r w:rsidRPr="00C05524">
        <w:rPr>
          <w:szCs w:val="22"/>
        </w:rPr>
        <w:t>, funding requirement</w:t>
      </w:r>
      <w:r w:rsidR="00690ABC">
        <w:rPr>
          <w:szCs w:val="22"/>
        </w:rPr>
        <w:t>s</w:t>
      </w:r>
      <w:r w:rsidRPr="00C05524">
        <w:rPr>
          <w:szCs w:val="22"/>
        </w:rPr>
        <w:t>, and carrier contribution factor</w:t>
      </w:r>
      <w:r>
        <w:rPr>
          <w:szCs w:val="22"/>
        </w:rPr>
        <w:t>s</w:t>
      </w:r>
      <w:r w:rsidRPr="00C05524">
        <w:rPr>
          <w:szCs w:val="22"/>
        </w:rPr>
        <w:t xml:space="preserve"> for </w:t>
      </w:r>
      <w:r w:rsidRPr="00076078">
        <w:rPr>
          <w:szCs w:val="22"/>
        </w:rPr>
        <w:t>the period from July 1, 202</w:t>
      </w:r>
      <w:r w:rsidRPr="00076078">
        <w:rPr>
          <w:szCs w:val="22"/>
        </w:rPr>
        <w:t>1</w:t>
      </w:r>
      <w:r w:rsidRPr="00076078">
        <w:rPr>
          <w:szCs w:val="22"/>
        </w:rPr>
        <w:t>, through June 30, 202</w:t>
      </w:r>
      <w:r w:rsidRPr="00076078">
        <w:rPr>
          <w:szCs w:val="22"/>
        </w:rPr>
        <w:t>2</w:t>
      </w:r>
      <w:r w:rsidRPr="00076078">
        <w:rPr>
          <w:szCs w:val="22"/>
        </w:rPr>
        <w:t xml:space="preserve"> (202</w:t>
      </w:r>
      <w:r w:rsidRPr="00076078">
        <w:rPr>
          <w:szCs w:val="22"/>
        </w:rPr>
        <w:t>1</w:t>
      </w:r>
      <w:r w:rsidRPr="00076078">
        <w:rPr>
          <w:szCs w:val="22"/>
        </w:rPr>
        <w:t>-2</w:t>
      </w:r>
      <w:r w:rsidRPr="00076078">
        <w:rPr>
          <w:szCs w:val="22"/>
        </w:rPr>
        <w:t>2</w:t>
      </w:r>
      <w:r w:rsidRPr="00076078">
        <w:rPr>
          <w:szCs w:val="22"/>
        </w:rPr>
        <w:t xml:space="preserve"> Fund</w:t>
      </w:r>
      <w:r w:rsidRPr="00C05524">
        <w:rPr>
          <w:szCs w:val="22"/>
        </w:rPr>
        <w:t xml:space="preserve"> </w:t>
      </w:r>
      <w:r>
        <w:rPr>
          <w:szCs w:val="22"/>
        </w:rPr>
        <w:t>Y</w:t>
      </w:r>
      <w:r w:rsidRPr="00C05524">
        <w:rPr>
          <w:szCs w:val="22"/>
        </w:rPr>
        <w:t>ear), for TRS compensated by the Fund.</w:t>
      </w:r>
      <w:r>
        <w:rPr>
          <w:rStyle w:val="FootnoteReference"/>
          <w:szCs w:val="22"/>
        </w:rPr>
        <w:footnoteReference w:id="3"/>
      </w:r>
      <w:r>
        <w:rPr>
          <w:szCs w:val="22"/>
        </w:rPr>
        <w:t xml:space="preserve">  </w:t>
      </w:r>
      <w:r w:rsidRPr="00750093" w:rsidR="00750093">
        <w:rPr>
          <w:szCs w:val="22"/>
        </w:rPr>
        <w:t xml:space="preserve">We also seek comment on a related </w:t>
      </w:r>
      <w:r w:rsidR="00031F55">
        <w:rPr>
          <w:szCs w:val="22"/>
        </w:rPr>
        <w:t xml:space="preserve">waiver </w:t>
      </w:r>
      <w:r w:rsidRPr="00750093" w:rsidR="00750093">
        <w:rPr>
          <w:szCs w:val="22"/>
        </w:rPr>
        <w:t xml:space="preserve">request filed by </w:t>
      </w:r>
      <w:r w:rsidR="009D56D5">
        <w:rPr>
          <w:szCs w:val="22"/>
        </w:rPr>
        <w:t>T-Mobile USA, Inc. (T-Mobile), on behalf of Sprint Communications Company L.P. (T-Mobile Accessibility)</w:t>
      </w:r>
      <w:r w:rsidRPr="00750093" w:rsidR="00750093">
        <w:rPr>
          <w:szCs w:val="22"/>
        </w:rPr>
        <w:t xml:space="preserve"> regarding </w:t>
      </w:r>
      <w:r w:rsidR="00031F55">
        <w:rPr>
          <w:szCs w:val="22"/>
        </w:rPr>
        <w:t>compensation</w:t>
      </w:r>
      <w:r w:rsidRPr="00750093" w:rsidR="00750093">
        <w:rPr>
          <w:szCs w:val="22"/>
        </w:rPr>
        <w:t xml:space="preserve"> for Internet Protocol Relay Service (IP Relay).</w:t>
      </w:r>
      <w:r>
        <w:rPr>
          <w:szCs w:val="22"/>
          <w:vertAlign w:val="superscript"/>
        </w:rPr>
        <w:footnoteReference w:id="4"/>
      </w:r>
    </w:p>
    <w:p w:rsidR="002C1A52" w:rsidRPr="00C05524" w:rsidP="002C1A52" w14:paraId="3939E780" w14:textId="77777777">
      <w:pPr>
        <w:pStyle w:val="BodyText"/>
        <w:ind w:firstLine="0"/>
        <w:jc w:val="center"/>
        <w:rPr>
          <w:szCs w:val="22"/>
          <w:u w:val="single"/>
        </w:rPr>
      </w:pPr>
      <w:r w:rsidRPr="00C05524">
        <w:rPr>
          <w:szCs w:val="22"/>
          <w:u w:val="single"/>
        </w:rPr>
        <w:t>TRS Using MARS Plan Methodology</w:t>
      </w:r>
    </w:p>
    <w:p w:rsidR="002C1A52" w:rsidRPr="00DC492D" w:rsidP="002C1A52" w14:paraId="7D72F043" w14:textId="6557F0C3">
      <w:pPr>
        <w:spacing w:after="120"/>
        <w:ind w:firstLine="720"/>
        <w:rPr>
          <w:b/>
          <w:szCs w:val="22"/>
        </w:rPr>
      </w:pPr>
      <w:r w:rsidRPr="00C05524">
        <w:rPr>
          <w:szCs w:val="22"/>
        </w:rPr>
        <w:t>Rolka Loube Associates LLC (Rolka Loube), the TRS Fund administrator</w:t>
      </w:r>
      <w:r>
        <w:rPr>
          <w:szCs w:val="22"/>
        </w:rPr>
        <w:t>,</w:t>
      </w:r>
      <w:r w:rsidRPr="00C05524">
        <w:rPr>
          <w:szCs w:val="22"/>
        </w:rPr>
        <w:t xml:space="preserve"> proposes per-minute compensation </w:t>
      </w:r>
      <w:r w:rsidR="00F00F35">
        <w:rPr>
          <w:szCs w:val="22"/>
        </w:rPr>
        <w:t xml:space="preserve">formulas </w:t>
      </w:r>
      <w:r w:rsidRPr="00C05524">
        <w:rPr>
          <w:szCs w:val="22"/>
        </w:rPr>
        <w:t xml:space="preserve">for </w:t>
      </w:r>
      <w:r w:rsidR="00F00F35">
        <w:rPr>
          <w:szCs w:val="22"/>
        </w:rPr>
        <w:t xml:space="preserve">services </w:t>
      </w:r>
      <w:r w:rsidRPr="00C05524">
        <w:rPr>
          <w:szCs w:val="22"/>
        </w:rPr>
        <w:t>subject to the Multi</w:t>
      </w:r>
      <w:r w:rsidR="00032038">
        <w:rPr>
          <w:szCs w:val="22"/>
        </w:rPr>
        <w:t>-</w:t>
      </w:r>
      <w:r w:rsidRPr="00C05524">
        <w:rPr>
          <w:szCs w:val="22"/>
        </w:rPr>
        <w:t>state Average Rate Structure (MARS) plan methodology,</w:t>
      </w:r>
      <w:r>
        <w:rPr>
          <w:rStyle w:val="FootnoteReference"/>
          <w:szCs w:val="22"/>
        </w:rPr>
        <w:footnoteReference w:id="5"/>
      </w:r>
      <w:r w:rsidRPr="00C05524">
        <w:rPr>
          <w:szCs w:val="22"/>
        </w:rPr>
        <w:t xml:space="preserve"> as follows:  $</w:t>
      </w:r>
      <w:r w:rsidR="009460B3">
        <w:rPr>
          <w:szCs w:val="22"/>
        </w:rPr>
        <w:t>4.1944</w:t>
      </w:r>
      <w:r w:rsidRPr="00C05524">
        <w:rPr>
          <w:szCs w:val="22"/>
        </w:rPr>
        <w:t xml:space="preserve"> for interstate traditional TRS;</w:t>
      </w:r>
      <w:r>
        <w:rPr>
          <w:rStyle w:val="FootnoteReference"/>
          <w:szCs w:val="22"/>
        </w:rPr>
        <w:footnoteReference w:id="6"/>
      </w:r>
      <w:r w:rsidRPr="00C05524">
        <w:rPr>
          <w:szCs w:val="22"/>
        </w:rPr>
        <w:t xml:space="preserve"> $</w:t>
      </w:r>
      <w:r w:rsidRPr="003D2C7A" w:rsidR="00C56FCF">
        <w:t>5.3254</w:t>
      </w:r>
      <w:r w:rsidRPr="003D2C7A">
        <w:t xml:space="preserve"> </w:t>
      </w:r>
      <w:r w:rsidRPr="00C05524">
        <w:rPr>
          <w:szCs w:val="22"/>
        </w:rPr>
        <w:t xml:space="preserve">for interstate speech-to-speech </w:t>
      </w:r>
      <w:r w:rsidRPr="00C05524">
        <w:rPr>
          <w:szCs w:val="22"/>
        </w:rPr>
        <w:t>relay service (STS);</w:t>
      </w:r>
      <w:r>
        <w:rPr>
          <w:rStyle w:val="FootnoteReference"/>
          <w:szCs w:val="22"/>
        </w:rPr>
        <w:footnoteReference w:id="7"/>
      </w:r>
      <w:r w:rsidRPr="00C05524">
        <w:rPr>
          <w:szCs w:val="22"/>
        </w:rPr>
        <w:t xml:space="preserve"> and $2.</w:t>
      </w:r>
      <w:r>
        <w:rPr>
          <w:szCs w:val="22"/>
        </w:rPr>
        <w:t>3</w:t>
      </w:r>
      <w:r w:rsidR="00C56FCF">
        <w:rPr>
          <w:szCs w:val="22"/>
        </w:rPr>
        <w:t>662</w:t>
      </w:r>
      <w:r w:rsidRPr="00C05524">
        <w:rPr>
          <w:szCs w:val="22"/>
        </w:rPr>
        <w:t xml:space="preserve"> for interstate captioned telephone service (CTS).</w:t>
      </w:r>
      <w:r>
        <w:rPr>
          <w:rStyle w:val="FootnoteReference"/>
          <w:szCs w:val="22"/>
        </w:rPr>
        <w:footnoteReference w:id="8"/>
      </w:r>
      <w:r w:rsidRPr="00C05524">
        <w:rPr>
          <w:szCs w:val="22"/>
        </w:rPr>
        <w:t xml:space="preserve">  We seek comment on whether these proposed </w:t>
      </w:r>
      <w:r w:rsidR="007E53A0">
        <w:rPr>
          <w:szCs w:val="22"/>
        </w:rPr>
        <w:t xml:space="preserve">formulas </w:t>
      </w:r>
      <w:r w:rsidRPr="00C05524">
        <w:rPr>
          <w:szCs w:val="22"/>
        </w:rPr>
        <w:t>correctly apply the MARS methodology.</w:t>
      </w:r>
    </w:p>
    <w:p w:rsidR="002C1A52" w:rsidRPr="00C05524" w:rsidP="002C1A52" w14:paraId="3506FBDC" w14:textId="77777777">
      <w:pPr>
        <w:pStyle w:val="BodyText"/>
        <w:ind w:firstLine="0"/>
        <w:jc w:val="center"/>
        <w:rPr>
          <w:szCs w:val="22"/>
          <w:u w:val="single"/>
        </w:rPr>
      </w:pPr>
      <w:r w:rsidRPr="00C05524">
        <w:rPr>
          <w:szCs w:val="22"/>
          <w:u w:val="single"/>
        </w:rPr>
        <w:t>IP Relay</w:t>
      </w:r>
    </w:p>
    <w:p w:rsidR="007E53A0" w:rsidP="002C1A52" w14:paraId="6224E99F" w14:textId="266C932B">
      <w:pPr>
        <w:widowControl/>
        <w:autoSpaceDE w:val="0"/>
        <w:autoSpaceDN w:val="0"/>
        <w:adjustRightInd w:val="0"/>
        <w:spacing w:after="120"/>
        <w:ind w:firstLine="720"/>
        <w:rPr>
          <w:szCs w:val="22"/>
        </w:rPr>
      </w:pPr>
      <w:r w:rsidRPr="007653C3">
        <w:rPr>
          <w:szCs w:val="22"/>
        </w:rPr>
        <w:t>IP Relay compensation is subject to a price</w:t>
      </w:r>
      <w:r>
        <w:rPr>
          <w:szCs w:val="22"/>
        </w:rPr>
        <w:t>-</w:t>
      </w:r>
      <w:r w:rsidRPr="007653C3">
        <w:rPr>
          <w:szCs w:val="22"/>
        </w:rPr>
        <w:t>cap</w:t>
      </w:r>
      <w:r>
        <w:rPr>
          <w:szCs w:val="22"/>
        </w:rPr>
        <w:t>-like</w:t>
      </w:r>
      <w:r w:rsidRPr="007653C3">
        <w:rPr>
          <w:szCs w:val="22"/>
        </w:rPr>
        <w:t xml:space="preserve"> methodology</w:t>
      </w:r>
      <w:r w:rsidR="00EC7DB9">
        <w:rPr>
          <w:szCs w:val="22"/>
        </w:rPr>
        <w:t xml:space="preserve"> with a three-year </w:t>
      </w:r>
      <w:r w:rsidR="005D2B3C">
        <w:rPr>
          <w:szCs w:val="22"/>
        </w:rPr>
        <w:t xml:space="preserve">compensation </w:t>
      </w:r>
      <w:r w:rsidR="00EC7DB9">
        <w:rPr>
          <w:szCs w:val="22"/>
        </w:rPr>
        <w:t>cycle</w:t>
      </w:r>
      <w:r w:rsidRPr="007653C3">
        <w:rPr>
          <w:szCs w:val="22"/>
        </w:rPr>
        <w:t>.</w:t>
      </w:r>
      <w:r>
        <w:rPr>
          <w:rStyle w:val="FootnoteReference"/>
          <w:szCs w:val="22"/>
        </w:rPr>
        <w:footnoteReference w:id="9"/>
      </w:r>
      <w:r w:rsidRPr="007653C3">
        <w:rPr>
          <w:szCs w:val="22"/>
        </w:rPr>
        <w:t xml:space="preserve">  </w:t>
      </w:r>
      <w:r w:rsidR="00EC7DB9">
        <w:rPr>
          <w:szCs w:val="22"/>
        </w:rPr>
        <w:t xml:space="preserve">A </w:t>
      </w:r>
      <w:r w:rsidRPr="007653C3">
        <w:rPr>
          <w:szCs w:val="22"/>
        </w:rPr>
        <w:t xml:space="preserve">base </w:t>
      </w:r>
      <w:r w:rsidR="005D2B3C">
        <w:rPr>
          <w:szCs w:val="22"/>
        </w:rPr>
        <w:t xml:space="preserve">compensation level </w:t>
      </w:r>
      <w:r>
        <w:rPr>
          <w:szCs w:val="22"/>
        </w:rPr>
        <w:t>is reset every three years,</w:t>
      </w:r>
      <w:r w:rsidRPr="007653C3">
        <w:rPr>
          <w:szCs w:val="22"/>
        </w:rPr>
        <w:t xml:space="preserve"> and </w:t>
      </w:r>
      <w:r w:rsidR="00EC7DB9">
        <w:rPr>
          <w:szCs w:val="22"/>
        </w:rPr>
        <w:t xml:space="preserve">compensation formulas for the second and third years of the cycle are determined by </w:t>
      </w:r>
      <w:r w:rsidRPr="007653C3">
        <w:rPr>
          <w:szCs w:val="22"/>
        </w:rPr>
        <w:t>multipl</w:t>
      </w:r>
      <w:r w:rsidR="00EC7DB9">
        <w:rPr>
          <w:szCs w:val="22"/>
        </w:rPr>
        <w:t xml:space="preserve">ying the base </w:t>
      </w:r>
      <w:r w:rsidR="005D2B3C">
        <w:rPr>
          <w:szCs w:val="22"/>
        </w:rPr>
        <w:t>compensation level</w:t>
      </w:r>
      <w:r w:rsidRPr="007653C3" w:rsidR="005D2B3C">
        <w:rPr>
          <w:szCs w:val="22"/>
        </w:rPr>
        <w:t xml:space="preserve"> </w:t>
      </w:r>
      <w:r w:rsidRPr="007653C3">
        <w:rPr>
          <w:szCs w:val="22"/>
        </w:rPr>
        <w:t>by a factor that reflects an increase due to inflation, offset by a decrease due to efficiencies.</w:t>
      </w:r>
      <w:r>
        <w:rPr>
          <w:rStyle w:val="FootnoteReference"/>
          <w:szCs w:val="22"/>
        </w:rPr>
        <w:footnoteReference w:id="10"/>
      </w:r>
      <w:r w:rsidRPr="007653C3">
        <w:rPr>
          <w:szCs w:val="22"/>
        </w:rPr>
        <w:t xml:space="preserve">  </w:t>
      </w:r>
      <w:r w:rsidR="0080789A">
        <w:rPr>
          <w:szCs w:val="22"/>
        </w:rPr>
        <w:t xml:space="preserve">The current IP Relay cycle began in 2019 and ends </w:t>
      </w:r>
      <w:r w:rsidRPr="0055715C" w:rsidR="0080789A">
        <w:rPr>
          <w:szCs w:val="22"/>
        </w:rPr>
        <w:t>June 30, 2022.</w:t>
      </w:r>
      <w:r>
        <w:rPr>
          <w:rStyle w:val="FootnoteReference"/>
          <w:szCs w:val="22"/>
        </w:rPr>
        <w:footnoteReference w:id="11"/>
      </w:r>
      <w:r w:rsidR="0080789A">
        <w:rPr>
          <w:szCs w:val="22"/>
        </w:rPr>
        <w:t xml:space="preserve">  </w:t>
      </w:r>
      <w:r w:rsidR="0002446C">
        <w:rPr>
          <w:szCs w:val="22"/>
        </w:rPr>
        <w:t xml:space="preserve">In 2019, the Commission set a base </w:t>
      </w:r>
      <w:r w:rsidR="0047165A">
        <w:rPr>
          <w:szCs w:val="22"/>
        </w:rPr>
        <w:t xml:space="preserve">compensation level </w:t>
      </w:r>
      <w:r w:rsidR="0002446C">
        <w:rPr>
          <w:szCs w:val="22"/>
        </w:rPr>
        <w:t xml:space="preserve">of </w:t>
      </w:r>
      <w:r w:rsidRPr="006F392A" w:rsidR="0002446C">
        <w:rPr>
          <w:szCs w:val="22"/>
        </w:rPr>
        <w:t>$1.67</w:t>
      </w:r>
      <w:r w:rsidR="0002446C">
        <w:rPr>
          <w:szCs w:val="22"/>
        </w:rPr>
        <w:t xml:space="preserve"> per minute and set the efficiency factor equal to the inflation factor, which would produce no net change in the compensation formula for the second and third years of the cycle.</w:t>
      </w:r>
      <w:r>
        <w:rPr>
          <w:rStyle w:val="FootnoteReference"/>
          <w:szCs w:val="22"/>
        </w:rPr>
        <w:footnoteReference w:id="12"/>
      </w:r>
      <w:r w:rsidR="0002446C">
        <w:rPr>
          <w:szCs w:val="22"/>
        </w:rPr>
        <w:t xml:space="preserve">  In 2020, however, to take account of </w:t>
      </w:r>
      <w:r w:rsidR="00184002">
        <w:rPr>
          <w:szCs w:val="22"/>
        </w:rPr>
        <w:t xml:space="preserve">an unforeseen increase in provider costs, </w:t>
      </w:r>
      <w:r w:rsidR="0002446C">
        <w:rPr>
          <w:szCs w:val="22"/>
        </w:rPr>
        <w:t xml:space="preserve">the compensation level was adjusted </w:t>
      </w:r>
      <w:r w:rsidR="00184002">
        <w:rPr>
          <w:szCs w:val="22"/>
        </w:rPr>
        <w:t xml:space="preserve">upward </w:t>
      </w:r>
      <w:r w:rsidR="0002446C">
        <w:rPr>
          <w:szCs w:val="22"/>
        </w:rPr>
        <w:t xml:space="preserve">to </w:t>
      </w:r>
      <w:r>
        <w:rPr>
          <w:szCs w:val="22"/>
        </w:rPr>
        <w:t>$1.</w:t>
      </w:r>
      <w:r w:rsidR="00F043F9">
        <w:rPr>
          <w:szCs w:val="22"/>
        </w:rPr>
        <w:t>7146 per minute for the 2020-21 Fund Year</w:t>
      </w:r>
      <w:r w:rsidR="0080789A">
        <w:rPr>
          <w:szCs w:val="22"/>
        </w:rPr>
        <w:t>.</w:t>
      </w:r>
      <w:r>
        <w:rPr>
          <w:rStyle w:val="FootnoteReference"/>
          <w:szCs w:val="22"/>
        </w:rPr>
        <w:footnoteReference w:id="13"/>
      </w:r>
      <w:r w:rsidR="00B92FD3">
        <w:rPr>
          <w:szCs w:val="22"/>
        </w:rPr>
        <w:t xml:space="preserve"> </w:t>
      </w:r>
      <w:r>
        <w:rPr>
          <w:szCs w:val="22"/>
        </w:rPr>
        <w:t xml:space="preserve"> </w:t>
      </w:r>
    </w:p>
    <w:p w:rsidR="00385B28" w:rsidP="00351460" w14:paraId="32F4E53B" w14:textId="4A93FDE2">
      <w:pPr>
        <w:widowControl/>
        <w:autoSpaceDE w:val="0"/>
        <w:autoSpaceDN w:val="0"/>
        <w:adjustRightInd w:val="0"/>
        <w:spacing w:after="120"/>
        <w:ind w:firstLine="720"/>
        <w:rPr>
          <w:szCs w:val="22"/>
        </w:rPr>
      </w:pPr>
      <w:r>
        <w:rPr>
          <w:szCs w:val="22"/>
        </w:rPr>
        <w:t>The</w:t>
      </w:r>
      <w:r w:rsidR="002C1A52">
        <w:rPr>
          <w:szCs w:val="22"/>
        </w:rPr>
        <w:t xml:space="preserve"> </w:t>
      </w:r>
      <w:r w:rsidR="00031F55">
        <w:rPr>
          <w:szCs w:val="22"/>
        </w:rPr>
        <w:t>current</w:t>
      </w:r>
      <w:r w:rsidR="00351460">
        <w:rPr>
          <w:szCs w:val="22"/>
        </w:rPr>
        <w:t xml:space="preserve"> compensation</w:t>
      </w:r>
      <w:r w:rsidR="006F392A">
        <w:rPr>
          <w:szCs w:val="22"/>
        </w:rPr>
        <w:t xml:space="preserve"> </w:t>
      </w:r>
      <w:r w:rsidR="002C1A52">
        <w:rPr>
          <w:szCs w:val="22"/>
        </w:rPr>
        <w:t>include</w:t>
      </w:r>
      <w:r>
        <w:rPr>
          <w:szCs w:val="22"/>
        </w:rPr>
        <w:t>s</w:t>
      </w:r>
      <w:r w:rsidR="002C1A52">
        <w:rPr>
          <w:szCs w:val="22"/>
        </w:rPr>
        <w:t xml:space="preserve"> allowances for the recovery of certain costs incurred for outreach</w:t>
      </w:r>
      <w:r w:rsidR="006F392A">
        <w:rPr>
          <w:szCs w:val="22"/>
        </w:rPr>
        <w:t>, both</w:t>
      </w:r>
      <w:r w:rsidR="002C1A52">
        <w:rPr>
          <w:szCs w:val="22"/>
        </w:rPr>
        <w:t xml:space="preserve"> to the deafblind community and the larger TRS community, pursuant to waivers of the Commission’s </w:t>
      </w:r>
      <w:r w:rsidR="00351460">
        <w:rPr>
          <w:szCs w:val="22"/>
        </w:rPr>
        <w:t xml:space="preserve">rule </w:t>
      </w:r>
      <w:r w:rsidR="002C1A52">
        <w:rPr>
          <w:szCs w:val="22"/>
        </w:rPr>
        <w:t>disallowing TRS Fund support of provider outreach costs for this service.</w:t>
      </w:r>
      <w:r>
        <w:rPr>
          <w:rStyle w:val="FootnoteReference"/>
        </w:rPr>
        <w:footnoteReference w:id="14"/>
      </w:r>
      <w:r w:rsidR="00351460">
        <w:rPr>
          <w:szCs w:val="22"/>
        </w:rPr>
        <w:t xml:space="preserve">  </w:t>
      </w:r>
      <w:r w:rsidR="0058142E">
        <w:rPr>
          <w:szCs w:val="22"/>
        </w:rPr>
        <w:t xml:space="preserve">As the sole provider of IP Relay, </w:t>
      </w:r>
      <w:r w:rsidR="00351460">
        <w:rPr>
          <w:szCs w:val="22"/>
        </w:rPr>
        <w:t>T-Mobile has requested renewal of these outreach waivers for the 2021-22 Fund Year.</w:t>
      </w:r>
      <w:r>
        <w:rPr>
          <w:rStyle w:val="FootnoteReference"/>
          <w:szCs w:val="22"/>
        </w:rPr>
        <w:footnoteReference w:id="15"/>
      </w:r>
      <w:r w:rsidR="00351460">
        <w:rPr>
          <w:szCs w:val="22"/>
        </w:rPr>
        <w:t xml:space="preserve">  </w:t>
      </w:r>
      <w:r w:rsidR="00BD5416">
        <w:rPr>
          <w:szCs w:val="22"/>
        </w:rPr>
        <w:t>T-Mobile also request</w:t>
      </w:r>
      <w:r w:rsidR="005950AA">
        <w:rPr>
          <w:szCs w:val="22"/>
        </w:rPr>
        <w:t>s</w:t>
      </w:r>
      <w:r w:rsidR="00BD5416">
        <w:rPr>
          <w:szCs w:val="22"/>
        </w:rPr>
        <w:t xml:space="preserve"> waiver of the Commission’s rule disallowing TRS Fund support of indirect overhead costs allocated to TRS by a provider that offers both TRS and non-TRS services.</w:t>
      </w:r>
      <w:r>
        <w:rPr>
          <w:rStyle w:val="FootnoteReference"/>
          <w:szCs w:val="22"/>
        </w:rPr>
        <w:footnoteReference w:id="16"/>
      </w:r>
      <w:r w:rsidR="00BD5416">
        <w:rPr>
          <w:szCs w:val="22"/>
        </w:rPr>
        <w:t xml:space="preserve">    </w:t>
      </w:r>
    </w:p>
    <w:p w:rsidR="002C1A52" w:rsidP="002C1A52" w14:paraId="5288B996" w14:textId="23B1CDBC">
      <w:pPr>
        <w:widowControl/>
        <w:autoSpaceDE w:val="0"/>
        <w:autoSpaceDN w:val="0"/>
        <w:adjustRightInd w:val="0"/>
        <w:spacing w:after="120"/>
        <w:ind w:firstLine="720"/>
        <w:rPr>
          <w:szCs w:val="22"/>
        </w:rPr>
      </w:pPr>
      <w:r>
        <w:rPr>
          <w:szCs w:val="22"/>
        </w:rPr>
        <w:t xml:space="preserve">Rolka Loube recommends </w:t>
      </w:r>
      <w:r w:rsidR="00EF4236">
        <w:rPr>
          <w:szCs w:val="22"/>
        </w:rPr>
        <w:t xml:space="preserve">that the Commission </w:t>
      </w:r>
      <w:r>
        <w:rPr>
          <w:szCs w:val="22"/>
        </w:rPr>
        <w:t xml:space="preserve">continue to </w:t>
      </w:r>
      <w:r w:rsidR="00434F3B">
        <w:rPr>
          <w:szCs w:val="22"/>
        </w:rPr>
        <w:t xml:space="preserve">permit recovery of an </w:t>
      </w:r>
      <w:r>
        <w:rPr>
          <w:szCs w:val="22"/>
        </w:rPr>
        <w:t xml:space="preserve">allowance </w:t>
      </w:r>
      <w:r w:rsidR="00434F3B">
        <w:rPr>
          <w:szCs w:val="22"/>
        </w:rPr>
        <w:t xml:space="preserve">for </w:t>
      </w:r>
      <w:r>
        <w:rPr>
          <w:szCs w:val="22"/>
        </w:rPr>
        <w:t xml:space="preserve">outreach activities </w:t>
      </w:r>
      <w:r w:rsidR="00434F3B">
        <w:rPr>
          <w:szCs w:val="22"/>
        </w:rPr>
        <w:t xml:space="preserve">and an operating margin, both of which are included in the current compensation </w:t>
      </w:r>
      <w:r w:rsidR="00434F3B">
        <w:rPr>
          <w:szCs w:val="22"/>
        </w:rPr>
        <w:t>formula</w:t>
      </w:r>
      <w:r>
        <w:rPr>
          <w:szCs w:val="22"/>
        </w:rPr>
        <w:t>.</w:t>
      </w:r>
      <w:r>
        <w:rPr>
          <w:rStyle w:val="FootnoteReference"/>
          <w:szCs w:val="22"/>
        </w:rPr>
        <w:footnoteReference w:id="17"/>
      </w:r>
      <w:r w:rsidR="00E65C3D">
        <w:rPr>
          <w:szCs w:val="22"/>
        </w:rPr>
        <w:t xml:space="preserve">  </w:t>
      </w:r>
      <w:r w:rsidR="00BE1F78">
        <w:rPr>
          <w:szCs w:val="22"/>
        </w:rPr>
        <w:t xml:space="preserve">Rolka Loube </w:t>
      </w:r>
      <w:r w:rsidR="00434F3B">
        <w:rPr>
          <w:szCs w:val="22"/>
        </w:rPr>
        <w:t xml:space="preserve">also </w:t>
      </w:r>
      <w:r w:rsidR="00F42A8E">
        <w:rPr>
          <w:szCs w:val="22"/>
        </w:rPr>
        <w:t xml:space="preserve">recommends retaining the current </w:t>
      </w:r>
      <w:r w:rsidR="00434F3B">
        <w:rPr>
          <w:szCs w:val="22"/>
        </w:rPr>
        <w:t xml:space="preserve">compensation level </w:t>
      </w:r>
      <w:r w:rsidR="00F42A8E">
        <w:rPr>
          <w:szCs w:val="22"/>
        </w:rPr>
        <w:t>of $1.7146 per</w:t>
      </w:r>
      <w:r w:rsidR="00CD2C56">
        <w:rPr>
          <w:szCs w:val="22"/>
        </w:rPr>
        <w:t xml:space="preserve"> </w:t>
      </w:r>
      <w:r w:rsidR="00B634F1">
        <w:rPr>
          <w:szCs w:val="22"/>
        </w:rPr>
        <w:t xml:space="preserve">minute “due to the uncertainty associated with the </w:t>
      </w:r>
      <w:r w:rsidR="00EF4236">
        <w:rPr>
          <w:szCs w:val="22"/>
        </w:rPr>
        <w:t xml:space="preserve">impact of </w:t>
      </w:r>
      <w:r w:rsidR="00B634F1">
        <w:rPr>
          <w:szCs w:val="22"/>
        </w:rPr>
        <w:t>Covid-1</w:t>
      </w:r>
      <w:r w:rsidR="00EF4236">
        <w:rPr>
          <w:szCs w:val="22"/>
        </w:rPr>
        <w:t>9</w:t>
      </w:r>
      <w:r w:rsidR="00B634F1">
        <w:rPr>
          <w:szCs w:val="22"/>
        </w:rPr>
        <w:t xml:space="preserve"> </w:t>
      </w:r>
      <w:r w:rsidR="00F060C6">
        <w:rPr>
          <w:szCs w:val="22"/>
        </w:rPr>
        <w:t>on demand and cost</w:t>
      </w:r>
      <w:r w:rsidR="00F8667D">
        <w:rPr>
          <w:szCs w:val="22"/>
        </w:rPr>
        <w:t>.</w:t>
      </w:r>
      <w:r w:rsidR="00F060C6">
        <w:rPr>
          <w:szCs w:val="22"/>
        </w:rPr>
        <w:t>”</w:t>
      </w:r>
      <w:r>
        <w:rPr>
          <w:rStyle w:val="FootnoteReference"/>
          <w:szCs w:val="22"/>
        </w:rPr>
        <w:footnoteReference w:id="18"/>
      </w:r>
      <w:r w:rsidR="00F060C6">
        <w:rPr>
          <w:szCs w:val="22"/>
        </w:rPr>
        <w:t xml:space="preserve"> </w:t>
      </w:r>
      <w:r w:rsidR="009F45DC">
        <w:rPr>
          <w:szCs w:val="22"/>
        </w:rPr>
        <w:t xml:space="preserve"> </w:t>
      </w:r>
      <w:r w:rsidRPr="009F45DC">
        <w:rPr>
          <w:szCs w:val="22"/>
        </w:rPr>
        <w:t xml:space="preserve">We seek comment on Rolka </w:t>
      </w:r>
      <w:r w:rsidRPr="009F45DC">
        <w:rPr>
          <w:szCs w:val="22"/>
        </w:rPr>
        <w:t>Loube’s</w:t>
      </w:r>
      <w:r w:rsidRPr="009F45DC">
        <w:rPr>
          <w:szCs w:val="22"/>
        </w:rPr>
        <w:t xml:space="preserve"> recommendations.</w:t>
      </w:r>
    </w:p>
    <w:p w:rsidR="002C1A52" w:rsidRPr="00DC5A4F" w:rsidP="002C1A52" w14:paraId="7AD98D99" w14:textId="67998E5D">
      <w:pPr>
        <w:pStyle w:val="BodyText"/>
        <w:ind w:firstLine="0"/>
        <w:jc w:val="center"/>
        <w:rPr>
          <w:szCs w:val="22"/>
          <w:u w:val="single"/>
          <w:lang w:val="en-US"/>
        </w:rPr>
      </w:pPr>
      <w:r w:rsidRPr="00C05524">
        <w:rPr>
          <w:szCs w:val="22"/>
          <w:u w:val="single"/>
        </w:rPr>
        <w:t>VRS</w:t>
      </w:r>
      <w:r w:rsidR="00A150F5">
        <w:rPr>
          <w:szCs w:val="22"/>
          <w:u w:val="single"/>
          <w:lang w:val="en-US"/>
        </w:rPr>
        <w:t xml:space="preserve"> and IP CTS</w:t>
      </w:r>
    </w:p>
    <w:p w:rsidR="00A150F5" w:rsidRPr="00C05524" w:rsidP="00F7250F" w14:paraId="18412A97" w14:textId="38393EDE">
      <w:pPr>
        <w:widowControl/>
        <w:autoSpaceDE w:val="0"/>
        <w:autoSpaceDN w:val="0"/>
        <w:adjustRightInd w:val="0"/>
        <w:spacing w:after="120"/>
        <w:ind w:firstLine="720"/>
        <w:rPr>
          <w:szCs w:val="22"/>
        </w:rPr>
      </w:pPr>
      <w:r>
        <w:rPr>
          <w:szCs w:val="22"/>
        </w:rPr>
        <w:t xml:space="preserve">The Commission is </w:t>
      </w:r>
      <w:r w:rsidR="00EF4236">
        <w:rPr>
          <w:szCs w:val="22"/>
        </w:rPr>
        <w:t xml:space="preserve">currently considering adoption of a notice of proposed rulemaking and order </w:t>
      </w:r>
      <w:r>
        <w:rPr>
          <w:szCs w:val="22"/>
        </w:rPr>
        <w:t>addressing</w:t>
      </w:r>
      <w:r w:rsidR="00EF4236">
        <w:rPr>
          <w:szCs w:val="22"/>
        </w:rPr>
        <w:t xml:space="preserve"> VRS compensation </w:t>
      </w:r>
      <w:r>
        <w:rPr>
          <w:szCs w:val="22"/>
        </w:rPr>
        <w:t>after June 30, 2021.</w:t>
      </w:r>
      <w:r>
        <w:rPr>
          <w:rStyle w:val="FootnoteReference"/>
          <w:szCs w:val="22"/>
        </w:rPr>
        <w:footnoteReference w:id="19"/>
      </w:r>
      <w:r>
        <w:rPr>
          <w:szCs w:val="22"/>
        </w:rPr>
        <w:t xml:space="preserve">  </w:t>
      </w:r>
      <w:r w:rsidR="00F7250F">
        <w:rPr>
          <w:szCs w:val="22"/>
        </w:rPr>
        <w:t>Further, c</w:t>
      </w:r>
      <w:r>
        <w:rPr>
          <w:szCs w:val="22"/>
        </w:rPr>
        <w:t>ompensation for IP CTS for the 2021-22 Fund Year</w:t>
      </w:r>
      <w:r w:rsidRPr="00D927F7" w:rsidR="00D927F7">
        <w:rPr>
          <w:szCs w:val="22"/>
        </w:rPr>
        <w:t xml:space="preserve"> </w:t>
      </w:r>
      <w:r w:rsidRPr="005C2CE0" w:rsidR="00D927F7">
        <w:rPr>
          <w:szCs w:val="22"/>
        </w:rPr>
        <w:t>was set by the Commission</w:t>
      </w:r>
      <w:r w:rsidR="00D927F7">
        <w:rPr>
          <w:szCs w:val="22"/>
        </w:rPr>
        <w:t xml:space="preserve"> in the </w:t>
      </w:r>
      <w:r w:rsidRPr="00A150F5" w:rsidR="00D927F7">
        <w:rPr>
          <w:i/>
          <w:szCs w:val="22"/>
        </w:rPr>
        <w:t>2020 IP CTS Reform Order</w:t>
      </w:r>
      <w:r>
        <w:rPr>
          <w:szCs w:val="22"/>
        </w:rPr>
        <w:t>.</w:t>
      </w:r>
      <w:r>
        <w:rPr>
          <w:rStyle w:val="FootnoteReference"/>
          <w:szCs w:val="22"/>
        </w:rPr>
        <w:footnoteReference w:id="20"/>
      </w:r>
      <w:r>
        <w:rPr>
          <w:szCs w:val="22"/>
        </w:rPr>
        <w:t xml:space="preserve">  </w:t>
      </w:r>
      <w:r w:rsidRPr="00A150F5">
        <w:rPr>
          <w:szCs w:val="22"/>
        </w:rPr>
        <w:t xml:space="preserve">Therefore, Rolka Loube has not made recommendations regarding </w:t>
      </w:r>
      <w:r w:rsidR="00F7250F">
        <w:rPr>
          <w:szCs w:val="22"/>
        </w:rPr>
        <w:t xml:space="preserve">VRS and </w:t>
      </w:r>
      <w:r>
        <w:rPr>
          <w:szCs w:val="22"/>
        </w:rPr>
        <w:t>IP CTS</w:t>
      </w:r>
      <w:r w:rsidRPr="00A150F5">
        <w:rPr>
          <w:szCs w:val="22"/>
        </w:rPr>
        <w:t xml:space="preserve"> compensation.</w:t>
      </w:r>
    </w:p>
    <w:p w:rsidR="002C1A52" w:rsidRPr="00B2298E" w:rsidP="002C1A52" w14:paraId="552DDAC3" w14:textId="5FE4DE95">
      <w:pPr>
        <w:pStyle w:val="BodyText"/>
        <w:ind w:firstLine="0"/>
        <w:jc w:val="center"/>
        <w:rPr>
          <w:szCs w:val="22"/>
          <w:u w:val="single"/>
          <w:lang w:val="en-US"/>
        </w:rPr>
      </w:pPr>
      <w:r w:rsidRPr="00C05524">
        <w:rPr>
          <w:szCs w:val="22"/>
          <w:u w:val="single"/>
        </w:rPr>
        <w:t>Funding Requirement and Contribution Factor</w:t>
      </w:r>
      <w:r w:rsidR="00B2298E">
        <w:rPr>
          <w:szCs w:val="22"/>
          <w:u w:val="single"/>
          <w:lang w:val="en-US"/>
        </w:rPr>
        <w:t>s</w:t>
      </w:r>
    </w:p>
    <w:p w:rsidR="002C1A52" w:rsidRPr="00C05524" w:rsidP="002C1A52" w14:paraId="1C2CB4EF" w14:textId="5537F7DD">
      <w:pPr>
        <w:spacing w:after="120"/>
        <w:ind w:firstLine="720"/>
        <w:rPr>
          <w:szCs w:val="22"/>
        </w:rPr>
      </w:pPr>
      <w:r w:rsidRPr="4A6BC0BC">
        <w:t>C</w:t>
      </w:r>
      <w:r>
        <w:t xml:space="preserve">omment is also invited on Rolka </w:t>
      </w:r>
      <w:r>
        <w:t>Loube’s</w:t>
      </w:r>
      <w:r>
        <w:t xml:space="preserve"> </w:t>
      </w:r>
      <w:r w:rsidRPr="4A6BC0BC">
        <w:t>specific demand projections and funding requirements for the various relay services supported by the Fund.</w:t>
      </w:r>
      <w:r>
        <w:rPr>
          <w:rStyle w:val="FootnoteReference"/>
        </w:rPr>
        <w:footnoteReference w:id="21"/>
      </w:r>
      <w:r w:rsidRPr="4A6BC0BC">
        <w:t xml:space="preserve"> </w:t>
      </w:r>
      <w:r w:rsidR="002F5A17">
        <w:t xml:space="preserve"> </w:t>
      </w:r>
      <w:r w:rsidR="00B13B53">
        <w:t xml:space="preserve">For example, </w:t>
      </w:r>
      <w:r w:rsidRPr="4A6BC0BC">
        <w:t>in estimating demand for the purpose of recommending revenue requirement</w:t>
      </w:r>
      <w:r w:rsidR="00B13B53">
        <w:t>s</w:t>
      </w:r>
      <w:r w:rsidRPr="4A6BC0BC">
        <w:t xml:space="preserve"> and contribution factors, Rolka Loube </w:t>
      </w:r>
      <w:r w:rsidR="00963404">
        <w:t>adds 10% to</w:t>
      </w:r>
      <w:r w:rsidRPr="4A6BC0BC" w:rsidR="00963404">
        <w:t xml:space="preserve"> </w:t>
      </w:r>
      <w:r w:rsidR="00C42CF4">
        <w:t xml:space="preserve">IP CTS and VRS </w:t>
      </w:r>
      <w:r w:rsidRPr="4A6BC0BC">
        <w:t xml:space="preserve">providers’ </w:t>
      </w:r>
      <w:r w:rsidR="00963404">
        <w:t xml:space="preserve">current </w:t>
      </w:r>
      <w:r w:rsidRPr="4A6BC0BC">
        <w:t>demand projections</w:t>
      </w:r>
      <w:r w:rsidR="00B13B53">
        <w:t>,</w:t>
      </w:r>
      <w:r w:rsidRPr="00963404" w:rsidR="00963404">
        <w:t xml:space="preserve"> to </w:t>
      </w:r>
      <w:r w:rsidR="00963404">
        <w:t xml:space="preserve">take account of </w:t>
      </w:r>
      <w:r w:rsidR="00BE1D60">
        <w:t>continuing uncertainty regarding the</w:t>
      </w:r>
      <w:r w:rsidRPr="00963404" w:rsidR="00963404">
        <w:t xml:space="preserve"> duration of the pandemic and </w:t>
      </w:r>
      <w:r w:rsidR="00BE1D60">
        <w:t>its effect on</w:t>
      </w:r>
      <w:r w:rsidRPr="00963404" w:rsidR="00963404">
        <w:t xml:space="preserve"> demand</w:t>
      </w:r>
      <w:r w:rsidRPr="4A6BC0BC">
        <w:t>.</w:t>
      </w:r>
      <w:r>
        <w:rPr>
          <w:rStyle w:val="FootnoteReference"/>
        </w:rPr>
        <w:footnoteReference w:id="22"/>
      </w:r>
      <w:r>
        <w:rPr>
          <w:szCs w:val="22"/>
        </w:rPr>
        <w:t xml:space="preserve"> </w:t>
      </w:r>
      <w:r w:rsidRPr="4A6BC0BC">
        <w:t xml:space="preserve"> </w:t>
      </w:r>
    </w:p>
    <w:p w:rsidR="002C1A52" w:rsidP="002C1A52" w14:paraId="7A25ED18" w14:textId="6C1A4370">
      <w:pPr>
        <w:spacing w:after="120"/>
        <w:ind w:firstLine="720"/>
        <w:rPr>
          <w:szCs w:val="22"/>
        </w:rPr>
      </w:pPr>
      <w:r w:rsidRPr="00C05524">
        <w:rPr>
          <w:szCs w:val="22"/>
        </w:rPr>
        <w:t xml:space="preserve">We also seek comment on Rolka </w:t>
      </w:r>
      <w:r w:rsidRPr="00C05524">
        <w:rPr>
          <w:szCs w:val="22"/>
        </w:rPr>
        <w:t>Loube’s</w:t>
      </w:r>
      <w:r w:rsidRPr="00C05524">
        <w:rPr>
          <w:szCs w:val="22"/>
        </w:rPr>
        <w:t xml:space="preserve"> estimates and recommendations for </w:t>
      </w:r>
      <w:r w:rsidR="007A73FA">
        <w:rPr>
          <w:szCs w:val="22"/>
        </w:rPr>
        <w:t>disbursements under the</w:t>
      </w:r>
      <w:r w:rsidRPr="007A73FA" w:rsidR="007A73FA">
        <w:rPr>
          <w:szCs w:val="22"/>
        </w:rPr>
        <w:t xml:space="preserve"> National Deaf-Blind Equipment Distribution Program</w:t>
      </w:r>
      <w:r w:rsidR="00E415A9">
        <w:rPr>
          <w:szCs w:val="22"/>
        </w:rPr>
        <w:t xml:space="preserve"> ($10,000,000)</w:t>
      </w:r>
      <w:r w:rsidR="007A73FA">
        <w:rPr>
          <w:szCs w:val="22"/>
        </w:rPr>
        <w:t xml:space="preserve"> and </w:t>
      </w:r>
      <w:r w:rsidRPr="00C05524">
        <w:rPr>
          <w:szCs w:val="22"/>
        </w:rPr>
        <w:t xml:space="preserve">funding to cover </w:t>
      </w:r>
      <w:r w:rsidR="00BE1D60">
        <w:rPr>
          <w:szCs w:val="22"/>
        </w:rPr>
        <w:t xml:space="preserve">administration </w:t>
      </w:r>
      <w:r w:rsidRPr="00C05524">
        <w:rPr>
          <w:szCs w:val="22"/>
        </w:rPr>
        <w:t>costs</w:t>
      </w:r>
      <w:r w:rsidR="00E415A9">
        <w:rPr>
          <w:szCs w:val="22"/>
        </w:rPr>
        <w:t xml:space="preserve"> ($22,000,000)</w:t>
      </w:r>
      <w:r w:rsidR="00BE1D60">
        <w:rPr>
          <w:szCs w:val="22"/>
        </w:rPr>
        <w:t>, including allowances for</w:t>
      </w:r>
      <w:r w:rsidRPr="00C05524">
        <w:rPr>
          <w:szCs w:val="22"/>
        </w:rPr>
        <w:t xml:space="preserve"> VRS reform implementation, </w:t>
      </w:r>
      <w:r w:rsidR="007A73FA">
        <w:rPr>
          <w:szCs w:val="22"/>
        </w:rPr>
        <w:t>database</w:t>
      </w:r>
      <w:r w:rsidRPr="00C05524">
        <w:rPr>
          <w:szCs w:val="22"/>
        </w:rPr>
        <w:t xml:space="preserve"> administration, Fund</w:t>
      </w:r>
      <w:r w:rsidR="00BE1D60">
        <w:rPr>
          <w:szCs w:val="22"/>
        </w:rPr>
        <w:t xml:space="preserve"> administration</w:t>
      </w:r>
      <w:r w:rsidRPr="00C05524">
        <w:rPr>
          <w:szCs w:val="22"/>
        </w:rPr>
        <w:t>, data collection agent</w:t>
      </w:r>
      <w:r w:rsidR="00BE1D60">
        <w:rPr>
          <w:szCs w:val="22"/>
        </w:rPr>
        <w:t xml:space="preserve"> costs</w:t>
      </w:r>
      <w:r w:rsidRPr="00C05524">
        <w:rPr>
          <w:szCs w:val="22"/>
        </w:rPr>
        <w:t xml:space="preserve">, the Interstate TRS Fund Advisory Council, service provider audits, bankruptcy representation, an independent </w:t>
      </w:r>
      <w:r w:rsidR="00BE1D60">
        <w:rPr>
          <w:szCs w:val="22"/>
        </w:rPr>
        <w:t xml:space="preserve">financial </w:t>
      </w:r>
      <w:r w:rsidRPr="00C05524">
        <w:rPr>
          <w:szCs w:val="22"/>
        </w:rPr>
        <w:t>audit of the Fund</w:t>
      </w:r>
      <w:r>
        <w:rPr>
          <w:szCs w:val="22"/>
        </w:rPr>
        <w:t xml:space="preserve">, </w:t>
      </w:r>
      <w:r w:rsidRPr="00BE1D60" w:rsidR="00BE1D60">
        <w:rPr>
          <w:szCs w:val="22"/>
        </w:rPr>
        <w:t xml:space="preserve">the development and implementation of an </w:t>
      </w:r>
      <w:r w:rsidR="00E415A9">
        <w:rPr>
          <w:szCs w:val="22"/>
        </w:rPr>
        <w:t>improper-payments</w:t>
      </w:r>
      <w:r w:rsidRPr="00BE1D60" w:rsidR="00BE1D60">
        <w:rPr>
          <w:szCs w:val="22"/>
        </w:rPr>
        <w:t xml:space="preserve"> audit plan approved by the Office of Management and Budget</w:t>
      </w:r>
      <w:r w:rsidR="00BE1D60">
        <w:rPr>
          <w:szCs w:val="22"/>
        </w:rPr>
        <w:t>,</w:t>
      </w:r>
      <w:r w:rsidRPr="00BE1D60" w:rsidR="00BE1D60">
        <w:rPr>
          <w:szCs w:val="22"/>
        </w:rPr>
        <w:t xml:space="preserve"> </w:t>
      </w:r>
      <w:r w:rsidR="007A73FA">
        <w:rPr>
          <w:szCs w:val="22"/>
        </w:rPr>
        <w:t xml:space="preserve">and </w:t>
      </w:r>
      <w:r w:rsidR="00E415A9">
        <w:rPr>
          <w:szCs w:val="22"/>
        </w:rPr>
        <w:t xml:space="preserve">user </w:t>
      </w:r>
      <w:r>
        <w:rPr>
          <w:szCs w:val="22"/>
        </w:rPr>
        <w:t>identity verification costs</w:t>
      </w:r>
      <w:r w:rsidRPr="00C05524">
        <w:rPr>
          <w:szCs w:val="22"/>
        </w:rPr>
        <w:t>.</w:t>
      </w:r>
      <w:r>
        <w:rPr>
          <w:rStyle w:val="FootnoteReference"/>
          <w:szCs w:val="22"/>
        </w:rPr>
        <w:footnoteReference w:id="23"/>
      </w:r>
      <w:r w:rsidRPr="00C05524">
        <w:rPr>
          <w:szCs w:val="22"/>
        </w:rPr>
        <w:t xml:space="preserve">  </w:t>
      </w:r>
      <w:r w:rsidR="00F7250F">
        <w:rPr>
          <w:szCs w:val="22"/>
        </w:rPr>
        <w:t>In addition</w:t>
      </w:r>
      <w:r w:rsidRPr="00C05524">
        <w:rPr>
          <w:szCs w:val="22"/>
        </w:rPr>
        <w:t xml:space="preserve">, we seek comment on Rolka </w:t>
      </w:r>
      <w:r w:rsidRPr="00C05524">
        <w:rPr>
          <w:szCs w:val="22"/>
        </w:rPr>
        <w:t>Loube’s</w:t>
      </w:r>
      <w:r w:rsidRPr="00C05524">
        <w:rPr>
          <w:szCs w:val="22"/>
        </w:rPr>
        <w:t xml:space="preserve"> recommendation, consistent with the practice in the past few years, to </w:t>
      </w:r>
      <w:r w:rsidR="00F7250F">
        <w:rPr>
          <w:szCs w:val="22"/>
        </w:rPr>
        <w:t xml:space="preserve">include </w:t>
      </w:r>
      <w:r w:rsidRPr="00C05524">
        <w:rPr>
          <w:szCs w:val="22"/>
        </w:rPr>
        <w:t>a two-month payment reserve, totaling $</w:t>
      </w:r>
      <w:r w:rsidR="004912B8">
        <w:rPr>
          <w:szCs w:val="22"/>
        </w:rPr>
        <w:t>249,727,153</w:t>
      </w:r>
      <w:r w:rsidRPr="00C05524">
        <w:rPr>
          <w:szCs w:val="22"/>
        </w:rPr>
        <w:t xml:space="preserve">, in the </w:t>
      </w:r>
      <w:r w:rsidR="00F7250F">
        <w:rPr>
          <w:szCs w:val="22"/>
        </w:rPr>
        <w:t xml:space="preserve">overall </w:t>
      </w:r>
      <w:r w:rsidRPr="00C05524">
        <w:rPr>
          <w:szCs w:val="22"/>
        </w:rPr>
        <w:t>funding requirement for the coming year.</w:t>
      </w:r>
      <w:r>
        <w:rPr>
          <w:rStyle w:val="FootnoteReference"/>
          <w:szCs w:val="22"/>
        </w:rPr>
        <w:footnoteReference w:id="24"/>
      </w:r>
    </w:p>
    <w:p w:rsidR="00F7250F" w:rsidRPr="00C05524" w:rsidP="00677639" w14:paraId="426B602B" w14:textId="2C552E16">
      <w:pPr>
        <w:widowControl/>
        <w:spacing w:after="120"/>
        <w:ind w:firstLine="720"/>
        <w:rPr>
          <w:szCs w:val="22"/>
        </w:rPr>
      </w:pPr>
      <w:r w:rsidRPr="00C05524">
        <w:rPr>
          <w:szCs w:val="22"/>
        </w:rPr>
        <w:t xml:space="preserve">Based on </w:t>
      </w:r>
      <w:r>
        <w:rPr>
          <w:szCs w:val="22"/>
        </w:rPr>
        <w:t>the current VRS compensation formulas established by the Commission,</w:t>
      </w:r>
      <w:r>
        <w:rPr>
          <w:rStyle w:val="FootnoteReference"/>
          <w:szCs w:val="22"/>
        </w:rPr>
        <w:footnoteReference w:id="25"/>
      </w:r>
      <w:r>
        <w:rPr>
          <w:szCs w:val="22"/>
        </w:rPr>
        <w:t xml:space="preserve"> the $1.30 per-minute compensation level for IP CTS,</w:t>
      </w:r>
      <w:r>
        <w:rPr>
          <w:rStyle w:val="FootnoteReference"/>
          <w:szCs w:val="22"/>
        </w:rPr>
        <w:footnoteReference w:id="26"/>
      </w:r>
      <w:r w:rsidRPr="00A418F9">
        <w:rPr>
          <w:szCs w:val="22"/>
        </w:rPr>
        <w:t xml:space="preserve"> </w:t>
      </w:r>
      <w:r>
        <w:rPr>
          <w:szCs w:val="22"/>
        </w:rPr>
        <w:t xml:space="preserve">the </w:t>
      </w:r>
      <w:r w:rsidRPr="00576B88">
        <w:rPr>
          <w:szCs w:val="22"/>
        </w:rPr>
        <w:t xml:space="preserve">recommended </w:t>
      </w:r>
      <w:r w:rsidRPr="00C05524">
        <w:rPr>
          <w:szCs w:val="22"/>
        </w:rPr>
        <w:t xml:space="preserve">compensation </w:t>
      </w:r>
      <w:r>
        <w:rPr>
          <w:szCs w:val="22"/>
        </w:rPr>
        <w:t>formulas for other services</w:t>
      </w:r>
      <w:r w:rsidRPr="00C05524">
        <w:rPr>
          <w:szCs w:val="22"/>
        </w:rPr>
        <w:t>,</w:t>
      </w:r>
      <w:r>
        <w:rPr>
          <w:szCs w:val="22"/>
        </w:rPr>
        <w:t xml:space="preserve"> </w:t>
      </w:r>
      <w:r>
        <w:rPr>
          <w:szCs w:val="22"/>
        </w:rPr>
        <w:t>funding for the National Deaf-Blind Equipment Distribution Program,</w:t>
      </w:r>
      <w:r w:rsidRPr="00C05524">
        <w:rPr>
          <w:szCs w:val="22"/>
        </w:rPr>
        <w:t xml:space="preserve"> projected Fund administration expenses,</w:t>
      </w:r>
      <w:r>
        <w:rPr>
          <w:szCs w:val="22"/>
        </w:rPr>
        <w:t xml:space="preserve"> and a budgetary reserve,</w:t>
      </w:r>
      <w:r w:rsidRPr="00C05524">
        <w:rPr>
          <w:szCs w:val="22"/>
        </w:rPr>
        <w:t xml:space="preserve"> </w:t>
      </w:r>
      <w:r>
        <w:rPr>
          <w:szCs w:val="22"/>
        </w:rPr>
        <w:t xml:space="preserve">Rolka Loube </w:t>
      </w:r>
      <w:r w:rsidRPr="00C05524">
        <w:rPr>
          <w:szCs w:val="22"/>
        </w:rPr>
        <w:t>proposes a Fund revenue requirement of $1,</w:t>
      </w:r>
      <w:r>
        <w:rPr>
          <w:szCs w:val="22"/>
        </w:rPr>
        <w:t>324,674,049</w:t>
      </w:r>
      <w:r w:rsidRPr="00C05524">
        <w:rPr>
          <w:szCs w:val="22"/>
        </w:rPr>
        <w:t xml:space="preserve"> </w:t>
      </w:r>
      <w:r>
        <w:rPr>
          <w:szCs w:val="22"/>
        </w:rPr>
        <w:t>for the 2021-22 Fund Year</w:t>
      </w:r>
      <w:r w:rsidRPr="00C05524">
        <w:rPr>
          <w:szCs w:val="22"/>
        </w:rPr>
        <w:t>.</w:t>
      </w:r>
      <w:r>
        <w:rPr>
          <w:rStyle w:val="FootnoteReference"/>
          <w:szCs w:val="22"/>
        </w:rPr>
        <w:footnoteReference w:id="27"/>
      </w:r>
      <w:r w:rsidRPr="00C05524">
        <w:rPr>
          <w:szCs w:val="22"/>
        </w:rPr>
        <w:t xml:space="preserve">  </w:t>
      </w:r>
      <w:r>
        <w:rPr>
          <w:szCs w:val="22"/>
        </w:rPr>
        <w:t>For support of non-IP CTS TRS, Rolka Loube calculates</w:t>
      </w:r>
      <w:r w:rsidRPr="00C05524">
        <w:rPr>
          <w:szCs w:val="22"/>
        </w:rPr>
        <w:t xml:space="preserve"> a carrier contribution factor of </w:t>
      </w:r>
      <w:r>
        <w:rPr>
          <w:szCs w:val="22"/>
        </w:rPr>
        <w:t>0.01330, to be applied to contributors’ interstate end-user revenues.  For support of IP CTS, pursuant to the rule providing that TRS Fund contributions supporting IP CTS are based on contributors’ interstate and intrastate end-user revenues,</w:t>
      </w:r>
      <w:r>
        <w:rPr>
          <w:rStyle w:val="FootnoteReference"/>
          <w:szCs w:val="22"/>
        </w:rPr>
        <w:footnoteReference w:id="28"/>
      </w:r>
      <w:r>
        <w:rPr>
          <w:szCs w:val="22"/>
        </w:rPr>
        <w:t xml:space="preserve"> Rolka Loube calculates a carrier contribution factor of 0.00830</w:t>
      </w:r>
      <w:r w:rsidRPr="00C05524">
        <w:rPr>
          <w:szCs w:val="22"/>
        </w:rPr>
        <w:t>.</w:t>
      </w:r>
      <w:r>
        <w:rPr>
          <w:rStyle w:val="FootnoteReference"/>
          <w:szCs w:val="22"/>
        </w:rPr>
        <w:footnoteReference w:id="29"/>
      </w:r>
      <w:r w:rsidRPr="00C05524">
        <w:rPr>
          <w:szCs w:val="22"/>
        </w:rPr>
        <w:t xml:space="preserve">  CGB seeks comment on the proposed funding requirement and carrier contribution factor</w:t>
      </w:r>
      <w:r>
        <w:rPr>
          <w:szCs w:val="22"/>
        </w:rPr>
        <w:t>s</w:t>
      </w:r>
      <w:r w:rsidRPr="00C05524">
        <w:rPr>
          <w:szCs w:val="22"/>
        </w:rPr>
        <w:t xml:space="preserve">. </w:t>
      </w:r>
      <w:r>
        <w:rPr>
          <w:szCs w:val="22"/>
        </w:rPr>
        <w:t xml:space="preserve"> </w:t>
      </w:r>
    </w:p>
    <w:p w:rsidR="002C1A52" w:rsidRPr="00E858EB" w:rsidP="002C1A52" w14:paraId="1C059B5F" w14:textId="67D2B9D9">
      <w:pPr>
        <w:widowControl/>
        <w:spacing w:after="120"/>
        <w:ind w:firstLine="720"/>
        <w:rPr>
          <w:szCs w:val="22"/>
        </w:rPr>
      </w:pPr>
      <w:r w:rsidRPr="00E858EB">
        <w:rPr>
          <w:i/>
          <w:szCs w:val="22"/>
        </w:rPr>
        <w:t xml:space="preserve">Filing Requirements.  </w:t>
      </w:r>
      <w:r w:rsidRPr="00E858EB">
        <w:rPr>
          <w:szCs w:val="22"/>
        </w:rPr>
        <w:t xml:space="preserve">Interested parties may file comments </w:t>
      </w:r>
      <w:r>
        <w:rPr>
          <w:szCs w:val="22"/>
        </w:rPr>
        <w:t>on the 202</w:t>
      </w:r>
      <w:r w:rsidR="007603A9">
        <w:rPr>
          <w:szCs w:val="22"/>
        </w:rPr>
        <w:t>1</w:t>
      </w:r>
      <w:r>
        <w:rPr>
          <w:szCs w:val="22"/>
        </w:rPr>
        <w:t xml:space="preserve"> TRS </w:t>
      </w:r>
      <w:r w:rsidR="00031F55">
        <w:rPr>
          <w:szCs w:val="22"/>
        </w:rPr>
        <w:t xml:space="preserve">Report </w:t>
      </w:r>
      <w:r w:rsidRPr="00E858EB">
        <w:rPr>
          <w:szCs w:val="22"/>
        </w:rPr>
        <w:t>on or before the date indicated on the first page of this document.</w:t>
      </w:r>
      <w:r>
        <w:rPr>
          <w:rStyle w:val="FootnoteReference"/>
        </w:rPr>
        <w:footnoteReference w:id="30"/>
      </w:r>
      <w:r w:rsidRPr="00E858EB">
        <w:rPr>
          <w:szCs w:val="22"/>
        </w:rPr>
        <w:t xml:space="preserve">  </w:t>
      </w:r>
      <w:r w:rsidRPr="00E858EB">
        <w:rPr>
          <w:iCs/>
          <w:szCs w:val="22"/>
        </w:rPr>
        <w:t xml:space="preserve">All filings must reference CG Docket No. </w:t>
      </w:r>
      <w:r>
        <w:rPr>
          <w:iCs/>
          <w:szCs w:val="22"/>
        </w:rPr>
        <w:t>03-123</w:t>
      </w:r>
      <w:r w:rsidRPr="00E858EB">
        <w:rPr>
          <w:iCs/>
          <w:szCs w:val="22"/>
        </w:rPr>
        <w:t xml:space="preserve">.  </w:t>
      </w:r>
      <w:r w:rsidRPr="00E858EB">
        <w:rPr>
          <w:szCs w:val="22"/>
        </w:rPr>
        <w:t>Comments may be filed using the Commission’s Electronic Comment Filing System (ECFS).</w:t>
      </w:r>
      <w:r>
        <w:rPr>
          <w:rStyle w:val="FootnoteReference"/>
        </w:rPr>
        <w:footnoteReference w:id="31"/>
      </w:r>
      <w:r w:rsidRPr="00E858EB">
        <w:rPr>
          <w:szCs w:val="22"/>
        </w:rPr>
        <w:t xml:space="preserve">  </w:t>
      </w:r>
    </w:p>
    <w:p w:rsidR="007603A9" w:rsidRPr="00160393" w:rsidP="007603A9" w14:paraId="279E8D0D" w14:textId="77777777">
      <w:pPr>
        <w:widowControl/>
        <w:numPr>
          <w:ilvl w:val="0"/>
          <w:numId w:val="9"/>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7603A9" w:rsidRPr="001775DA" w:rsidP="007603A9" w14:paraId="0895F9BA" w14:textId="77777777">
      <w:pPr>
        <w:widowControl/>
        <w:numPr>
          <w:ilvl w:val="0"/>
          <w:numId w:val="9"/>
        </w:numPr>
        <w:ind w:left="1080"/>
        <w:contextualSpacing/>
        <w:rPr>
          <w:szCs w:val="22"/>
        </w:rPr>
      </w:pPr>
      <w:r w:rsidRPr="001775DA">
        <w:rPr>
          <w:szCs w:val="22"/>
        </w:rPr>
        <w:t xml:space="preserve">Paper Filers:  </w:t>
      </w:r>
    </w:p>
    <w:p w:rsidR="007603A9" w:rsidP="007603A9" w14:paraId="7C9A0B6A" w14:textId="77777777">
      <w:pPr>
        <w:widowControl/>
        <w:numPr>
          <w:ilvl w:val="1"/>
          <w:numId w:val="11"/>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603A9" w:rsidRPr="00AB7C96" w:rsidP="007603A9" w14:paraId="3CB4E036" w14:textId="77777777">
      <w:pPr>
        <w:widowControl/>
        <w:numPr>
          <w:ilvl w:val="1"/>
          <w:numId w:val="11"/>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603A9" w:rsidRPr="0054212D" w:rsidP="007603A9" w14:paraId="020A5774" w14:textId="77777777">
      <w:pPr>
        <w:widowControl/>
        <w:numPr>
          <w:ilvl w:val="1"/>
          <w:numId w:val="11"/>
        </w:numPr>
        <w:spacing w:after="120"/>
        <w:rPr>
          <w:rFonts w:ascii="Arial" w:hAnsi="Arial" w:cs="Arial"/>
          <w:snapToGrid/>
          <w:kern w:val="0"/>
        </w:rPr>
      </w:pPr>
      <w:r w:rsidRPr="00F11583">
        <w:rPr>
          <w:szCs w:val="22"/>
        </w:rPr>
        <w:t xml:space="preserve">Currently, the Commission does not accept any hand delivered or messenger delivered filings as a temporary measure taken to help protect the health and safety of individuals, and to mitigate the transmission of COVID-19.  </w:t>
      </w:r>
      <w:r w:rsidRPr="00F11583">
        <w:rPr>
          <w:szCs w:val="22"/>
        </w:rPr>
        <w:t>In the event that</w:t>
      </w:r>
      <w:r w:rsidRPr="00F11583">
        <w:rPr>
          <w:szCs w:val="22"/>
        </w:rPr>
        <w:t xml:space="preserve">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32"/>
      </w:r>
      <w:r w:rsidRPr="0054212D">
        <w:rPr>
          <w:szCs w:val="22"/>
        </w:rPr>
        <w:t xml:space="preserve">  </w:t>
      </w:r>
    </w:p>
    <w:p w:rsidR="007603A9" w:rsidRPr="00AB7C96" w:rsidP="007603A9" w14:paraId="61C9BCD4" w14:textId="77777777">
      <w:pPr>
        <w:widowControl/>
        <w:numPr>
          <w:ilvl w:val="1"/>
          <w:numId w:val="12"/>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33052C" w:rsidP="007603A9" w14:paraId="0B66E55B" w14:textId="77777777">
      <w:pPr>
        <w:widowControl/>
        <w:numPr>
          <w:ilvl w:val="1"/>
          <w:numId w:val="13"/>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7603A9" w:rsidRPr="009F45DC" w:rsidP="009F45DC" w14:paraId="135DF9FF" w14:textId="7CAEC115">
      <w:pPr>
        <w:widowControl/>
        <w:numPr>
          <w:ilvl w:val="1"/>
          <w:numId w:val="13"/>
        </w:numPr>
        <w:snapToGrid w:val="0"/>
        <w:spacing w:after="120"/>
        <w:rPr>
          <w:snapToGrid/>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33052C">
        <w:rPr>
          <w:szCs w:val="22"/>
        </w:rPr>
        <w:t xml:space="preserve"> </w:t>
      </w:r>
    </w:p>
    <w:p w:rsidR="002C1A52" w:rsidRPr="000D7702" w:rsidP="002C1A52" w14:paraId="5F0AC838" w14:textId="77777777">
      <w:pPr>
        <w:spacing w:after="120"/>
        <w:ind w:firstLine="720"/>
        <w:rPr>
          <w:szCs w:val="22"/>
        </w:rPr>
      </w:pPr>
      <w:r>
        <w:rPr>
          <w:i/>
          <w:iCs/>
          <w:szCs w:val="22"/>
        </w:rPr>
        <w:t xml:space="preserve">Ex </w:t>
      </w:r>
      <w:r>
        <w:rPr>
          <w:i/>
          <w:iCs/>
          <w:szCs w:val="22"/>
        </w:rPr>
        <w:t>Parte</w:t>
      </w:r>
      <w:r>
        <w:rPr>
          <w:i/>
          <w:iCs/>
          <w:szCs w:val="22"/>
        </w:rPr>
        <w:t xml:space="preserve"> Requirements.</w:t>
      </w:r>
      <w:r>
        <w:rPr>
          <w:szCs w:val="22"/>
        </w:rPr>
        <w:t xml:space="preserve"> </w:t>
      </w:r>
      <w:r w:rsidRPr="000D7702">
        <w:rPr>
          <w:szCs w:val="22"/>
        </w:rPr>
        <w:t xml:space="preserve">The proceeding this Notice initiates shall be treated as a “permit-but-disclose” proceeding in accordance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r>
        <w:rPr>
          <w:rStyle w:val="FootnoteReference"/>
        </w:rPr>
        <w:footnoteReference w:id="33"/>
      </w:r>
      <w:r w:rsidRPr="000D7702">
        <w:rPr>
          <w:szCs w:val="22"/>
        </w:rPr>
        <w:t xml:space="preserve">  Persons making </w:t>
      </w:r>
      <w:r w:rsidRPr="000D7702">
        <w:rPr>
          <w:i/>
          <w:szCs w:val="22"/>
        </w:rPr>
        <w:t xml:space="preserve">ex </w:t>
      </w:r>
      <w:r w:rsidRPr="000D7702">
        <w:rPr>
          <w:i/>
          <w:szCs w:val="22"/>
        </w:rPr>
        <w:t>parte</w:t>
      </w:r>
      <w:r w:rsidRPr="000D7702">
        <w:rPr>
          <w:i/>
          <w:szCs w:val="22"/>
        </w:rPr>
        <w:t xml:space="preserv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meetings are deemed to be written </w:t>
      </w:r>
      <w:r w:rsidRPr="000D7702">
        <w:rPr>
          <w:i/>
          <w:iCs/>
          <w:szCs w:val="22"/>
        </w:rPr>
        <w:t xml:space="preserve">ex </w:t>
      </w:r>
      <w:r w:rsidRPr="000D7702">
        <w:rPr>
          <w:i/>
          <w:iCs/>
          <w:szCs w:val="22"/>
        </w:rPr>
        <w:t>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and memoranda summarizing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p>
    <w:p w:rsidR="002C1A52" w:rsidRPr="00C05524" w:rsidP="002C1A52" w14:paraId="3BAFF28C" w14:textId="780F04DA">
      <w:pPr>
        <w:spacing w:after="120"/>
        <w:ind w:firstLine="720"/>
        <w:rPr>
          <w:szCs w:val="22"/>
        </w:rPr>
      </w:pPr>
      <w:r>
        <w:rPr>
          <w:i/>
          <w:iCs/>
          <w:szCs w:val="22"/>
        </w:rPr>
        <w:t xml:space="preserve">Accessible Materials.  </w:t>
      </w:r>
      <w:r w:rsidRPr="00C05524">
        <w:rPr>
          <w:szCs w:val="22"/>
        </w:rPr>
        <w:t>To request materials in accessible formats for people with disabilities (Braille, large print, electronic files, audio format), send an e-mail to fcc504@fcc.gov or call the Consumer and Governmental Affairs Bureau at (202) 418-0530 (voice)</w:t>
      </w:r>
      <w:r w:rsidR="007603A9">
        <w:rPr>
          <w:szCs w:val="22"/>
        </w:rPr>
        <w:t>.</w:t>
      </w:r>
    </w:p>
    <w:p w:rsidR="002C1A52" w:rsidRPr="00C05524" w:rsidP="002C1A52" w14:paraId="67F8B568" w14:textId="543BFD10">
      <w:pPr>
        <w:spacing w:after="120"/>
        <w:ind w:firstLine="720"/>
        <w:rPr>
          <w:b/>
          <w:szCs w:val="22"/>
        </w:rPr>
      </w:pPr>
      <w:r w:rsidRPr="00C05524">
        <w:rPr>
          <w:szCs w:val="22"/>
        </w:rPr>
        <w:t xml:space="preserve">For further information, please contact Michael Scott at (202) 418-1264 or by e-mail </w:t>
      </w:r>
      <w:r>
        <w:rPr>
          <w:szCs w:val="22"/>
        </w:rPr>
        <w:t xml:space="preserve">at </w:t>
      </w:r>
      <w:hyperlink r:id="rId6" w:history="1">
        <w:r w:rsidRPr="00AE7920">
          <w:rPr>
            <w:rStyle w:val="Hyperlink"/>
            <w:szCs w:val="22"/>
          </w:rPr>
          <w:t>Michael.Scott@fcc.gov</w:t>
        </w:r>
      </w:hyperlink>
      <w:r>
        <w:rPr>
          <w:szCs w:val="22"/>
        </w:rPr>
        <w:t xml:space="preserve">, William Wallace at (202) 418-2716 or by e-mail at </w:t>
      </w:r>
      <w:hyperlink r:id="rId7" w:history="1">
        <w:r w:rsidRPr="00AE7920">
          <w:rPr>
            <w:rStyle w:val="Hyperlink"/>
            <w:szCs w:val="22"/>
          </w:rPr>
          <w:t>William.Wallace@fcc.gov</w:t>
        </w:r>
      </w:hyperlink>
      <w:r>
        <w:rPr>
          <w:szCs w:val="22"/>
        </w:rPr>
        <w:t xml:space="preserve">, </w:t>
      </w:r>
      <w:r w:rsidRPr="00C67866">
        <w:rPr>
          <w:szCs w:val="22"/>
        </w:rPr>
        <w:t>or</w:t>
      </w:r>
      <w:r w:rsidRPr="00C05524">
        <w:rPr>
          <w:szCs w:val="22"/>
        </w:rPr>
        <w:t xml:space="preserve"> </w:t>
      </w:r>
      <w:r w:rsidR="00BD7E74">
        <w:rPr>
          <w:szCs w:val="22"/>
        </w:rPr>
        <w:t>Halie Peacher</w:t>
      </w:r>
      <w:r w:rsidRPr="00C05524">
        <w:rPr>
          <w:szCs w:val="22"/>
        </w:rPr>
        <w:t xml:space="preserve"> at (202) 418-</w:t>
      </w:r>
      <w:r w:rsidR="003636C0">
        <w:rPr>
          <w:szCs w:val="22"/>
        </w:rPr>
        <w:t>0514</w:t>
      </w:r>
      <w:r w:rsidRPr="00C05524">
        <w:rPr>
          <w:szCs w:val="22"/>
        </w:rPr>
        <w:t xml:space="preserve"> or by e-mail at </w:t>
      </w:r>
      <w:hyperlink r:id="rId8" w:history="1">
        <w:r w:rsidRPr="00BD7E74" w:rsidR="00BD7E74">
          <w:rPr>
            <w:rStyle w:val="Hyperlink"/>
            <w:szCs w:val="22"/>
          </w:rPr>
          <w:t>Halie.Peache</w:t>
        </w:r>
        <w:r w:rsidRPr="00CA5694" w:rsidR="00BD7E74">
          <w:rPr>
            <w:rStyle w:val="Hyperlink"/>
            <w:szCs w:val="22"/>
          </w:rPr>
          <w:t>r@fcc.gov</w:t>
        </w:r>
      </w:hyperlink>
      <w:r w:rsidRPr="00C05524">
        <w:rPr>
          <w:szCs w:val="22"/>
        </w:rPr>
        <w:t xml:space="preserve">. </w:t>
      </w:r>
    </w:p>
    <w:p w:rsidR="002C1A52" w:rsidRPr="00C05524" w:rsidP="002C1A52" w14:paraId="4B543ABC" w14:textId="77777777">
      <w:pPr>
        <w:spacing w:after="120"/>
        <w:jc w:val="center"/>
        <w:rPr>
          <w:szCs w:val="22"/>
        </w:rPr>
      </w:pPr>
      <w:r w:rsidRPr="00C05524">
        <w:rPr>
          <w:b/>
          <w:szCs w:val="22"/>
        </w:rPr>
        <w:t>-FCC-</w:t>
      </w:r>
    </w:p>
    <w:p w:rsidR="0079451F" w:rsidRPr="00B120B6" w:rsidP="00B120B6" w14:paraId="54A4FED4"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F55" w14:paraId="6D292A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031F55" w14:paraId="5F6318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F55" w14:paraId="344C45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F55" w14:paraId="77E8ADC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7A2A" w14:paraId="7157EA7F" w14:textId="77777777">
      <w:r>
        <w:separator/>
      </w:r>
    </w:p>
  </w:footnote>
  <w:footnote w:type="continuationSeparator" w:id="1">
    <w:p w:rsidR="00A67A2A" w14:paraId="2EF5C61D" w14:textId="77777777">
      <w:pPr>
        <w:rPr>
          <w:sz w:val="20"/>
        </w:rPr>
      </w:pPr>
      <w:r>
        <w:rPr>
          <w:sz w:val="20"/>
        </w:rPr>
        <w:t xml:space="preserve">(Continued from previous page)  </w:t>
      </w:r>
      <w:r>
        <w:rPr>
          <w:sz w:val="20"/>
        </w:rPr>
        <w:separator/>
      </w:r>
    </w:p>
  </w:footnote>
  <w:footnote w:type="continuationNotice" w:id="2">
    <w:p w:rsidR="00A67A2A" w14:paraId="06AE19ED" w14:textId="77777777">
      <w:pPr>
        <w:jc w:val="right"/>
        <w:rPr>
          <w:sz w:val="20"/>
        </w:rPr>
      </w:pPr>
      <w:r>
        <w:rPr>
          <w:sz w:val="20"/>
        </w:rPr>
        <w:t>(continued….)</w:t>
      </w:r>
    </w:p>
  </w:footnote>
  <w:footnote w:id="3">
    <w:p w:rsidR="00031F55" w:rsidRPr="0090682B" w:rsidP="002C1A52" w14:paraId="2B96F3F4" w14:textId="69181217">
      <w:pPr>
        <w:pStyle w:val="FootnoteText"/>
      </w:pPr>
      <w:r w:rsidRPr="00601162">
        <w:rPr>
          <w:rStyle w:val="FootnoteReference"/>
        </w:rPr>
        <w:footnoteRef/>
      </w:r>
      <w:r w:rsidRPr="00601162">
        <w:t xml:space="preserve"> </w:t>
      </w:r>
      <w:r w:rsidRPr="00601162">
        <w:rPr>
          <w:i/>
        </w:rPr>
        <w:t>See</w:t>
      </w:r>
      <w:r w:rsidRPr="00601162">
        <w:t xml:space="preserve"> Rolka Loube Associates LLC, Interstate Telecommunications Relay Services Fund Payment Formula and Fund Size Estimate, CG Docket Nos. 03-123 and 10-51 (</w:t>
      </w:r>
      <w:r w:rsidRPr="00F527B7">
        <w:t xml:space="preserve">filed </w:t>
      </w:r>
      <w:r w:rsidRPr="00D14E05">
        <w:t>May 3, 2021,</w:t>
      </w:r>
      <w:r w:rsidRPr="00F527B7">
        <w:t xml:space="preserve"> 2021</w:t>
      </w:r>
      <w:r w:rsidRPr="00601162">
        <w:t>)</w:t>
      </w:r>
      <w:r w:rsidR="00690ABC">
        <w:t>,</w:t>
      </w:r>
      <w:r w:rsidRPr="00601162">
        <w:t xml:space="preserve"> </w:t>
      </w:r>
      <w:r w:rsidRPr="00690ABC" w:rsidR="00690ABC">
        <w:t>https://ecfsapi.fcc.gov/file/</w:t>
      </w:r>
      <w:r w:rsidR="005950AA">
        <w:t>‌</w:t>
      </w:r>
      <w:r w:rsidRPr="00690ABC" w:rsidR="00690ABC">
        <w:t>10503519213438/2021%20TRS%20Fund%20Annual%20Report.pdf</w:t>
      </w:r>
      <w:r w:rsidRPr="00677639" w:rsidR="00690ABC">
        <w:t xml:space="preserve"> </w:t>
      </w:r>
      <w:r w:rsidRPr="00601162">
        <w:t>(2021 TRS</w:t>
      </w:r>
      <w:r>
        <w:t xml:space="preserve"> Report</w:t>
      </w:r>
      <w:r w:rsidRPr="00601162">
        <w:t>)</w:t>
      </w:r>
      <w:r>
        <w:t xml:space="preserve">; </w:t>
      </w:r>
      <w:r>
        <w:rPr>
          <w:i/>
          <w:iCs/>
        </w:rPr>
        <w:t>s</w:t>
      </w:r>
      <w:r w:rsidRPr="00601162">
        <w:rPr>
          <w:i/>
        </w:rPr>
        <w:t>ee</w:t>
      </w:r>
      <w:r>
        <w:rPr>
          <w:i/>
        </w:rPr>
        <w:t xml:space="preserve"> also</w:t>
      </w:r>
      <w:r w:rsidRPr="00601162">
        <w:t xml:space="preserve"> 47 CFR § 64.604(c)(5)(iii)(H).  </w:t>
      </w:r>
    </w:p>
  </w:footnote>
  <w:footnote w:id="4">
    <w:p w:rsidR="00031F55" w:rsidRPr="00535756" w:rsidP="00750093" w14:paraId="2D5F9B08" w14:textId="5B7AF118">
      <w:pPr>
        <w:pStyle w:val="FootnoteText"/>
      </w:pPr>
      <w:r>
        <w:rPr>
          <w:rStyle w:val="FootnoteReference"/>
        </w:rPr>
        <w:footnoteRef/>
      </w:r>
      <w:r>
        <w:t xml:space="preserve"> T-Mobile</w:t>
      </w:r>
      <w:r w:rsidRPr="00535756">
        <w:t xml:space="preserve">, Request for Interim Waivers, CG Docket Nos. 03-123 and RM-11820 (filed </w:t>
      </w:r>
      <w:r w:rsidR="008D44D5">
        <w:t>May 3</w:t>
      </w:r>
      <w:r w:rsidRPr="00535756">
        <w:t>, 202</w:t>
      </w:r>
      <w:r w:rsidR="008D44D5">
        <w:t>1</w:t>
      </w:r>
      <w:r w:rsidRPr="00535756">
        <w:t xml:space="preserve">), </w:t>
      </w:r>
      <w:r w:rsidRPr="005950AA" w:rsidR="005950AA">
        <w:t>https://ecfsapi.fcc.gov/file/1050310600939/IP%20Relay%20Waiver%20Request%20-%202021%20FINAL.pdf</w:t>
      </w:r>
      <w:r>
        <w:t xml:space="preserve"> </w:t>
      </w:r>
      <w:r w:rsidRPr="00535756">
        <w:rPr>
          <w:snapToGrid w:val="0"/>
          <w:kern w:val="28"/>
        </w:rPr>
        <w:t>(</w:t>
      </w:r>
      <w:r>
        <w:rPr>
          <w:snapToGrid w:val="0"/>
          <w:kern w:val="28"/>
        </w:rPr>
        <w:t xml:space="preserve">T-Mobile Waiver </w:t>
      </w:r>
      <w:r w:rsidRPr="00535756">
        <w:rPr>
          <w:snapToGrid w:val="0"/>
          <w:kern w:val="28"/>
        </w:rPr>
        <w:t>Request).</w:t>
      </w:r>
    </w:p>
  </w:footnote>
  <w:footnote w:id="5">
    <w:p w:rsidR="00031F55" w:rsidRPr="0090682B" w:rsidP="002C1A52" w14:paraId="49D18C52" w14:textId="6B98AE5C">
      <w:pPr>
        <w:pStyle w:val="FootnoteText"/>
      </w:pPr>
      <w:r w:rsidRPr="0090682B">
        <w:rPr>
          <w:rStyle w:val="FootnoteReference"/>
        </w:rPr>
        <w:footnoteRef/>
      </w:r>
      <w:r w:rsidRPr="0090682B">
        <w:t xml:space="preserve"> Under the MARS </w:t>
      </w:r>
      <w:r>
        <w:t>p</w:t>
      </w:r>
      <w:r w:rsidRPr="0090682B">
        <w:t xml:space="preserve">lan methodology, interstate TRS </w:t>
      </w:r>
      <w:r>
        <w:t xml:space="preserve">Fund </w:t>
      </w:r>
      <w:r w:rsidRPr="0090682B">
        <w:t xml:space="preserve">compensation </w:t>
      </w:r>
      <w:r>
        <w:t xml:space="preserve">formulas for relay services provided through state TRS programs </w:t>
      </w:r>
      <w:r w:rsidRPr="0090682B">
        <w:t xml:space="preserve">are calculated based on a weighted average of the </w:t>
      </w:r>
      <w:r>
        <w:t xml:space="preserve">per-minute </w:t>
      </w:r>
      <w:r w:rsidRPr="0090682B">
        <w:rPr>
          <w:iCs/>
        </w:rPr>
        <w:t>intrastate</w:t>
      </w:r>
      <w:r w:rsidRPr="0090682B">
        <w:rPr>
          <w:i/>
          <w:iCs/>
        </w:rPr>
        <w:t xml:space="preserve"> </w:t>
      </w:r>
      <w:r w:rsidRPr="0090682B">
        <w:t xml:space="preserve">compensation paid by state TRS programs for the same or a similar relay service.  </w:t>
      </w:r>
      <w:r w:rsidRPr="0090682B">
        <w:rPr>
          <w:i/>
        </w:rPr>
        <w:t>See</w:t>
      </w:r>
      <w:r w:rsidRPr="0090682B">
        <w:t xml:space="preserve"> </w:t>
      </w:r>
      <w:r w:rsidRPr="0090682B">
        <w:rPr>
          <w:i/>
        </w:rPr>
        <w:t>Telecommunications Relay Services and Speech-to-Speech Services for Individuals with Hearing and Speech Disabilities</w:t>
      </w:r>
      <w:r w:rsidRPr="0090682B">
        <w:t xml:space="preserve">, </w:t>
      </w:r>
      <w:r>
        <w:t xml:space="preserve">CG Docket No. 03-123, </w:t>
      </w:r>
      <w:r w:rsidRPr="0090682B">
        <w:t xml:space="preserve">Report and Order and Declaratory Ruling, 22 FCC </w:t>
      </w:r>
      <w:r w:rsidRPr="0090682B">
        <w:t>Rcd</w:t>
      </w:r>
      <w:r w:rsidRPr="0090682B">
        <w:t xml:space="preserve"> 20140, 20151-</w:t>
      </w:r>
      <w:r>
        <w:t>58</w:t>
      </w:r>
      <w:r w:rsidRPr="0090682B">
        <w:t>, paras. 16-3</w:t>
      </w:r>
      <w:r>
        <w:t>7</w:t>
      </w:r>
      <w:r w:rsidRPr="0090682B">
        <w:t xml:space="preserve"> (2007) (</w:t>
      </w:r>
      <w:r w:rsidRPr="0090682B">
        <w:rPr>
          <w:i/>
        </w:rPr>
        <w:t xml:space="preserve">2007 TRS </w:t>
      </w:r>
      <w:r>
        <w:rPr>
          <w:i/>
        </w:rPr>
        <w:t xml:space="preserve">Compensation </w:t>
      </w:r>
      <w:r w:rsidRPr="0090682B">
        <w:rPr>
          <w:i/>
        </w:rPr>
        <w:t>Methodology Order</w:t>
      </w:r>
      <w:r w:rsidRPr="0090682B">
        <w:t>).</w:t>
      </w:r>
    </w:p>
  </w:footnote>
  <w:footnote w:id="6">
    <w:p w:rsidR="00031F55" w:rsidRPr="0090682B" w:rsidP="002C1A52" w14:paraId="07010494" w14:textId="700171D7">
      <w:pPr>
        <w:pStyle w:val="FootnoteText"/>
      </w:pPr>
      <w:r w:rsidRPr="009460B3">
        <w:rPr>
          <w:rStyle w:val="FootnoteReference"/>
        </w:rPr>
        <w:footnoteRef/>
      </w:r>
      <w:r w:rsidRPr="009460B3">
        <w:t xml:space="preserve"> 2021 TRS </w:t>
      </w:r>
      <w:r>
        <w:t xml:space="preserve">Report </w:t>
      </w:r>
      <w:r w:rsidRPr="009460B3">
        <w:t xml:space="preserve">at 12-14.  The current compensation </w:t>
      </w:r>
      <w:r>
        <w:t xml:space="preserve">level </w:t>
      </w:r>
      <w:r w:rsidRPr="009460B3">
        <w:t>for interstate traditional TRS is $3.7526 per minute.</w:t>
      </w:r>
      <w:r w:rsidRPr="0090682B">
        <w:t xml:space="preserve"> </w:t>
      </w:r>
    </w:p>
  </w:footnote>
  <w:footnote w:id="7">
    <w:p w:rsidR="00031F55" w:rsidRPr="0090682B" w:rsidP="002C1A52" w14:paraId="4D194CA0" w14:textId="48D3ECCF">
      <w:pPr>
        <w:pStyle w:val="FootnoteText"/>
        <w:rPr>
          <w:b/>
        </w:rPr>
      </w:pPr>
      <w:r w:rsidRPr="0090682B">
        <w:rPr>
          <w:rStyle w:val="FootnoteReference"/>
        </w:rPr>
        <w:footnoteRef/>
      </w:r>
      <w:r w:rsidRPr="0090682B">
        <w:t xml:space="preserve"> </w:t>
      </w:r>
      <w:r>
        <w:rPr>
          <w:i/>
        </w:rPr>
        <w:t>Id</w:t>
      </w:r>
      <w:r w:rsidRPr="0090682B">
        <w:t xml:space="preserve">. </w:t>
      </w:r>
      <w:r>
        <w:t xml:space="preserve">at 12-14. </w:t>
      </w:r>
      <w:r w:rsidRPr="0090682B">
        <w:t xml:space="preserve"> Consistent with the </w:t>
      </w:r>
      <w:r w:rsidRPr="0090682B">
        <w:rPr>
          <w:i/>
        </w:rPr>
        <w:t>2007 TRS</w:t>
      </w:r>
      <w:r>
        <w:rPr>
          <w:i/>
        </w:rPr>
        <w:t xml:space="preserve"> Compensation</w:t>
      </w:r>
      <w:r w:rsidRPr="0090682B">
        <w:rPr>
          <w:i/>
        </w:rPr>
        <w:t xml:space="preserve"> Methodology Order</w:t>
      </w:r>
      <w:r w:rsidRPr="0090682B">
        <w:t xml:space="preserve">, Rolka </w:t>
      </w:r>
      <w:r w:rsidRPr="0090682B">
        <w:t>Loube’s</w:t>
      </w:r>
      <w:r w:rsidRPr="0090682B">
        <w:t xml:space="preserve"> proposed interstate STS </w:t>
      </w:r>
      <w:r>
        <w:t xml:space="preserve">formula </w:t>
      </w:r>
      <w:r w:rsidRPr="0090682B">
        <w:t xml:space="preserve">consists of the interstate traditional TRS </w:t>
      </w:r>
      <w:r>
        <w:t xml:space="preserve">compensation level </w:t>
      </w:r>
      <w:r w:rsidRPr="0090682B">
        <w:t>of $</w:t>
      </w:r>
      <w:r>
        <w:t>4.1944</w:t>
      </w:r>
      <w:r w:rsidRPr="0090682B">
        <w:t xml:space="preserve"> per minute plus an additional per-minute amount of $1.131 for STS outreach.  </w:t>
      </w:r>
      <w:r w:rsidRPr="0090682B">
        <w:rPr>
          <w:i/>
        </w:rPr>
        <w:t>See 2007 TRS</w:t>
      </w:r>
      <w:r>
        <w:rPr>
          <w:i/>
        </w:rPr>
        <w:t xml:space="preserve"> Compensation</w:t>
      </w:r>
      <w:r w:rsidRPr="0090682B">
        <w:rPr>
          <w:i/>
        </w:rPr>
        <w:t xml:space="preserve"> Methodology Order</w:t>
      </w:r>
      <w:r w:rsidRPr="0090682B">
        <w:t xml:space="preserve">, 22 FCC </w:t>
      </w:r>
      <w:r w:rsidRPr="0090682B">
        <w:t>Rcd</w:t>
      </w:r>
      <w:r w:rsidRPr="0090682B">
        <w:t xml:space="preserve"> at 2015</w:t>
      </w:r>
      <w:r>
        <w:t>6</w:t>
      </w:r>
      <w:r w:rsidRPr="0090682B">
        <w:t>, 201</w:t>
      </w:r>
      <w:r>
        <w:t>65</w:t>
      </w:r>
      <w:r w:rsidRPr="0090682B">
        <w:t xml:space="preserve">, paras. 34, 57.  The </w:t>
      </w:r>
      <w:r>
        <w:t xml:space="preserve">current </w:t>
      </w:r>
      <w:r w:rsidRPr="0090682B">
        <w:t xml:space="preserve">STS compensation </w:t>
      </w:r>
      <w:r w:rsidR="0066112D">
        <w:t xml:space="preserve">level </w:t>
      </w:r>
      <w:r>
        <w:t>is</w:t>
      </w:r>
      <w:r w:rsidRPr="0090682B">
        <w:t xml:space="preserve"> $4.</w:t>
      </w:r>
      <w:r>
        <w:t xml:space="preserve">8836 </w:t>
      </w:r>
      <w:r w:rsidRPr="0090682B">
        <w:t xml:space="preserve">per minute.  </w:t>
      </w:r>
    </w:p>
  </w:footnote>
  <w:footnote w:id="8">
    <w:p w:rsidR="00031F55" w:rsidRPr="0090682B" w:rsidP="002C1A52" w14:paraId="5E9D6C11" w14:textId="32ECB4FF">
      <w:pPr>
        <w:pStyle w:val="FootnoteText"/>
      </w:pPr>
      <w:r w:rsidRPr="0090682B">
        <w:rPr>
          <w:rStyle w:val="FootnoteReference"/>
        </w:rPr>
        <w:footnoteRef/>
      </w:r>
      <w:r w:rsidRPr="0090682B">
        <w:t xml:space="preserve"> 20</w:t>
      </w:r>
      <w:r>
        <w:t>21</w:t>
      </w:r>
      <w:r w:rsidRPr="0090682B">
        <w:t xml:space="preserve"> TRS </w:t>
      </w:r>
      <w:r>
        <w:t>Report</w:t>
      </w:r>
      <w:r w:rsidRPr="0090682B">
        <w:t xml:space="preserve"> at 1</w:t>
      </w:r>
      <w:r>
        <w:t>4</w:t>
      </w:r>
      <w:r w:rsidRPr="0090682B">
        <w:t xml:space="preserve">.  The </w:t>
      </w:r>
      <w:r>
        <w:t xml:space="preserve">current </w:t>
      </w:r>
      <w:r w:rsidRPr="0090682B">
        <w:t xml:space="preserve">compensation </w:t>
      </w:r>
      <w:r w:rsidR="005D2B3C">
        <w:t>level</w:t>
      </w:r>
      <w:r w:rsidRPr="0090682B" w:rsidR="005D2B3C">
        <w:t xml:space="preserve"> </w:t>
      </w:r>
      <w:r w:rsidRPr="0090682B">
        <w:t xml:space="preserve">for interstate CTS </w:t>
      </w:r>
      <w:r>
        <w:t xml:space="preserve">is </w:t>
      </w:r>
      <w:r w:rsidRPr="0090682B">
        <w:t>$2.</w:t>
      </w:r>
      <w:r>
        <w:t>3153</w:t>
      </w:r>
      <w:r w:rsidRPr="0090682B">
        <w:t xml:space="preserve"> per minute. </w:t>
      </w:r>
    </w:p>
  </w:footnote>
  <w:footnote w:id="9">
    <w:p w:rsidR="00031F55" w:rsidRPr="0090682B" w:rsidP="002C1A52" w14:paraId="5FCE18E1" w14:textId="167FFF69">
      <w:pPr>
        <w:pStyle w:val="FootnoteText"/>
      </w:pPr>
      <w:r w:rsidRPr="0090682B">
        <w:rPr>
          <w:rStyle w:val="FootnoteReference"/>
        </w:rPr>
        <w:footnoteRef/>
      </w:r>
      <w:r w:rsidRPr="0090682B">
        <w:t xml:space="preserve"> </w:t>
      </w:r>
      <w:r w:rsidRPr="00677639" w:rsidR="005950AA">
        <w:rPr>
          <w:i/>
          <w:iCs/>
        </w:rPr>
        <w:t>Id</w:t>
      </w:r>
      <w:r w:rsidR="005950AA">
        <w:t>.</w:t>
      </w:r>
      <w:r>
        <w:t xml:space="preserve"> at 17; </w:t>
      </w:r>
      <w:r w:rsidRPr="0090682B">
        <w:rPr>
          <w:i/>
        </w:rPr>
        <w:t>see also</w:t>
      </w:r>
      <w:r w:rsidRPr="0090682B">
        <w:t xml:space="preserve"> </w:t>
      </w:r>
      <w:r w:rsidRPr="0090682B">
        <w:rPr>
          <w:i/>
        </w:rPr>
        <w:t>2007 TRS</w:t>
      </w:r>
      <w:r>
        <w:rPr>
          <w:i/>
        </w:rPr>
        <w:t xml:space="preserve"> Compensation</w:t>
      </w:r>
      <w:r w:rsidRPr="0090682B">
        <w:rPr>
          <w:i/>
        </w:rPr>
        <w:t xml:space="preserve"> Methodology Order, </w:t>
      </w:r>
      <w:r w:rsidRPr="0090682B">
        <w:t xml:space="preserve">22 FCC </w:t>
      </w:r>
      <w:r w:rsidRPr="0090682B">
        <w:t>Rcd</w:t>
      </w:r>
      <w:r w:rsidRPr="0090682B">
        <w:t xml:space="preserve"> at 20159-60, paras. 43-46.</w:t>
      </w:r>
    </w:p>
  </w:footnote>
  <w:footnote w:id="10">
    <w:p w:rsidR="00031F55" w:rsidRPr="0090682B" w:rsidP="002C1A52" w14:paraId="009D592B" w14:textId="23B30A31">
      <w:pPr>
        <w:pStyle w:val="FootnoteText"/>
      </w:pPr>
      <w:r w:rsidRPr="0090682B">
        <w:rPr>
          <w:rStyle w:val="FootnoteReference"/>
        </w:rPr>
        <w:footnoteRef/>
      </w:r>
      <w:r w:rsidRPr="0090682B">
        <w:t xml:space="preserve"> </w:t>
      </w:r>
      <w:r w:rsidRPr="0090682B">
        <w:rPr>
          <w:i/>
        </w:rPr>
        <w:t>2007 TRS</w:t>
      </w:r>
      <w:r>
        <w:rPr>
          <w:i/>
        </w:rPr>
        <w:t xml:space="preserve"> Compensation</w:t>
      </w:r>
      <w:r w:rsidRPr="0090682B">
        <w:rPr>
          <w:i/>
        </w:rPr>
        <w:t xml:space="preserve"> Methodology Order</w:t>
      </w:r>
      <w:r w:rsidRPr="0090682B">
        <w:t xml:space="preserve">, 22 FCC </w:t>
      </w:r>
      <w:r w:rsidRPr="0090682B">
        <w:t>Rcd</w:t>
      </w:r>
      <w:r w:rsidRPr="0090682B">
        <w:t xml:space="preserve"> at 2016</w:t>
      </w:r>
      <w:r>
        <w:t>0-61</w:t>
      </w:r>
      <w:r w:rsidRPr="0090682B">
        <w:t>, paras. 43-44.</w:t>
      </w:r>
      <w:r w:rsidR="00EC7DB9">
        <w:t xml:space="preserve">  Exogenous costs may also be recovered.  </w:t>
      </w:r>
      <w:r w:rsidRPr="00EC7DB9" w:rsidR="00EC7DB9">
        <w:rPr>
          <w:i/>
          <w:iCs/>
        </w:rPr>
        <w:t>Id</w:t>
      </w:r>
      <w:r w:rsidR="00EC7DB9">
        <w:t>.</w:t>
      </w:r>
    </w:p>
  </w:footnote>
  <w:footnote w:id="11">
    <w:p w:rsidR="00031F55" w:rsidRPr="0090682B" w:rsidP="0080789A" w14:paraId="0559F42F" w14:textId="560BFFCE">
      <w:pPr>
        <w:pStyle w:val="FootnoteText"/>
      </w:pPr>
      <w:r w:rsidRPr="0090682B">
        <w:rPr>
          <w:rStyle w:val="FootnoteReference"/>
        </w:rPr>
        <w:footnoteRef/>
      </w:r>
      <w:r w:rsidRPr="0090682B">
        <w:t xml:space="preserve"> </w:t>
      </w:r>
      <w:r w:rsidRPr="0090682B">
        <w:rPr>
          <w:i/>
        </w:rPr>
        <w:t>Telecommunications Relay Services and Speech-to-Speech Services for Individuals with Hearing and Speech Disabilities</w:t>
      </w:r>
      <w:r>
        <w:t>;</w:t>
      </w:r>
      <w:r w:rsidRPr="0090682B">
        <w:t xml:space="preserve"> </w:t>
      </w:r>
      <w:r w:rsidRPr="0090682B">
        <w:rPr>
          <w:i/>
        </w:rPr>
        <w:t>Structure and Practices of the Video Relay Service Program</w:t>
      </w:r>
      <w:r>
        <w:t>,</w:t>
      </w:r>
      <w:r w:rsidRPr="0090682B">
        <w:rPr>
          <w:i/>
        </w:rPr>
        <w:t xml:space="preserve"> </w:t>
      </w:r>
      <w:r w:rsidRPr="0090682B">
        <w:t xml:space="preserve">CG Docket Nos. </w:t>
      </w:r>
      <w:r>
        <w:t xml:space="preserve">03-123 and </w:t>
      </w:r>
      <w:r w:rsidRPr="0090682B">
        <w:t>10-51, Order, 3</w:t>
      </w:r>
      <w:r>
        <w:t>4</w:t>
      </w:r>
      <w:r w:rsidRPr="0090682B">
        <w:t xml:space="preserve"> FCC </w:t>
      </w:r>
      <w:r w:rsidRPr="0090682B">
        <w:t>Rcd</w:t>
      </w:r>
      <w:r w:rsidRPr="0090682B">
        <w:t xml:space="preserve"> </w:t>
      </w:r>
      <w:r>
        <w:t>5171</w:t>
      </w:r>
      <w:r w:rsidRPr="0090682B">
        <w:t xml:space="preserve">, </w:t>
      </w:r>
      <w:r>
        <w:t>5174-76</w:t>
      </w:r>
      <w:r w:rsidRPr="0090682B">
        <w:t>, para</w:t>
      </w:r>
      <w:r>
        <w:t>s.</w:t>
      </w:r>
      <w:r w:rsidRPr="0090682B">
        <w:t xml:space="preserve"> </w:t>
      </w:r>
      <w:r>
        <w:t>8-10</w:t>
      </w:r>
      <w:r w:rsidRPr="0090682B">
        <w:t xml:space="preserve"> (CGB 201</w:t>
      </w:r>
      <w:r>
        <w:t>9</w:t>
      </w:r>
      <w:r w:rsidRPr="0090682B">
        <w:t>)</w:t>
      </w:r>
      <w:r>
        <w:t xml:space="preserve"> (</w:t>
      </w:r>
      <w:r w:rsidRPr="00434F3B">
        <w:rPr>
          <w:i/>
          <w:iCs/>
        </w:rPr>
        <w:t>2019 TRS Compensation Order</w:t>
      </w:r>
      <w:r>
        <w:t>)</w:t>
      </w:r>
      <w:r w:rsidRPr="0090682B">
        <w:t>.</w:t>
      </w:r>
    </w:p>
  </w:footnote>
  <w:footnote w:id="12">
    <w:p w:rsidR="0002446C" w14:paraId="014BA860" w14:textId="12C4CCB6">
      <w:pPr>
        <w:pStyle w:val="FootnoteText"/>
      </w:pPr>
      <w:r>
        <w:rPr>
          <w:rStyle w:val="FootnoteReference"/>
        </w:rPr>
        <w:footnoteRef/>
      </w:r>
      <w:r>
        <w:t xml:space="preserve"> </w:t>
      </w:r>
      <w:r w:rsidR="005950AA">
        <w:rPr>
          <w:i/>
          <w:iCs/>
        </w:rPr>
        <w:t>Id.</w:t>
      </w:r>
      <w:r w:rsidRPr="0002446C">
        <w:t xml:space="preserve"> at 5175, para. 10 n.24.</w:t>
      </w:r>
    </w:p>
  </w:footnote>
  <w:footnote w:id="13">
    <w:p w:rsidR="00031F55" w14:paraId="30985578" w14:textId="7C1789C9">
      <w:pPr>
        <w:pStyle w:val="FootnoteText"/>
      </w:pPr>
      <w:r>
        <w:rPr>
          <w:rStyle w:val="FootnoteReference"/>
        </w:rPr>
        <w:footnoteRef/>
      </w:r>
      <w:r>
        <w:t xml:space="preserve"> </w:t>
      </w:r>
      <w:r w:rsidRPr="0090682B">
        <w:rPr>
          <w:i/>
        </w:rPr>
        <w:t>Telecommunications Relay Services and Speech-to-Speech Services for Individuals with Hearing and Speech Disabilities</w:t>
      </w:r>
      <w:r>
        <w:t>;</w:t>
      </w:r>
      <w:r w:rsidRPr="0090682B">
        <w:t xml:space="preserve"> </w:t>
      </w:r>
      <w:r w:rsidRPr="0090682B">
        <w:rPr>
          <w:i/>
        </w:rPr>
        <w:t>Structure and Practices of the Video Relay Service Program</w:t>
      </w:r>
      <w:r>
        <w:t>,</w:t>
      </w:r>
      <w:r w:rsidRPr="0090682B">
        <w:rPr>
          <w:i/>
        </w:rPr>
        <w:t xml:space="preserve"> </w:t>
      </w:r>
      <w:r w:rsidRPr="0090682B">
        <w:t xml:space="preserve">CG Docket Nos. </w:t>
      </w:r>
      <w:r>
        <w:t xml:space="preserve">03-123 and </w:t>
      </w:r>
      <w:r w:rsidRPr="0090682B">
        <w:t xml:space="preserve">10-51, Order, </w:t>
      </w:r>
      <w:r>
        <w:t xml:space="preserve">35 FCC </w:t>
      </w:r>
      <w:r>
        <w:t>Rcd</w:t>
      </w:r>
      <w:r>
        <w:t xml:space="preserve"> 6649, 6656-57, para. 19 (2020)</w:t>
      </w:r>
      <w:r w:rsidR="001A3738">
        <w:t xml:space="preserve"> (</w:t>
      </w:r>
      <w:r w:rsidRPr="001A3738" w:rsidR="001A3738">
        <w:rPr>
          <w:i/>
          <w:iCs/>
        </w:rPr>
        <w:t>2020 TRS Compensation Order</w:t>
      </w:r>
      <w:r w:rsidR="001A3738">
        <w:t>)</w:t>
      </w:r>
      <w:r>
        <w:t>.</w:t>
      </w:r>
    </w:p>
  </w:footnote>
  <w:footnote w:id="14">
    <w:p w:rsidR="00031F55" w:rsidRPr="0002698D" w:rsidP="002C1A52" w14:paraId="53479F56" w14:textId="41CC2957">
      <w:pPr>
        <w:pStyle w:val="FootnoteText"/>
      </w:pPr>
      <w:r w:rsidRPr="0090682B">
        <w:rPr>
          <w:rStyle w:val="FootnoteReference"/>
        </w:rPr>
        <w:footnoteRef/>
      </w:r>
      <w:r w:rsidRPr="0090682B">
        <w:t xml:space="preserve"> </w:t>
      </w:r>
      <w:r w:rsidRPr="00184002" w:rsidR="00184002">
        <w:rPr>
          <w:i/>
          <w:iCs/>
        </w:rPr>
        <w:t>2019 TRS Compensation Order</w:t>
      </w:r>
      <w:r w:rsidR="001A3738">
        <w:t>,</w:t>
      </w:r>
      <w:r w:rsidRPr="00184002" w:rsidR="00184002">
        <w:rPr>
          <w:i/>
          <w:iCs/>
        </w:rPr>
        <w:t xml:space="preserve"> </w:t>
      </w:r>
      <w:r w:rsidRPr="0002446C" w:rsidR="001A3738">
        <w:t xml:space="preserve">34 FCC </w:t>
      </w:r>
      <w:r w:rsidRPr="0002446C" w:rsidR="001A3738">
        <w:t>Rcd</w:t>
      </w:r>
      <w:r w:rsidRPr="0002446C" w:rsidR="001A3738">
        <w:t xml:space="preserve"> at 517</w:t>
      </w:r>
      <w:r w:rsidR="001A3738">
        <w:t>8-80</w:t>
      </w:r>
      <w:r w:rsidRPr="0002446C" w:rsidR="001A3738">
        <w:t>, para</w:t>
      </w:r>
      <w:r w:rsidR="001A3738">
        <w:t>s</w:t>
      </w:r>
      <w:r w:rsidRPr="0002446C" w:rsidR="001A3738">
        <w:t xml:space="preserve">. </w:t>
      </w:r>
      <w:r w:rsidR="001A3738">
        <w:t xml:space="preserve">16-19 (renewing outreach waivers for the 2019-20 Fund Year); </w:t>
      </w:r>
      <w:r w:rsidRPr="001A3738" w:rsidR="001A3738">
        <w:rPr>
          <w:i/>
          <w:iCs/>
        </w:rPr>
        <w:t>2020 TRS Compensation Order</w:t>
      </w:r>
      <w:r w:rsidR="001A3738">
        <w:t xml:space="preserve">, 35 FCC </w:t>
      </w:r>
      <w:r w:rsidR="001A3738">
        <w:t>Rcd</w:t>
      </w:r>
      <w:r w:rsidRPr="001A3738" w:rsidR="001A3738">
        <w:rPr>
          <w:i/>
          <w:iCs/>
        </w:rPr>
        <w:t xml:space="preserve"> </w:t>
      </w:r>
      <w:r>
        <w:t>at 5178-80</w:t>
      </w:r>
      <w:r w:rsidRPr="0090682B">
        <w:t>, para</w:t>
      </w:r>
      <w:r>
        <w:t>s</w:t>
      </w:r>
      <w:r w:rsidRPr="0090682B">
        <w:t xml:space="preserve">. </w:t>
      </w:r>
      <w:r>
        <w:t>16-20 (</w:t>
      </w:r>
      <w:r w:rsidR="001A3738">
        <w:t xml:space="preserve">renewing outreach </w:t>
      </w:r>
      <w:r>
        <w:t>waivers</w:t>
      </w:r>
      <w:r w:rsidR="001A3738">
        <w:t xml:space="preserve"> for the 2020-21 Fund Year</w:t>
      </w:r>
      <w:r>
        <w:t xml:space="preserve">); </w:t>
      </w:r>
      <w:r w:rsidRPr="00196FE4">
        <w:rPr>
          <w:i/>
          <w:iCs/>
        </w:rPr>
        <w:t>see also</w:t>
      </w:r>
      <w:r>
        <w:t xml:space="preserve"> </w:t>
      </w:r>
      <w:r w:rsidRPr="00196FE4">
        <w:rPr>
          <w:i/>
        </w:rPr>
        <w:t>Structure and Practices of the Video Relay Service Program; Telecommunications Relay Services and Speech-to-Speech Services for Individuals with Hearing and Speech Disabilities</w:t>
      </w:r>
      <w:r w:rsidRPr="00196FE4">
        <w:t xml:space="preserve">, CG Docket Nos. 10-51 and 03-123, Report and Order and Further Notice of Proposed Rulemaking, 28 FCC </w:t>
      </w:r>
      <w:r w:rsidRPr="00196FE4">
        <w:t>Rcd</w:t>
      </w:r>
      <w:r w:rsidRPr="00196FE4">
        <w:t xml:space="preserve"> 8618, </w:t>
      </w:r>
      <w:r w:rsidRPr="00196FE4">
        <w:rPr>
          <w:iCs/>
        </w:rPr>
        <w:t>8696, para. 192</w:t>
      </w:r>
      <w:r w:rsidRPr="00196FE4">
        <w:t xml:space="preserve"> (2013)</w:t>
      </w:r>
      <w:r>
        <w:t xml:space="preserve"> (</w:t>
      </w:r>
      <w:r w:rsidR="00184002">
        <w:t xml:space="preserve">adopting the rule </w:t>
      </w:r>
      <w:r>
        <w:t>disallowing TRS Fund support of IP Relay outreach costs)</w:t>
      </w:r>
      <w:r w:rsidRPr="0090682B">
        <w:t>.</w:t>
      </w:r>
      <w:r w:rsidRPr="003F5D37">
        <w:t xml:space="preserve"> </w:t>
      </w:r>
      <w:r>
        <w:t xml:space="preserve"> </w:t>
      </w:r>
    </w:p>
  </w:footnote>
  <w:footnote w:id="15">
    <w:p w:rsidR="00031F55" w14:paraId="6F87A02F" w14:textId="0BCEA8EA">
      <w:pPr>
        <w:pStyle w:val="FootnoteText"/>
      </w:pPr>
      <w:r>
        <w:rPr>
          <w:rStyle w:val="FootnoteReference"/>
        </w:rPr>
        <w:footnoteRef/>
      </w:r>
      <w:r>
        <w:t xml:space="preserve"> </w:t>
      </w:r>
      <w:r w:rsidRPr="008550A6">
        <w:t xml:space="preserve">T-Mobile Waiver Request </w:t>
      </w:r>
      <w:r>
        <w:t>at 3-6.</w:t>
      </w:r>
    </w:p>
  </w:footnote>
  <w:footnote w:id="16">
    <w:p w:rsidR="00031F55" w14:paraId="04B1E828" w14:textId="2118ACE7">
      <w:pPr>
        <w:pStyle w:val="FootnoteText"/>
      </w:pPr>
      <w:r>
        <w:rPr>
          <w:rStyle w:val="FootnoteReference"/>
        </w:rPr>
        <w:footnoteRef/>
      </w:r>
      <w:r>
        <w:t xml:space="preserve"> </w:t>
      </w:r>
      <w:r w:rsidRPr="005950AA" w:rsidR="005950AA">
        <w:rPr>
          <w:i/>
          <w:iCs/>
        </w:rPr>
        <w:t>Id</w:t>
      </w:r>
      <w:r w:rsidR="005950AA">
        <w:t>.</w:t>
      </w:r>
      <w:r w:rsidRPr="008550A6">
        <w:t xml:space="preserve"> at </w:t>
      </w:r>
      <w:r>
        <w:t>6-8</w:t>
      </w:r>
      <w:r w:rsidRPr="008550A6">
        <w:t>.</w:t>
      </w:r>
      <w:r w:rsidR="00184002">
        <w:t xml:space="preserve">    </w:t>
      </w:r>
    </w:p>
  </w:footnote>
  <w:footnote w:id="17">
    <w:p w:rsidR="00031F55" w:rsidRPr="005A1CDE" w14:paraId="51A4AFE7" w14:textId="126ADBA0">
      <w:pPr>
        <w:pStyle w:val="FootnoteText"/>
      </w:pPr>
      <w:r>
        <w:rPr>
          <w:rStyle w:val="FootnoteReference"/>
        </w:rPr>
        <w:footnoteRef/>
      </w:r>
      <w:r>
        <w:t xml:space="preserve"> 2021 TRS Report at 19; </w:t>
      </w:r>
      <w:r w:rsidRPr="001A3738" w:rsidR="001A3738">
        <w:rPr>
          <w:i/>
          <w:iCs/>
        </w:rPr>
        <w:t>see also</w:t>
      </w:r>
      <w:r w:rsidR="001A3738">
        <w:t xml:space="preserve"> </w:t>
      </w:r>
      <w:r w:rsidRPr="00434F3B">
        <w:rPr>
          <w:i/>
          <w:iCs/>
        </w:rPr>
        <w:t>2019 TRS Compensation Order</w:t>
      </w:r>
      <w:r>
        <w:t xml:space="preserve">, </w:t>
      </w:r>
      <w:r w:rsidRPr="00434F3B">
        <w:t xml:space="preserve">34 FCC </w:t>
      </w:r>
      <w:r w:rsidRPr="00434F3B">
        <w:t>Rcd</w:t>
      </w:r>
      <w:r>
        <w:t xml:space="preserve"> at 5176, paras. 11-12</w:t>
      </w:r>
      <w:r w:rsidR="001A3738">
        <w:t xml:space="preserve"> (</w:t>
      </w:r>
      <w:r w:rsidR="00CD2C56">
        <w:t>applying an operating margin of 12.35%)</w:t>
      </w:r>
      <w:r>
        <w:t>.</w:t>
      </w:r>
    </w:p>
  </w:footnote>
  <w:footnote w:id="18">
    <w:p w:rsidR="00031F55" w14:paraId="27D8A1C9" w14:textId="28784239">
      <w:pPr>
        <w:pStyle w:val="FootnoteText"/>
      </w:pPr>
      <w:r>
        <w:rPr>
          <w:rStyle w:val="FootnoteReference"/>
        </w:rPr>
        <w:footnoteRef/>
      </w:r>
      <w:r>
        <w:t xml:space="preserve"> 2021 TRS Report at 19.  Rolka Loube notes that if compensation for 2021-22 were calculated based on an average of historical 2020 and projected 2021 costs, the resulting compensation level would be $1.7098 per minute.  </w:t>
      </w:r>
      <w:r w:rsidRPr="00385B28">
        <w:rPr>
          <w:i/>
          <w:iCs/>
        </w:rPr>
        <w:t>Id</w:t>
      </w:r>
      <w:r>
        <w:t xml:space="preserve">. </w:t>
      </w:r>
    </w:p>
  </w:footnote>
  <w:footnote w:id="19">
    <w:p w:rsidR="00031F55" w14:paraId="5C7F7965" w14:textId="48A3A0B5">
      <w:pPr>
        <w:pStyle w:val="FootnoteText"/>
      </w:pPr>
      <w:r>
        <w:rPr>
          <w:rStyle w:val="FootnoteReference"/>
        </w:rPr>
        <w:footnoteRef/>
      </w:r>
      <w:r>
        <w:t xml:space="preserve"> </w:t>
      </w:r>
      <w:r w:rsidRPr="00B2298E">
        <w:rPr>
          <w:i/>
          <w:iCs/>
        </w:rPr>
        <w:t>See</w:t>
      </w:r>
      <w:r w:rsidRPr="00B2298E">
        <w:t xml:space="preserve"> </w:t>
      </w:r>
      <w:hyperlink r:id="rId1" w:history="1">
        <w:r w:rsidRPr="007B1E7F">
          <w:rPr>
            <w:rStyle w:val="Hyperlink"/>
          </w:rPr>
          <w:t>https://www.fcc.gov/document/strengthening-support-video-relay-service</w:t>
        </w:r>
      </w:hyperlink>
      <w:r>
        <w:t xml:space="preserve">; </w:t>
      </w:r>
      <w:hyperlink r:id="rId2" w:history="1">
        <w:r w:rsidRPr="005950AA" w:rsidR="005950AA">
          <w:rPr>
            <w:rStyle w:val="Hyperlink"/>
          </w:rPr>
          <w:t>https://docs.fcc.gov/public/</w:t>
        </w:r>
        <w:r w:rsidRPr="007B1E7F" w:rsidR="005950AA">
          <w:rPr>
            <w:rStyle w:val="Hyperlink"/>
          </w:rPr>
          <w:t>‌attachments/‌DOC-372024A1.pdf</w:t>
        </w:r>
      </w:hyperlink>
      <w:r>
        <w:t xml:space="preserve"> (Apr. 29, 2021). </w:t>
      </w:r>
    </w:p>
  </w:footnote>
  <w:footnote w:id="20">
    <w:p w:rsidR="00031F55" w:rsidRPr="0090682B" w:rsidP="00A150F5" w14:paraId="5558F0AB" w14:textId="77777777">
      <w:pPr>
        <w:pStyle w:val="FootnoteText"/>
      </w:pPr>
      <w:r w:rsidRPr="0090682B">
        <w:rPr>
          <w:rStyle w:val="FootnoteReference"/>
        </w:rPr>
        <w:footnoteRef/>
      </w:r>
      <w:r w:rsidRPr="0090682B">
        <w:t xml:space="preserve"> </w:t>
      </w:r>
      <w:r w:rsidRPr="0090682B">
        <w:rPr>
          <w:i/>
        </w:rPr>
        <w:t>Misuse of Internet Protocol (IP) Captioned Telephone Service</w:t>
      </w:r>
      <w:r w:rsidRPr="0090682B">
        <w:t>;</w:t>
      </w:r>
      <w:r w:rsidRPr="0090682B">
        <w:rPr>
          <w:i/>
        </w:rPr>
        <w:t xml:space="preserve"> Telecommunications Relay Services and Speech-to-Speech Services for Individuals with Hearing and Speech Disabilities</w:t>
      </w:r>
      <w:r>
        <w:rPr>
          <w:i/>
        </w:rPr>
        <w:t>; Structure and Practices of the Video Relay Service Program</w:t>
      </w:r>
      <w:r w:rsidRPr="0090682B">
        <w:t>, CG Docket Nos. 13-24</w:t>
      </w:r>
      <w:r>
        <w:t xml:space="preserve">, </w:t>
      </w:r>
      <w:r w:rsidRPr="0090682B">
        <w:t>03-123</w:t>
      </w:r>
      <w:r>
        <w:t>, and 10-51</w:t>
      </w:r>
      <w:r w:rsidRPr="0090682B">
        <w:t xml:space="preserve">, Report and Order, </w:t>
      </w:r>
      <w:r>
        <w:t>Order on Reconsideration</w:t>
      </w:r>
      <w:r w:rsidRPr="0090682B">
        <w:t xml:space="preserve">, </w:t>
      </w:r>
      <w:r>
        <w:t xml:space="preserve">and </w:t>
      </w:r>
      <w:r w:rsidRPr="0090682B">
        <w:t>Further Notice of Proposed Rulemaking, 3</w:t>
      </w:r>
      <w:r>
        <w:t>5</w:t>
      </w:r>
      <w:r w:rsidRPr="0090682B">
        <w:t xml:space="preserve"> FCC </w:t>
      </w:r>
      <w:r w:rsidRPr="0090682B">
        <w:t>Rcd</w:t>
      </w:r>
      <w:r w:rsidRPr="0090682B">
        <w:t xml:space="preserve"> </w:t>
      </w:r>
      <w:r>
        <w:t>10866</w:t>
      </w:r>
      <w:r w:rsidRPr="0090682B">
        <w:t xml:space="preserve">, </w:t>
      </w:r>
      <w:r>
        <w:t>10870-71, paras. 10-12</w:t>
      </w:r>
      <w:r w:rsidRPr="0090682B">
        <w:t xml:space="preserve"> (</w:t>
      </w:r>
      <w:r>
        <w:t>2020</w:t>
      </w:r>
      <w:r w:rsidRPr="0090682B">
        <w:t>) (</w:t>
      </w:r>
      <w:r w:rsidRPr="0090682B">
        <w:rPr>
          <w:i/>
        </w:rPr>
        <w:t>20</w:t>
      </w:r>
      <w:r>
        <w:rPr>
          <w:i/>
        </w:rPr>
        <w:t>20</w:t>
      </w:r>
      <w:r w:rsidRPr="0090682B">
        <w:rPr>
          <w:i/>
        </w:rPr>
        <w:t xml:space="preserve"> IP CTS Reform Order</w:t>
      </w:r>
      <w:r w:rsidRPr="0090682B">
        <w:t>)</w:t>
      </w:r>
      <w:r>
        <w:t>.</w:t>
      </w:r>
    </w:p>
  </w:footnote>
  <w:footnote w:id="21">
    <w:p w:rsidR="00031F55" w:rsidRPr="0010339C" w:rsidP="002C1A52" w14:paraId="443178FD" w14:textId="4AADEB4A">
      <w:pPr>
        <w:pStyle w:val="FootnoteText"/>
      </w:pPr>
      <w:r>
        <w:rPr>
          <w:rStyle w:val="FootnoteReference"/>
        </w:rPr>
        <w:footnoteRef/>
      </w:r>
      <w:r>
        <w:t xml:space="preserve"> </w:t>
      </w:r>
      <w:r w:rsidRPr="005950AA" w:rsidR="005950AA">
        <w:t>2021 TRS Report</w:t>
      </w:r>
      <w:r>
        <w:t xml:space="preserve"> at 23-25 &amp; </w:t>
      </w:r>
      <w:r>
        <w:t>Exh</w:t>
      </w:r>
      <w:r>
        <w:t>. 2.</w:t>
      </w:r>
    </w:p>
  </w:footnote>
  <w:footnote w:id="22">
    <w:p w:rsidR="00031F55" w:rsidP="002C1A52" w14:paraId="1ED61C98" w14:textId="0D2859C4">
      <w:pPr>
        <w:pStyle w:val="FootnoteText"/>
      </w:pPr>
      <w:r>
        <w:rPr>
          <w:rStyle w:val="FootnoteReference"/>
        </w:rPr>
        <w:footnoteRef/>
      </w:r>
      <w:r>
        <w:t xml:space="preserve"> </w:t>
      </w:r>
      <w:r w:rsidRPr="005950AA" w:rsidR="005950AA">
        <w:rPr>
          <w:i/>
          <w:iCs/>
        </w:rPr>
        <w:t>Id</w:t>
      </w:r>
      <w:r w:rsidR="005950AA">
        <w:t>.</w:t>
      </w:r>
      <w:r>
        <w:t xml:space="preserve"> at 23-24.</w:t>
      </w:r>
    </w:p>
  </w:footnote>
  <w:footnote w:id="23">
    <w:p w:rsidR="00031F55" w:rsidRPr="0090682B" w:rsidP="009F45DC" w14:paraId="1713C651" w14:textId="23DD9695">
      <w:pPr>
        <w:pStyle w:val="FootnoteText"/>
        <w:tabs>
          <w:tab w:val="left" w:pos="3446"/>
        </w:tabs>
      </w:pPr>
      <w:r w:rsidRPr="0090682B">
        <w:rPr>
          <w:rStyle w:val="FootnoteReference"/>
        </w:rPr>
        <w:footnoteRef/>
      </w:r>
      <w:r w:rsidRPr="0090682B">
        <w:t xml:space="preserve"> </w:t>
      </w:r>
      <w:r>
        <w:rPr>
          <w:i/>
        </w:rPr>
        <w:t>Id.</w:t>
      </w:r>
      <w:r>
        <w:t xml:space="preserve"> </w:t>
      </w:r>
      <w:r w:rsidRPr="0090682B">
        <w:t xml:space="preserve">at </w:t>
      </w:r>
      <w:r>
        <w:t>25.</w:t>
      </w:r>
      <w:r>
        <w:tab/>
      </w:r>
    </w:p>
  </w:footnote>
  <w:footnote w:id="24">
    <w:p w:rsidR="00031F55" w:rsidRPr="0090682B" w:rsidP="002C1A52" w14:paraId="6CABD5C2" w14:textId="07FDD174">
      <w:pPr>
        <w:pStyle w:val="FootnoteText"/>
      </w:pPr>
      <w:r w:rsidRPr="0090682B">
        <w:rPr>
          <w:rStyle w:val="FootnoteReference"/>
        </w:rPr>
        <w:footnoteRef/>
      </w:r>
      <w:r w:rsidRPr="0090682B">
        <w:t xml:space="preserve"> </w:t>
      </w:r>
      <w:r>
        <w:rPr>
          <w:i/>
        </w:rPr>
        <w:t>Id.</w:t>
      </w:r>
      <w:r>
        <w:t xml:space="preserve"> </w:t>
      </w:r>
      <w:r w:rsidRPr="0090682B">
        <w:t xml:space="preserve">at </w:t>
      </w:r>
      <w:r>
        <w:t xml:space="preserve">26-27 &amp; </w:t>
      </w:r>
      <w:r w:rsidRPr="0090682B">
        <w:t>Exh</w:t>
      </w:r>
      <w:r w:rsidRPr="0090682B">
        <w:t>. 2.</w:t>
      </w:r>
    </w:p>
  </w:footnote>
  <w:footnote w:id="25">
    <w:p w:rsidR="00F7250F" w:rsidP="00F7250F" w14:paraId="297ACC65" w14:textId="77777777">
      <w:pPr>
        <w:pStyle w:val="FootnoteText"/>
      </w:pPr>
      <w:r>
        <w:rPr>
          <w:rStyle w:val="FootnoteReference"/>
        </w:rPr>
        <w:footnoteRef/>
      </w:r>
      <w:r>
        <w:t xml:space="preserve"> Those formulas </w:t>
      </w:r>
      <w:r>
        <w:t>are:</w:t>
      </w:r>
      <w:r>
        <w:t xml:space="preserve">  for emergent providers, $5.29 per minute; for Tier I (1</w:t>
      </w:r>
      <w:r w:rsidRPr="00B8776D">
        <w:rPr>
          <w:vertAlign w:val="superscript"/>
        </w:rPr>
        <w:t>st</w:t>
      </w:r>
      <w:r>
        <w:t xml:space="preserve"> 1 million monthly minutes), $4.82 per minute; for Tier II (next 1.5 million monthly minutes), $3.97; for Tier III (monthly minutes over 2.5 million), $2.63.  </w:t>
      </w:r>
      <w:r w:rsidRPr="00D927F7">
        <w:rPr>
          <w:i/>
          <w:iCs/>
        </w:rPr>
        <w:t>2017 VRS Compensation Order</w:t>
      </w:r>
      <w:r>
        <w:t xml:space="preserve">, 32 FCC </w:t>
      </w:r>
      <w:r>
        <w:t>Rcd</w:t>
      </w:r>
      <w:r>
        <w:t xml:space="preserve"> at 5935, Appx. A.  The order currently under consideration by the Commission would extend the expiration date of the current VRS compensation formulas through December 31, 2021, or the effective date of Commission action adopting a VRS compensation rate, whichever is earlier.  </w:t>
      </w:r>
      <w:r w:rsidRPr="00B2298E">
        <w:rPr>
          <w:i/>
          <w:iCs/>
        </w:rPr>
        <w:t>See</w:t>
      </w:r>
      <w:r>
        <w:t xml:space="preserve"> </w:t>
      </w:r>
      <w:hyperlink r:id="rId3" w:history="1">
        <w:r w:rsidRPr="00B2298E">
          <w:rPr>
            <w:rStyle w:val="Hyperlink"/>
          </w:rPr>
          <w:t>https://docs.fcc.gov/public/attachments/DOC-372024A1.pdf</w:t>
        </w:r>
      </w:hyperlink>
      <w:r>
        <w:t xml:space="preserve"> (Apr. 29, 2021).  </w:t>
      </w:r>
      <w:r>
        <w:t>For the purpose of</w:t>
      </w:r>
      <w:r>
        <w:t xml:space="preserve"> calculating a funding requirement and contribution factor, Rolka Loube has assumed the current VRS compensation formulas will remain in effect throughout the 2021-22 Fund Year.  2021 TRS Report at 24.  </w:t>
      </w:r>
    </w:p>
  </w:footnote>
  <w:footnote w:id="26">
    <w:p w:rsidR="00F7250F" w:rsidP="00F7250F" w14:paraId="6700148F" w14:textId="77777777">
      <w:pPr>
        <w:pStyle w:val="FootnoteText"/>
      </w:pPr>
      <w:r>
        <w:rPr>
          <w:rStyle w:val="FootnoteReference"/>
        </w:rPr>
        <w:footnoteRef/>
      </w:r>
      <w:r>
        <w:t xml:space="preserve"> </w:t>
      </w:r>
      <w:r w:rsidRPr="0090682B">
        <w:rPr>
          <w:i/>
        </w:rPr>
        <w:t>20</w:t>
      </w:r>
      <w:r>
        <w:rPr>
          <w:i/>
        </w:rPr>
        <w:t>20</w:t>
      </w:r>
      <w:r w:rsidRPr="0090682B">
        <w:rPr>
          <w:i/>
        </w:rPr>
        <w:t xml:space="preserve"> IP CTS Reform Order</w:t>
      </w:r>
      <w:r>
        <w:rPr>
          <w:iCs/>
        </w:rPr>
        <w:t>,</w:t>
      </w:r>
      <w:r w:rsidRPr="0090682B">
        <w:t xml:space="preserve"> 3</w:t>
      </w:r>
      <w:r>
        <w:t>5</w:t>
      </w:r>
      <w:r w:rsidRPr="0090682B">
        <w:t xml:space="preserve"> FCC </w:t>
      </w:r>
      <w:r w:rsidRPr="0090682B">
        <w:t>Rcd</w:t>
      </w:r>
      <w:r w:rsidRPr="0090682B">
        <w:t xml:space="preserve"> </w:t>
      </w:r>
      <w:r>
        <w:t>at</w:t>
      </w:r>
      <w:r w:rsidRPr="0090682B">
        <w:t xml:space="preserve"> </w:t>
      </w:r>
      <w:r>
        <w:t>10870-71, paras. 10-12.</w:t>
      </w:r>
    </w:p>
  </w:footnote>
  <w:footnote w:id="27">
    <w:p w:rsidR="00F7250F" w:rsidRPr="0090682B" w:rsidP="00F7250F" w14:paraId="092191F0" w14:textId="77777777">
      <w:pPr>
        <w:pStyle w:val="FootnoteText"/>
      </w:pPr>
      <w:r w:rsidRPr="0090682B">
        <w:rPr>
          <w:rStyle w:val="FootnoteReference"/>
        </w:rPr>
        <w:footnoteRef/>
      </w:r>
      <w:r w:rsidRPr="0090682B">
        <w:t xml:space="preserve"> </w:t>
      </w:r>
      <w:r>
        <w:t>2021 TRS Report</w:t>
      </w:r>
      <w:r w:rsidRPr="0090682B">
        <w:t xml:space="preserve"> at </w:t>
      </w:r>
      <w:r>
        <w:t>27 &amp;</w:t>
      </w:r>
      <w:r w:rsidRPr="0090682B">
        <w:t xml:space="preserve"> </w:t>
      </w:r>
      <w:r w:rsidRPr="0090682B">
        <w:t>Exh</w:t>
      </w:r>
      <w:r w:rsidRPr="0090682B">
        <w:t>. 2.</w:t>
      </w:r>
    </w:p>
  </w:footnote>
  <w:footnote w:id="28">
    <w:p w:rsidR="00F7250F" w:rsidRPr="008F2F31" w:rsidP="00F7250F" w14:paraId="67E84B73" w14:textId="77777777">
      <w:pPr>
        <w:pStyle w:val="FootnoteText"/>
      </w:pPr>
      <w:r>
        <w:rPr>
          <w:rStyle w:val="FootnoteReference"/>
        </w:rPr>
        <w:footnoteRef/>
      </w:r>
      <w:r>
        <w:t xml:space="preserve"> </w:t>
      </w:r>
      <w:r>
        <w:rPr>
          <w:i/>
          <w:iCs/>
        </w:rPr>
        <w:t xml:space="preserve">See </w:t>
      </w:r>
      <w:r>
        <w:t xml:space="preserve">47 CFR § 64.604(c)(5)(iii)(A); </w:t>
      </w:r>
      <w:r>
        <w:rPr>
          <w:i/>
          <w:iCs/>
        </w:rPr>
        <w:t>Misuse of Internet Protocol (IP) Captioned Telephone Service; Telecommunications Relay Services and Speech-to-Speech Services for Individuals with Hearing and Speech Disabilities,</w:t>
      </w:r>
      <w:r>
        <w:t xml:space="preserve"> CG Docket Nos. 13-24 and 03-123, Report and Order, 34 FCC </w:t>
      </w:r>
      <w:r>
        <w:t>Rcd</w:t>
      </w:r>
      <w:r>
        <w:t xml:space="preserve"> 11265 (2019). </w:t>
      </w:r>
    </w:p>
  </w:footnote>
  <w:footnote w:id="29">
    <w:p w:rsidR="00F7250F" w:rsidRPr="0090682B" w:rsidP="00F7250F" w14:paraId="55A35B82" w14:textId="77777777">
      <w:pPr>
        <w:pStyle w:val="FootnoteText"/>
      </w:pPr>
      <w:r w:rsidRPr="0090682B">
        <w:rPr>
          <w:rStyle w:val="FootnoteReference"/>
        </w:rPr>
        <w:footnoteRef/>
      </w:r>
      <w:r w:rsidRPr="0090682B">
        <w:t xml:space="preserve"> 20</w:t>
      </w:r>
      <w:r>
        <w:t>21</w:t>
      </w:r>
      <w:r w:rsidRPr="0090682B">
        <w:t xml:space="preserve"> TRS </w:t>
      </w:r>
      <w:r>
        <w:t>Report</w:t>
      </w:r>
      <w:r w:rsidRPr="0090682B">
        <w:t xml:space="preserve"> at </w:t>
      </w:r>
      <w:r>
        <w:t xml:space="preserve">27 &amp; </w:t>
      </w:r>
      <w:r w:rsidRPr="0090682B">
        <w:t>Exh</w:t>
      </w:r>
      <w:r w:rsidRPr="0090682B">
        <w:t>. 2.</w:t>
      </w:r>
      <w:r>
        <w:t xml:space="preserve">  Rolka Loube may update its recommended Fund requirement and contribution factors based on updated information, e.g., on changes to the TRS Fund contribution base. </w:t>
      </w:r>
      <w:r w:rsidRPr="00541C3A">
        <w:rPr>
          <w:i/>
        </w:rPr>
        <w:t xml:space="preserve"> </w:t>
      </w:r>
      <w:r>
        <w:rPr>
          <w:i/>
        </w:rPr>
        <w:t>Id.</w:t>
      </w:r>
      <w:r>
        <w:t xml:space="preserve"> </w:t>
      </w:r>
      <w:r w:rsidRPr="0090682B">
        <w:t xml:space="preserve">at </w:t>
      </w:r>
      <w:r>
        <w:t xml:space="preserve">10. </w:t>
      </w:r>
    </w:p>
  </w:footnote>
  <w:footnote w:id="30">
    <w:p w:rsidR="00031F55" w:rsidRPr="00801F23" w:rsidP="002C1A52" w14:paraId="1734667F"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31">
    <w:p w:rsidR="00031F55" w:rsidRPr="0033400D" w:rsidP="002C1A52" w14:paraId="504CC2B8"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32">
    <w:p w:rsidR="00031F55" w:rsidP="007603A9" w14:paraId="174C621D"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p>
  </w:footnote>
  <w:footnote w:id="33">
    <w:p w:rsidR="00031F55" w:rsidRPr="00801F23" w:rsidP="002C1A52" w14:paraId="2BD6E99B"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F55" w14:paraId="5A4754DD" w14:textId="21C53462">
    <w:pPr>
      <w:tabs>
        <w:tab w:val="center" w:pos="4680"/>
        <w:tab w:val="right" w:pos="9360"/>
      </w:tabs>
    </w:pPr>
    <w:r>
      <w:rPr>
        <w:b/>
      </w:rPr>
      <w:tab/>
      <w:t>Federal Communications Commission</w:t>
    </w:r>
    <w:r>
      <w:rPr>
        <w:b/>
      </w:rPr>
      <w:tab/>
    </w:r>
    <w:r w:rsidR="004F00AA">
      <w:rPr>
        <w:b/>
      </w:rPr>
      <w:t>DA 21-556</w:t>
    </w:r>
  </w:p>
  <w:p w:rsidR="00031F55" w14:paraId="7D8F8EEE"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031F55" w14:paraId="076B28D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F55" w14:paraId="5E9EF3E7"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6.6pt;height:111pt;mso-height-percent:0;mso-width-percent:0;visibility:visible">
          <v:imagedata r:id="rId1" o:title=""/>
        </v:shape>
      </w:pict>
    </w:r>
  </w:p>
  <w:p w:rsidR="00031F55" w14:paraId="12FFC3DB"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8CB657A"/>
    <w:multiLevelType w:val="hybridMultilevel"/>
    <w:tmpl w:val="6A76A0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D7627A"/>
    <w:multiLevelType w:val="multilevel"/>
    <w:tmpl w:val="5274BDF0"/>
    <w:numStyleLink w:val="StyleBulletedLatinCourierNewLeft075Hanging0252"/>
  </w:abstractNum>
  <w:abstractNum w:abstractNumId="10">
    <w:nsid w:val="5D205C22"/>
    <w:multiLevelType w:val="multilevel"/>
    <w:tmpl w:val="5274BDF0"/>
    <w:numStyleLink w:val="StyleBulletedLatinCourierNewLeft075Hanging0252"/>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6"/>
  </w:num>
  <w:num w:numId="6">
    <w:abstractNumId w:val="2"/>
  </w:num>
  <w:num w:numId="7">
    <w:abstractNumId w:val="12"/>
  </w:num>
  <w:num w:numId="8">
    <w:abstractNumId w:val="3"/>
  </w:num>
  <w:num w:numId="9">
    <w:abstractNumId w:val="0"/>
  </w:num>
  <w:num w:numId="10">
    <w:abstractNumId w:val="1"/>
  </w:num>
  <w:num w:numId="11">
    <w:abstractNumId w:val="9"/>
  </w:num>
  <w:num w:numId="12">
    <w:abstractNumId w:val="4"/>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1F"/>
    <w:rsid w:val="0002446C"/>
    <w:rsid w:val="0002698D"/>
    <w:rsid w:val="00031F55"/>
    <w:rsid w:val="00032038"/>
    <w:rsid w:val="00076078"/>
    <w:rsid w:val="00077CBE"/>
    <w:rsid w:val="00083029"/>
    <w:rsid w:val="00090FAB"/>
    <w:rsid w:val="000953E0"/>
    <w:rsid w:val="000A38CF"/>
    <w:rsid w:val="000C5931"/>
    <w:rsid w:val="000D7702"/>
    <w:rsid w:val="0010339C"/>
    <w:rsid w:val="00112181"/>
    <w:rsid w:val="001206E5"/>
    <w:rsid w:val="0014636D"/>
    <w:rsid w:val="00160393"/>
    <w:rsid w:val="001775DA"/>
    <w:rsid w:val="00184002"/>
    <w:rsid w:val="001866AC"/>
    <w:rsid w:val="001879F4"/>
    <w:rsid w:val="001947A9"/>
    <w:rsid w:val="00196FE4"/>
    <w:rsid w:val="001A3738"/>
    <w:rsid w:val="001F6459"/>
    <w:rsid w:val="002006FA"/>
    <w:rsid w:val="00250E3E"/>
    <w:rsid w:val="002828F7"/>
    <w:rsid w:val="002B00D1"/>
    <w:rsid w:val="002C1A52"/>
    <w:rsid w:val="002E68A3"/>
    <w:rsid w:val="002F5A17"/>
    <w:rsid w:val="0030239F"/>
    <w:rsid w:val="0031488D"/>
    <w:rsid w:val="0033052C"/>
    <w:rsid w:val="0033400D"/>
    <w:rsid w:val="0033623E"/>
    <w:rsid w:val="00351460"/>
    <w:rsid w:val="0035538F"/>
    <w:rsid w:val="003636C0"/>
    <w:rsid w:val="00370672"/>
    <w:rsid w:val="00385B28"/>
    <w:rsid w:val="003868D7"/>
    <w:rsid w:val="003911CC"/>
    <w:rsid w:val="003D155F"/>
    <w:rsid w:val="003D2C7A"/>
    <w:rsid w:val="003F5D37"/>
    <w:rsid w:val="00414F7C"/>
    <w:rsid w:val="00430030"/>
    <w:rsid w:val="00430E75"/>
    <w:rsid w:val="004341FE"/>
    <w:rsid w:val="00434F3B"/>
    <w:rsid w:val="00436387"/>
    <w:rsid w:val="00465555"/>
    <w:rsid w:val="0047165A"/>
    <w:rsid w:val="004912B8"/>
    <w:rsid w:val="004D64CB"/>
    <w:rsid w:val="004E53D2"/>
    <w:rsid w:val="004F00AA"/>
    <w:rsid w:val="00507D77"/>
    <w:rsid w:val="00511192"/>
    <w:rsid w:val="00535756"/>
    <w:rsid w:val="00541C3A"/>
    <w:rsid w:val="0054212D"/>
    <w:rsid w:val="00544D0E"/>
    <w:rsid w:val="0055715C"/>
    <w:rsid w:val="00576B88"/>
    <w:rsid w:val="0058142E"/>
    <w:rsid w:val="005950AA"/>
    <w:rsid w:val="005A1CDE"/>
    <w:rsid w:val="005B3E56"/>
    <w:rsid w:val="005C2CE0"/>
    <w:rsid w:val="005C4306"/>
    <w:rsid w:val="005D2B3C"/>
    <w:rsid w:val="005D3742"/>
    <w:rsid w:val="00601162"/>
    <w:rsid w:val="00614236"/>
    <w:rsid w:val="00636994"/>
    <w:rsid w:val="00652855"/>
    <w:rsid w:val="0066112D"/>
    <w:rsid w:val="00677639"/>
    <w:rsid w:val="00690ABC"/>
    <w:rsid w:val="006A2F16"/>
    <w:rsid w:val="006A7AB5"/>
    <w:rsid w:val="006C252D"/>
    <w:rsid w:val="006D3415"/>
    <w:rsid w:val="006D54EE"/>
    <w:rsid w:val="006F27E0"/>
    <w:rsid w:val="006F392A"/>
    <w:rsid w:val="00712E4E"/>
    <w:rsid w:val="007211BD"/>
    <w:rsid w:val="00724523"/>
    <w:rsid w:val="007252C8"/>
    <w:rsid w:val="00727F85"/>
    <w:rsid w:val="007330FC"/>
    <w:rsid w:val="007446CB"/>
    <w:rsid w:val="00750093"/>
    <w:rsid w:val="00755B62"/>
    <w:rsid w:val="007603A9"/>
    <w:rsid w:val="00761D5E"/>
    <w:rsid w:val="00764318"/>
    <w:rsid w:val="007653C3"/>
    <w:rsid w:val="0077756D"/>
    <w:rsid w:val="00781824"/>
    <w:rsid w:val="0079451F"/>
    <w:rsid w:val="007A73FA"/>
    <w:rsid w:val="007B0017"/>
    <w:rsid w:val="007B1E7F"/>
    <w:rsid w:val="007C3E82"/>
    <w:rsid w:val="007E53A0"/>
    <w:rsid w:val="00801F23"/>
    <w:rsid w:val="0080789A"/>
    <w:rsid w:val="008248C2"/>
    <w:rsid w:val="00851A3C"/>
    <w:rsid w:val="008550A6"/>
    <w:rsid w:val="00860435"/>
    <w:rsid w:val="008941A2"/>
    <w:rsid w:val="008B1518"/>
    <w:rsid w:val="008C4252"/>
    <w:rsid w:val="008D44D5"/>
    <w:rsid w:val="008F0894"/>
    <w:rsid w:val="008F2F31"/>
    <w:rsid w:val="00900B8C"/>
    <w:rsid w:val="0090682B"/>
    <w:rsid w:val="0091358A"/>
    <w:rsid w:val="009460B3"/>
    <w:rsid w:val="00963404"/>
    <w:rsid w:val="00983478"/>
    <w:rsid w:val="009946AC"/>
    <w:rsid w:val="009A0108"/>
    <w:rsid w:val="009B2E7C"/>
    <w:rsid w:val="009C13BF"/>
    <w:rsid w:val="009D0F23"/>
    <w:rsid w:val="009D56D5"/>
    <w:rsid w:val="009F45DC"/>
    <w:rsid w:val="00A150F5"/>
    <w:rsid w:val="00A2383A"/>
    <w:rsid w:val="00A418F9"/>
    <w:rsid w:val="00A67A2A"/>
    <w:rsid w:val="00A864D9"/>
    <w:rsid w:val="00A87777"/>
    <w:rsid w:val="00AB1E77"/>
    <w:rsid w:val="00AB5368"/>
    <w:rsid w:val="00AB7C96"/>
    <w:rsid w:val="00AD4729"/>
    <w:rsid w:val="00AE7920"/>
    <w:rsid w:val="00AF270D"/>
    <w:rsid w:val="00B02FE7"/>
    <w:rsid w:val="00B120B6"/>
    <w:rsid w:val="00B13B53"/>
    <w:rsid w:val="00B2298E"/>
    <w:rsid w:val="00B3638B"/>
    <w:rsid w:val="00B4290D"/>
    <w:rsid w:val="00B634F1"/>
    <w:rsid w:val="00B8776D"/>
    <w:rsid w:val="00B92FD3"/>
    <w:rsid w:val="00B939BC"/>
    <w:rsid w:val="00BB0F7E"/>
    <w:rsid w:val="00BB148E"/>
    <w:rsid w:val="00BD5416"/>
    <w:rsid w:val="00BD7E74"/>
    <w:rsid w:val="00BE1D60"/>
    <w:rsid w:val="00BE1F78"/>
    <w:rsid w:val="00C05524"/>
    <w:rsid w:val="00C06950"/>
    <w:rsid w:val="00C15347"/>
    <w:rsid w:val="00C16D26"/>
    <w:rsid w:val="00C42CF4"/>
    <w:rsid w:val="00C56496"/>
    <w:rsid w:val="00C56FCF"/>
    <w:rsid w:val="00C67866"/>
    <w:rsid w:val="00CA5694"/>
    <w:rsid w:val="00CB314B"/>
    <w:rsid w:val="00CD2C56"/>
    <w:rsid w:val="00D0227D"/>
    <w:rsid w:val="00D14E05"/>
    <w:rsid w:val="00D15D8C"/>
    <w:rsid w:val="00D4413E"/>
    <w:rsid w:val="00D81880"/>
    <w:rsid w:val="00D927F7"/>
    <w:rsid w:val="00D9330C"/>
    <w:rsid w:val="00DA3222"/>
    <w:rsid w:val="00DA7EB4"/>
    <w:rsid w:val="00DB74CF"/>
    <w:rsid w:val="00DC1C1F"/>
    <w:rsid w:val="00DC492D"/>
    <w:rsid w:val="00DC5A4F"/>
    <w:rsid w:val="00DD4A61"/>
    <w:rsid w:val="00DF7339"/>
    <w:rsid w:val="00E00E3F"/>
    <w:rsid w:val="00E172A6"/>
    <w:rsid w:val="00E415A9"/>
    <w:rsid w:val="00E639EA"/>
    <w:rsid w:val="00E65C3D"/>
    <w:rsid w:val="00E700A8"/>
    <w:rsid w:val="00E84A66"/>
    <w:rsid w:val="00E858EB"/>
    <w:rsid w:val="00E9615C"/>
    <w:rsid w:val="00E97778"/>
    <w:rsid w:val="00EB367A"/>
    <w:rsid w:val="00EC7DB9"/>
    <w:rsid w:val="00EF4236"/>
    <w:rsid w:val="00EF4E1F"/>
    <w:rsid w:val="00EF6ACA"/>
    <w:rsid w:val="00F00F35"/>
    <w:rsid w:val="00F043F9"/>
    <w:rsid w:val="00F060C6"/>
    <w:rsid w:val="00F11583"/>
    <w:rsid w:val="00F428C2"/>
    <w:rsid w:val="00F42A8E"/>
    <w:rsid w:val="00F467CF"/>
    <w:rsid w:val="00F527B7"/>
    <w:rsid w:val="00F537FA"/>
    <w:rsid w:val="00F7250F"/>
    <w:rsid w:val="00F85EBF"/>
    <w:rsid w:val="00F8667D"/>
    <w:rsid w:val="00F9786D"/>
    <w:rsid w:val="00FD5BF0"/>
    <w:rsid w:val="00FF4272"/>
    <w:rsid w:val="4A6BC0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FB90F6"/>
  <w15:chartTrackingRefBased/>
  <w15:docId w15:val="{4A7C1721-8209-4BDA-8A90-492CC286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 Char"/>
    <w:link w:val="FootnoteText"/>
    <w:rsid w:val="002C1A52"/>
  </w:style>
  <w:style w:type="paragraph" w:styleId="BodyText">
    <w:name w:val="Body Text"/>
    <w:basedOn w:val="Normal"/>
    <w:link w:val="BodyTextChar1"/>
    <w:rsid w:val="002C1A52"/>
    <w:pPr>
      <w:spacing w:after="120"/>
      <w:ind w:firstLine="720"/>
    </w:pPr>
    <w:rPr>
      <w:snapToGrid/>
      <w:kern w:val="0"/>
      <w:lang w:val="x-none" w:eastAsia="x-none"/>
    </w:rPr>
  </w:style>
  <w:style w:type="character" w:customStyle="1" w:styleId="BodyTextChar">
    <w:name w:val="Body Text Char"/>
    <w:uiPriority w:val="99"/>
    <w:semiHidden/>
    <w:rsid w:val="002C1A52"/>
    <w:rPr>
      <w:snapToGrid w:val="0"/>
      <w:kern w:val="28"/>
      <w:sz w:val="22"/>
    </w:rPr>
  </w:style>
  <w:style w:type="character" w:customStyle="1" w:styleId="BodyTextChar1">
    <w:name w:val="Body Text Char1"/>
    <w:link w:val="BodyText"/>
    <w:rsid w:val="002C1A52"/>
    <w:rPr>
      <w:sz w:val="22"/>
      <w:lang w:val="x-none" w:eastAsia="x-none"/>
    </w:rPr>
  </w:style>
  <w:style w:type="character" w:customStyle="1" w:styleId="ParaNumChar1">
    <w:name w:val="ParaNum Char1"/>
    <w:link w:val="ParaNum"/>
    <w:rsid w:val="002C1A52"/>
    <w:rPr>
      <w:snapToGrid w:val="0"/>
      <w:kern w:val="28"/>
      <w:sz w:val="22"/>
    </w:rPr>
  </w:style>
  <w:style w:type="paragraph" w:styleId="ListParagraph">
    <w:name w:val="List Paragraph"/>
    <w:basedOn w:val="Normal"/>
    <w:uiPriority w:val="34"/>
    <w:qFormat/>
    <w:rsid w:val="002C1A52"/>
    <w:pPr>
      <w:widowControl/>
      <w:spacing w:after="160" w:line="259" w:lineRule="auto"/>
      <w:ind w:left="720"/>
      <w:contextualSpacing/>
    </w:pPr>
    <w:rPr>
      <w:rFonts w:ascii="Calibri" w:eastAsia="Calibri" w:hAnsi="Calibri"/>
      <w:snapToGrid/>
      <w:kern w:val="0"/>
      <w:szCs w:val="22"/>
    </w:rPr>
  </w:style>
  <w:style w:type="paragraph" w:styleId="BalloonText">
    <w:name w:val="Balloon Text"/>
    <w:basedOn w:val="Normal"/>
    <w:link w:val="BalloonTextChar"/>
    <w:uiPriority w:val="99"/>
    <w:semiHidden/>
    <w:unhideWhenUsed/>
    <w:rsid w:val="002C1A52"/>
    <w:rPr>
      <w:rFonts w:ascii="Segoe UI" w:hAnsi="Segoe UI" w:cs="Segoe UI"/>
      <w:sz w:val="18"/>
      <w:szCs w:val="18"/>
    </w:rPr>
  </w:style>
  <w:style w:type="character" w:customStyle="1" w:styleId="BalloonTextChar">
    <w:name w:val="Balloon Text Char"/>
    <w:link w:val="BalloonText"/>
    <w:uiPriority w:val="99"/>
    <w:semiHidden/>
    <w:rsid w:val="002C1A52"/>
    <w:rPr>
      <w:rFonts w:ascii="Segoe UI" w:hAnsi="Segoe UI" w:cs="Segoe UI"/>
      <w:snapToGrid w:val="0"/>
      <w:kern w:val="28"/>
      <w:sz w:val="18"/>
      <w:szCs w:val="18"/>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rsid w:val="007603A9"/>
  </w:style>
  <w:style w:type="numbering" w:customStyle="1" w:styleId="StyleBulletedLatinCourierNewLeft075Hanging0252">
    <w:name w:val="Style Bulleted (Latin) Courier New Left:  0.75&quot; Hanging:  0.25&quot;...2"/>
    <w:basedOn w:val="NoList"/>
    <w:rsid w:val="007603A9"/>
    <w:pPr>
      <w:numPr>
        <w:numId w:val="10"/>
      </w:numPr>
    </w:pPr>
  </w:style>
  <w:style w:type="character" w:styleId="CommentReference">
    <w:name w:val="annotation reference"/>
    <w:uiPriority w:val="99"/>
    <w:semiHidden/>
    <w:unhideWhenUsed/>
    <w:rsid w:val="0080789A"/>
    <w:rPr>
      <w:sz w:val="16"/>
      <w:szCs w:val="16"/>
    </w:rPr>
  </w:style>
  <w:style w:type="paragraph" w:styleId="CommentText">
    <w:name w:val="annotation text"/>
    <w:basedOn w:val="Normal"/>
    <w:link w:val="CommentTextChar"/>
    <w:uiPriority w:val="99"/>
    <w:semiHidden/>
    <w:unhideWhenUsed/>
    <w:rsid w:val="0080789A"/>
    <w:rPr>
      <w:sz w:val="20"/>
    </w:rPr>
  </w:style>
  <w:style w:type="character" w:customStyle="1" w:styleId="CommentTextChar">
    <w:name w:val="Comment Text Char"/>
    <w:link w:val="CommentText"/>
    <w:uiPriority w:val="99"/>
    <w:semiHidden/>
    <w:rsid w:val="0080789A"/>
    <w:rPr>
      <w:snapToGrid w:val="0"/>
      <w:kern w:val="28"/>
    </w:rPr>
  </w:style>
  <w:style w:type="paragraph" w:styleId="CommentSubject">
    <w:name w:val="annotation subject"/>
    <w:basedOn w:val="CommentText"/>
    <w:next w:val="CommentText"/>
    <w:link w:val="CommentSubjectChar"/>
    <w:uiPriority w:val="99"/>
    <w:semiHidden/>
    <w:unhideWhenUsed/>
    <w:rsid w:val="0080789A"/>
    <w:rPr>
      <w:b/>
      <w:bCs/>
    </w:rPr>
  </w:style>
  <w:style w:type="character" w:customStyle="1" w:styleId="CommentSubjectChar">
    <w:name w:val="Comment Subject Char"/>
    <w:link w:val="CommentSubject"/>
    <w:uiPriority w:val="99"/>
    <w:semiHidden/>
    <w:rsid w:val="0080789A"/>
    <w:rPr>
      <w:b/>
      <w:bCs/>
      <w:snapToGrid w:val="0"/>
      <w:kern w:val="28"/>
    </w:rPr>
  </w:style>
  <w:style w:type="character" w:customStyle="1" w:styleId="UnresolvedMention">
    <w:name w:val="Unresolved Mention"/>
    <w:uiPriority w:val="99"/>
    <w:semiHidden/>
    <w:unhideWhenUsed/>
    <w:rsid w:val="006F27E0"/>
    <w:rPr>
      <w:color w:val="605E5C"/>
      <w:shd w:val="clear" w:color="auto" w:fill="E1DFDD"/>
    </w:rPr>
  </w:style>
  <w:style w:type="paragraph" w:customStyle="1" w:styleId="StyleBoldAfter6pt">
    <w:name w:val="Style Bold After:  6 pt"/>
    <w:basedOn w:val="Normal"/>
    <w:rsid w:val="003D2C7A"/>
    <w:rPr>
      <w:b/>
      <w:bCs/>
    </w:rPr>
  </w:style>
  <w:style w:type="paragraph" w:styleId="Revision">
    <w:name w:val="Revision"/>
    <w:hidden/>
    <w:uiPriority w:val="99"/>
    <w:semiHidden/>
    <w:rsid w:val="00727F8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Michael.Scott@fcc.gov" TargetMode="External" /><Relationship Id="rId7" Type="http://schemas.openxmlformats.org/officeDocument/2006/relationships/hyperlink" Target="mailto:William.Wallace@fcc.gov" TargetMode="External" /><Relationship Id="rId8" Type="http://schemas.openxmlformats.org/officeDocument/2006/relationships/hyperlink" Target="mailto:Halie.Peacher@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strengthening-support-video-relay-service" TargetMode="External" /><Relationship Id="rId2" Type="http://schemas.openxmlformats.org/officeDocument/2006/relationships/hyperlink" Target="https://docs.fcc.gov/public/&#8204;attachments/&#8204;DOC-372024A1.pdf" TargetMode="External" /><Relationship Id="rId3" Type="http://schemas.openxmlformats.org/officeDocument/2006/relationships/hyperlink" Target="https://docs.fcc.gov/public/attachments/DOC-372024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