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B83C7C" w14:paraId="4BC3CE6E" w14:textId="77777777">
      <w:pPr>
        <w:jc w:val="center"/>
        <w:rPr>
          <w:b/>
          <w:szCs w:val="22"/>
        </w:rPr>
      </w:pPr>
      <w:r w:rsidRPr="00B83C7C">
        <w:rPr>
          <w:rFonts w:ascii="Times New Roman Bold" w:hAnsi="Times New Roman Bold"/>
          <w:b/>
          <w:kern w:val="0"/>
          <w:szCs w:val="22"/>
        </w:rPr>
        <w:t>Before</w:t>
      </w:r>
      <w:r w:rsidRPr="00B83C7C">
        <w:rPr>
          <w:b/>
          <w:szCs w:val="22"/>
        </w:rPr>
        <w:t xml:space="preserve"> the</w:t>
      </w:r>
    </w:p>
    <w:p w:rsidR="00921803" w:rsidRPr="00B83C7C" w:rsidP="00921803" w14:paraId="31D3292E" w14:textId="77777777">
      <w:pPr>
        <w:pStyle w:val="StyleBoldCentered"/>
      </w:pPr>
      <w:r w:rsidRPr="00B83C7C">
        <w:t>F</w:t>
      </w:r>
      <w:r w:rsidRPr="00B83C7C">
        <w:rPr>
          <w:caps w:val="0"/>
        </w:rPr>
        <w:t>ederal Communications Commission</w:t>
      </w:r>
    </w:p>
    <w:p w:rsidR="004C2EE3" w:rsidRPr="00B83C7C" w:rsidP="00096D8C" w14:paraId="0CDF8DAD" w14:textId="77777777">
      <w:pPr>
        <w:pStyle w:val="StyleBoldCentered"/>
      </w:pPr>
      <w:r w:rsidRPr="00B83C7C">
        <w:rPr>
          <w:caps w:val="0"/>
        </w:rPr>
        <w:t>Washington, D.C. 20554</w:t>
      </w:r>
    </w:p>
    <w:p w:rsidR="004C2EE3" w:rsidRPr="00B83C7C" w:rsidP="0070224F" w14:paraId="774ACFA8" w14:textId="77777777">
      <w:pPr>
        <w:rPr>
          <w:szCs w:val="22"/>
        </w:rPr>
      </w:pPr>
    </w:p>
    <w:p w:rsidR="004C2EE3" w:rsidRPr="00B83C7C" w:rsidP="0070224F" w14:paraId="0C0D4783" w14:textId="77777777">
      <w:pPr>
        <w:rPr>
          <w:szCs w:val="22"/>
        </w:rPr>
      </w:pPr>
    </w:p>
    <w:tbl>
      <w:tblPr>
        <w:tblW w:w="0" w:type="auto"/>
        <w:tblLayout w:type="fixed"/>
        <w:tblLook w:val="0000"/>
      </w:tblPr>
      <w:tblGrid>
        <w:gridCol w:w="4698"/>
        <w:gridCol w:w="630"/>
        <w:gridCol w:w="4248"/>
      </w:tblGrid>
      <w:tr w14:paraId="38DD8BC0" w14:textId="77777777">
        <w:tblPrEx>
          <w:tblW w:w="0" w:type="auto"/>
          <w:tblLayout w:type="fixed"/>
          <w:tblLook w:val="0000"/>
        </w:tblPrEx>
        <w:tc>
          <w:tcPr>
            <w:tcW w:w="4698" w:type="dxa"/>
          </w:tcPr>
          <w:p w:rsidR="00CC4D5A" w:rsidRPr="00B83C7C" w:rsidP="00CC4D5A" w14:paraId="747D1A38" w14:textId="77777777">
            <w:pPr>
              <w:tabs>
                <w:tab w:val="center" w:pos="4680"/>
              </w:tabs>
              <w:suppressAutoHyphens/>
              <w:rPr>
                <w:spacing w:val="-2"/>
                <w:szCs w:val="22"/>
              </w:rPr>
            </w:pPr>
            <w:r w:rsidRPr="00B83C7C">
              <w:rPr>
                <w:spacing w:val="-2"/>
                <w:szCs w:val="22"/>
              </w:rPr>
              <w:t>In the Matter of</w:t>
            </w:r>
          </w:p>
          <w:p w:rsidR="00CC4D5A" w:rsidRPr="00B83C7C" w:rsidP="00CC4D5A" w14:paraId="7E63C7EE" w14:textId="77777777">
            <w:pPr>
              <w:tabs>
                <w:tab w:val="center" w:pos="4680"/>
              </w:tabs>
              <w:suppressAutoHyphens/>
              <w:rPr>
                <w:spacing w:val="-2"/>
                <w:szCs w:val="22"/>
              </w:rPr>
            </w:pPr>
          </w:p>
          <w:p w:rsidR="00CC4D5A" w:rsidRPr="00B83C7C" w:rsidP="00CC4D5A" w14:paraId="54FA03C0" w14:textId="3EC4C265">
            <w:pPr>
              <w:tabs>
                <w:tab w:val="center" w:pos="4680"/>
              </w:tabs>
              <w:suppressAutoHyphens/>
              <w:rPr>
                <w:spacing w:val="-2"/>
                <w:szCs w:val="22"/>
              </w:rPr>
            </w:pPr>
            <w:r w:rsidRPr="00B83C7C">
              <w:rPr>
                <w:spacing w:val="-2"/>
                <w:szCs w:val="22"/>
              </w:rPr>
              <w:t xml:space="preserve">Request for </w:t>
            </w:r>
            <w:r w:rsidRPr="00B83C7C" w:rsidR="00CE7DF2">
              <w:rPr>
                <w:spacing w:val="-2"/>
                <w:szCs w:val="22"/>
              </w:rPr>
              <w:t xml:space="preserve">Review and/or </w:t>
            </w:r>
            <w:r w:rsidRPr="00B83C7C">
              <w:rPr>
                <w:spacing w:val="-2"/>
                <w:szCs w:val="22"/>
              </w:rPr>
              <w:t xml:space="preserve">Wavier </w:t>
            </w:r>
            <w:r w:rsidRPr="00B83C7C" w:rsidR="00CE7DF2">
              <w:rPr>
                <w:spacing w:val="-2"/>
                <w:szCs w:val="22"/>
              </w:rPr>
              <w:t>by Community Care of West Virginia, Inc.</w:t>
            </w:r>
          </w:p>
          <w:p w:rsidR="00CC4D5A" w:rsidRPr="00B83C7C" w:rsidP="00CC4D5A" w14:paraId="166EB432" w14:textId="77777777">
            <w:pPr>
              <w:tabs>
                <w:tab w:val="center" w:pos="4680"/>
              </w:tabs>
              <w:suppressAutoHyphens/>
              <w:rPr>
                <w:spacing w:val="-2"/>
                <w:szCs w:val="22"/>
              </w:rPr>
            </w:pPr>
          </w:p>
          <w:p w:rsidR="00CC4D5A" w:rsidRPr="00B83C7C" w:rsidP="00CC4D5A" w14:paraId="300394AB" w14:textId="77777777">
            <w:pPr>
              <w:tabs>
                <w:tab w:val="center" w:pos="4680"/>
              </w:tabs>
              <w:suppressAutoHyphens/>
              <w:rPr>
                <w:spacing w:val="-2"/>
                <w:szCs w:val="22"/>
              </w:rPr>
            </w:pPr>
            <w:r w:rsidRPr="00B83C7C">
              <w:rPr>
                <w:spacing w:val="-2"/>
                <w:szCs w:val="22"/>
              </w:rPr>
              <w:t>Rural Health Care Universal Service Support Mechanism</w:t>
            </w:r>
          </w:p>
          <w:p w:rsidR="00CC4D5A" w:rsidRPr="00B83C7C" w:rsidP="00CC4D5A" w14:paraId="146B27EF" w14:textId="77777777">
            <w:pPr>
              <w:tabs>
                <w:tab w:val="center" w:pos="4680"/>
              </w:tabs>
              <w:suppressAutoHyphens/>
              <w:rPr>
                <w:spacing w:val="-2"/>
                <w:szCs w:val="22"/>
              </w:rPr>
            </w:pPr>
          </w:p>
          <w:p w:rsidR="00CC4D5A" w:rsidRPr="00B83C7C" w:rsidP="00CC4D5A" w14:paraId="6DE7BE0F" w14:textId="77777777">
            <w:pPr>
              <w:tabs>
                <w:tab w:val="center" w:pos="4680"/>
              </w:tabs>
              <w:suppressAutoHyphens/>
              <w:rPr>
                <w:spacing w:val="-2"/>
                <w:szCs w:val="22"/>
              </w:rPr>
            </w:pPr>
          </w:p>
        </w:tc>
        <w:tc>
          <w:tcPr>
            <w:tcW w:w="630" w:type="dxa"/>
          </w:tcPr>
          <w:p w:rsidR="00CC4D5A" w:rsidRPr="00B83C7C" w:rsidP="00CC4D5A" w14:paraId="6E73352A" w14:textId="77777777">
            <w:pPr>
              <w:tabs>
                <w:tab w:val="center" w:pos="4680"/>
              </w:tabs>
              <w:suppressAutoHyphens/>
              <w:rPr>
                <w:b/>
                <w:spacing w:val="-2"/>
                <w:szCs w:val="22"/>
              </w:rPr>
            </w:pPr>
            <w:r w:rsidRPr="00B83C7C">
              <w:rPr>
                <w:b/>
                <w:spacing w:val="-2"/>
                <w:szCs w:val="22"/>
              </w:rPr>
              <w:t>)</w:t>
            </w:r>
          </w:p>
          <w:p w:rsidR="00CC4D5A" w:rsidRPr="00B83C7C" w:rsidP="00CC4D5A" w14:paraId="54CB85DE" w14:textId="77777777">
            <w:pPr>
              <w:tabs>
                <w:tab w:val="center" w:pos="4680"/>
              </w:tabs>
              <w:suppressAutoHyphens/>
              <w:rPr>
                <w:b/>
                <w:spacing w:val="-2"/>
                <w:szCs w:val="22"/>
              </w:rPr>
            </w:pPr>
            <w:r w:rsidRPr="00B83C7C">
              <w:rPr>
                <w:b/>
                <w:spacing w:val="-2"/>
                <w:szCs w:val="22"/>
              </w:rPr>
              <w:t>)</w:t>
            </w:r>
          </w:p>
          <w:p w:rsidR="00CC4D5A" w:rsidRPr="00B83C7C" w:rsidP="00CC4D5A" w14:paraId="1EDB67FF" w14:textId="77777777">
            <w:pPr>
              <w:tabs>
                <w:tab w:val="center" w:pos="4680"/>
              </w:tabs>
              <w:suppressAutoHyphens/>
              <w:rPr>
                <w:b/>
                <w:spacing w:val="-2"/>
                <w:szCs w:val="22"/>
              </w:rPr>
            </w:pPr>
            <w:r w:rsidRPr="00B83C7C">
              <w:rPr>
                <w:b/>
                <w:spacing w:val="-2"/>
                <w:szCs w:val="22"/>
              </w:rPr>
              <w:t>)</w:t>
            </w:r>
          </w:p>
          <w:p w:rsidR="00CC4D5A" w:rsidRPr="00B83C7C" w:rsidP="00CC4D5A" w14:paraId="62316D03" w14:textId="77777777">
            <w:pPr>
              <w:tabs>
                <w:tab w:val="center" w:pos="4680"/>
              </w:tabs>
              <w:suppressAutoHyphens/>
              <w:rPr>
                <w:b/>
                <w:spacing w:val="-2"/>
                <w:szCs w:val="22"/>
              </w:rPr>
            </w:pPr>
            <w:r w:rsidRPr="00B83C7C">
              <w:rPr>
                <w:b/>
                <w:spacing w:val="-2"/>
                <w:szCs w:val="22"/>
              </w:rPr>
              <w:t>)</w:t>
            </w:r>
          </w:p>
          <w:p w:rsidR="00CC4D5A" w:rsidRPr="00B83C7C" w:rsidP="00CC4D5A" w14:paraId="1D3001F4" w14:textId="77777777">
            <w:pPr>
              <w:tabs>
                <w:tab w:val="center" w:pos="4680"/>
              </w:tabs>
              <w:suppressAutoHyphens/>
              <w:rPr>
                <w:b/>
                <w:spacing w:val="-2"/>
                <w:szCs w:val="22"/>
              </w:rPr>
            </w:pPr>
            <w:r w:rsidRPr="00B83C7C">
              <w:rPr>
                <w:b/>
                <w:spacing w:val="-2"/>
                <w:szCs w:val="22"/>
              </w:rPr>
              <w:t>)</w:t>
            </w:r>
          </w:p>
          <w:p w:rsidR="00CC4D5A" w:rsidRPr="00B83C7C" w:rsidP="00CC4D5A" w14:paraId="55C7BCC4" w14:textId="77777777">
            <w:pPr>
              <w:tabs>
                <w:tab w:val="center" w:pos="4680"/>
              </w:tabs>
              <w:suppressAutoHyphens/>
              <w:rPr>
                <w:b/>
                <w:spacing w:val="-2"/>
                <w:szCs w:val="22"/>
              </w:rPr>
            </w:pPr>
            <w:r w:rsidRPr="00B83C7C">
              <w:rPr>
                <w:b/>
                <w:spacing w:val="-2"/>
                <w:szCs w:val="22"/>
              </w:rPr>
              <w:t>)</w:t>
            </w:r>
          </w:p>
          <w:p w:rsidR="00CC4D5A" w:rsidRPr="00B83C7C" w:rsidP="00CC4D5A" w14:paraId="5065D515" w14:textId="4EBFB95A">
            <w:pPr>
              <w:tabs>
                <w:tab w:val="center" w:pos="4680"/>
              </w:tabs>
              <w:suppressAutoHyphens/>
              <w:rPr>
                <w:b/>
                <w:spacing w:val="-2"/>
                <w:szCs w:val="22"/>
              </w:rPr>
            </w:pPr>
            <w:r w:rsidRPr="00B83C7C">
              <w:rPr>
                <w:b/>
                <w:spacing w:val="-2"/>
                <w:szCs w:val="22"/>
              </w:rPr>
              <w:t>)</w:t>
            </w:r>
          </w:p>
        </w:tc>
        <w:tc>
          <w:tcPr>
            <w:tcW w:w="4248" w:type="dxa"/>
          </w:tcPr>
          <w:p w:rsidR="00CC4D5A" w:rsidRPr="00B83C7C" w:rsidP="00CC4D5A" w14:paraId="6DAC6C01" w14:textId="77777777">
            <w:pPr>
              <w:tabs>
                <w:tab w:val="center" w:pos="4680"/>
              </w:tabs>
              <w:suppressAutoHyphens/>
              <w:rPr>
                <w:spacing w:val="-2"/>
                <w:szCs w:val="22"/>
              </w:rPr>
            </w:pPr>
          </w:p>
          <w:p w:rsidR="00CC4D5A" w:rsidRPr="00B83C7C" w:rsidP="00CC4D5A" w14:paraId="0AB8595A" w14:textId="77777777">
            <w:pPr>
              <w:pStyle w:val="TOAHeading"/>
              <w:tabs>
                <w:tab w:val="center" w:pos="4680"/>
                <w:tab w:val="clear" w:pos="9360"/>
              </w:tabs>
              <w:rPr>
                <w:spacing w:val="-2"/>
                <w:szCs w:val="22"/>
              </w:rPr>
            </w:pPr>
          </w:p>
          <w:p w:rsidR="00CC4D5A" w:rsidRPr="00B83C7C" w:rsidP="00CC4D5A" w14:paraId="5D489641" w14:textId="77777777">
            <w:pPr>
              <w:tabs>
                <w:tab w:val="center" w:pos="4680"/>
              </w:tabs>
              <w:suppressAutoHyphens/>
              <w:rPr>
                <w:spacing w:val="-2"/>
                <w:szCs w:val="22"/>
              </w:rPr>
            </w:pPr>
          </w:p>
          <w:p w:rsidR="00CC4D5A" w:rsidRPr="00B83C7C" w:rsidP="00CC4D5A" w14:paraId="44B91D2C" w14:textId="77777777">
            <w:pPr>
              <w:tabs>
                <w:tab w:val="center" w:pos="4680"/>
              </w:tabs>
              <w:suppressAutoHyphens/>
              <w:rPr>
                <w:spacing w:val="-2"/>
                <w:szCs w:val="22"/>
              </w:rPr>
            </w:pPr>
          </w:p>
          <w:p w:rsidR="00CC4D5A" w:rsidRPr="00B83C7C" w:rsidP="00CC4D5A" w14:paraId="0CA0E77F" w14:textId="77777777">
            <w:pPr>
              <w:tabs>
                <w:tab w:val="center" w:pos="4680"/>
              </w:tabs>
              <w:suppressAutoHyphens/>
              <w:rPr>
                <w:spacing w:val="-2"/>
                <w:szCs w:val="22"/>
              </w:rPr>
            </w:pPr>
          </w:p>
          <w:p w:rsidR="00CC4D5A" w:rsidRPr="00B83C7C" w:rsidP="00CC4D5A" w14:paraId="13DDA3B1" w14:textId="77777777">
            <w:pPr>
              <w:tabs>
                <w:tab w:val="center" w:pos="4680"/>
              </w:tabs>
              <w:suppressAutoHyphens/>
              <w:rPr>
                <w:spacing w:val="-2"/>
                <w:szCs w:val="22"/>
              </w:rPr>
            </w:pPr>
            <w:r w:rsidRPr="00B83C7C">
              <w:rPr>
                <w:spacing w:val="-2"/>
                <w:szCs w:val="22"/>
              </w:rPr>
              <w:t>WC Docket No. 02-60</w:t>
            </w:r>
          </w:p>
        </w:tc>
      </w:tr>
    </w:tbl>
    <w:p w:rsidR="00841AB1" w:rsidRPr="00B83C7C" w:rsidP="009B3516" w14:paraId="1272ECC3" w14:textId="77777777">
      <w:pPr>
        <w:pStyle w:val="StyleBoldCentered"/>
      </w:pPr>
      <w:r w:rsidRPr="00B83C7C">
        <w:t>Order</w:t>
      </w:r>
    </w:p>
    <w:p w:rsidR="004C2EE3" w:rsidRPr="00B83C7C" w14:paraId="5DF1B07B" w14:textId="77777777">
      <w:pPr>
        <w:tabs>
          <w:tab w:val="left" w:pos="-720"/>
        </w:tabs>
        <w:suppressAutoHyphens/>
        <w:spacing w:line="227" w:lineRule="auto"/>
        <w:rPr>
          <w:spacing w:val="-2"/>
          <w:szCs w:val="22"/>
        </w:rPr>
      </w:pPr>
    </w:p>
    <w:p w:rsidR="004C2EE3" w:rsidRPr="00B83C7C" w:rsidP="00133F79" w14:paraId="1C0C4F01" w14:textId="30955CBC">
      <w:pPr>
        <w:tabs>
          <w:tab w:val="left" w:pos="720"/>
          <w:tab w:val="right" w:pos="9360"/>
        </w:tabs>
        <w:suppressAutoHyphens/>
        <w:spacing w:line="227" w:lineRule="auto"/>
        <w:rPr>
          <w:spacing w:val="-2"/>
          <w:szCs w:val="22"/>
        </w:rPr>
      </w:pPr>
      <w:r w:rsidRPr="00B83C7C">
        <w:rPr>
          <w:b/>
          <w:spacing w:val="-2"/>
          <w:szCs w:val="22"/>
        </w:rPr>
        <w:t xml:space="preserve">Adopted:  </w:t>
      </w:r>
      <w:r w:rsidR="00A43660">
        <w:rPr>
          <w:b/>
          <w:spacing w:val="-2"/>
          <w:szCs w:val="22"/>
        </w:rPr>
        <w:t>May 12, 2021</w:t>
      </w:r>
      <w:r w:rsidRPr="00B83C7C">
        <w:rPr>
          <w:b/>
          <w:spacing w:val="-2"/>
          <w:szCs w:val="22"/>
        </w:rPr>
        <w:tab/>
      </w:r>
      <w:r w:rsidRPr="00B83C7C" w:rsidR="00822CE0">
        <w:rPr>
          <w:b/>
          <w:spacing w:val="-2"/>
          <w:szCs w:val="22"/>
        </w:rPr>
        <w:t>Released</w:t>
      </w:r>
      <w:r w:rsidRPr="00B83C7C">
        <w:rPr>
          <w:b/>
          <w:spacing w:val="-2"/>
          <w:szCs w:val="22"/>
        </w:rPr>
        <w:t>:</w:t>
      </w:r>
      <w:r w:rsidRPr="00B83C7C" w:rsidR="00822CE0">
        <w:rPr>
          <w:b/>
          <w:spacing w:val="-2"/>
          <w:szCs w:val="22"/>
        </w:rPr>
        <w:t xml:space="preserve"> </w:t>
      </w:r>
      <w:r w:rsidRPr="00B83C7C">
        <w:rPr>
          <w:b/>
          <w:spacing w:val="-2"/>
          <w:szCs w:val="22"/>
        </w:rPr>
        <w:t xml:space="preserve"> </w:t>
      </w:r>
      <w:r w:rsidR="00A43660">
        <w:rPr>
          <w:b/>
          <w:spacing w:val="-2"/>
          <w:szCs w:val="22"/>
        </w:rPr>
        <w:t>May 12, 2021</w:t>
      </w:r>
    </w:p>
    <w:p w:rsidR="00822CE0" w:rsidRPr="00B83C7C" w14:paraId="1F3F978E" w14:textId="77777777">
      <w:pPr>
        <w:rPr>
          <w:szCs w:val="22"/>
        </w:rPr>
      </w:pPr>
    </w:p>
    <w:p w:rsidR="004C2EE3" w:rsidRPr="00B83C7C" w14:paraId="65A5F348" w14:textId="333C0F6E">
      <w:pPr>
        <w:rPr>
          <w:spacing w:val="-2"/>
          <w:szCs w:val="22"/>
        </w:rPr>
      </w:pPr>
      <w:r w:rsidRPr="00B83C7C">
        <w:rPr>
          <w:szCs w:val="22"/>
        </w:rPr>
        <w:t xml:space="preserve">By </w:t>
      </w:r>
      <w:r w:rsidRPr="00B83C7C" w:rsidR="004E4A22">
        <w:rPr>
          <w:szCs w:val="22"/>
        </w:rPr>
        <w:t>the</w:t>
      </w:r>
      <w:r w:rsidRPr="00B83C7C" w:rsidR="002A2D2E">
        <w:rPr>
          <w:szCs w:val="22"/>
        </w:rPr>
        <w:t xml:space="preserve"> </w:t>
      </w:r>
      <w:r w:rsidRPr="00B83C7C" w:rsidR="00CC4D5A">
        <w:rPr>
          <w:spacing w:val="-2"/>
          <w:szCs w:val="22"/>
        </w:rPr>
        <w:t>Chief, Wireline Competition Bureau</w:t>
      </w:r>
      <w:r w:rsidRPr="00B83C7C">
        <w:rPr>
          <w:spacing w:val="-2"/>
          <w:szCs w:val="22"/>
        </w:rPr>
        <w:t>:</w:t>
      </w:r>
    </w:p>
    <w:p w:rsidR="00822CE0" w:rsidRPr="00B83C7C" w14:paraId="2A73030D" w14:textId="77777777">
      <w:pPr>
        <w:rPr>
          <w:spacing w:val="-2"/>
          <w:szCs w:val="22"/>
        </w:rPr>
      </w:pPr>
    </w:p>
    <w:p w:rsidR="00412FC5" w:rsidRPr="00B83C7C" w:rsidP="00C36B4C" w14:paraId="1948C0CC" w14:textId="77777777">
      <w:pPr>
        <w:pStyle w:val="Heading1"/>
        <w:rPr>
          <w:szCs w:val="22"/>
        </w:rPr>
      </w:pPr>
      <w:r w:rsidRPr="00B83C7C">
        <w:rPr>
          <w:szCs w:val="22"/>
        </w:rPr>
        <w:t>introduction</w:t>
      </w:r>
    </w:p>
    <w:p w:rsidR="00575914" w:rsidRPr="00B83C7C" w:rsidP="007F416F" w14:paraId="60282851" w14:textId="13D12AC9">
      <w:pPr>
        <w:pStyle w:val="ParaNum"/>
        <w:rPr>
          <w:szCs w:val="22"/>
        </w:rPr>
      </w:pPr>
      <w:r w:rsidRPr="00B83C7C">
        <w:rPr>
          <w:szCs w:val="22"/>
        </w:rPr>
        <w:t>In this Order, we address a</w:t>
      </w:r>
      <w:r w:rsidRPr="00B83C7C" w:rsidR="00CE7DF2">
        <w:rPr>
          <w:szCs w:val="22"/>
        </w:rPr>
        <w:t xml:space="preserve"> request for review or, in the alternative, </w:t>
      </w:r>
      <w:r w:rsidRPr="00B83C7C" w:rsidR="00CD48BD">
        <w:rPr>
          <w:szCs w:val="22"/>
        </w:rPr>
        <w:t xml:space="preserve">request for </w:t>
      </w:r>
      <w:r w:rsidRPr="00B83C7C" w:rsidR="00CE7DF2">
        <w:rPr>
          <w:szCs w:val="22"/>
        </w:rPr>
        <w:t xml:space="preserve">waiver of the Commission’s </w:t>
      </w:r>
      <w:r w:rsidRPr="00B83C7C" w:rsidR="00A4514B">
        <w:rPr>
          <w:szCs w:val="22"/>
        </w:rPr>
        <w:t>Rural Health Care (</w:t>
      </w:r>
      <w:r w:rsidRPr="00B83C7C" w:rsidR="00A4514B">
        <w:rPr>
          <w:szCs w:val="22"/>
        </w:rPr>
        <w:t>RHC</w:t>
      </w:r>
      <w:r w:rsidRPr="00B83C7C" w:rsidR="00A4514B">
        <w:rPr>
          <w:szCs w:val="22"/>
        </w:rPr>
        <w:t xml:space="preserve">) Telecommunications (Telecom) Program </w:t>
      </w:r>
      <w:r w:rsidRPr="00B83C7C" w:rsidR="00CE7DF2">
        <w:rPr>
          <w:szCs w:val="22"/>
        </w:rPr>
        <w:t>rules</w:t>
      </w:r>
      <w:r w:rsidRPr="00B83C7C">
        <w:rPr>
          <w:szCs w:val="22"/>
        </w:rPr>
        <w:t xml:space="preserve"> filed by </w:t>
      </w:r>
      <w:r w:rsidRPr="00B83C7C" w:rsidR="00CE7DF2">
        <w:rPr>
          <w:szCs w:val="22"/>
        </w:rPr>
        <w:t>Community Care of West Virginia, Inc. (</w:t>
      </w:r>
      <w:r w:rsidRPr="00B83C7C" w:rsidR="00CE7DF2">
        <w:rPr>
          <w:szCs w:val="22"/>
        </w:rPr>
        <w:t>CCWV</w:t>
      </w:r>
      <w:r w:rsidRPr="00B83C7C" w:rsidR="00CE7DF2">
        <w:rPr>
          <w:szCs w:val="22"/>
        </w:rPr>
        <w:t>)</w:t>
      </w:r>
      <w:r w:rsidRPr="00B83C7C" w:rsidR="0023194D">
        <w:rPr>
          <w:szCs w:val="22"/>
        </w:rPr>
        <w:t>.</w:t>
      </w:r>
      <w:r>
        <w:rPr>
          <w:rStyle w:val="FootnoteReference"/>
          <w:sz w:val="22"/>
          <w:szCs w:val="22"/>
        </w:rPr>
        <w:footnoteReference w:id="3"/>
      </w:r>
      <w:r w:rsidRPr="00B83C7C" w:rsidR="0023194D">
        <w:rPr>
          <w:szCs w:val="22"/>
        </w:rPr>
        <w:t xml:space="preserve">  </w:t>
      </w:r>
      <w:r w:rsidRPr="00B83C7C">
        <w:rPr>
          <w:szCs w:val="22"/>
        </w:rPr>
        <w:t>CCWV</w:t>
      </w:r>
      <w:r w:rsidRPr="00B83C7C">
        <w:rPr>
          <w:szCs w:val="22"/>
        </w:rPr>
        <w:t xml:space="preserve"> seeks review of </w:t>
      </w:r>
      <w:r w:rsidR="001C6B62">
        <w:rPr>
          <w:szCs w:val="22"/>
        </w:rPr>
        <w:t xml:space="preserve">two </w:t>
      </w:r>
      <w:r w:rsidRPr="00B83C7C">
        <w:rPr>
          <w:szCs w:val="22"/>
        </w:rPr>
        <w:t>decisions by the Universal Service Administrative Company (USAC)</w:t>
      </w:r>
      <w:r w:rsidRPr="00B83C7C" w:rsidR="00ED15E1">
        <w:rPr>
          <w:szCs w:val="22"/>
        </w:rPr>
        <w:t xml:space="preserve"> denying </w:t>
      </w:r>
      <w:r w:rsidRPr="00B83C7C" w:rsidR="00C06C52">
        <w:rPr>
          <w:szCs w:val="22"/>
        </w:rPr>
        <w:t>CCWV’s</w:t>
      </w:r>
      <w:r w:rsidRPr="00B83C7C" w:rsidR="00C06C52">
        <w:rPr>
          <w:szCs w:val="22"/>
        </w:rPr>
        <w:t xml:space="preserve"> request tha</w:t>
      </w:r>
      <w:r w:rsidRPr="00B83C7C" w:rsidR="009009EA">
        <w:rPr>
          <w:szCs w:val="22"/>
        </w:rPr>
        <w:t xml:space="preserve">t USAC re-calculate </w:t>
      </w:r>
      <w:r w:rsidR="00DE06BC">
        <w:rPr>
          <w:szCs w:val="22"/>
        </w:rPr>
        <w:t xml:space="preserve">thirty-two </w:t>
      </w:r>
      <w:r w:rsidRPr="00B83C7C" w:rsidR="00D7244F">
        <w:rPr>
          <w:szCs w:val="22"/>
        </w:rPr>
        <w:t xml:space="preserve">funding year 2018 (FY 2018) </w:t>
      </w:r>
      <w:r w:rsidRPr="00B83C7C" w:rsidR="009009EA">
        <w:rPr>
          <w:szCs w:val="22"/>
        </w:rPr>
        <w:t xml:space="preserve">funding commitments </w:t>
      </w:r>
      <w:r w:rsidRPr="00B83C7C" w:rsidR="008466CD">
        <w:rPr>
          <w:szCs w:val="22"/>
        </w:rPr>
        <w:t>using urban r</w:t>
      </w:r>
      <w:r w:rsidRPr="00B83C7C" w:rsidR="00CD29B6">
        <w:rPr>
          <w:szCs w:val="22"/>
        </w:rPr>
        <w:t>ates</w:t>
      </w:r>
      <w:r w:rsidRPr="00B83C7C" w:rsidR="003A7C22">
        <w:rPr>
          <w:szCs w:val="22"/>
        </w:rPr>
        <w:t xml:space="preserve"> </w:t>
      </w:r>
      <w:r w:rsidR="00A26865">
        <w:rPr>
          <w:szCs w:val="22"/>
        </w:rPr>
        <w:t xml:space="preserve">originally </w:t>
      </w:r>
      <w:r w:rsidRPr="00B83C7C" w:rsidR="003A7C22">
        <w:rPr>
          <w:szCs w:val="22"/>
        </w:rPr>
        <w:t xml:space="preserve">submitted by </w:t>
      </w:r>
      <w:r w:rsidRPr="00B83C7C" w:rsidR="003A7C22">
        <w:rPr>
          <w:szCs w:val="22"/>
        </w:rPr>
        <w:t>CCW</w:t>
      </w:r>
      <w:r w:rsidRPr="00B83C7C" w:rsidR="006D49DE">
        <w:rPr>
          <w:szCs w:val="22"/>
        </w:rPr>
        <w:t>V</w:t>
      </w:r>
      <w:r w:rsidRPr="00B83C7C" w:rsidR="006D49DE">
        <w:rPr>
          <w:szCs w:val="22"/>
        </w:rPr>
        <w:t xml:space="preserve"> that USAC </w:t>
      </w:r>
      <w:r w:rsidRPr="00B83C7C" w:rsidR="00297E50">
        <w:rPr>
          <w:szCs w:val="22"/>
        </w:rPr>
        <w:t>concluded were not publicly available as required by Commission rules</w:t>
      </w:r>
      <w:r w:rsidRPr="00B83C7C" w:rsidR="000B4F6A">
        <w:rPr>
          <w:szCs w:val="22"/>
        </w:rPr>
        <w:t>.</w:t>
      </w:r>
      <w:r>
        <w:rPr>
          <w:rStyle w:val="FootnoteReference"/>
          <w:sz w:val="22"/>
          <w:szCs w:val="22"/>
        </w:rPr>
        <w:footnoteReference w:id="4"/>
      </w:r>
      <w:r w:rsidR="001C6B62">
        <w:rPr>
          <w:szCs w:val="22"/>
        </w:rPr>
        <w:t xml:space="preserve"> </w:t>
      </w:r>
      <w:r w:rsidRPr="00B83C7C" w:rsidR="006E72C7">
        <w:rPr>
          <w:szCs w:val="22"/>
        </w:rPr>
        <w:t xml:space="preserve"> </w:t>
      </w:r>
      <w:r w:rsidRPr="00B83C7C" w:rsidR="00FA1031">
        <w:rPr>
          <w:szCs w:val="22"/>
        </w:rPr>
        <w:t xml:space="preserve">Based on our review of the record, </w:t>
      </w:r>
      <w:r w:rsidRPr="00B83C7C" w:rsidR="004E3674">
        <w:rPr>
          <w:szCs w:val="22"/>
        </w:rPr>
        <w:t xml:space="preserve">we conclude that </w:t>
      </w:r>
      <w:r w:rsidRPr="00B83C7C" w:rsidR="00346DA8">
        <w:rPr>
          <w:szCs w:val="22"/>
        </w:rPr>
        <w:t xml:space="preserve">the </w:t>
      </w:r>
      <w:r w:rsidRPr="00B83C7C" w:rsidR="004E3674">
        <w:rPr>
          <w:szCs w:val="22"/>
        </w:rPr>
        <w:t>urban rates</w:t>
      </w:r>
      <w:r w:rsidRPr="00B83C7C" w:rsidR="00346DA8">
        <w:rPr>
          <w:szCs w:val="22"/>
        </w:rPr>
        <w:t xml:space="preserve"> </w:t>
      </w:r>
      <w:r w:rsidRPr="00B83C7C" w:rsidR="00AC1928">
        <w:rPr>
          <w:szCs w:val="22"/>
        </w:rPr>
        <w:t xml:space="preserve">submitted by </w:t>
      </w:r>
      <w:r w:rsidRPr="00B83C7C" w:rsidR="00AC1928">
        <w:rPr>
          <w:szCs w:val="22"/>
        </w:rPr>
        <w:t>CCWV</w:t>
      </w:r>
      <w:r w:rsidRPr="00B83C7C" w:rsidR="00AC1928">
        <w:rPr>
          <w:szCs w:val="22"/>
        </w:rPr>
        <w:t xml:space="preserve"> </w:t>
      </w:r>
      <w:r w:rsidRPr="00B83C7C" w:rsidR="00346DA8">
        <w:rPr>
          <w:szCs w:val="22"/>
        </w:rPr>
        <w:t xml:space="preserve">were publicly available because the rates </w:t>
      </w:r>
      <w:r w:rsidRPr="00B83C7C" w:rsidR="00070D35">
        <w:rPr>
          <w:szCs w:val="22"/>
        </w:rPr>
        <w:t xml:space="preserve">were provided </w:t>
      </w:r>
      <w:r w:rsidR="00B36F5C">
        <w:rPr>
          <w:szCs w:val="22"/>
        </w:rPr>
        <w:t xml:space="preserve">upon request </w:t>
      </w:r>
      <w:r w:rsidRPr="00B83C7C" w:rsidR="00694C6D">
        <w:rPr>
          <w:szCs w:val="22"/>
        </w:rPr>
        <w:t xml:space="preserve">on a non-confidential basis and </w:t>
      </w:r>
      <w:r w:rsidRPr="00B83C7C" w:rsidR="00695451">
        <w:rPr>
          <w:szCs w:val="22"/>
        </w:rPr>
        <w:t>submitted to USAC in public fi</w:t>
      </w:r>
      <w:r w:rsidRPr="00B83C7C" w:rsidR="00A9602B">
        <w:rPr>
          <w:szCs w:val="22"/>
        </w:rPr>
        <w:t>l</w:t>
      </w:r>
      <w:r w:rsidRPr="00B83C7C" w:rsidR="00695451">
        <w:rPr>
          <w:szCs w:val="22"/>
        </w:rPr>
        <w:t xml:space="preserve">ings. </w:t>
      </w:r>
      <w:r w:rsidRPr="00B83C7C" w:rsidR="004E3674">
        <w:rPr>
          <w:szCs w:val="22"/>
        </w:rPr>
        <w:t xml:space="preserve"> W</w:t>
      </w:r>
      <w:r w:rsidRPr="00B83C7C" w:rsidR="00FA1031">
        <w:rPr>
          <w:szCs w:val="22"/>
        </w:rPr>
        <w:t xml:space="preserve">e </w:t>
      </w:r>
      <w:r w:rsidRPr="00B83C7C" w:rsidR="004E3674">
        <w:rPr>
          <w:szCs w:val="22"/>
        </w:rPr>
        <w:t xml:space="preserve">therefore </w:t>
      </w:r>
      <w:r w:rsidRPr="00B83C7C" w:rsidR="00FA1031">
        <w:rPr>
          <w:szCs w:val="22"/>
        </w:rPr>
        <w:t xml:space="preserve">grant </w:t>
      </w:r>
      <w:r w:rsidRPr="00B83C7C" w:rsidR="00FA1031">
        <w:rPr>
          <w:szCs w:val="22"/>
        </w:rPr>
        <w:t>CCWV’s</w:t>
      </w:r>
      <w:r w:rsidRPr="00B83C7C" w:rsidR="00FA1031">
        <w:rPr>
          <w:szCs w:val="22"/>
        </w:rPr>
        <w:t xml:space="preserve"> request </w:t>
      </w:r>
      <w:r w:rsidRPr="00B83C7C" w:rsidR="004E3674">
        <w:rPr>
          <w:szCs w:val="22"/>
        </w:rPr>
        <w:t>for review and instru</w:t>
      </w:r>
      <w:r w:rsidRPr="00B83C7C" w:rsidR="00695451">
        <w:rPr>
          <w:szCs w:val="22"/>
        </w:rPr>
        <w:t>ct USAC to</w:t>
      </w:r>
      <w:r w:rsidRPr="00B83C7C" w:rsidR="00AE3E33">
        <w:rPr>
          <w:szCs w:val="22"/>
        </w:rPr>
        <w:t xml:space="preserve"> </w:t>
      </w:r>
      <w:r w:rsidRPr="00B83C7C" w:rsidR="00B46FB4">
        <w:rPr>
          <w:szCs w:val="22"/>
        </w:rPr>
        <w:t>revise the FY 2018 funding commitments for the funding request numbers</w:t>
      </w:r>
      <w:r w:rsidR="00C52D5D">
        <w:rPr>
          <w:szCs w:val="22"/>
        </w:rPr>
        <w:t xml:space="preserve"> (</w:t>
      </w:r>
      <w:r w:rsidR="00C52D5D">
        <w:rPr>
          <w:szCs w:val="22"/>
        </w:rPr>
        <w:t>FRNs</w:t>
      </w:r>
      <w:r w:rsidR="00C52D5D">
        <w:rPr>
          <w:szCs w:val="22"/>
        </w:rPr>
        <w:t>)</w:t>
      </w:r>
      <w:r w:rsidRPr="00B83C7C" w:rsidR="00B46FB4">
        <w:rPr>
          <w:szCs w:val="22"/>
        </w:rPr>
        <w:t xml:space="preserve"> </w:t>
      </w:r>
      <w:r w:rsidRPr="00B83C7C" w:rsidR="00EA1A87">
        <w:rPr>
          <w:szCs w:val="22"/>
        </w:rPr>
        <w:t xml:space="preserve">listed in Attachment A accordingly. </w:t>
      </w:r>
      <w:r w:rsidRPr="00B83C7C" w:rsidR="004E3674">
        <w:rPr>
          <w:szCs w:val="22"/>
        </w:rPr>
        <w:t xml:space="preserve"> </w:t>
      </w:r>
      <w:r w:rsidRPr="00B83C7C" w:rsidR="00770380">
        <w:rPr>
          <w:szCs w:val="22"/>
        </w:rPr>
        <w:t xml:space="preserve"> </w:t>
      </w:r>
    </w:p>
    <w:p w:rsidR="00CC4D5A" w:rsidRPr="00B83C7C" w:rsidP="00CC4D5A" w14:paraId="38E09BAB" w14:textId="77777777">
      <w:pPr>
        <w:pStyle w:val="Heading1"/>
        <w:rPr>
          <w:szCs w:val="22"/>
        </w:rPr>
      </w:pPr>
      <w:r w:rsidRPr="00B83C7C">
        <w:rPr>
          <w:szCs w:val="22"/>
        </w:rPr>
        <w:t>Background</w:t>
      </w:r>
    </w:p>
    <w:p w:rsidR="00C653CD" w:rsidRPr="00B83C7C" w:rsidP="00CC4D5A" w14:paraId="2819CCC1" w14:textId="7956208F">
      <w:pPr>
        <w:pStyle w:val="ParaNum"/>
        <w:rPr>
          <w:snapToGrid/>
          <w:kern w:val="0"/>
          <w:szCs w:val="22"/>
        </w:rPr>
      </w:pPr>
      <w:r w:rsidRPr="00B83C7C">
        <w:rPr>
          <w:szCs w:val="22"/>
        </w:rPr>
        <w:t>The Telecom Program</w:t>
      </w:r>
      <w:r w:rsidRPr="00B83C7C" w:rsidR="000247D4">
        <w:rPr>
          <w:szCs w:val="22"/>
        </w:rPr>
        <w:t xml:space="preserve"> </w:t>
      </w:r>
      <w:r w:rsidRPr="00B83C7C" w:rsidR="00BC7A05">
        <w:rPr>
          <w:szCs w:val="22"/>
        </w:rPr>
        <w:t xml:space="preserve">subsidizes the difference between the rates in </w:t>
      </w:r>
      <w:r w:rsidRPr="00B83C7C" w:rsidR="000F3995">
        <w:rPr>
          <w:szCs w:val="22"/>
        </w:rPr>
        <w:t>a</w:t>
      </w:r>
      <w:r w:rsidRPr="00B83C7C" w:rsidR="00BC7A05">
        <w:rPr>
          <w:szCs w:val="22"/>
        </w:rPr>
        <w:t xml:space="preserve"> health care provider’s rural area and rates for comparable services available in urban areas within the health care provider’s state</w:t>
      </w:r>
      <w:r w:rsidRPr="00B83C7C" w:rsidR="000F3995">
        <w:rPr>
          <w:szCs w:val="22"/>
        </w:rPr>
        <w:t>.</w:t>
      </w:r>
      <w:r>
        <w:rPr>
          <w:rStyle w:val="FootnoteReference"/>
          <w:sz w:val="22"/>
          <w:szCs w:val="22"/>
        </w:rPr>
        <w:footnoteReference w:id="5"/>
      </w:r>
      <w:r w:rsidRPr="00B83C7C" w:rsidR="000F3995">
        <w:rPr>
          <w:szCs w:val="22"/>
        </w:rPr>
        <w:t xml:space="preserve">  </w:t>
      </w:r>
      <w:r w:rsidRPr="00B83C7C" w:rsidR="007D19AF">
        <w:rPr>
          <w:szCs w:val="22"/>
        </w:rPr>
        <w:t>H</w:t>
      </w:r>
      <w:r w:rsidRPr="00B83C7C" w:rsidR="000F3995">
        <w:rPr>
          <w:szCs w:val="22"/>
        </w:rPr>
        <w:t xml:space="preserve">ealth care providers </w:t>
      </w:r>
      <w:r w:rsidRPr="00B83C7C" w:rsidR="00767F3A">
        <w:rPr>
          <w:szCs w:val="22"/>
        </w:rPr>
        <w:t>request funding by submitting</w:t>
      </w:r>
      <w:r w:rsidRPr="00B83C7C" w:rsidR="00135189">
        <w:rPr>
          <w:szCs w:val="22"/>
        </w:rPr>
        <w:t xml:space="preserve"> an</w:t>
      </w:r>
      <w:r w:rsidRPr="00B83C7C" w:rsidR="00767F3A">
        <w:rPr>
          <w:szCs w:val="22"/>
        </w:rPr>
        <w:t xml:space="preserve"> FCC Form 466 (Funding </w:t>
      </w:r>
      <w:r w:rsidRPr="00B83C7C" w:rsidR="00767F3A">
        <w:rPr>
          <w:szCs w:val="22"/>
        </w:rPr>
        <w:t>Request and Certification Form)</w:t>
      </w:r>
      <w:r w:rsidRPr="00B83C7C" w:rsidR="000F3995">
        <w:rPr>
          <w:szCs w:val="22"/>
        </w:rPr>
        <w:t xml:space="preserve"> </w:t>
      </w:r>
      <w:r w:rsidRPr="00B83C7C" w:rsidR="00135189">
        <w:rPr>
          <w:szCs w:val="22"/>
        </w:rPr>
        <w:t>that include</w:t>
      </w:r>
      <w:r w:rsidRPr="00B83C7C" w:rsidR="00603AB0">
        <w:rPr>
          <w:szCs w:val="22"/>
        </w:rPr>
        <w:t>s</w:t>
      </w:r>
      <w:r w:rsidRPr="00B83C7C" w:rsidR="00135189">
        <w:rPr>
          <w:szCs w:val="22"/>
        </w:rPr>
        <w:t xml:space="preserve"> monthly urban and rural rates for</w:t>
      </w:r>
      <w:r w:rsidRPr="00B83C7C" w:rsidR="00BE301D">
        <w:rPr>
          <w:szCs w:val="22"/>
        </w:rPr>
        <w:t xml:space="preserve"> the requested service.</w:t>
      </w:r>
      <w:r>
        <w:rPr>
          <w:rStyle w:val="FootnoteReference"/>
          <w:sz w:val="22"/>
          <w:szCs w:val="22"/>
        </w:rPr>
        <w:footnoteReference w:id="6"/>
      </w:r>
      <w:r w:rsidRPr="00B83C7C" w:rsidR="00C04BEB">
        <w:rPr>
          <w:szCs w:val="22"/>
        </w:rPr>
        <w:t xml:space="preserve">  Telecom Program rules applicable in FY 2018</w:t>
      </w:r>
      <w:r w:rsidRPr="00B83C7C" w:rsidR="001542F6">
        <w:rPr>
          <w:szCs w:val="22"/>
        </w:rPr>
        <w:t xml:space="preserve"> required that</w:t>
      </w:r>
      <w:r w:rsidRPr="00B83C7C" w:rsidR="00C04BEB">
        <w:rPr>
          <w:szCs w:val="22"/>
        </w:rPr>
        <w:t xml:space="preserve"> </w:t>
      </w:r>
      <w:r w:rsidRPr="00B83C7C" w:rsidR="00F1286A">
        <w:rPr>
          <w:szCs w:val="22"/>
        </w:rPr>
        <w:t>the urban rate</w:t>
      </w:r>
      <w:r w:rsidRPr="00B83C7C" w:rsidR="001542F6">
        <w:rPr>
          <w:szCs w:val="22"/>
        </w:rPr>
        <w:t xml:space="preserve"> </w:t>
      </w:r>
      <w:r w:rsidRPr="00B83C7C" w:rsidR="00BB6BA5">
        <w:rPr>
          <w:szCs w:val="22"/>
        </w:rPr>
        <w:t xml:space="preserve">“shall be </w:t>
      </w:r>
      <w:r w:rsidR="003E4C4E">
        <w:rPr>
          <w:szCs w:val="22"/>
        </w:rPr>
        <w:t xml:space="preserve">a rate </w:t>
      </w:r>
      <w:r w:rsidRPr="00B83C7C" w:rsidR="00BB6BA5">
        <w:rPr>
          <w:szCs w:val="22"/>
        </w:rPr>
        <w:t xml:space="preserve">no higher than the highest tariffed or publicly-available rate charged to a commercial customer for a functionally similar service” in any </w:t>
      </w:r>
      <w:r w:rsidRPr="00B83C7C" w:rsidR="00C232E4">
        <w:rPr>
          <w:szCs w:val="22"/>
        </w:rPr>
        <w:t>city with a population of 50,000 or more in the state in which the health care provider is located.</w:t>
      </w:r>
      <w:r>
        <w:rPr>
          <w:rStyle w:val="FootnoteReference"/>
          <w:sz w:val="22"/>
          <w:szCs w:val="22"/>
        </w:rPr>
        <w:footnoteReference w:id="7"/>
      </w:r>
      <w:r w:rsidRPr="00B83C7C" w:rsidR="009A64A3">
        <w:rPr>
          <w:szCs w:val="22"/>
        </w:rPr>
        <w:t xml:space="preserve">  </w:t>
      </w:r>
    </w:p>
    <w:p w:rsidR="00A94F8D" w:rsidRPr="0056255D" w:rsidP="00CC4D5A" w14:paraId="653DD7E3" w14:textId="26C05277">
      <w:pPr>
        <w:pStyle w:val="ParaNum"/>
        <w:rPr>
          <w:snapToGrid/>
          <w:kern w:val="0"/>
          <w:szCs w:val="22"/>
        </w:rPr>
      </w:pPr>
      <w:r w:rsidRPr="00B83C7C">
        <w:rPr>
          <w:szCs w:val="22"/>
        </w:rPr>
        <w:t xml:space="preserve">The </w:t>
      </w:r>
      <w:r w:rsidRPr="00B83C7C" w:rsidR="00AE450B">
        <w:rPr>
          <w:szCs w:val="22"/>
        </w:rPr>
        <w:t>FCC Forms 466</w:t>
      </w:r>
      <w:r w:rsidRPr="00B83C7C">
        <w:rPr>
          <w:szCs w:val="22"/>
        </w:rPr>
        <w:t xml:space="preserve"> that are the subject of the </w:t>
      </w:r>
      <w:r w:rsidRPr="0014073E" w:rsidR="00FD5DB5">
        <w:rPr>
          <w:szCs w:val="22"/>
        </w:rPr>
        <w:t>Request for Review and/or Waiver</w:t>
      </w:r>
      <w:r w:rsidRPr="00B83C7C">
        <w:rPr>
          <w:i/>
          <w:iCs/>
          <w:szCs w:val="22"/>
        </w:rPr>
        <w:t xml:space="preserve"> </w:t>
      </w:r>
      <w:r w:rsidRPr="00B83C7C">
        <w:rPr>
          <w:szCs w:val="22"/>
        </w:rPr>
        <w:t xml:space="preserve">are </w:t>
      </w:r>
      <w:r w:rsidRPr="00B83C7C" w:rsidR="000A3FD8">
        <w:rPr>
          <w:szCs w:val="22"/>
        </w:rPr>
        <w:t>thirty-two</w:t>
      </w:r>
      <w:r w:rsidRPr="00B83C7C" w:rsidR="003B3CBA">
        <w:rPr>
          <w:szCs w:val="22"/>
        </w:rPr>
        <w:t xml:space="preserve"> </w:t>
      </w:r>
      <w:r w:rsidRPr="00B83C7C" w:rsidR="0097459C">
        <w:rPr>
          <w:szCs w:val="22"/>
        </w:rPr>
        <w:t>FY 2018</w:t>
      </w:r>
      <w:r w:rsidRPr="00B83C7C" w:rsidR="00A507EF">
        <w:rPr>
          <w:szCs w:val="22"/>
        </w:rPr>
        <w:t xml:space="preserve"> </w:t>
      </w:r>
      <w:r w:rsidRPr="00B83C7C" w:rsidR="00122485">
        <w:rPr>
          <w:szCs w:val="22"/>
        </w:rPr>
        <w:t xml:space="preserve">Telecom Program </w:t>
      </w:r>
      <w:r w:rsidRPr="00B83C7C" w:rsidR="00A507EF">
        <w:rPr>
          <w:szCs w:val="22"/>
        </w:rPr>
        <w:t xml:space="preserve">requests </w:t>
      </w:r>
      <w:r w:rsidRPr="00B83C7C" w:rsidR="00122485">
        <w:rPr>
          <w:szCs w:val="22"/>
        </w:rPr>
        <w:t xml:space="preserve">for </w:t>
      </w:r>
      <w:r w:rsidRPr="00B83C7C" w:rsidR="002E453E">
        <w:rPr>
          <w:szCs w:val="22"/>
        </w:rPr>
        <w:t xml:space="preserve">Ethernet </w:t>
      </w:r>
      <w:r w:rsidRPr="00B83C7C" w:rsidR="00122485">
        <w:rPr>
          <w:szCs w:val="22"/>
        </w:rPr>
        <w:t>services</w:t>
      </w:r>
      <w:r w:rsidRPr="00B83C7C" w:rsidR="00877064">
        <w:rPr>
          <w:szCs w:val="22"/>
        </w:rPr>
        <w:t>.</w:t>
      </w:r>
      <w:r>
        <w:rPr>
          <w:rStyle w:val="FootnoteReference"/>
          <w:sz w:val="22"/>
          <w:szCs w:val="22"/>
        </w:rPr>
        <w:footnoteReference w:id="8"/>
      </w:r>
      <w:r w:rsidRPr="00B83C7C" w:rsidR="006A306B">
        <w:rPr>
          <w:szCs w:val="22"/>
        </w:rPr>
        <w:t xml:space="preserve">  </w:t>
      </w:r>
      <w:r w:rsidR="009E7B88">
        <w:rPr>
          <w:szCs w:val="22"/>
        </w:rPr>
        <w:t>On</w:t>
      </w:r>
      <w:r w:rsidRPr="00B83C7C" w:rsidR="000A3FD8">
        <w:rPr>
          <w:szCs w:val="22"/>
        </w:rPr>
        <w:t xml:space="preserve"> t</w:t>
      </w:r>
      <w:r w:rsidRPr="00B83C7C" w:rsidR="0007429B">
        <w:rPr>
          <w:szCs w:val="22"/>
        </w:rPr>
        <w:t xml:space="preserve">hirty-one </w:t>
      </w:r>
      <w:r w:rsidRPr="00B83C7C" w:rsidR="00C61CCE">
        <w:rPr>
          <w:szCs w:val="22"/>
        </w:rPr>
        <w:t>FCC Forms 466</w:t>
      </w:r>
      <w:r w:rsidRPr="00B83C7C" w:rsidR="00951F3E">
        <w:rPr>
          <w:szCs w:val="22"/>
        </w:rPr>
        <w:t xml:space="preserve"> for 10 Mbps service, </w:t>
      </w:r>
      <w:r w:rsidRPr="00B83C7C" w:rsidR="00951F3E">
        <w:rPr>
          <w:szCs w:val="22"/>
        </w:rPr>
        <w:t>CCWV</w:t>
      </w:r>
      <w:r w:rsidRPr="00B83C7C" w:rsidR="00951F3E">
        <w:rPr>
          <w:szCs w:val="22"/>
        </w:rPr>
        <w:t xml:space="preserve"> listed </w:t>
      </w:r>
      <w:r w:rsidRPr="00B83C7C" w:rsidR="00BD2572">
        <w:rPr>
          <w:szCs w:val="22"/>
        </w:rPr>
        <w:t>an</w:t>
      </w:r>
      <w:r w:rsidRPr="00B83C7C" w:rsidR="00951F3E">
        <w:rPr>
          <w:szCs w:val="22"/>
        </w:rPr>
        <w:t xml:space="preserve"> </w:t>
      </w:r>
      <w:r w:rsidRPr="00B83C7C" w:rsidR="00BD2572">
        <w:rPr>
          <w:szCs w:val="22"/>
        </w:rPr>
        <w:t xml:space="preserve">urban rate of </w:t>
      </w:r>
      <w:r w:rsidRPr="00B83C7C" w:rsidR="00951F3E">
        <w:rPr>
          <w:szCs w:val="22"/>
        </w:rPr>
        <w:t>$</w:t>
      </w:r>
      <w:r w:rsidRPr="00B83C7C" w:rsidR="00F87462">
        <w:rPr>
          <w:szCs w:val="22"/>
        </w:rPr>
        <w:t xml:space="preserve">108.00 </w:t>
      </w:r>
      <w:r w:rsidRPr="00B83C7C" w:rsidR="00BD2572">
        <w:rPr>
          <w:szCs w:val="22"/>
        </w:rPr>
        <w:t>supported</w:t>
      </w:r>
      <w:r w:rsidR="0020614C">
        <w:rPr>
          <w:szCs w:val="22"/>
        </w:rPr>
        <w:t xml:space="preserve"> by</w:t>
      </w:r>
      <w:r w:rsidR="004D709B">
        <w:rPr>
          <w:szCs w:val="22"/>
        </w:rPr>
        <w:t xml:space="preserve"> a pricing sheet from Lumos Networks (Lumos) and </w:t>
      </w:r>
      <w:r w:rsidRPr="00B83C7C" w:rsidR="00BE1C60">
        <w:rPr>
          <w:szCs w:val="22"/>
        </w:rPr>
        <w:t>a letter from</w:t>
      </w:r>
      <w:r w:rsidRPr="00B83C7C" w:rsidR="004F68C3">
        <w:rPr>
          <w:szCs w:val="22"/>
        </w:rPr>
        <w:t xml:space="preserve"> </w:t>
      </w:r>
      <w:r w:rsidRPr="00B83C7C" w:rsidR="004F68C3">
        <w:rPr>
          <w:szCs w:val="22"/>
        </w:rPr>
        <w:t>TeleQuality</w:t>
      </w:r>
      <w:r w:rsidRPr="00B83C7C" w:rsidR="004F68C3">
        <w:rPr>
          <w:szCs w:val="22"/>
        </w:rPr>
        <w:t xml:space="preserve"> Communications, LLC (</w:t>
      </w:r>
      <w:r w:rsidRPr="00B83C7C" w:rsidR="004F68C3">
        <w:rPr>
          <w:szCs w:val="22"/>
        </w:rPr>
        <w:t>TeleQuality</w:t>
      </w:r>
      <w:r w:rsidRPr="00B83C7C" w:rsidR="004F68C3">
        <w:rPr>
          <w:szCs w:val="22"/>
        </w:rPr>
        <w:t>)</w:t>
      </w:r>
      <w:r w:rsidRPr="00B83C7C" w:rsidR="0043535C">
        <w:rPr>
          <w:szCs w:val="22"/>
        </w:rPr>
        <w:t>,</w:t>
      </w:r>
      <w:r>
        <w:rPr>
          <w:rStyle w:val="FootnoteReference"/>
          <w:szCs w:val="22"/>
        </w:rPr>
        <w:footnoteReference w:id="9"/>
      </w:r>
      <w:r w:rsidRPr="00B83C7C" w:rsidR="00BE1C60">
        <w:rPr>
          <w:szCs w:val="22"/>
        </w:rPr>
        <w:t xml:space="preserve"> the service provider</w:t>
      </w:r>
      <w:r w:rsidR="00801916">
        <w:rPr>
          <w:szCs w:val="22"/>
        </w:rPr>
        <w:t xml:space="preserve"> selected by </w:t>
      </w:r>
      <w:r w:rsidR="00801916">
        <w:rPr>
          <w:szCs w:val="22"/>
        </w:rPr>
        <w:t>CCWV</w:t>
      </w:r>
      <w:r w:rsidR="0020614C">
        <w:rPr>
          <w:szCs w:val="22"/>
        </w:rPr>
        <w:t xml:space="preserve">, </w:t>
      </w:r>
      <w:r w:rsidR="00E96A44">
        <w:rPr>
          <w:szCs w:val="22"/>
        </w:rPr>
        <w:t xml:space="preserve">explaining that the </w:t>
      </w:r>
      <w:r w:rsidR="004B48D5">
        <w:rPr>
          <w:szCs w:val="22"/>
        </w:rPr>
        <w:t>Lumos urban rates were “</w:t>
      </w:r>
      <w:r w:rsidR="000E0F3A">
        <w:rPr>
          <w:szCs w:val="22"/>
        </w:rPr>
        <w:t>publicly available to any retail consumer who requests service</w:t>
      </w:r>
      <w:r w:rsidR="00D0422D">
        <w:rPr>
          <w:szCs w:val="22"/>
        </w:rPr>
        <w:t xml:space="preserve"> (from Lumos)”</w:t>
      </w:r>
      <w:r w:rsidR="00972403">
        <w:rPr>
          <w:szCs w:val="22"/>
        </w:rPr>
        <w:t xml:space="preserve"> and providing contact information for Lumos</w:t>
      </w:r>
      <w:r w:rsidRPr="00B83C7C" w:rsidR="00F87462">
        <w:rPr>
          <w:szCs w:val="22"/>
        </w:rPr>
        <w:t>.</w:t>
      </w:r>
      <w:r>
        <w:rPr>
          <w:rStyle w:val="FootnoteReference"/>
          <w:sz w:val="22"/>
          <w:szCs w:val="22"/>
        </w:rPr>
        <w:footnoteReference w:id="10"/>
      </w:r>
      <w:r w:rsidRPr="00B83C7C" w:rsidR="00F87462">
        <w:rPr>
          <w:szCs w:val="22"/>
        </w:rPr>
        <w:t xml:space="preserve">  </w:t>
      </w:r>
      <w:r w:rsidRPr="00B83C7C" w:rsidR="003F5482">
        <w:rPr>
          <w:szCs w:val="22"/>
        </w:rPr>
        <w:t>CCWV</w:t>
      </w:r>
      <w:r w:rsidRPr="00B83C7C" w:rsidR="00091010">
        <w:rPr>
          <w:szCs w:val="22"/>
        </w:rPr>
        <w:t xml:space="preserve"> </w:t>
      </w:r>
      <w:r w:rsidRPr="00B83C7C" w:rsidR="00851019">
        <w:rPr>
          <w:szCs w:val="22"/>
        </w:rPr>
        <w:t>also</w:t>
      </w:r>
      <w:r w:rsidRPr="00B83C7C" w:rsidR="00091010">
        <w:rPr>
          <w:szCs w:val="22"/>
        </w:rPr>
        <w:t xml:space="preserve"> submitted</w:t>
      </w:r>
      <w:r w:rsidRPr="00B83C7C" w:rsidR="00851019">
        <w:rPr>
          <w:szCs w:val="22"/>
        </w:rPr>
        <w:t xml:space="preserve"> </w:t>
      </w:r>
      <w:r w:rsidRPr="00B83C7C" w:rsidR="00552EF6">
        <w:rPr>
          <w:szCs w:val="22"/>
        </w:rPr>
        <w:t>a tariff from</w:t>
      </w:r>
      <w:r w:rsidRPr="00B83C7C" w:rsidR="00851019">
        <w:rPr>
          <w:szCs w:val="22"/>
        </w:rPr>
        <w:t xml:space="preserve"> </w:t>
      </w:r>
      <w:r w:rsidRPr="00B83C7C" w:rsidR="00550C0D">
        <w:rPr>
          <w:szCs w:val="22"/>
        </w:rPr>
        <w:t>Frontier</w:t>
      </w:r>
      <w:r w:rsidRPr="00B83C7C" w:rsidR="001B38A1">
        <w:rPr>
          <w:szCs w:val="22"/>
        </w:rPr>
        <w:t xml:space="preserve"> Telephone Companies (Frontier)</w:t>
      </w:r>
      <w:r w:rsidRPr="00B83C7C" w:rsidR="00550C0D">
        <w:rPr>
          <w:szCs w:val="22"/>
        </w:rPr>
        <w:t xml:space="preserve"> with an urban rate of</w:t>
      </w:r>
      <w:r w:rsidRPr="00B83C7C" w:rsidR="00552EF6">
        <w:rPr>
          <w:szCs w:val="22"/>
        </w:rPr>
        <w:t xml:space="preserve"> $590.00 for 10 Mbps service</w:t>
      </w:r>
      <w:r w:rsidR="00BF48EF">
        <w:rPr>
          <w:szCs w:val="22"/>
        </w:rPr>
        <w:t xml:space="preserve">, which the </w:t>
      </w:r>
      <w:r w:rsidR="00BF48EF">
        <w:rPr>
          <w:szCs w:val="22"/>
        </w:rPr>
        <w:t>TeleQuali</w:t>
      </w:r>
      <w:r w:rsidR="00854AD2">
        <w:rPr>
          <w:szCs w:val="22"/>
        </w:rPr>
        <w:t>t</w:t>
      </w:r>
      <w:r w:rsidR="00BF48EF">
        <w:rPr>
          <w:szCs w:val="22"/>
        </w:rPr>
        <w:t>y</w:t>
      </w:r>
      <w:r w:rsidR="00BF48EF">
        <w:rPr>
          <w:szCs w:val="22"/>
        </w:rPr>
        <w:t xml:space="preserve"> letter </w:t>
      </w:r>
      <w:r w:rsidR="002538D6">
        <w:rPr>
          <w:szCs w:val="22"/>
        </w:rPr>
        <w:t>explained was submitted “out of an</w:t>
      </w:r>
      <w:r w:rsidR="0010206C">
        <w:rPr>
          <w:szCs w:val="22"/>
        </w:rPr>
        <w:t xml:space="preserve"> abundance of caution</w:t>
      </w:r>
      <w:r w:rsidR="00D910C9">
        <w:rPr>
          <w:szCs w:val="22"/>
        </w:rPr>
        <w:t>, and due to continuously changing guidance on which documentary evidence USAC will deem acceptable</w:t>
      </w:r>
      <w:r w:rsidR="00A012A7">
        <w:rPr>
          <w:szCs w:val="22"/>
        </w:rPr>
        <w:t>.”</w:t>
      </w:r>
      <w:r>
        <w:rPr>
          <w:rStyle w:val="FootnoteReference"/>
          <w:sz w:val="22"/>
          <w:szCs w:val="22"/>
        </w:rPr>
        <w:footnoteReference w:id="11"/>
      </w:r>
      <w:r w:rsidRPr="00B83C7C" w:rsidR="008D568C">
        <w:rPr>
          <w:szCs w:val="22"/>
        </w:rPr>
        <w:t xml:space="preserve">  </w:t>
      </w:r>
      <w:r w:rsidR="007A6F5B">
        <w:rPr>
          <w:szCs w:val="22"/>
        </w:rPr>
        <w:t>CCWV</w:t>
      </w:r>
      <w:r w:rsidR="007A6F5B">
        <w:rPr>
          <w:szCs w:val="22"/>
        </w:rPr>
        <w:t xml:space="preserve"> submitted</w:t>
      </w:r>
      <w:r w:rsidRPr="00B83C7C" w:rsidR="008D568C">
        <w:rPr>
          <w:szCs w:val="22"/>
        </w:rPr>
        <w:t xml:space="preserve"> one </w:t>
      </w:r>
      <w:r w:rsidRPr="00B83C7C" w:rsidR="00AE450B">
        <w:rPr>
          <w:szCs w:val="22"/>
        </w:rPr>
        <w:t>FCC Form 466</w:t>
      </w:r>
      <w:r w:rsidRPr="00B83C7C" w:rsidR="008D568C">
        <w:rPr>
          <w:szCs w:val="22"/>
        </w:rPr>
        <w:t xml:space="preserve"> for 20 Mbps service</w:t>
      </w:r>
      <w:r w:rsidR="007A6F5B">
        <w:rPr>
          <w:szCs w:val="22"/>
        </w:rPr>
        <w:t xml:space="preserve"> with</w:t>
      </w:r>
      <w:r w:rsidRPr="00B83C7C" w:rsidR="007F59DE">
        <w:rPr>
          <w:szCs w:val="22"/>
        </w:rPr>
        <w:t xml:space="preserve"> urban rates of</w:t>
      </w:r>
      <w:r w:rsidRPr="00B83C7C" w:rsidR="008D568C">
        <w:rPr>
          <w:szCs w:val="22"/>
        </w:rPr>
        <w:t xml:space="preserve"> $184.00</w:t>
      </w:r>
      <w:r w:rsidRPr="00B83C7C" w:rsidR="007F59DE">
        <w:rPr>
          <w:szCs w:val="22"/>
        </w:rPr>
        <w:t>, also supported by a</w:t>
      </w:r>
      <w:r w:rsidR="00210756">
        <w:rPr>
          <w:szCs w:val="22"/>
        </w:rPr>
        <w:t xml:space="preserve"> different</w:t>
      </w:r>
      <w:r w:rsidRPr="00B83C7C" w:rsidR="007F59DE">
        <w:rPr>
          <w:szCs w:val="22"/>
        </w:rPr>
        <w:t xml:space="preserve"> </w:t>
      </w:r>
      <w:r w:rsidRPr="00B83C7C" w:rsidR="007F59DE">
        <w:rPr>
          <w:szCs w:val="22"/>
        </w:rPr>
        <w:t>TeleQuality</w:t>
      </w:r>
      <w:r w:rsidRPr="00B83C7C" w:rsidR="007F59DE">
        <w:rPr>
          <w:szCs w:val="22"/>
        </w:rPr>
        <w:t xml:space="preserve"> letter and Lumos pricing sheet</w:t>
      </w:r>
      <w:r w:rsidRPr="00B83C7C" w:rsidR="008D568C">
        <w:rPr>
          <w:szCs w:val="22"/>
        </w:rPr>
        <w:t>.</w:t>
      </w:r>
      <w:r>
        <w:rPr>
          <w:rStyle w:val="FootnoteReference"/>
          <w:sz w:val="22"/>
          <w:szCs w:val="22"/>
        </w:rPr>
        <w:footnoteReference w:id="12"/>
      </w:r>
      <w:r w:rsidRPr="00B83C7C" w:rsidR="008D568C">
        <w:rPr>
          <w:szCs w:val="22"/>
        </w:rPr>
        <w:t xml:space="preserve">  </w:t>
      </w:r>
      <w:r w:rsidR="00833D31">
        <w:rPr>
          <w:szCs w:val="22"/>
        </w:rPr>
        <w:t>Th</w:t>
      </w:r>
      <w:r w:rsidR="00210756">
        <w:rPr>
          <w:szCs w:val="22"/>
        </w:rPr>
        <w:t xml:space="preserve">is second </w:t>
      </w:r>
      <w:r w:rsidR="00210756">
        <w:rPr>
          <w:szCs w:val="22"/>
        </w:rPr>
        <w:t>Tele</w:t>
      </w:r>
      <w:r w:rsidR="00190CC9">
        <w:rPr>
          <w:szCs w:val="22"/>
        </w:rPr>
        <w:t>Q</w:t>
      </w:r>
      <w:r w:rsidR="00210756">
        <w:rPr>
          <w:szCs w:val="22"/>
        </w:rPr>
        <w:t>uality</w:t>
      </w:r>
      <w:r w:rsidR="00210756">
        <w:rPr>
          <w:szCs w:val="22"/>
        </w:rPr>
        <w:t xml:space="preserve"> Letter</w:t>
      </w:r>
      <w:r w:rsidR="00833D31">
        <w:rPr>
          <w:szCs w:val="22"/>
        </w:rPr>
        <w:t xml:space="preserve"> </w:t>
      </w:r>
      <w:r w:rsidR="00575716">
        <w:rPr>
          <w:szCs w:val="22"/>
        </w:rPr>
        <w:t>provide</w:t>
      </w:r>
      <w:r w:rsidR="002E3B84">
        <w:rPr>
          <w:szCs w:val="22"/>
        </w:rPr>
        <w:t xml:space="preserve">d an alternative urban rate from Frontier for 20 Mbps service </w:t>
      </w:r>
      <w:r w:rsidR="003C6738">
        <w:rPr>
          <w:szCs w:val="22"/>
        </w:rPr>
        <w:t xml:space="preserve">at </w:t>
      </w:r>
      <w:r w:rsidR="002E3B84">
        <w:rPr>
          <w:szCs w:val="22"/>
        </w:rPr>
        <w:t>$960.00.</w:t>
      </w:r>
      <w:r>
        <w:rPr>
          <w:rStyle w:val="FootnoteReference"/>
          <w:szCs w:val="22"/>
        </w:rPr>
        <w:footnoteReference w:id="13"/>
      </w:r>
      <w:r w:rsidR="002E3B84">
        <w:rPr>
          <w:szCs w:val="22"/>
        </w:rPr>
        <w:t xml:space="preserve"> </w:t>
      </w:r>
      <w:r w:rsidR="00540186">
        <w:rPr>
          <w:szCs w:val="22"/>
        </w:rPr>
        <w:t xml:space="preserve"> </w:t>
      </w:r>
    </w:p>
    <w:p w:rsidR="00906640" w:rsidRPr="00B83C7C" w:rsidP="00CC4D5A" w14:paraId="244F493C" w14:textId="24A77725">
      <w:pPr>
        <w:pStyle w:val="ParaNum"/>
        <w:rPr>
          <w:snapToGrid/>
          <w:kern w:val="0"/>
          <w:szCs w:val="22"/>
        </w:rPr>
      </w:pPr>
      <w:r>
        <w:rPr>
          <w:szCs w:val="22"/>
        </w:rPr>
        <w:t xml:space="preserve">USAC determined that the Lumos pricing sheet was not publicly available as required by Commission rules and </w:t>
      </w:r>
      <w:r w:rsidRPr="00B83C7C" w:rsidR="000E296D">
        <w:rPr>
          <w:szCs w:val="22"/>
        </w:rPr>
        <w:t xml:space="preserve">requested </w:t>
      </w:r>
      <w:r w:rsidRPr="00B83C7C" w:rsidR="008D29F1">
        <w:rPr>
          <w:szCs w:val="22"/>
        </w:rPr>
        <w:t>additional information and documentation from</w:t>
      </w:r>
      <w:r w:rsidRPr="00B83C7C" w:rsidR="00F407F1">
        <w:rPr>
          <w:szCs w:val="22"/>
        </w:rPr>
        <w:t xml:space="preserve"> </w:t>
      </w:r>
      <w:r w:rsidRPr="00B83C7C" w:rsidR="00F407F1">
        <w:rPr>
          <w:szCs w:val="22"/>
        </w:rPr>
        <w:t>CCWV</w:t>
      </w:r>
      <w:r w:rsidRPr="00B83C7C" w:rsidR="00F407F1">
        <w:rPr>
          <w:szCs w:val="22"/>
        </w:rPr>
        <w:t xml:space="preserve"> </w:t>
      </w:r>
      <w:r w:rsidRPr="00B83C7C" w:rsidR="004060D7">
        <w:rPr>
          <w:szCs w:val="22"/>
        </w:rPr>
        <w:t>to support both the 10 Mbps and 20 Mbps urban rates</w:t>
      </w:r>
      <w:r w:rsidRPr="00B83C7C" w:rsidR="00BF2C93">
        <w:rPr>
          <w:szCs w:val="22"/>
        </w:rPr>
        <w:t>.</w:t>
      </w:r>
      <w:r>
        <w:rPr>
          <w:rStyle w:val="FootnoteReference"/>
          <w:sz w:val="22"/>
          <w:szCs w:val="22"/>
        </w:rPr>
        <w:footnoteReference w:id="14"/>
      </w:r>
      <w:r w:rsidRPr="00B83C7C" w:rsidR="00F15611">
        <w:rPr>
          <w:szCs w:val="22"/>
        </w:rPr>
        <w:t xml:space="preserve">  </w:t>
      </w:r>
      <w:r w:rsidR="0067324A">
        <w:rPr>
          <w:szCs w:val="22"/>
        </w:rPr>
        <w:t>In response to the USAC inf</w:t>
      </w:r>
      <w:r w:rsidR="00496E7C">
        <w:rPr>
          <w:szCs w:val="22"/>
        </w:rPr>
        <w:t xml:space="preserve">ormation request, </w:t>
      </w:r>
      <w:r w:rsidRPr="00B83C7C" w:rsidR="00F15611">
        <w:rPr>
          <w:szCs w:val="22"/>
        </w:rPr>
        <w:t>CCWV</w:t>
      </w:r>
      <w:r w:rsidRPr="00B83C7C" w:rsidR="00F15611">
        <w:rPr>
          <w:szCs w:val="22"/>
        </w:rPr>
        <w:t xml:space="preserve"> </w:t>
      </w:r>
      <w:r w:rsidRPr="00B83C7C" w:rsidR="00943B64">
        <w:rPr>
          <w:szCs w:val="22"/>
        </w:rPr>
        <w:t xml:space="preserve">provided </w:t>
      </w:r>
      <w:r w:rsidRPr="00B83C7C" w:rsidR="007D007B">
        <w:rPr>
          <w:szCs w:val="22"/>
        </w:rPr>
        <w:t>a signed letter from Lumos validating the rates</w:t>
      </w:r>
      <w:r w:rsidRPr="00B83C7C" w:rsidR="00C035F7">
        <w:rPr>
          <w:szCs w:val="22"/>
        </w:rPr>
        <w:t xml:space="preserve"> for Ethernet services in Charleston, West Virginia.</w:t>
      </w:r>
      <w:r>
        <w:rPr>
          <w:rStyle w:val="FootnoteReference"/>
          <w:sz w:val="22"/>
          <w:szCs w:val="22"/>
        </w:rPr>
        <w:footnoteReference w:id="15"/>
      </w:r>
      <w:r w:rsidRPr="00B83C7C" w:rsidR="00205AB8">
        <w:rPr>
          <w:szCs w:val="22"/>
        </w:rPr>
        <w:t xml:space="preserve">  </w:t>
      </w:r>
      <w:r w:rsidRPr="00B83C7C" w:rsidR="00205AB8">
        <w:rPr>
          <w:szCs w:val="22"/>
        </w:rPr>
        <w:t>CCWV</w:t>
      </w:r>
      <w:r w:rsidRPr="00B83C7C" w:rsidR="00205AB8">
        <w:rPr>
          <w:szCs w:val="22"/>
        </w:rPr>
        <w:t xml:space="preserve"> also provided </w:t>
      </w:r>
      <w:r w:rsidRPr="00B83C7C" w:rsidR="008C6328">
        <w:rPr>
          <w:szCs w:val="22"/>
        </w:rPr>
        <w:t xml:space="preserve">a 10 Mbps urban rate of $500.00 from the </w:t>
      </w:r>
      <w:r w:rsidRPr="00B83C7C" w:rsidR="00163607">
        <w:rPr>
          <w:szCs w:val="22"/>
        </w:rPr>
        <w:t>universal service schools and libraries (E-</w:t>
      </w:r>
      <w:r w:rsidR="00FD5DB5">
        <w:rPr>
          <w:szCs w:val="22"/>
        </w:rPr>
        <w:t>R</w:t>
      </w:r>
      <w:r w:rsidRPr="00B83C7C" w:rsidR="00FD5DB5">
        <w:rPr>
          <w:szCs w:val="22"/>
        </w:rPr>
        <w:t>ate</w:t>
      </w:r>
      <w:r w:rsidRPr="00B83C7C" w:rsidR="00163607">
        <w:rPr>
          <w:szCs w:val="22"/>
        </w:rPr>
        <w:t xml:space="preserve">) </w:t>
      </w:r>
      <w:r w:rsidR="000C5E4F">
        <w:rPr>
          <w:szCs w:val="22"/>
        </w:rPr>
        <w:t>O</w:t>
      </w:r>
      <w:r w:rsidRPr="00B83C7C" w:rsidR="00163607">
        <w:rPr>
          <w:szCs w:val="22"/>
        </w:rPr>
        <w:t xml:space="preserve">pen </w:t>
      </w:r>
      <w:r w:rsidR="000C5E4F">
        <w:rPr>
          <w:szCs w:val="22"/>
        </w:rPr>
        <w:t>D</w:t>
      </w:r>
      <w:r w:rsidRPr="00B83C7C" w:rsidR="000C5E4F">
        <w:rPr>
          <w:szCs w:val="22"/>
        </w:rPr>
        <w:t xml:space="preserve">ata </w:t>
      </w:r>
      <w:r w:rsidRPr="00B83C7C" w:rsidR="00163607">
        <w:rPr>
          <w:szCs w:val="22"/>
        </w:rPr>
        <w:t>platform.</w:t>
      </w:r>
      <w:r>
        <w:rPr>
          <w:rStyle w:val="FootnoteReference"/>
          <w:sz w:val="22"/>
          <w:szCs w:val="22"/>
        </w:rPr>
        <w:footnoteReference w:id="16"/>
      </w:r>
    </w:p>
    <w:p w:rsidR="00971ACF" w:rsidRPr="00116E28" w:rsidP="00DA4C50" w14:paraId="7E50DC76" w14:textId="4D80FEE6">
      <w:pPr>
        <w:pStyle w:val="ParaNum"/>
        <w:rPr>
          <w:szCs w:val="22"/>
        </w:rPr>
      </w:pPr>
      <w:r w:rsidRPr="00B83C7C">
        <w:rPr>
          <w:szCs w:val="22"/>
        </w:rPr>
        <w:t xml:space="preserve">USAC </w:t>
      </w:r>
      <w:r w:rsidRPr="00B83C7C" w:rsidR="00E331AD">
        <w:rPr>
          <w:szCs w:val="22"/>
        </w:rPr>
        <w:t xml:space="preserve">ultimately </w:t>
      </w:r>
      <w:r w:rsidRPr="00B83C7C">
        <w:rPr>
          <w:szCs w:val="22"/>
        </w:rPr>
        <w:t>determined that the</w:t>
      </w:r>
      <w:r w:rsidRPr="00B83C7C" w:rsidR="00551F1C">
        <w:rPr>
          <w:szCs w:val="22"/>
        </w:rPr>
        <w:t xml:space="preserve"> documentation submitted by</w:t>
      </w:r>
      <w:r w:rsidRPr="00B83C7C">
        <w:rPr>
          <w:szCs w:val="22"/>
        </w:rPr>
        <w:t xml:space="preserve"> </w:t>
      </w:r>
      <w:r w:rsidRPr="00B83C7C">
        <w:rPr>
          <w:szCs w:val="22"/>
        </w:rPr>
        <w:t>CCWV</w:t>
      </w:r>
      <w:r w:rsidRPr="00B83C7C" w:rsidR="00551F1C">
        <w:rPr>
          <w:szCs w:val="22"/>
        </w:rPr>
        <w:t xml:space="preserve"> </w:t>
      </w:r>
      <w:r w:rsidRPr="00B83C7C" w:rsidR="00AB379D">
        <w:rPr>
          <w:szCs w:val="22"/>
        </w:rPr>
        <w:t>did not demonstrate that the urban rates in the Lumos pricing sheet were p</w:t>
      </w:r>
      <w:r w:rsidRPr="00B83C7C">
        <w:rPr>
          <w:szCs w:val="22"/>
        </w:rPr>
        <w:t>ublicly available as required by Commission rules</w:t>
      </w:r>
      <w:r w:rsidRPr="00B83C7C" w:rsidR="00AB379D">
        <w:rPr>
          <w:szCs w:val="22"/>
        </w:rPr>
        <w:t>.</w:t>
      </w:r>
      <w:r>
        <w:rPr>
          <w:rStyle w:val="FootnoteReference"/>
          <w:sz w:val="22"/>
          <w:szCs w:val="22"/>
        </w:rPr>
        <w:footnoteReference w:id="17"/>
      </w:r>
      <w:r w:rsidRPr="00B83C7C" w:rsidR="00DC6B61">
        <w:rPr>
          <w:szCs w:val="22"/>
        </w:rPr>
        <w:t xml:space="preserve">  </w:t>
      </w:r>
      <w:r w:rsidRPr="00B83C7C" w:rsidR="00AD7234">
        <w:rPr>
          <w:szCs w:val="22"/>
        </w:rPr>
        <w:t>CCWV</w:t>
      </w:r>
      <w:r w:rsidRPr="00B83C7C" w:rsidR="00AD7234">
        <w:rPr>
          <w:szCs w:val="22"/>
        </w:rPr>
        <w:t xml:space="preserve"> </w:t>
      </w:r>
      <w:r w:rsidRPr="00B83C7C" w:rsidR="00EA66F5">
        <w:rPr>
          <w:szCs w:val="22"/>
        </w:rPr>
        <w:t xml:space="preserve">then </w:t>
      </w:r>
      <w:r w:rsidRPr="00B83C7C" w:rsidR="00AD7234">
        <w:rPr>
          <w:szCs w:val="22"/>
        </w:rPr>
        <w:t>gave USAC permission to change the urban rate</w:t>
      </w:r>
      <w:r w:rsidRPr="00B83C7C" w:rsidR="00EA66F5">
        <w:rPr>
          <w:szCs w:val="22"/>
        </w:rPr>
        <w:t>s on fifteen of the 10 Mbps FCC Forms 466</w:t>
      </w:r>
      <w:r w:rsidRPr="00B83C7C" w:rsidR="00AD7234">
        <w:rPr>
          <w:szCs w:val="22"/>
        </w:rPr>
        <w:t xml:space="preserve"> </w:t>
      </w:r>
      <w:r w:rsidRPr="00B83C7C" w:rsidR="00EA66F5">
        <w:rPr>
          <w:szCs w:val="22"/>
        </w:rPr>
        <w:t>to</w:t>
      </w:r>
      <w:r w:rsidRPr="00B83C7C" w:rsidR="00527E8A">
        <w:rPr>
          <w:szCs w:val="22"/>
        </w:rPr>
        <w:t xml:space="preserve"> $500.00 as supported by E-</w:t>
      </w:r>
      <w:r w:rsidR="00FD5DB5">
        <w:rPr>
          <w:szCs w:val="22"/>
        </w:rPr>
        <w:t>R</w:t>
      </w:r>
      <w:r w:rsidRPr="00B83C7C" w:rsidR="00FD5DB5">
        <w:rPr>
          <w:szCs w:val="22"/>
        </w:rPr>
        <w:t xml:space="preserve">ate </w:t>
      </w:r>
      <w:r w:rsidRPr="00B83C7C" w:rsidR="00527E8A">
        <w:rPr>
          <w:szCs w:val="22"/>
        </w:rPr>
        <w:t>documentation</w:t>
      </w:r>
      <w:r w:rsidR="00D90972">
        <w:rPr>
          <w:szCs w:val="22"/>
        </w:rPr>
        <w:t xml:space="preserve">, and to change the urban rates on </w:t>
      </w:r>
      <w:r w:rsidR="00C76232">
        <w:rPr>
          <w:szCs w:val="22"/>
        </w:rPr>
        <w:t xml:space="preserve">sixteen of the 10 Mbps FCC </w:t>
      </w:r>
      <w:r w:rsidRPr="00B83C7C" w:rsidR="009D0CB7">
        <w:rPr>
          <w:szCs w:val="22"/>
        </w:rPr>
        <w:t>Forms 466</w:t>
      </w:r>
      <w:r w:rsidRPr="00B83C7C" w:rsidR="00773B0F">
        <w:rPr>
          <w:szCs w:val="22"/>
        </w:rPr>
        <w:t xml:space="preserve"> to $590.00</w:t>
      </w:r>
      <w:r w:rsidRPr="00B83C7C" w:rsidR="0018489B">
        <w:rPr>
          <w:szCs w:val="22"/>
        </w:rPr>
        <w:t xml:space="preserve"> </w:t>
      </w:r>
      <w:r w:rsidR="00BD7960">
        <w:rPr>
          <w:szCs w:val="22"/>
        </w:rPr>
        <w:t>as supported by</w:t>
      </w:r>
      <w:r w:rsidRPr="00B83C7C" w:rsidR="00773B0F">
        <w:rPr>
          <w:szCs w:val="22"/>
        </w:rPr>
        <w:t xml:space="preserve"> the Frontier tariff</w:t>
      </w:r>
      <w:r w:rsidR="00FD5DB5">
        <w:rPr>
          <w:szCs w:val="22"/>
        </w:rPr>
        <w:t xml:space="preserve"> so that it could </w:t>
      </w:r>
      <w:r w:rsidR="00FD5DB5">
        <w:rPr>
          <w:szCs w:val="22"/>
        </w:rPr>
        <w:t>receive a funding commitment instead of a denial</w:t>
      </w:r>
      <w:r w:rsidRPr="00B83C7C" w:rsidR="00773B0F">
        <w:rPr>
          <w:szCs w:val="22"/>
        </w:rPr>
        <w:t>.</w:t>
      </w:r>
      <w:r>
        <w:rPr>
          <w:rStyle w:val="FootnoteReference"/>
          <w:sz w:val="22"/>
          <w:szCs w:val="22"/>
        </w:rPr>
        <w:footnoteReference w:id="18"/>
      </w:r>
      <w:r w:rsidRPr="00B83C7C" w:rsidR="001B1171">
        <w:rPr>
          <w:szCs w:val="22"/>
        </w:rPr>
        <w:t xml:space="preserve">  </w:t>
      </w:r>
      <w:r w:rsidRPr="00B83C7C" w:rsidR="001F5477">
        <w:rPr>
          <w:szCs w:val="22"/>
        </w:rPr>
        <w:t>USAC used an urban rate</w:t>
      </w:r>
      <w:r w:rsidRPr="00B83C7C" w:rsidR="002604BE">
        <w:rPr>
          <w:szCs w:val="22"/>
        </w:rPr>
        <w:t xml:space="preserve"> of $960</w:t>
      </w:r>
      <w:r w:rsidR="00FD5DB5">
        <w:rPr>
          <w:szCs w:val="22"/>
        </w:rPr>
        <w:t>.00</w:t>
      </w:r>
      <w:r w:rsidRPr="00B83C7C" w:rsidR="002604BE">
        <w:rPr>
          <w:szCs w:val="22"/>
        </w:rPr>
        <w:t xml:space="preserve"> for the 20 </w:t>
      </w:r>
      <w:r w:rsidRPr="00116E28" w:rsidR="002604BE">
        <w:rPr>
          <w:szCs w:val="22"/>
        </w:rPr>
        <w:t>M</w:t>
      </w:r>
      <w:r w:rsidRPr="00116E28" w:rsidR="00BD7960">
        <w:rPr>
          <w:szCs w:val="22"/>
        </w:rPr>
        <w:t>bp</w:t>
      </w:r>
      <w:r w:rsidRPr="00116E28" w:rsidR="002604BE">
        <w:rPr>
          <w:szCs w:val="22"/>
        </w:rPr>
        <w:t xml:space="preserve">s </w:t>
      </w:r>
      <w:r w:rsidRPr="00116E28" w:rsidR="002604BE">
        <w:rPr>
          <w:szCs w:val="22"/>
        </w:rPr>
        <w:t>FRN</w:t>
      </w:r>
      <w:r w:rsidRPr="00116E28" w:rsidR="002604BE">
        <w:rPr>
          <w:szCs w:val="22"/>
        </w:rPr>
        <w:t xml:space="preserve">, which was the </w:t>
      </w:r>
      <w:r w:rsidRPr="00116E28" w:rsidR="009C3E1E">
        <w:rPr>
          <w:szCs w:val="22"/>
        </w:rPr>
        <w:t>urban rate for 100 Mbps service on the Frontier tariff.</w:t>
      </w:r>
      <w:r>
        <w:rPr>
          <w:rStyle w:val="FootnoteReference"/>
          <w:sz w:val="22"/>
          <w:szCs w:val="22"/>
        </w:rPr>
        <w:footnoteReference w:id="19"/>
      </w:r>
      <w:r w:rsidRPr="00116E28" w:rsidR="007E7846">
        <w:rPr>
          <w:szCs w:val="22"/>
        </w:rPr>
        <w:t xml:space="preserve">  On appeal, USAC </w:t>
      </w:r>
      <w:r w:rsidRPr="00116E28" w:rsidR="000C5658">
        <w:rPr>
          <w:szCs w:val="22"/>
        </w:rPr>
        <w:t xml:space="preserve">adjusted </w:t>
      </w:r>
      <w:r w:rsidRPr="00116E28" w:rsidR="00D04767">
        <w:rPr>
          <w:szCs w:val="22"/>
        </w:rPr>
        <w:t>the</w:t>
      </w:r>
      <w:r w:rsidRPr="00116E28" w:rsidR="000C5658">
        <w:rPr>
          <w:szCs w:val="22"/>
        </w:rPr>
        <w:t xml:space="preserve"> funding commitment</w:t>
      </w:r>
      <w:r w:rsidRPr="00116E28" w:rsidR="00D04767">
        <w:rPr>
          <w:szCs w:val="22"/>
        </w:rPr>
        <w:t xml:space="preserve"> for 20 Mbps Ethernet service</w:t>
      </w:r>
      <w:r w:rsidRPr="00116E28" w:rsidR="000C5658">
        <w:rPr>
          <w:szCs w:val="22"/>
        </w:rPr>
        <w:t xml:space="preserve"> to reflect the</w:t>
      </w:r>
      <w:r w:rsidRPr="00116E28" w:rsidR="00D04767">
        <w:rPr>
          <w:szCs w:val="22"/>
        </w:rPr>
        <w:t xml:space="preserve"> $590.00 urban rate</w:t>
      </w:r>
      <w:r w:rsidRPr="00116E28" w:rsidR="00D01202">
        <w:rPr>
          <w:szCs w:val="22"/>
        </w:rPr>
        <w:t xml:space="preserve"> for 10 M</w:t>
      </w:r>
      <w:r w:rsidRPr="00116E28" w:rsidR="00BD7960">
        <w:rPr>
          <w:szCs w:val="22"/>
        </w:rPr>
        <w:t>bp</w:t>
      </w:r>
      <w:r w:rsidRPr="00116E28" w:rsidR="00D01202">
        <w:rPr>
          <w:szCs w:val="22"/>
        </w:rPr>
        <w:t>s in the</w:t>
      </w:r>
      <w:r w:rsidRPr="00116E28" w:rsidR="000C5658">
        <w:rPr>
          <w:szCs w:val="22"/>
        </w:rPr>
        <w:t xml:space="preserve"> Frontier tariff</w:t>
      </w:r>
      <w:r w:rsidRPr="00116E28" w:rsidR="00D04767">
        <w:rPr>
          <w:szCs w:val="22"/>
        </w:rPr>
        <w:t>.</w:t>
      </w:r>
      <w:r>
        <w:rPr>
          <w:rStyle w:val="FootnoteReference"/>
          <w:sz w:val="22"/>
          <w:szCs w:val="22"/>
        </w:rPr>
        <w:footnoteReference w:id="20"/>
      </w:r>
      <w:r w:rsidRPr="00116E28" w:rsidR="00773B0F">
        <w:rPr>
          <w:szCs w:val="22"/>
        </w:rPr>
        <w:t xml:space="preserve">  </w:t>
      </w:r>
      <w:r w:rsidRPr="00116E28">
        <w:rPr>
          <w:szCs w:val="22"/>
        </w:rPr>
        <w:t xml:space="preserve"> </w:t>
      </w:r>
    </w:p>
    <w:p w:rsidR="00CE2A4C" w:rsidRPr="00116E28" w:rsidP="00CC4D5A" w14:paraId="5328FA1D" w14:textId="198A2A95">
      <w:pPr>
        <w:pStyle w:val="ParaNum"/>
        <w:rPr>
          <w:snapToGrid/>
          <w:kern w:val="0"/>
          <w:szCs w:val="22"/>
        </w:rPr>
      </w:pPr>
      <w:r w:rsidRPr="00116E28">
        <w:rPr>
          <w:szCs w:val="22"/>
        </w:rPr>
        <w:t>CCWV</w:t>
      </w:r>
      <w:r w:rsidRPr="00116E28" w:rsidR="00CC0882">
        <w:rPr>
          <w:szCs w:val="22"/>
        </w:rPr>
        <w:t xml:space="preserve"> </w:t>
      </w:r>
      <w:r w:rsidRPr="00116E28">
        <w:rPr>
          <w:szCs w:val="22"/>
        </w:rPr>
        <w:t>requests that</w:t>
      </w:r>
      <w:r w:rsidRPr="00116E28" w:rsidR="009C0378">
        <w:rPr>
          <w:szCs w:val="22"/>
        </w:rPr>
        <w:t xml:space="preserve"> the Commission find that the</w:t>
      </w:r>
      <w:r w:rsidRPr="00116E28" w:rsidR="006416F6">
        <w:rPr>
          <w:szCs w:val="22"/>
        </w:rPr>
        <w:t xml:space="preserve"> urban rates from the</w:t>
      </w:r>
      <w:r w:rsidRPr="00116E28" w:rsidR="009C0378">
        <w:rPr>
          <w:szCs w:val="22"/>
        </w:rPr>
        <w:t xml:space="preserve"> Lumos</w:t>
      </w:r>
      <w:r w:rsidRPr="00116E28" w:rsidR="00974BDC">
        <w:rPr>
          <w:szCs w:val="22"/>
        </w:rPr>
        <w:t xml:space="preserve"> pricing sheet</w:t>
      </w:r>
      <w:r w:rsidRPr="00116E28" w:rsidR="006416F6">
        <w:rPr>
          <w:szCs w:val="22"/>
        </w:rPr>
        <w:t xml:space="preserve"> are publicly available as required by Commission rules.</w:t>
      </w:r>
      <w:r>
        <w:rPr>
          <w:rStyle w:val="FootnoteReference"/>
          <w:sz w:val="22"/>
          <w:szCs w:val="22"/>
        </w:rPr>
        <w:footnoteReference w:id="21"/>
      </w:r>
      <w:r w:rsidRPr="00116E28" w:rsidR="00222D8B">
        <w:rPr>
          <w:szCs w:val="22"/>
        </w:rPr>
        <w:t xml:space="preserve"> </w:t>
      </w:r>
      <w:r w:rsidRPr="00116E28" w:rsidR="00CC0882">
        <w:rPr>
          <w:szCs w:val="22"/>
        </w:rPr>
        <w:t xml:space="preserve"> </w:t>
      </w:r>
      <w:r w:rsidRPr="00116E28" w:rsidR="00093DEE">
        <w:rPr>
          <w:snapToGrid/>
          <w:kern w:val="0"/>
          <w:szCs w:val="22"/>
        </w:rPr>
        <w:t xml:space="preserve">In the alternative, </w:t>
      </w:r>
      <w:r w:rsidRPr="00116E28" w:rsidR="00093DEE">
        <w:rPr>
          <w:snapToGrid/>
          <w:kern w:val="0"/>
          <w:szCs w:val="22"/>
        </w:rPr>
        <w:t>CCWV</w:t>
      </w:r>
      <w:r w:rsidRPr="00116E28" w:rsidR="00BA3AA9">
        <w:rPr>
          <w:snapToGrid/>
          <w:kern w:val="0"/>
          <w:szCs w:val="22"/>
        </w:rPr>
        <w:t xml:space="preserve"> requests a waiver of </w:t>
      </w:r>
      <w:r w:rsidRPr="00116E28" w:rsidR="00D96B58">
        <w:rPr>
          <w:snapToGrid/>
          <w:kern w:val="0"/>
          <w:szCs w:val="22"/>
        </w:rPr>
        <w:t xml:space="preserve">the requirement in </w:t>
      </w:r>
      <w:r w:rsidR="003C6738">
        <w:rPr>
          <w:snapToGrid/>
          <w:kern w:val="0"/>
          <w:szCs w:val="22"/>
        </w:rPr>
        <w:t xml:space="preserve">section </w:t>
      </w:r>
      <w:r w:rsidRPr="00116E28" w:rsidR="00570907">
        <w:rPr>
          <w:snapToGrid/>
          <w:kern w:val="0"/>
          <w:szCs w:val="22"/>
        </w:rPr>
        <w:t>54.605</w:t>
      </w:r>
      <w:r w:rsidRPr="00116E28" w:rsidR="00C34DF6">
        <w:rPr>
          <w:snapToGrid/>
          <w:kern w:val="0"/>
          <w:szCs w:val="22"/>
        </w:rPr>
        <w:t xml:space="preserve"> </w:t>
      </w:r>
      <w:r w:rsidR="003C6738">
        <w:rPr>
          <w:snapToGrid/>
          <w:kern w:val="0"/>
          <w:szCs w:val="22"/>
        </w:rPr>
        <w:t xml:space="preserve">of the Commission’s rules </w:t>
      </w:r>
      <w:r w:rsidRPr="00116E28" w:rsidR="00C34DF6">
        <w:rPr>
          <w:snapToGrid/>
          <w:kern w:val="0"/>
          <w:szCs w:val="22"/>
        </w:rPr>
        <w:t>that urban rates be publicly</w:t>
      </w:r>
      <w:r w:rsidRPr="00116E28" w:rsidR="00B31BDD">
        <w:rPr>
          <w:snapToGrid/>
          <w:kern w:val="0"/>
          <w:szCs w:val="22"/>
        </w:rPr>
        <w:t xml:space="preserve"> available</w:t>
      </w:r>
      <w:r w:rsidRPr="00116E28" w:rsidR="001711DA">
        <w:rPr>
          <w:snapToGrid/>
          <w:kern w:val="0"/>
          <w:szCs w:val="22"/>
        </w:rPr>
        <w:t xml:space="preserve"> on grounds that USAC’s interpretation of the rule </w:t>
      </w:r>
      <w:r w:rsidRPr="00116E28" w:rsidR="00B563A4">
        <w:rPr>
          <w:snapToGrid/>
          <w:kern w:val="0"/>
          <w:szCs w:val="22"/>
        </w:rPr>
        <w:t xml:space="preserve">has placed an unreasonable burden on </w:t>
      </w:r>
      <w:r w:rsidRPr="00116E28" w:rsidR="00B563A4">
        <w:rPr>
          <w:snapToGrid/>
          <w:kern w:val="0"/>
          <w:szCs w:val="22"/>
        </w:rPr>
        <w:t>CCWV</w:t>
      </w:r>
      <w:r w:rsidRPr="00116E28" w:rsidR="00076DB8">
        <w:rPr>
          <w:snapToGrid/>
          <w:kern w:val="0"/>
          <w:szCs w:val="22"/>
        </w:rPr>
        <w:t xml:space="preserve"> and caused significant financial harm</w:t>
      </w:r>
      <w:r w:rsidRPr="00116E28" w:rsidR="00B83C7C">
        <w:rPr>
          <w:snapToGrid/>
          <w:kern w:val="0"/>
          <w:szCs w:val="22"/>
        </w:rPr>
        <w:t>.</w:t>
      </w:r>
      <w:r>
        <w:rPr>
          <w:rStyle w:val="FootnoteReference"/>
          <w:snapToGrid/>
          <w:kern w:val="0"/>
          <w:szCs w:val="22"/>
        </w:rPr>
        <w:footnoteReference w:id="22"/>
      </w:r>
    </w:p>
    <w:p w:rsidR="00CC4D5A" w:rsidRPr="00116E28" w:rsidP="00CC4D5A" w14:paraId="4109F9A4" w14:textId="77777777">
      <w:pPr>
        <w:pStyle w:val="Heading1"/>
        <w:rPr>
          <w:szCs w:val="22"/>
        </w:rPr>
      </w:pPr>
      <w:r w:rsidRPr="00116E28">
        <w:rPr>
          <w:szCs w:val="22"/>
        </w:rPr>
        <w:t>discussion</w:t>
      </w:r>
    </w:p>
    <w:p w:rsidR="00C333CE" w:rsidRPr="00116E28" w:rsidP="00C333CE" w14:paraId="1F3E0763" w14:textId="34020D86">
      <w:pPr>
        <w:pStyle w:val="ParaNum"/>
        <w:rPr>
          <w:szCs w:val="22"/>
        </w:rPr>
      </w:pPr>
      <w:r w:rsidRPr="00116E28">
        <w:rPr>
          <w:szCs w:val="22"/>
        </w:rPr>
        <w:t>W</w:t>
      </w:r>
      <w:r w:rsidRPr="00116E28" w:rsidR="00DE2928">
        <w:rPr>
          <w:szCs w:val="22"/>
        </w:rPr>
        <w:t xml:space="preserve">e grant </w:t>
      </w:r>
      <w:r w:rsidRPr="00116E28" w:rsidR="00DE2928">
        <w:rPr>
          <w:szCs w:val="22"/>
        </w:rPr>
        <w:t>CCWV’s</w:t>
      </w:r>
      <w:r w:rsidRPr="00116E28" w:rsidR="00DE2928">
        <w:rPr>
          <w:szCs w:val="22"/>
        </w:rPr>
        <w:t xml:space="preserve"> request for review and </w:t>
      </w:r>
      <w:r w:rsidRPr="00116E28" w:rsidR="00107C23">
        <w:rPr>
          <w:szCs w:val="22"/>
        </w:rPr>
        <w:t>find</w:t>
      </w:r>
      <w:r w:rsidRPr="00116E28" w:rsidR="00DE2928">
        <w:rPr>
          <w:szCs w:val="22"/>
        </w:rPr>
        <w:t xml:space="preserve"> that the urban rates</w:t>
      </w:r>
      <w:r w:rsidRPr="00116E28" w:rsidR="00172BA2">
        <w:rPr>
          <w:szCs w:val="22"/>
        </w:rPr>
        <w:t xml:space="preserve"> from the Lumos pricing sheet</w:t>
      </w:r>
      <w:r w:rsidRPr="00116E28" w:rsidR="00DE2928">
        <w:rPr>
          <w:szCs w:val="22"/>
        </w:rPr>
        <w:t xml:space="preserve"> </w:t>
      </w:r>
      <w:r w:rsidRPr="00116E28" w:rsidR="00172BA2">
        <w:rPr>
          <w:szCs w:val="22"/>
        </w:rPr>
        <w:t xml:space="preserve">submitted to USAC </w:t>
      </w:r>
      <w:r w:rsidRPr="00116E28" w:rsidR="00D17AB6">
        <w:rPr>
          <w:szCs w:val="22"/>
        </w:rPr>
        <w:t>were</w:t>
      </w:r>
      <w:r w:rsidRPr="00116E28" w:rsidR="00172BA2">
        <w:rPr>
          <w:szCs w:val="22"/>
        </w:rPr>
        <w:t xml:space="preserve"> publicly</w:t>
      </w:r>
      <w:r w:rsidRPr="00116E28" w:rsidR="00312340">
        <w:rPr>
          <w:szCs w:val="22"/>
        </w:rPr>
        <w:t xml:space="preserve"> </w:t>
      </w:r>
      <w:r w:rsidRPr="00116E28" w:rsidR="00172BA2">
        <w:rPr>
          <w:szCs w:val="22"/>
        </w:rPr>
        <w:t>available</w:t>
      </w:r>
      <w:r w:rsidRPr="00116E28" w:rsidR="008C73A0">
        <w:rPr>
          <w:szCs w:val="22"/>
        </w:rPr>
        <w:t xml:space="preserve">.  Commission rules in effect for FY 2018 required that </w:t>
      </w:r>
      <w:r w:rsidRPr="00116E28" w:rsidR="007748C0">
        <w:rPr>
          <w:szCs w:val="22"/>
        </w:rPr>
        <w:t>the urban rate “shall be a rate no higher than the highest tariffed or publicly-available rate</w:t>
      </w:r>
      <w:r w:rsidRPr="00116E28" w:rsidR="0086202A">
        <w:rPr>
          <w:szCs w:val="22"/>
        </w:rPr>
        <w:t xml:space="preserve"> charged to a commercial customer for a functionally similar service in any city with a population of </w:t>
      </w:r>
      <w:r w:rsidRPr="00116E28">
        <w:rPr>
          <w:szCs w:val="22"/>
        </w:rPr>
        <w:t>50,000 or more in that state</w:t>
      </w:r>
      <w:r w:rsidR="00200B4D">
        <w:rPr>
          <w:szCs w:val="22"/>
        </w:rPr>
        <w:t>[</w:t>
      </w:r>
      <w:r w:rsidRPr="00116E28">
        <w:rPr>
          <w:szCs w:val="22"/>
        </w:rPr>
        <w:t>.</w:t>
      </w:r>
      <w:r w:rsidR="00200B4D">
        <w:rPr>
          <w:szCs w:val="22"/>
        </w:rPr>
        <w:t>]</w:t>
      </w:r>
      <w:r w:rsidRPr="00116E28">
        <w:rPr>
          <w:szCs w:val="22"/>
        </w:rPr>
        <w:t>”</w:t>
      </w:r>
      <w:r>
        <w:rPr>
          <w:rStyle w:val="FootnoteReference"/>
          <w:szCs w:val="22"/>
        </w:rPr>
        <w:footnoteReference w:id="23"/>
      </w:r>
      <w:r w:rsidRPr="00116E28" w:rsidR="00615C9E">
        <w:rPr>
          <w:szCs w:val="22"/>
        </w:rPr>
        <w:t xml:space="preserve">  </w:t>
      </w:r>
      <w:r w:rsidRPr="00116E28" w:rsidR="00936F0E">
        <w:rPr>
          <w:szCs w:val="22"/>
        </w:rPr>
        <w:t xml:space="preserve">The Commission has </w:t>
      </w:r>
      <w:r w:rsidRPr="00116E28" w:rsidR="00B06664">
        <w:rPr>
          <w:szCs w:val="22"/>
        </w:rPr>
        <w:t xml:space="preserve">previously noted that </w:t>
      </w:r>
      <w:r w:rsidRPr="00116E28" w:rsidR="001E3443">
        <w:rPr>
          <w:szCs w:val="22"/>
        </w:rPr>
        <w:t>urban rate documentation could include “tariff pages, contracts, signed letters on a service provider’s letterhead, rate pricing information</w:t>
      </w:r>
      <w:r w:rsidRPr="00116E28" w:rsidR="0074660C">
        <w:rPr>
          <w:szCs w:val="22"/>
        </w:rPr>
        <w:t xml:space="preserve"> from a service provider’s website, or similar documentation showing how the urban rate was obtained.”</w:t>
      </w:r>
      <w:r>
        <w:rPr>
          <w:rStyle w:val="FootnoteReference"/>
          <w:szCs w:val="22"/>
        </w:rPr>
        <w:footnoteReference w:id="24"/>
      </w:r>
      <w:r w:rsidRPr="00116E28" w:rsidR="00F74CD1">
        <w:rPr>
          <w:szCs w:val="22"/>
        </w:rPr>
        <w:t xml:space="preserve">  </w:t>
      </w:r>
      <w:r w:rsidRPr="00116E28" w:rsidR="00CC34F0">
        <w:rPr>
          <w:szCs w:val="22"/>
        </w:rPr>
        <w:t xml:space="preserve">Though the </w:t>
      </w:r>
      <w:r w:rsidRPr="00116E28" w:rsidR="008E477D">
        <w:rPr>
          <w:szCs w:val="22"/>
        </w:rPr>
        <w:t xml:space="preserve">rates from the </w:t>
      </w:r>
      <w:r w:rsidRPr="00116E28" w:rsidR="00CC34F0">
        <w:rPr>
          <w:szCs w:val="22"/>
        </w:rPr>
        <w:t xml:space="preserve">Lumos pricing sheet submitted by </w:t>
      </w:r>
      <w:r w:rsidRPr="00116E28" w:rsidR="00CC34F0">
        <w:rPr>
          <w:szCs w:val="22"/>
        </w:rPr>
        <w:t>CCWV</w:t>
      </w:r>
      <w:r w:rsidRPr="00116E28" w:rsidR="00D20E2B">
        <w:rPr>
          <w:szCs w:val="22"/>
        </w:rPr>
        <w:t xml:space="preserve"> were not </w:t>
      </w:r>
      <w:r w:rsidRPr="00116E28" w:rsidR="00454601">
        <w:rPr>
          <w:szCs w:val="22"/>
        </w:rPr>
        <w:t>posted on the Lumos websi</w:t>
      </w:r>
      <w:r w:rsidRPr="00116E28" w:rsidR="00A81CB5">
        <w:rPr>
          <w:szCs w:val="22"/>
        </w:rPr>
        <w:t>te</w:t>
      </w:r>
      <w:r w:rsidRPr="00116E28" w:rsidR="005F2A2C">
        <w:rPr>
          <w:szCs w:val="22"/>
        </w:rPr>
        <w:t xml:space="preserve"> or another public forum</w:t>
      </w:r>
      <w:r w:rsidRPr="00116E28" w:rsidR="00A81CB5">
        <w:rPr>
          <w:szCs w:val="22"/>
        </w:rPr>
        <w:t xml:space="preserve">, </w:t>
      </w:r>
      <w:r w:rsidRPr="00116E28" w:rsidR="00701170">
        <w:rPr>
          <w:szCs w:val="22"/>
        </w:rPr>
        <w:t xml:space="preserve">the full pricing sheet was </w:t>
      </w:r>
      <w:r w:rsidRPr="00116E28" w:rsidR="008A0B6D">
        <w:rPr>
          <w:szCs w:val="22"/>
        </w:rPr>
        <w:t xml:space="preserve">provided </w:t>
      </w:r>
      <w:r w:rsidR="00210756">
        <w:rPr>
          <w:szCs w:val="22"/>
        </w:rPr>
        <w:t xml:space="preserve">upon request </w:t>
      </w:r>
      <w:r w:rsidRPr="00116E28" w:rsidR="008A0B6D">
        <w:rPr>
          <w:szCs w:val="22"/>
        </w:rPr>
        <w:t xml:space="preserve">to </w:t>
      </w:r>
      <w:r w:rsidRPr="00116E28" w:rsidR="008A0B6D">
        <w:rPr>
          <w:szCs w:val="22"/>
        </w:rPr>
        <w:t>TeleQuality</w:t>
      </w:r>
      <w:r w:rsidRPr="00116E28" w:rsidR="008A0B6D">
        <w:rPr>
          <w:szCs w:val="22"/>
        </w:rPr>
        <w:t xml:space="preserve">, a competing service provider, </w:t>
      </w:r>
      <w:r w:rsidR="007337DB">
        <w:rPr>
          <w:szCs w:val="22"/>
        </w:rPr>
        <w:t xml:space="preserve">and </w:t>
      </w:r>
      <w:r w:rsidR="00D64F2B">
        <w:rPr>
          <w:szCs w:val="22"/>
        </w:rPr>
        <w:t>submitted to USAC</w:t>
      </w:r>
      <w:r w:rsidR="00AF6EA6">
        <w:rPr>
          <w:szCs w:val="22"/>
        </w:rPr>
        <w:t xml:space="preserve"> with </w:t>
      </w:r>
      <w:r w:rsidR="00AF6EA6">
        <w:rPr>
          <w:szCs w:val="22"/>
        </w:rPr>
        <w:t>CCWV</w:t>
      </w:r>
      <w:r w:rsidR="00210756">
        <w:rPr>
          <w:szCs w:val="22"/>
        </w:rPr>
        <w:t>’s</w:t>
      </w:r>
      <w:r w:rsidR="00AF6EA6">
        <w:rPr>
          <w:szCs w:val="22"/>
        </w:rPr>
        <w:t xml:space="preserve"> FCC Form 466</w:t>
      </w:r>
      <w:r w:rsidR="00210756">
        <w:rPr>
          <w:szCs w:val="22"/>
        </w:rPr>
        <w:t xml:space="preserve"> filings</w:t>
      </w:r>
      <w:r w:rsidR="00AF6EA6">
        <w:rPr>
          <w:szCs w:val="22"/>
        </w:rPr>
        <w:t>.</w:t>
      </w:r>
      <w:r w:rsidR="00D64F2B">
        <w:rPr>
          <w:szCs w:val="22"/>
        </w:rPr>
        <w:t xml:space="preserve"> </w:t>
      </w:r>
      <w:r w:rsidR="00D87F5A">
        <w:rPr>
          <w:szCs w:val="22"/>
        </w:rPr>
        <w:t xml:space="preserve"> T</w:t>
      </w:r>
      <w:r w:rsidR="007337DB">
        <w:rPr>
          <w:szCs w:val="22"/>
        </w:rPr>
        <w:t>here is no evidence that Lumos</w:t>
      </w:r>
      <w:r w:rsidRPr="00116E28" w:rsidR="003D28D1">
        <w:rPr>
          <w:szCs w:val="22"/>
        </w:rPr>
        <w:t xml:space="preserve"> request</w:t>
      </w:r>
      <w:r w:rsidR="00D87F5A">
        <w:rPr>
          <w:szCs w:val="22"/>
        </w:rPr>
        <w:t>ed</w:t>
      </w:r>
      <w:r w:rsidRPr="00116E28" w:rsidR="003D28D1">
        <w:rPr>
          <w:szCs w:val="22"/>
        </w:rPr>
        <w:t xml:space="preserve"> </w:t>
      </w:r>
      <w:r w:rsidR="007337DB">
        <w:rPr>
          <w:szCs w:val="22"/>
        </w:rPr>
        <w:t>that the rates be kept</w:t>
      </w:r>
      <w:r w:rsidRPr="00116E28" w:rsidR="003D28D1">
        <w:rPr>
          <w:szCs w:val="22"/>
        </w:rPr>
        <w:t xml:space="preserve"> confidential</w:t>
      </w:r>
      <w:r w:rsidR="00A406BE">
        <w:rPr>
          <w:szCs w:val="22"/>
        </w:rPr>
        <w:t>, either when providing the rates</w:t>
      </w:r>
      <w:r w:rsidR="00476766">
        <w:rPr>
          <w:szCs w:val="22"/>
        </w:rPr>
        <w:t xml:space="preserve"> or when the rates were </w:t>
      </w:r>
      <w:r w:rsidRPr="00116E28" w:rsidR="00476766">
        <w:rPr>
          <w:szCs w:val="22"/>
        </w:rPr>
        <w:t>publicly filed with the Commission without redactions as part of the Request for Review and/or Waiver.</w:t>
      </w:r>
      <w:r>
        <w:rPr>
          <w:rStyle w:val="FootnoteReference"/>
          <w:szCs w:val="22"/>
        </w:rPr>
        <w:footnoteReference w:id="25"/>
      </w:r>
      <w:r w:rsidRPr="00116E28" w:rsidR="00476766">
        <w:rPr>
          <w:szCs w:val="22"/>
        </w:rPr>
        <w:t xml:space="preserve"> </w:t>
      </w:r>
      <w:r w:rsidRPr="00116E28" w:rsidR="00F7303F">
        <w:rPr>
          <w:szCs w:val="22"/>
        </w:rPr>
        <w:t xml:space="preserve"> </w:t>
      </w:r>
      <w:r w:rsidR="00793BC1">
        <w:rPr>
          <w:szCs w:val="22"/>
        </w:rPr>
        <w:t>T</w:t>
      </w:r>
      <w:r w:rsidR="00B23519">
        <w:rPr>
          <w:szCs w:val="22"/>
        </w:rPr>
        <w:t xml:space="preserve">he </w:t>
      </w:r>
      <w:r w:rsidR="004101A4">
        <w:rPr>
          <w:szCs w:val="22"/>
        </w:rPr>
        <w:t xml:space="preserve">letters from </w:t>
      </w:r>
      <w:r w:rsidR="004101A4">
        <w:rPr>
          <w:szCs w:val="22"/>
        </w:rPr>
        <w:t>TeleQuality</w:t>
      </w:r>
      <w:r w:rsidR="004101A4">
        <w:rPr>
          <w:szCs w:val="22"/>
        </w:rPr>
        <w:t xml:space="preserve"> submitted with the </w:t>
      </w:r>
      <w:r w:rsidR="004101A4">
        <w:rPr>
          <w:szCs w:val="22"/>
        </w:rPr>
        <w:t>CCWV</w:t>
      </w:r>
      <w:r w:rsidR="004101A4">
        <w:rPr>
          <w:szCs w:val="22"/>
        </w:rPr>
        <w:t xml:space="preserve"> FCC Forms 466</w:t>
      </w:r>
      <w:r w:rsidR="00C24174">
        <w:rPr>
          <w:szCs w:val="22"/>
        </w:rPr>
        <w:t xml:space="preserve"> assert that any retail customer can request </w:t>
      </w:r>
      <w:r w:rsidR="006D2112">
        <w:rPr>
          <w:szCs w:val="22"/>
        </w:rPr>
        <w:t>urban rates from Lumos and</w:t>
      </w:r>
      <w:r w:rsidR="00927CD0">
        <w:rPr>
          <w:szCs w:val="22"/>
        </w:rPr>
        <w:t xml:space="preserve"> provide a phone number and email address</w:t>
      </w:r>
      <w:r w:rsidR="00210756">
        <w:rPr>
          <w:szCs w:val="22"/>
        </w:rPr>
        <w:t xml:space="preserve"> to request such rates</w:t>
      </w:r>
      <w:r w:rsidR="00C24174">
        <w:rPr>
          <w:szCs w:val="22"/>
        </w:rPr>
        <w:t>.</w:t>
      </w:r>
      <w:r>
        <w:rPr>
          <w:rStyle w:val="FootnoteReference"/>
          <w:szCs w:val="22"/>
        </w:rPr>
        <w:footnoteReference w:id="26"/>
      </w:r>
      <w:r w:rsidR="00C24174">
        <w:rPr>
          <w:szCs w:val="22"/>
        </w:rPr>
        <w:t xml:space="preserve">  </w:t>
      </w:r>
      <w:r w:rsidRPr="00116E28" w:rsidR="008F367C">
        <w:rPr>
          <w:szCs w:val="22"/>
        </w:rPr>
        <w:t>The</w:t>
      </w:r>
      <w:r w:rsidRPr="00116E28" w:rsidR="00030DA0">
        <w:rPr>
          <w:szCs w:val="22"/>
        </w:rPr>
        <w:t xml:space="preserve"> Lumos urban rates were subsequently verified by a signed letter on Lumos letterhead</w:t>
      </w:r>
      <w:r w:rsidR="00FE35D4">
        <w:rPr>
          <w:szCs w:val="22"/>
        </w:rPr>
        <w:t xml:space="preserve">, </w:t>
      </w:r>
      <w:r w:rsidR="007D0186">
        <w:rPr>
          <w:szCs w:val="22"/>
        </w:rPr>
        <w:t>an example of urban rate justification previously identified by the Commission</w:t>
      </w:r>
      <w:r w:rsidR="00793BC1">
        <w:rPr>
          <w:szCs w:val="22"/>
        </w:rPr>
        <w:t>.</w:t>
      </w:r>
      <w:r>
        <w:rPr>
          <w:rStyle w:val="FootnoteReference"/>
          <w:szCs w:val="22"/>
        </w:rPr>
        <w:footnoteReference w:id="27"/>
      </w:r>
      <w:r w:rsidR="00793BC1">
        <w:rPr>
          <w:szCs w:val="22"/>
        </w:rPr>
        <w:t xml:space="preserve">  </w:t>
      </w:r>
      <w:r w:rsidRPr="00116E28" w:rsidR="00E23207">
        <w:rPr>
          <w:szCs w:val="22"/>
        </w:rPr>
        <w:t>The Lu</w:t>
      </w:r>
      <w:r w:rsidRPr="00116E28" w:rsidR="006056FD">
        <w:rPr>
          <w:szCs w:val="22"/>
        </w:rPr>
        <w:t>mos documentation also included an “On</w:t>
      </w:r>
      <w:r w:rsidRPr="00116E28" w:rsidR="00E10CB3">
        <w:rPr>
          <w:szCs w:val="22"/>
        </w:rPr>
        <w:t xml:space="preserve">-Net Building List” </w:t>
      </w:r>
      <w:r w:rsidRPr="00116E28" w:rsidR="00630C03">
        <w:rPr>
          <w:szCs w:val="22"/>
        </w:rPr>
        <w:t>that identified commercial customers</w:t>
      </w:r>
      <w:r w:rsidRPr="00116E28" w:rsidR="003E7AAE">
        <w:rPr>
          <w:szCs w:val="22"/>
        </w:rPr>
        <w:t xml:space="preserve"> in Charleston, </w:t>
      </w:r>
      <w:r w:rsidRPr="00116E28" w:rsidR="00FD5DB5">
        <w:rPr>
          <w:szCs w:val="22"/>
        </w:rPr>
        <w:t>West Virginia</w:t>
      </w:r>
      <w:r w:rsidRPr="00116E28" w:rsidR="003E7AAE">
        <w:rPr>
          <w:szCs w:val="22"/>
        </w:rPr>
        <w:t>.</w:t>
      </w:r>
      <w:r>
        <w:rPr>
          <w:rStyle w:val="FootnoteReference"/>
          <w:szCs w:val="22"/>
        </w:rPr>
        <w:footnoteReference w:id="28"/>
      </w:r>
    </w:p>
    <w:p w:rsidR="005F2EC9" w:rsidRPr="00116E28" w:rsidP="00C333CE" w14:paraId="5CB15D04" w14:textId="1066BE0F">
      <w:pPr>
        <w:pStyle w:val="ParaNum"/>
        <w:rPr>
          <w:szCs w:val="22"/>
        </w:rPr>
      </w:pPr>
      <w:r w:rsidRPr="00116E28">
        <w:rPr>
          <w:szCs w:val="22"/>
        </w:rPr>
        <w:t>We find</w:t>
      </w:r>
      <w:r w:rsidRPr="00116E28" w:rsidR="00680592">
        <w:rPr>
          <w:szCs w:val="22"/>
        </w:rPr>
        <w:t xml:space="preserve">, consistent with previous </w:t>
      </w:r>
      <w:r w:rsidR="00422155">
        <w:rPr>
          <w:szCs w:val="22"/>
        </w:rPr>
        <w:t>Commission guidance</w:t>
      </w:r>
      <w:r w:rsidRPr="00116E28" w:rsidR="00680592">
        <w:rPr>
          <w:szCs w:val="22"/>
        </w:rPr>
        <w:t>,</w:t>
      </w:r>
      <w:r w:rsidRPr="00116E28">
        <w:rPr>
          <w:szCs w:val="22"/>
        </w:rPr>
        <w:t xml:space="preserve"> that </w:t>
      </w:r>
      <w:r w:rsidRPr="00116E28" w:rsidR="00933B30">
        <w:rPr>
          <w:szCs w:val="22"/>
        </w:rPr>
        <w:t xml:space="preserve">a pricing sheet </w:t>
      </w:r>
      <w:r w:rsidR="008C5E71">
        <w:rPr>
          <w:szCs w:val="22"/>
        </w:rPr>
        <w:t xml:space="preserve">made available </w:t>
      </w:r>
      <w:r w:rsidRPr="00116E28" w:rsidR="00933B30">
        <w:rPr>
          <w:szCs w:val="22"/>
        </w:rPr>
        <w:t>b</w:t>
      </w:r>
      <w:r w:rsidRPr="00116E28" w:rsidR="00D07C09">
        <w:rPr>
          <w:szCs w:val="22"/>
        </w:rPr>
        <w:t>y a service provider</w:t>
      </w:r>
      <w:r w:rsidR="00433DFA">
        <w:rPr>
          <w:szCs w:val="22"/>
        </w:rPr>
        <w:t xml:space="preserve"> to any interested party</w:t>
      </w:r>
      <w:r w:rsidRPr="00116E28" w:rsidR="00D07C09">
        <w:rPr>
          <w:szCs w:val="22"/>
        </w:rPr>
        <w:t xml:space="preserve"> and verified by a signed letter on </w:t>
      </w:r>
      <w:r w:rsidRPr="00116E28" w:rsidR="00D41878">
        <w:rPr>
          <w:szCs w:val="22"/>
        </w:rPr>
        <w:t xml:space="preserve">the service provider’s letterhead </w:t>
      </w:r>
      <w:r w:rsidRPr="00116E28" w:rsidR="00941E64">
        <w:rPr>
          <w:szCs w:val="22"/>
        </w:rPr>
        <w:t>is</w:t>
      </w:r>
      <w:r w:rsidRPr="00116E28" w:rsidR="008265F5">
        <w:rPr>
          <w:szCs w:val="22"/>
        </w:rPr>
        <w:t xml:space="preserve"> a</w:t>
      </w:r>
      <w:r w:rsidRPr="00116E28" w:rsidR="00D41878">
        <w:rPr>
          <w:szCs w:val="22"/>
        </w:rPr>
        <w:t xml:space="preserve"> sufficient d</w:t>
      </w:r>
      <w:r w:rsidRPr="00116E28" w:rsidR="008265F5">
        <w:rPr>
          <w:szCs w:val="22"/>
        </w:rPr>
        <w:t xml:space="preserve">emonstration that </w:t>
      </w:r>
      <w:r w:rsidRPr="00116E28" w:rsidR="00C66266">
        <w:rPr>
          <w:szCs w:val="22"/>
        </w:rPr>
        <w:t>a</w:t>
      </w:r>
      <w:r w:rsidRPr="00116E28" w:rsidR="00941E64">
        <w:rPr>
          <w:szCs w:val="22"/>
        </w:rPr>
        <w:t>n urban rate</w:t>
      </w:r>
      <w:r w:rsidRPr="00116E28" w:rsidR="00436B84">
        <w:rPr>
          <w:szCs w:val="22"/>
        </w:rPr>
        <w:t xml:space="preserve"> </w:t>
      </w:r>
      <w:r w:rsidRPr="00116E28" w:rsidR="00C66266">
        <w:rPr>
          <w:szCs w:val="22"/>
        </w:rPr>
        <w:t>is</w:t>
      </w:r>
      <w:r w:rsidRPr="00116E28" w:rsidR="00436B84">
        <w:rPr>
          <w:szCs w:val="22"/>
        </w:rPr>
        <w:t xml:space="preserve"> publicly available. </w:t>
      </w:r>
      <w:r w:rsidRPr="00116E28" w:rsidR="00D07C09">
        <w:rPr>
          <w:szCs w:val="22"/>
        </w:rPr>
        <w:t xml:space="preserve"> </w:t>
      </w:r>
      <w:r w:rsidRPr="00116E28" w:rsidR="00FD5DB5">
        <w:rPr>
          <w:szCs w:val="22"/>
        </w:rPr>
        <w:t>Posting on a public website is not required for a rate to be “publicly available” under section 54.605</w:t>
      </w:r>
      <w:r w:rsidR="008C5E71">
        <w:rPr>
          <w:szCs w:val="22"/>
        </w:rPr>
        <w:t xml:space="preserve"> of the rules</w:t>
      </w:r>
      <w:r w:rsidRPr="00116E28" w:rsidR="00FD5DB5">
        <w:rPr>
          <w:szCs w:val="22"/>
        </w:rPr>
        <w:t xml:space="preserve">.  </w:t>
      </w:r>
      <w:r w:rsidRPr="00116E28" w:rsidR="003C0333">
        <w:rPr>
          <w:szCs w:val="22"/>
        </w:rPr>
        <w:t xml:space="preserve">We instruct USAC to </w:t>
      </w:r>
      <w:r w:rsidRPr="00116E28" w:rsidR="007510DA">
        <w:rPr>
          <w:szCs w:val="22"/>
        </w:rPr>
        <w:t xml:space="preserve">recalculate </w:t>
      </w:r>
      <w:r w:rsidRPr="00116E28" w:rsidR="008124A4">
        <w:rPr>
          <w:szCs w:val="22"/>
        </w:rPr>
        <w:t>the funding commitment amounts for the</w:t>
      </w:r>
      <w:r w:rsidRPr="00116E28" w:rsidR="00B43361">
        <w:rPr>
          <w:szCs w:val="22"/>
        </w:rPr>
        <w:t xml:space="preserve"> </w:t>
      </w:r>
      <w:r w:rsidRPr="00116E28" w:rsidR="00B43361">
        <w:rPr>
          <w:szCs w:val="22"/>
        </w:rPr>
        <w:t>CCWV</w:t>
      </w:r>
      <w:r w:rsidRPr="00116E28" w:rsidR="00B43361">
        <w:rPr>
          <w:szCs w:val="22"/>
        </w:rPr>
        <w:t xml:space="preserve"> FY 2018</w:t>
      </w:r>
      <w:r w:rsidRPr="00116E28" w:rsidR="008124A4">
        <w:rPr>
          <w:szCs w:val="22"/>
        </w:rPr>
        <w:t xml:space="preserve"> </w:t>
      </w:r>
      <w:r w:rsidRPr="00116E28" w:rsidR="008124A4">
        <w:rPr>
          <w:szCs w:val="22"/>
        </w:rPr>
        <w:t>FRNs</w:t>
      </w:r>
      <w:r w:rsidRPr="00116E28" w:rsidR="008124A4">
        <w:rPr>
          <w:szCs w:val="22"/>
        </w:rPr>
        <w:t xml:space="preserve"> listed in </w:t>
      </w:r>
      <w:r w:rsidRPr="00116E28" w:rsidR="008124A4">
        <w:rPr>
          <w:szCs w:val="22"/>
        </w:rPr>
        <w:t xml:space="preserve">Appendix A </w:t>
      </w:r>
      <w:r w:rsidRPr="00116E28" w:rsidR="00D56091">
        <w:rPr>
          <w:szCs w:val="22"/>
        </w:rPr>
        <w:t xml:space="preserve">using the urban rates of $108.00 for 10 Mbps Ethernet service and </w:t>
      </w:r>
      <w:r w:rsidRPr="00116E28" w:rsidR="001061F5">
        <w:rPr>
          <w:szCs w:val="22"/>
        </w:rPr>
        <w:t>$184.00 for 20 Mbps Ethernet service from the Lumos pricing sheet.</w:t>
      </w:r>
    </w:p>
    <w:p w:rsidR="0022134F" w:rsidRPr="00E3734F" w:rsidP="00C333CE" w14:paraId="770020E1" w14:textId="6FCD1B5C">
      <w:pPr>
        <w:pStyle w:val="ParaNum"/>
        <w:rPr>
          <w:szCs w:val="22"/>
        </w:rPr>
      </w:pPr>
      <w:r w:rsidRPr="00116E28">
        <w:rPr>
          <w:szCs w:val="22"/>
        </w:rPr>
        <w:t xml:space="preserve">We acknowledge that </w:t>
      </w:r>
      <w:r w:rsidRPr="00116E28">
        <w:rPr>
          <w:szCs w:val="22"/>
        </w:rPr>
        <w:t>TeleQuality</w:t>
      </w:r>
      <w:r w:rsidRPr="00116E28">
        <w:rPr>
          <w:szCs w:val="22"/>
        </w:rPr>
        <w:t xml:space="preserve"> previously admitted to </w:t>
      </w:r>
      <w:r w:rsidR="00510245">
        <w:rPr>
          <w:szCs w:val="22"/>
        </w:rPr>
        <w:t>multiple</w:t>
      </w:r>
      <w:r w:rsidRPr="00116E28" w:rsidR="00510245">
        <w:rPr>
          <w:szCs w:val="22"/>
        </w:rPr>
        <w:t xml:space="preserve"> </w:t>
      </w:r>
      <w:r w:rsidRPr="00116E28">
        <w:rPr>
          <w:szCs w:val="22"/>
        </w:rPr>
        <w:t xml:space="preserve">violations of </w:t>
      </w:r>
      <w:r w:rsidRPr="00116E28">
        <w:rPr>
          <w:szCs w:val="22"/>
        </w:rPr>
        <w:t>RHC</w:t>
      </w:r>
      <w:r w:rsidRPr="00116E28">
        <w:rPr>
          <w:szCs w:val="22"/>
        </w:rPr>
        <w:t xml:space="preserve"> Program rules, including rules related to the calculation </w:t>
      </w:r>
      <w:r w:rsidR="000A0BCA">
        <w:rPr>
          <w:szCs w:val="22"/>
        </w:rPr>
        <w:t xml:space="preserve">and </w:t>
      </w:r>
      <w:r w:rsidR="00382F3B">
        <w:rPr>
          <w:szCs w:val="22"/>
        </w:rPr>
        <w:t xml:space="preserve">justification </w:t>
      </w:r>
      <w:r w:rsidRPr="00116E28">
        <w:rPr>
          <w:szCs w:val="22"/>
        </w:rPr>
        <w:t>of urban rates, during the period of at least January 1, 2015, through December 31, 2018, in an Order and Consent Decree entered into with the Commission’s Enforcement Bureau.</w:t>
      </w:r>
      <w:r>
        <w:rPr>
          <w:rStyle w:val="FootnoteReference"/>
          <w:szCs w:val="22"/>
        </w:rPr>
        <w:footnoteReference w:id="29"/>
      </w:r>
      <w:r w:rsidRPr="00116E28">
        <w:rPr>
          <w:szCs w:val="22"/>
        </w:rPr>
        <w:t xml:space="preserve">  In this case, we find </w:t>
      </w:r>
      <w:r w:rsidRPr="00116E28" w:rsidR="00C14BFF">
        <w:rPr>
          <w:szCs w:val="22"/>
        </w:rPr>
        <w:t xml:space="preserve">that there is </w:t>
      </w:r>
      <w:r w:rsidRPr="00116E28" w:rsidR="004749BC">
        <w:rPr>
          <w:szCs w:val="22"/>
        </w:rPr>
        <w:t xml:space="preserve">no evidence </w:t>
      </w:r>
      <w:r w:rsidRPr="00116E28" w:rsidR="00530CD2">
        <w:rPr>
          <w:szCs w:val="22"/>
        </w:rPr>
        <w:t>o</w:t>
      </w:r>
      <w:r w:rsidRPr="00116E28" w:rsidR="004D4A6F">
        <w:rPr>
          <w:szCs w:val="22"/>
        </w:rPr>
        <w:t xml:space="preserve">f </w:t>
      </w:r>
      <w:r w:rsidRPr="00116E28" w:rsidR="003149D6">
        <w:rPr>
          <w:szCs w:val="22"/>
        </w:rPr>
        <w:t>fabricated urban rate documentation</w:t>
      </w:r>
      <w:r w:rsidRPr="00116E28" w:rsidR="00C14BFF">
        <w:rPr>
          <w:szCs w:val="22"/>
        </w:rPr>
        <w:t xml:space="preserve"> or other</w:t>
      </w:r>
      <w:r w:rsidRPr="00116E28" w:rsidR="004749BC">
        <w:rPr>
          <w:szCs w:val="22"/>
        </w:rPr>
        <w:t xml:space="preserve"> waste, fraud</w:t>
      </w:r>
      <w:r w:rsidRPr="00116E28" w:rsidR="009627BC">
        <w:rPr>
          <w:szCs w:val="22"/>
        </w:rPr>
        <w:t>,</w:t>
      </w:r>
      <w:r w:rsidRPr="00116E28" w:rsidR="004749BC">
        <w:rPr>
          <w:szCs w:val="22"/>
        </w:rPr>
        <w:t xml:space="preserve"> and abuse</w:t>
      </w:r>
      <w:r w:rsidRPr="00116E28" w:rsidR="00530CD2">
        <w:rPr>
          <w:szCs w:val="22"/>
        </w:rPr>
        <w:t>,</w:t>
      </w:r>
      <w:r w:rsidRPr="00116E28" w:rsidR="00C14BFF">
        <w:rPr>
          <w:szCs w:val="22"/>
        </w:rPr>
        <w:t xml:space="preserve"> </w:t>
      </w:r>
      <w:r w:rsidRPr="00116E28" w:rsidR="000515CF">
        <w:rPr>
          <w:szCs w:val="22"/>
        </w:rPr>
        <w:t xml:space="preserve">by </w:t>
      </w:r>
      <w:r w:rsidRPr="00116E28" w:rsidR="000515CF">
        <w:rPr>
          <w:szCs w:val="22"/>
        </w:rPr>
        <w:t>TeleQuality</w:t>
      </w:r>
      <w:r w:rsidRPr="00116E28" w:rsidR="000515CF">
        <w:rPr>
          <w:szCs w:val="22"/>
        </w:rPr>
        <w:t xml:space="preserve"> or </w:t>
      </w:r>
      <w:r w:rsidRPr="00116E28" w:rsidR="000515CF">
        <w:rPr>
          <w:szCs w:val="22"/>
        </w:rPr>
        <w:t>CCWV</w:t>
      </w:r>
      <w:r w:rsidRPr="00116E28" w:rsidR="000515CF">
        <w:rPr>
          <w:szCs w:val="22"/>
        </w:rPr>
        <w:t xml:space="preserve"> related to the Lumos rates and </w:t>
      </w:r>
      <w:r w:rsidRPr="00116E28" w:rsidR="006C1204">
        <w:rPr>
          <w:szCs w:val="22"/>
        </w:rPr>
        <w:t xml:space="preserve">the signed letter </w:t>
      </w:r>
      <w:r w:rsidR="00EB692C">
        <w:rPr>
          <w:szCs w:val="22"/>
        </w:rPr>
        <w:t xml:space="preserve">from Lumos </w:t>
      </w:r>
      <w:r w:rsidRPr="00116E28" w:rsidR="006C1204">
        <w:rPr>
          <w:szCs w:val="22"/>
        </w:rPr>
        <w:t>verifying those rates</w:t>
      </w:r>
      <w:r w:rsidRPr="00116E28" w:rsidR="004749BC">
        <w:rPr>
          <w:szCs w:val="22"/>
        </w:rPr>
        <w:t>.</w:t>
      </w:r>
      <w:r w:rsidRPr="00116E28" w:rsidR="000C7C09">
        <w:rPr>
          <w:szCs w:val="22"/>
        </w:rPr>
        <w:t xml:space="preserve">  </w:t>
      </w:r>
      <w:r w:rsidRPr="00116E28">
        <w:rPr>
          <w:szCs w:val="22"/>
        </w:rPr>
        <w:t>Tele</w:t>
      </w:r>
      <w:r w:rsidR="00500542">
        <w:rPr>
          <w:szCs w:val="22"/>
        </w:rPr>
        <w:t>Q</w:t>
      </w:r>
      <w:r w:rsidRPr="00116E28">
        <w:rPr>
          <w:szCs w:val="22"/>
        </w:rPr>
        <w:t>uality’s</w:t>
      </w:r>
      <w:r w:rsidRPr="00116E28">
        <w:rPr>
          <w:szCs w:val="22"/>
        </w:rPr>
        <w:t xml:space="preserve"> previous </w:t>
      </w:r>
      <w:r w:rsidRPr="00116E28" w:rsidR="00986403">
        <w:rPr>
          <w:szCs w:val="22"/>
        </w:rPr>
        <w:t xml:space="preserve">violations included </w:t>
      </w:r>
      <w:r w:rsidRPr="00116E28" w:rsidR="000C5E4F">
        <w:rPr>
          <w:szCs w:val="22"/>
        </w:rPr>
        <w:t xml:space="preserve">providing </w:t>
      </w:r>
      <w:r w:rsidRPr="00116E28" w:rsidR="00142EA5">
        <w:rPr>
          <w:szCs w:val="22"/>
        </w:rPr>
        <w:t xml:space="preserve">forged sales quotes </w:t>
      </w:r>
      <w:r w:rsidRPr="00116E28" w:rsidR="00550A46">
        <w:rPr>
          <w:szCs w:val="22"/>
        </w:rPr>
        <w:t>that purported to show urban rates charged by other providers</w:t>
      </w:r>
      <w:r w:rsidRPr="00116E28" w:rsidR="003700CC">
        <w:rPr>
          <w:szCs w:val="22"/>
        </w:rPr>
        <w:t xml:space="preserve"> </w:t>
      </w:r>
      <w:r w:rsidRPr="00116E28" w:rsidR="000C5E4F">
        <w:rPr>
          <w:szCs w:val="22"/>
        </w:rPr>
        <w:t xml:space="preserve">in order to deflate urban rates, which </w:t>
      </w:r>
      <w:r w:rsidR="00700187">
        <w:rPr>
          <w:szCs w:val="22"/>
        </w:rPr>
        <w:t xml:space="preserve">resulted in </w:t>
      </w:r>
      <w:r w:rsidR="00700187">
        <w:rPr>
          <w:szCs w:val="22"/>
        </w:rPr>
        <w:t>TeleQuality</w:t>
      </w:r>
      <w:r w:rsidR="00700187">
        <w:rPr>
          <w:szCs w:val="22"/>
        </w:rPr>
        <w:t xml:space="preserve"> receiving</w:t>
      </w:r>
      <w:r w:rsidRPr="00116E28" w:rsidR="000C5E4F">
        <w:rPr>
          <w:szCs w:val="22"/>
        </w:rPr>
        <w:t xml:space="preserve"> a higher </w:t>
      </w:r>
      <w:r w:rsidRPr="00116E28" w:rsidR="00564BB9">
        <w:rPr>
          <w:szCs w:val="22"/>
        </w:rPr>
        <w:t xml:space="preserve">level of support </w:t>
      </w:r>
      <w:r w:rsidRPr="00116E28" w:rsidR="000C5E4F">
        <w:rPr>
          <w:szCs w:val="22"/>
        </w:rPr>
        <w:t>than</w:t>
      </w:r>
      <w:r w:rsidRPr="00116E28" w:rsidR="00564BB9">
        <w:rPr>
          <w:szCs w:val="22"/>
        </w:rPr>
        <w:t xml:space="preserve"> </w:t>
      </w:r>
      <w:r w:rsidR="00700187">
        <w:rPr>
          <w:szCs w:val="22"/>
        </w:rPr>
        <w:t>it</w:t>
      </w:r>
      <w:r w:rsidRPr="00116E28" w:rsidR="00564BB9">
        <w:rPr>
          <w:szCs w:val="22"/>
        </w:rPr>
        <w:t xml:space="preserve"> </w:t>
      </w:r>
      <w:r w:rsidRPr="00116E28" w:rsidR="000C5E4F">
        <w:rPr>
          <w:szCs w:val="22"/>
        </w:rPr>
        <w:t>was</w:t>
      </w:r>
      <w:r w:rsidRPr="00116E28" w:rsidR="00564BB9">
        <w:rPr>
          <w:szCs w:val="22"/>
        </w:rPr>
        <w:t xml:space="preserve"> entitled</w:t>
      </w:r>
      <w:r w:rsidRPr="00116E28" w:rsidR="000C5E4F">
        <w:rPr>
          <w:szCs w:val="22"/>
        </w:rPr>
        <w:t xml:space="preserve"> to</w:t>
      </w:r>
      <w:r w:rsidRPr="00116E28" w:rsidR="00564BB9">
        <w:rPr>
          <w:szCs w:val="22"/>
        </w:rPr>
        <w:t>.</w:t>
      </w:r>
      <w:r>
        <w:rPr>
          <w:rStyle w:val="FootnoteReference"/>
          <w:szCs w:val="22"/>
        </w:rPr>
        <w:footnoteReference w:id="30"/>
      </w:r>
      <w:r w:rsidRPr="00116E28" w:rsidR="00DA02B0">
        <w:rPr>
          <w:szCs w:val="22"/>
        </w:rPr>
        <w:t xml:space="preserve">  </w:t>
      </w:r>
      <w:r w:rsidRPr="00116E28" w:rsidR="00DA02B0">
        <w:rPr>
          <w:szCs w:val="22"/>
        </w:rPr>
        <w:t>TeleQuality</w:t>
      </w:r>
      <w:r w:rsidRPr="00116E28" w:rsidR="00DA02B0">
        <w:rPr>
          <w:szCs w:val="22"/>
        </w:rPr>
        <w:t xml:space="preserve"> also admitted to </w:t>
      </w:r>
      <w:r w:rsidRPr="00116E28" w:rsidR="00923E55">
        <w:rPr>
          <w:szCs w:val="22"/>
        </w:rPr>
        <w:t>establishing certain urban rates based on</w:t>
      </w:r>
      <w:r w:rsidRPr="00116E28" w:rsidR="00C26594">
        <w:rPr>
          <w:szCs w:val="22"/>
        </w:rPr>
        <w:t xml:space="preserve"> rates for </w:t>
      </w:r>
      <w:r w:rsidRPr="00116E28" w:rsidR="00C26594">
        <w:rPr>
          <w:szCs w:val="22"/>
        </w:rPr>
        <w:t>TeleQuality</w:t>
      </w:r>
      <w:r w:rsidRPr="00116E28" w:rsidR="00C26594">
        <w:rPr>
          <w:szCs w:val="22"/>
        </w:rPr>
        <w:t xml:space="preserve"> service that was indirectly supported by the </w:t>
      </w:r>
      <w:r w:rsidRPr="00116E28" w:rsidR="00C26594">
        <w:rPr>
          <w:szCs w:val="22"/>
        </w:rPr>
        <w:t>RHC</w:t>
      </w:r>
      <w:r w:rsidRPr="00116E28" w:rsidR="00C26594">
        <w:rPr>
          <w:szCs w:val="22"/>
        </w:rPr>
        <w:t xml:space="preserve"> Program</w:t>
      </w:r>
      <w:r w:rsidRPr="00116E28" w:rsidR="009C6F14">
        <w:rPr>
          <w:szCs w:val="22"/>
        </w:rPr>
        <w:t xml:space="preserve"> in violation of Commission rules and submitting urban rates based on insufficient documentation.</w:t>
      </w:r>
      <w:r>
        <w:rPr>
          <w:rStyle w:val="FootnoteReference"/>
          <w:szCs w:val="22"/>
        </w:rPr>
        <w:footnoteReference w:id="31"/>
      </w:r>
      <w:r w:rsidRPr="00E3734F" w:rsidR="004D2C09">
        <w:rPr>
          <w:szCs w:val="22"/>
        </w:rPr>
        <w:t xml:space="preserve"> </w:t>
      </w:r>
      <w:r w:rsidRPr="00E3734F" w:rsidR="00054C90">
        <w:rPr>
          <w:szCs w:val="22"/>
        </w:rPr>
        <w:t xml:space="preserve"> </w:t>
      </w:r>
      <w:r w:rsidRPr="00E3734F" w:rsidR="005575A9">
        <w:rPr>
          <w:szCs w:val="22"/>
        </w:rPr>
        <w:t>The forged urban rate documentation that was the subject o</w:t>
      </w:r>
      <w:r w:rsidRPr="00E3734F" w:rsidR="00732FE5">
        <w:rPr>
          <w:szCs w:val="22"/>
        </w:rPr>
        <w:t xml:space="preserve">f the </w:t>
      </w:r>
      <w:r w:rsidRPr="00E3734F" w:rsidR="00732FE5">
        <w:rPr>
          <w:i/>
          <w:iCs/>
          <w:szCs w:val="22"/>
        </w:rPr>
        <w:t>TeleQuality</w:t>
      </w:r>
      <w:r w:rsidRPr="00E3734F" w:rsidR="00732FE5">
        <w:rPr>
          <w:i/>
          <w:iCs/>
          <w:szCs w:val="22"/>
        </w:rPr>
        <w:t xml:space="preserve"> Consent Decree </w:t>
      </w:r>
      <w:r w:rsidRPr="00E3734F" w:rsidR="008B6C9F">
        <w:rPr>
          <w:szCs w:val="22"/>
        </w:rPr>
        <w:t xml:space="preserve">was </w:t>
      </w:r>
      <w:r w:rsidR="00575DAA">
        <w:rPr>
          <w:szCs w:val="22"/>
        </w:rPr>
        <w:t>related</w:t>
      </w:r>
      <w:r w:rsidRPr="00E3734F" w:rsidR="00575DAA">
        <w:rPr>
          <w:szCs w:val="22"/>
        </w:rPr>
        <w:t xml:space="preserve"> </w:t>
      </w:r>
      <w:r w:rsidRPr="00E3734F" w:rsidR="008B6C9F">
        <w:rPr>
          <w:szCs w:val="22"/>
        </w:rPr>
        <w:t xml:space="preserve">to </w:t>
      </w:r>
      <w:r w:rsidRPr="00E3734F" w:rsidR="005035F2">
        <w:rPr>
          <w:szCs w:val="22"/>
        </w:rPr>
        <w:t xml:space="preserve">documentation purporting </w:t>
      </w:r>
      <w:r w:rsidRPr="00E3734F" w:rsidR="00AF3EED">
        <w:rPr>
          <w:szCs w:val="22"/>
        </w:rPr>
        <w:t xml:space="preserve">to be from Level 3 Communications, Inc. </w:t>
      </w:r>
      <w:r w:rsidRPr="00E3734F" w:rsidR="00993579">
        <w:rPr>
          <w:szCs w:val="22"/>
        </w:rPr>
        <w:t xml:space="preserve">and the </w:t>
      </w:r>
      <w:r w:rsidRPr="00E3734F" w:rsidR="00E5495D">
        <w:rPr>
          <w:szCs w:val="22"/>
        </w:rPr>
        <w:t>improperly calculated urban rates base</w:t>
      </w:r>
      <w:r w:rsidRPr="00E3734F" w:rsidR="005960DF">
        <w:rPr>
          <w:szCs w:val="22"/>
        </w:rPr>
        <w:t xml:space="preserve">d on services indirectly supported by the </w:t>
      </w:r>
      <w:r w:rsidRPr="00E3734F" w:rsidR="005960DF">
        <w:rPr>
          <w:szCs w:val="22"/>
        </w:rPr>
        <w:t>RHC</w:t>
      </w:r>
      <w:r w:rsidRPr="00E3734F" w:rsidR="005960DF">
        <w:rPr>
          <w:szCs w:val="22"/>
        </w:rPr>
        <w:t xml:space="preserve"> Program were </w:t>
      </w:r>
      <w:r w:rsidR="00575DAA">
        <w:rPr>
          <w:szCs w:val="22"/>
        </w:rPr>
        <w:t>related</w:t>
      </w:r>
      <w:r w:rsidRPr="00E3734F" w:rsidR="00575DAA">
        <w:rPr>
          <w:szCs w:val="22"/>
        </w:rPr>
        <w:t xml:space="preserve"> </w:t>
      </w:r>
      <w:r w:rsidRPr="00E3734F" w:rsidR="005960DF">
        <w:rPr>
          <w:szCs w:val="22"/>
        </w:rPr>
        <w:t xml:space="preserve">to </w:t>
      </w:r>
      <w:r w:rsidRPr="00E3734F" w:rsidR="00CE6A5F">
        <w:rPr>
          <w:szCs w:val="22"/>
        </w:rPr>
        <w:t xml:space="preserve">urban rates for services in Texas.  </w:t>
      </w:r>
      <w:r w:rsidR="00183317">
        <w:rPr>
          <w:szCs w:val="22"/>
        </w:rPr>
        <w:t>I</w:t>
      </w:r>
      <w:r w:rsidRPr="00E3734F" w:rsidR="004C1C25">
        <w:rPr>
          <w:szCs w:val="22"/>
        </w:rPr>
        <w:t xml:space="preserve">mportantly, there is no evidence in the record that suggests that the documentation used to support the urban rates in this case was forged.  </w:t>
      </w:r>
    </w:p>
    <w:p w:rsidR="00AE6838" w:rsidRPr="00CF2731" w:rsidP="00AE6838" w14:paraId="73F584DC" w14:textId="1557696F">
      <w:pPr>
        <w:pStyle w:val="Heading1"/>
      </w:pPr>
      <w:r>
        <w:t>Ordering Clauses</w:t>
      </w:r>
    </w:p>
    <w:p w:rsidR="00AE6838" w:rsidP="00AE6838" w14:paraId="2CF6DD71" w14:textId="34CD254D">
      <w:pPr>
        <w:pStyle w:val="ParaNum"/>
      </w:pPr>
      <w:bookmarkStart w:id="0" w:name="_Hlk506896637"/>
      <w:r w:rsidRPr="00CF2731">
        <w:rPr>
          <w:rStyle w:val="StyleNumberedparagraphs11ptChar"/>
          <w:szCs w:val="22"/>
        </w:rPr>
        <w:t xml:space="preserve">ACCORDINGLY, IT IS ORDERED that, </w:t>
      </w:r>
      <w:r w:rsidRPr="00CF2731">
        <w:t>pursuant to the authority contained in sections 1-4 and 254 of the Communications Act of 1934, as amended, 47 U.S.C. §§ 151-154 and 254, and sections 0.91, 0.291,</w:t>
      </w:r>
      <w:r w:rsidR="00654C99">
        <w:t xml:space="preserve"> 5</w:t>
      </w:r>
      <w:r w:rsidR="00CD5E0B">
        <w:t>4</w:t>
      </w:r>
      <w:r w:rsidR="00654C99">
        <w:t>.60</w:t>
      </w:r>
      <w:r w:rsidR="00F87FC8">
        <w:t>5</w:t>
      </w:r>
      <w:r w:rsidRPr="00CF2731">
        <w:t xml:space="preserve"> and 54.722(a) of the Commission’s rules, 47 CFR §§ 0.91, 0.291, </w:t>
      </w:r>
      <w:r w:rsidR="00F87FC8">
        <w:t xml:space="preserve">54.605 </w:t>
      </w:r>
      <w:r w:rsidRPr="00CF2731">
        <w:t xml:space="preserve">and 54.722(a) </w:t>
      </w:r>
      <w:r w:rsidR="00794DF8">
        <w:t xml:space="preserve">(2018), </w:t>
      </w:r>
      <w:r w:rsidRPr="00CF2731">
        <w:t xml:space="preserve">that </w:t>
      </w:r>
      <w:r w:rsidRPr="00CF2731">
        <w:rPr>
          <w:rFonts w:eastAsia="Batang"/>
          <w:lang w:eastAsia="ja-JP"/>
        </w:rPr>
        <w:t xml:space="preserve">the Request for Review </w:t>
      </w:r>
      <w:bookmarkEnd w:id="0"/>
      <w:r w:rsidRPr="00CF2731">
        <w:rPr>
          <w:rFonts w:eastAsia="Batang"/>
          <w:lang w:eastAsia="ja-JP"/>
        </w:rPr>
        <w:t xml:space="preserve">filed by the </w:t>
      </w:r>
      <w:r w:rsidR="004558A2">
        <w:rPr>
          <w:rFonts w:eastAsia="Batang"/>
          <w:lang w:eastAsia="ja-JP"/>
        </w:rPr>
        <w:t xml:space="preserve">Community Care of West Virginia, Inc. </w:t>
      </w:r>
      <w:r w:rsidRPr="00CF2731">
        <w:t xml:space="preserve">on </w:t>
      </w:r>
      <w:r w:rsidR="002E23F2">
        <w:t>January 19, 2021</w:t>
      </w:r>
      <w:r w:rsidRPr="00CF2731">
        <w:t xml:space="preserve"> </w:t>
      </w:r>
      <w:r w:rsidRPr="00CF2731">
        <w:rPr>
          <w:rFonts w:eastAsia="Batang"/>
          <w:lang w:eastAsia="ja-JP"/>
        </w:rPr>
        <w:t xml:space="preserve">IS </w:t>
      </w:r>
      <w:r w:rsidR="002E23F2">
        <w:rPr>
          <w:rFonts w:eastAsia="Batang"/>
          <w:lang w:eastAsia="ja-JP"/>
        </w:rPr>
        <w:t>GRANTED</w:t>
      </w:r>
      <w:r w:rsidRPr="00CF2731">
        <w:rPr>
          <w:rFonts w:eastAsia="Batang"/>
          <w:lang w:eastAsia="ja-JP"/>
        </w:rPr>
        <w:t>.</w:t>
      </w:r>
    </w:p>
    <w:p w:rsidR="009B3516" w:rsidRPr="00B83C7C" w:rsidP="00345CE0" w14:paraId="552AB098" w14:textId="52F39497">
      <w:pPr>
        <w:pStyle w:val="ParaNum"/>
        <w:rPr>
          <w:rStyle w:val="StyleNumberedparagraphs11ptChar"/>
          <w:szCs w:val="22"/>
        </w:rPr>
      </w:pPr>
      <w:r w:rsidRPr="00B83C7C">
        <w:rPr>
          <w:szCs w:val="22"/>
        </w:rPr>
        <w:t>IT IS FURTHER ORDERED that, pursuant to the authority delegated in section 1.102(b)(1) of the Commission’s rules, 47 CFR</w:t>
      </w:r>
      <w:r w:rsidRPr="00B83C7C">
        <w:rPr>
          <w:rStyle w:val="StyleNumberedparagraphs11ptChar"/>
          <w:szCs w:val="22"/>
        </w:rPr>
        <w:t xml:space="preserve"> § 1.102(b)(1), this order SHALL BE EFFECTIVE upon release.</w:t>
      </w:r>
    </w:p>
    <w:p w:rsidR="009B3516" w:rsidRPr="00B83C7C" w:rsidP="0017296B" w14:paraId="708E38B6" w14:textId="77777777">
      <w:pPr>
        <w:rPr>
          <w:szCs w:val="22"/>
        </w:rPr>
      </w:pPr>
      <w:r w:rsidRPr="00B83C7C">
        <w:rPr>
          <w:szCs w:val="22"/>
        </w:rPr>
        <w:tab/>
      </w:r>
      <w:r w:rsidRPr="00B83C7C">
        <w:rPr>
          <w:szCs w:val="22"/>
        </w:rPr>
        <w:tab/>
      </w:r>
      <w:r w:rsidRPr="00B83C7C">
        <w:rPr>
          <w:szCs w:val="22"/>
        </w:rPr>
        <w:tab/>
      </w:r>
      <w:r w:rsidRPr="00B83C7C">
        <w:rPr>
          <w:szCs w:val="22"/>
        </w:rPr>
        <w:tab/>
      </w:r>
      <w:r w:rsidRPr="00B83C7C">
        <w:rPr>
          <w:szCs w:val="22"/>
        </w:rPr>
        <w:tab/>
      </w:r>
      <w:r w:rsidRPr="00B83C7C">
        <w:rPr>
          <w:szCs w:val="22"/>
        </w:rPr>
        <w:tab/>
        <w:t>FEDERAL COMMUNICATIONS COMMISSION</w:t>
      </w:r>
    </w:p>
    <w:p w:rsidR="009B3516" w:rsidRPr="00B83C7C" w:rsidP="0017296B" w14:paraId="60BBBD23" w14:textId="41E70F76">
      <w:pPr>
        <w:rPr>
          <w:szCs w:val="22"/>
        </w:rPr>
      </w:pPr>
    </w:p>
    <w:p w:rsidR="009B3516" w:rsidRPr="00B83C7C" w:rsidP="0017296B" w14:paraId="58490B37" w14:textId="77777777">
      <w:pPr>
        <w:rPr>
          <w:szCs w:val="22"/>
        </w:rPr>
      </w:pPr>
    </w:p>
    <w:p w:rsidR="00345CE0" w:rsidRPr="00B83C7C" w:rsidP="009B3516" w14:paraId="55D17AC1" w14:textId="605F2271">
      <w:pPr>
        <w:keepNext/>
        <w:keepLines/>
        <w:ind w:left="3600" w:firstLine="720"/>
        <w:outlineLvl w:val="0"/>
        <w:rPr>
          <w:szCs w:val="22"/>
        </w:rPr>
      </w:pPr>
    </w:p>
    <w:p w:rsidR="00345CE0" w:rsidRPr="00B83C7C" w:rsidP="009B3516" w14:paraId="3CB92B35" w14:textId="77777777">
      <w:pPr>
        <w:keepNext/>
        <w:keepLines/>
        <w:ind w:left="3600" w:firstLine="720"/>
        <w:outlineLvl w:val="0"/>
        <w:rPr>
          <w:szCs w:val="22"/>
        </w:rPr>
      </w:pPr>
    </w:p>
    <w:p w:rsidR="00A234E4" w:rsidRPr="00BB3BEF" w:rsidP="00A234E4" w14:paraId="47E77EC8" w14:textId="77777777">
      <w:pPr>
        <w:pStyle w:val="ParaNum"/>
        <w:numPr>
          <w:ilvl w:val="0"/>
          <w:numId w:val="0"/>
        </w:numPr>
        <w:spacing w:after="0"/>
        <w:ind w:left="3600" w:firstLine="720"/>
      </w:pPr>
      <w:r w:rsidRPr="00BB3BEF">
        <w:t>Kris Anne Monteith</w:t>
      </w:r>
    </w:p>
    <w:p w:rsidR="00A234E4" w:rsidRPr="00BB3BEF" w:rsidP="00A234E4" w14:paraId="16F7A1B7" w14:textId="77777777">
      <w:pPr>
        <w:pStyle w:val="ParaNum"/>
        <w:numPr>
          <w:ilvl w:val="0"/>
          <w:numId w:val="0"/>
        </w:numPr>
        <w:spacing w:after="0"/>
        <w:ind w:left="3600" w:firstLine="720"/>
      </w:pPr>
      <w:r w:rsidRPr="00BB3BEF">
        <w:t>Chief</w:t>
      </w:r>
    </w:p>
    <w:p w:rsidR="00A234E4" w:rsidP="00A234E4" w14:paraId="3503A1E7" w14:textId="7FAA48A5">
      <w:pPr>
        <w:pStyle w:val="ParaNum"/>
        <w:numPr>
          <w:ilvl w:val="0"/>
          <w:numId w:val="0"/>
        </w:numPr>
        <w:ind w:left="3600" w:firstLine="720"/>
      </w:pPr>
      <w:r w:rsidRPr="00BB3BEF">
        <w:t>Wireline Competition Bureau</w:t>
      </w:r>
    </w:p>
    <w:p w:rsidR="00CC4D5A" w:rsidRPr="00B83C7C" w:rsidP="00CC4D5A" w14:paraId="073402F2" w14:textId="77777777">
      <w:pPr>
        <w:pStyle w:val="ParaNum"/>
        <w:numPr>
          <w:ilvl w:val="0"/>
          <w:numId w:val="0"/>
        </w:numPr>
        <w:ind w:left="7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0D3F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79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B3516" w14:paraId="308358D9" w14:textId="7D3D7B8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4D5F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5C8F" w14:paraId="2291F9CA" w14:textId="77777777">
      <w:r>
        <w:separator/>
      </w:r>
    </w:p>
  </w:footnote>
  <w:footnote w:type="continuationSeparator" w:id="1">
    <w:p w:rsidR="00ED5C8F" w:rsidP="00C721AC" w14:paraId="0B983C43" w14:textId="77777777">
      <w:pPr>
        <w:spacing w:before="120"/>
        <w:rPr>
          <w:sz w:val="20"/>
        </w:rPr>
      </w:pPr>
      <w:r>
        <w:rPr>
          <w:sz w:val="20"/>
        </w:rPr>
        <w:t xml:space="preserve">(Continued from previous page)  </w:t>
      </w:r>
      <w:r>
        <w:rPr>
          <w:sz w:val="20"/>
        </w:rPr>
        <w:separator/>
      </w:r>
    </w:p>
  </w:footnote>
  <w:footnote w:type="continuationNotice" w:id="2">
    <w:p w:rsidR="00ED5C8F" w:rsidP="00C721AC" w14:paraId="13BA9AD6" w14:textId="77777777">
      <w:pPr>
        <w:jc w:val="right"/>
        <w:rPr>
          <w:sz w:val="20"/>
        </w:rPr>
      </w:pPr>
      <w:r>
        <w:rPr>
          <w:sz w:val="20"/>
        </w:rPr>
        <w:t>(continued….)</w:t>
      </w:r>
    </w:p>
  </w:footnote>
  <w:footnote w:id="3">
    <w:p w:rsidR="0023194D" w:rsidRPr="00575914" w14:paraId="03F2AA99" w14:textId="4B45F039">
      <w:pPr>
        <w:pStyle w:val="FootnoteText"/>
      </w:pPr>
      <w:r>
        <w:rPr>
          <w:rStyle w:val="FootnoteReference"/>
        </w:rPr>
        <w:footnoteRef/>
      </w:r>
      <w:r>
        <w:t xml:space="preserve"> </w:t>
      </w:r>
      <w:r>
        <w:rPr>
          <w:i/>
          <w:iCs/>
        </w:rPr>
        <w:t>Request for Review and/or Waiver by Community Care of West Virginia, Inc. of Decisions of the Universal Service Administrator</w:t>
      </w:r>
      <w:r>
        <w:t>, WC Docket No. 02-60 (filed Jan. 19, 2021)</w:t>
      </w:r>
      <w:r w:rsidR="00575914">
        <w:t xml:space="preserve"> (</w:t>
      </w:r>
      <w:r w:rsidR="00347633">
        <w:t>Requ</w:t>
      </w:r>
      <w:r w:rsidR="00EC1B2A">
        <w:t>e</w:t>
      </w:r>
      <w:r w:rsidR="00347633">
        <w:t>st for Review and/or Waiver</w:t>
      </w:r>
      <w:r w:rsidR="00575914">
        <w:t>).</w:t>
      </w:r>
      <w:r w:rsidR="006D3290">
        <w:t xml:space="preserve">  </w:t>
      </w:r>
      <w:r w:rsidR="00FF21B8">
        <w:t xml:space="preserve">Because we grant </w:t>
      </w:r>
      <w:r w:rsidR="00BB7BBC">
        <w:t xml:space="preserve">the Request for </w:t>
      </w:r>
      <w:r w:rsidR="00BB7BBC">
        <w:t>Review</w:t>
      </w:r>
      <w:r w:rsidR="00BB7BBC">
        <w:t xml:space="preserve"> we do not address </w:t>
      </w:r>
      <w:r w:rsidR="00BB7BBC">
        <w:t>CCWV’s</w:t>
      </w:r>
      <w:r w:rsidR="00BB7BBC">
        <w:t xml:space="preserve"> request in the alternative for a waiver of Commission rules.</w:t>
      </w:r>
    </w:p>
  </w:footnote>
  <w:footnote w:id="4">
    <w:p w:rsidR="009277DD" w:rsidRPr="004F3871" w:rsidP="009277DD" w14:paraId="6BC39BCB" w14:textId="68224A86">
      <w:pPr>
        <w:pStyle w:val="FootnoteText"/>
      </w:pPr>
      <w:r>
        <w:rPr>
          <w:rStyle w:val="FootnoteReference"/>
        </w:rPr>
        <w:footnoteRef/>
      </w:r>
      <w:r>
        <w:t xml:space="preserve"> </w:t>
      </w:r>
      <w:r>
        <w:t>CCWV</w:t>
      </w:r>
      <w:r>
        <w:t xml:space="preserve"> appeals two USAC decisions. The first denied </w:t>
      </w:r>
      <w:r>
        <w:t>CCWV’s</w:t>
      </w:r>
      <w:r>
        <w:t xml:space="preserve"> appeal of USAC’s funding commitments for 31 funding requests for 10 Mbps service and the second denied </w:t>
      </w:r>
      <w:r>
        <w:t>CCWV’s</w:t>
      </w:r>
      <w:r>
        <w:t xml:space="preserve"> appeal of one funding commitment for 20 Mbps service.  </w:t>
      </w:r>
      <w:r>
        <w:rPr>
          <w:i/>
          <w:iCs/>
        </w:rPr>
        <w:t xml:space="preserve">See </w:t>
      </w:r>
      <w:r>
        <w:t>Letter from Universal Service Administrative Company to Kristi Walker, Senior Project Manager, Community Care of West Virginia, Re: Community Care of Weston – Appeal of USAC’s Decision for Funding Requests Numbers listed in Appendices A and B (Nov. 20, 2020) (</w:t>
      </w:r>
      <w:r>
        <w:rPr>
          <w:i/>
          <w:iCs/>
        </w:rPr>
        <w:t>USAC 10 Mbps Decision</w:t>
      </w:r>
      <w:r>
        <w:t>); Letter from Universal Service Administrative Company to Kristi Walker, Senior Project Manager, Community Care of West Virginia, Re: Community Care of Weston – Appeal of USAC’s Decision for Funding Requests Number 1848651 (Nov. 20, 2020) (</w:t>
      </w:r>
      <w:r>
        <w:rPr>
          <w:i/>
          <w:iCs/>
        </w:rPr>
        <w:t>USAC 20 Mbps Decision</w:t>
      </w:r>
      <w:r>
        <w:t xml:space="preserve">); </w:t>
      </w:r>
      <w:r>
        <w:rPr>
          <w:i/>
          <w:iCs/>
        </w:rPr>
        <w:t xml:space="preserve">see also </w:t>
      </w:r>
      <w:r>
        <w:t>47 CFR §54.605(a)-(b) (2018).</w:t>
      </w:r>
    </w:p>
  </w:footnote>
  <w:footnote w:id="5">
    <w:p w:rsidR="000E3154" w:rsidRPr="00E24EEB" w:rsidP="000E3154" w14:paraId="381F519B" w14:textId="77777777">
      <w:pPr>
        <w:pStyle w:val="FootnoteText"/>
      </w:pPr>
      <w:r w:rsidRPr="00E24EEB">
        <w:rPr>
          <w:rStyle w:val="FootnoteReference"/>
        </w:rPr>
        <w:footnoteRef/>
      </w:r>
      <w:r w:rsidRPr="00E24EEB">
        <w:t xml:space="preserve"> </w:t>
      </w:r>
      <w:r w:rsidRPr="00E24EEB">
        <w:rPr>
          <w:i/>
          <w:iCs/>
        </w:rPr>
        <w:t xml:space="preserve">See </w:t>
      </w:r>
      <w:r w:rsidRPr="00E24EEB">
        <w:t xml:space="preserve">47 U.S.C. § 254(h)(1)(A); </w:t>
      </w:r>
      <w:r w:rsidRPr="00E24EEB">
        <w:rPr>
          <w:i/>
          <w:iCs/>
        </w:rPr>
        <w:t>Federal-State Joint Board on Universal Service</w:t>
      </w:r>
      <w:r w:rsidRPr="00E24EEB">
        <w:t>, CC Docket No. 96-45, Report and Order, 12 FCC Rcd 8776, 9093-161, paras. 608-749 (1997) (</w:t>
      </w:r>
      <w:r w:rsidRPr="00E24EEB">
        <w:rPr>
          <w:i/>
        </w:rPr>
        <w:t>Universal Service First Report and Order</w:t>
      </w:r>
      <w:r w:rsidRPr="00E24EEB">
        <w:rPr>
          <w:iCs/>
        </w:rPr>
        <w:t>)</w:t>
      </w:r>
      <w:r w:rsidRPr="00E24EEB">
        <w:t>.</w:t>
      </w:r>
    </w:p>
  </w:footnote>
  <w:footnote w:id="6">
    <w:p w:rsidR="00B25EED" w:rsidRPr="00A4173F" w14:paraId="00EDBCB2" w14:textId="5BD2E17E">
      <w:pPr>
        <w:pStyle w:val="FootnoteText"/>
      </w:pPr>
      <w:r>
        <w:rPr>
          <w:rStyle w:val="FootnoteReference"/>
        </w:rPr>
        <w:footnoteRef/>
      </w:r>
      <w:r>
        <w:t xml:space="preserve"> </w:t>
      </w:r>
      <w:r>
        <w:rPr>
          <w:i/>
          <w:iCs/>
        </w:rPr>
        <w:t>See</w:t>
      </w:r>
      <w:r>
        <w:t xml:space="preserve"> Health Care Providers Universal Service, Funding Request and Certification Form</w:t>
      </w:r>
      <w:r w:rsidR="0013207F">
        <w:t xml:space="preserve"> (FCC Form 466), </w:t>
      </w:r>
      <w:r w:rsidR="0013207F">
        <w:rPr>
          <w:i/>
          <w:iCs/>
        </w:rPr>
        <w:t xml:space="preserve">available at </w:t>
      </w:r>
      <w:hyperlink r:id="rId1" w:history="1">
        <w:r w:rsidRPr="00A4173F" w:rsidR="00A4173F">
          <w:rPr>
            <w:rStyle w:val="Hyperlink"/>
          </w:rPr>
          <w:t>https://www.usac.org/wp-content/uploads/rural-health-care/documents/FCC-Forms/Form_466_2019.pdf</w:t>
        </w:r>
      </w:hyperlink>
      <w:r w:rsidRPr="00A4173F" w:rsidR="00A4173F">
        <w:t xml:space="preserve"> (last visited April 28, 2021).</w:t>
      </w:r>
    </w:p>
  </w:footnote>
  <w:footnote w:id="7">
    <w:p w:rsidR="00C232E4" w14:paraId="2B6B0CD2" w14:textId="732BC47B">
      <w:pPr>
        <w:pStyle w:val="FootnoteText"/>
      </w:pPr>
      <w:r>
        <w:rPr>
          <w:rStyle w:val="FootnoteReference"/>
        </w:rPr>
        <w:footnoteRef/>
      </w:r>
      <w:r>
        <w:t xml:space="preserve"> </w:t>
      </w:r>
      <w:r w:rsidR="003B141F">
        <w:t>47 CFR §54.605(a)-(b)</w:t>
      </w:r>
      <w:r w:rsidR="00680592">
        <w:t xml:space="preserve"> (2018)</w:t>
      </w:r>
      <w:r w:rsidR="003B141F">
        <w:t>.</w:t>
      </w:r>
    </w:p>
  </w:footnote>
  <w:footnote w:id="8">
    <w:p w:rsidR="00877064" w:rsidRPr="00877064" w14:paraId="16682B24" w14:textId="4398C9AA">
      <w:pPr>
        <w:pStyle w:val="FootnoteText"/>
      </w:pPr>
      <w:r>
        <w:rPr>
          <w:rStyle w:val="FootnoteReference"/>
        </w:rPr>
        <w:footnoteRef/>
      </w:r>
      <w:r>
        <w:t xml:space="preserve"> </w:t>
      </w:r>
      <w:r>
        <w:rPr>
          <w:i/>
          <w:iCs/>
        </w:rPr>
        <w:t xml:space="preserve">See </w:t>
      </w:r>
      <w:r>
        <w:t>Attachment A.</w:t>
      </w:r>
    </w:p>
  </w:footnote>
  <w:footnote w:id="9">
    <w:p w:rsidR="00AA0B6B" w14:paraId="3BD96EAF" w14:textId="48D286AC">
      <w:pPr>
        <w:pStyle w:val="FootnoteText"/>
      </w:pPr>
      <w:r>
        <w:rPr>
          <w:rStyle w:val="FootnoteReference"/>
        </w:rPr>
        <w:footnoteRef/>
      </w:r>
      <w:r>
        <w:t xml:space="preserve"> </w:t>
      </w:r>
      <w:r>
        <w:t>TeleQuality</w:t>
      </w:r>
      <w:r>
        <w:t xml:space="preserve"> was acquired by Education Networks of America, Inc. in January 2018</w:t>
      </w:r>
      <w:r w:rsidR="005F3DFC">
        <w:t xml:space="preserve"> and currently provides services under the name </w:t>
      </w:r>
      <w:r w:rsidRPr="005F3DFC" w:rsidR="005F3DFC">
        <w:t>ENA Healthcare Services, LLC</w:t>
      </w:r>
      <w:r>
        <w:t>.</w:t>
      </w:r>
    </w:p>
  </w:footnote>
  <w:footnote w:id="10">
    <w:p w:rsidR="00FA5FAD" w:rsidRPr="00FA5FAD" w14:paraId="31BFE023" w14:textId="55343290">
      <w:pPr>
        <w:pStyle w:val="FootnoteText"/>
      </w:pPr>
      <w:r>
        <w:rPr>
          <w:rStyle w:val="FootnoteReference"/>
        </w:rPr>
        <w:footnoteRef/>
      </w:r>
      <w:r>
        <w:t xml:space="preserve"> </w:t>
      </w:r>
      <w:r w:rsidR="005A1D7D">
        <w:rPr>
          <w:i/>
          <w:iCs/>
        </w:rPr>
        <w:t xml:space="preserve">See </w:t>
      </w:r>
      <w:r w:rsidR="005A1D7D">
        <w:t xml:space="preserve">Attachment B, </w:t>
      </w:r>
      <w:r w:rsidR="005A1D7D">
        <w:t>TeleQuality</w:t>
      </w:r>
      <w:r w:rsidR="005A1D7D">
        <w:t xml:space="preserve"> Urban Rate Supporting Documentation Letter (undated) (</w:t>
      </w:r>
      <w:r w:rsidR="005A1D7D">
        <w:rPr>
          <w:i/>
          <w:iCs/>
        </w:rPr>
        <w:t>TeleQuality</w:t>
      </w:r>
      <w:r w:rsidR="005A1D7D">
        <w:rPr>
          <w:i/>
          <w:iCs/>
        </w:rPr>
        <w:t xml:space="preserve"> 10 Mbps Justification Letter</w:t>
      </w:r>
      <w:r w:rsidR="005A1D7D">
        <w:t xml:space="preserve">); </w:t>
      </w:r>
      <w:r w:rsidRPr="00FD5DB5" w:rsidR="00FD5DB5">
        <w:rPr>
          <w:iCs/>
        </w:rPr>
        <w:t>Request for Review and/or Waiver</w:t>
      </w:r>
      <w:r>
        <w:rPr>
          <w:i/>
          <w:iCs/>
        </w:rPr>
        <w:t xml:space="preserve"> </w:t>
      </w:r>
      <w:r>
        <w:t>at 4-5</w:t>
      </w:r>
      <w:r w:rsidR="00A31CDA">
        <w:t xml:space="preserve">; </w:t>
      </w:r>
      <w:r w:rsidR="00575180">
        <w:rPr>
          <w:i/>
          <w:iCs/>
        </w:rPr>
        <w:t xml:space="preserve">USAC 10 Mbps Decision </w:t>
      </w:r>
      <w:r w:rsidR="00575180">
        <w:t xml:space="preserve">at 3. </w:t>
      </w:r>
    </w:p>
  </w:footnote>
  <w:footnote w:id="11">
    <w:p w:rsidR="00B6394A" w:rsidRPr="00FE6F39" w14:paraId="0B40B894" w14:textId="2DD7DD8A">
      <w:pPr>
        <w:pStyle w:val="FootnoteText"/>
      </w:pPr>
      <w:r>
        <w:rPr>
          <w:rStyle w:val="FootnoteReference"/>
        </w:rPr>
        <w:footnoteRef/>
      </w:r>
      <w:r>
        <w:t xml:space="preserve"> </w:t>
      </w:r>
      <w:r w:rsidR="00850593">
        <w:rPr>
          <w:i/>
          <w:iCs/>
        </w:rPr>
        <w:t>TeleQuality</w:t>
      </w:r>
      <w:r w:rsidR="00850593">
        <w:rPr>
          <w:i/>
          <w:iCs/>
        </w:rPr>
        <w:t xml:space="preserve"> 10 Mbps Justification Letter</w:t>
      </w:r>
      <w:r w:rsidR="00850593">
        <w:t>;</w:t>
      </w:r>
      <w:r w:rsidR="005B57E5">
        <w:t xml:space="preserve"> </w:t>
      </w:r>
      <w:r w:rsidRPr="00FD5DB5" w:rsidR="00FD5DB5">
        <w:rPr>
          <w:iCs/>
        </w:rPr>
        <w:t>Request for Review and/or Waiver</w:t>
      </w:r>
      <w:r w:rsidR="00FE6F39">
        <w:rPr>
          <w:i/>
          <w:iCs/>
        </w:rPr>
        <w:t xml:space="preserve"> </w:t>
      </w:r>
      <w:r w:rsidR="00FE6F39">
        <w:t>Exhibit 5.</w:t>
      </w:r>
    </w:p>
  </w:footnote>
  <w:footnote w:id="12">
    <w:p w:rsidR="007F59DE" w:rsidRPr="00021674" w:rsidP="00E37005" w14:paraId="5F4F2FA6" w14:textId="4FE82F95">
      <w:pPr>
        <w:pStyle w:val="FootnoteText"/>
        <w:spacing w:before="240"/>
      </w:pPr>
      <w:r>
        <w:rPr>
          <w:rStyle w:val="FootnoteReference"/>
        </w:rPr>
        <w:footnoteRef/>
      </w:r>
      <w:r>
        <w:t xml:space="preserve"> </w:t>
      </w:r>
      <w:r w:rsidR="005B57E5">
        <w:rPr>
          <w:i/>
          <w:iCs/>
        </w:rPr>
        <w:t xml:space="preserve">See </w:t>
      </w:r>
      <w:r w:rsidR="005B57E5">
        <w:t xml:space="preserve">Attachment C, </w:t>
      </w:r>
      <w:r w:rsidR="005B57E5">
        <w:t>TeleQuality</w:t>
      </w:r>
      <w:r w:rsidR="005B57E5">
        <w:t xml:space="preserve"> Urban Rate Supporting Documentation (undated) (</w:t>
      </w:r>
      <w:r w:rsidR="005B57E5">
        <w:rPr>
          <w:i/>
          <w:iCs/>
        </w:rPr>
        <w:t>TeleQuality</w:t>
      </w:r>
      <w:r w:rsidR="005B57E5">
        <w:rPr>
          <w:i/>
          <w:iCs/>
        </w:rPr>
        <w:t xml:space="preserve"> 20 Mbps Justification Letter</w:t>
      </w:r>
      <w:r w:rsidR="005B57E5">
        <w:t>);</w:t>
      </w:r>
      <w:r w:rsidR="005B57E5">
        <w:rPr>
          <w:i/>
          <w:iCs/>
        </w:rPr>
        <w:t xml:space="preserve"> </w:t>
      </w:r>
      <w:r w:rsidRPr="00FD5DB5" w:rsidR="00FD5DB5">
        <w:rPr>
          <w:iCs/>
        </w:rPr>
        <w:t>Request for Review and/or Waiver</w:t>
      </w:r>
      <w:r w:rsidR="00021674">
        <w:rPr>
          <w:i/>
          <w:iCs/>
        </w:rPr>
        <w:t xml:space="preserve"> </w:t>
      </w:r>
      <w:r w:rsidR="00021674">
        <w:t xml:space="preserve">at 4-5; </w:t>
      </w:r>
      <w:r w:rsidR="00021674">
        <w:rPr>
          <w:i/>
          <w:iCs/>
        </w:rPr>
        <w:t xml:space="preserve">USAC 20 Mbps Decision </w:t>
      </w:r>
      <w:r w:rsidR="00021674">
        <w:t xml:space="preserve">at </w:t>
      </w:r>
      <w:r w:rsidR="001128A1">
        <w:t>3.</w:t>
      </w:r>
    </w:p>
  </w:footnote>
  <w:footnote w:id="13">
    <w:p w:rsidR="002E3B84" w:rsidRPr="00CE5753" w14:paraId="0F69A471" w14:textId="1AB3C672">
      <w:pPr>
        <w:pStyle w:val="FootnoteText"/>
      </w:pPr>
      <w:r>
        <w:rPr>
          <w:rStyle w:val="FootnoteReference"/>
        </w:rPr>
        <w:footnoteRef/>
      </w:r>
      <w:r>
        <w:t xml:space="preserve"> </w:t>
      </w:r>
      <w:r>
        <w:rPr>
          <w:i/>
          <w:iCs/>
        </w:rPr>
        <w:t>TeleQu</w:t>
      </w:r>
      <w:r w:rsidR="00CE5753">
        <w:rPr>
          <w:i/>
          <w:iCs/>
        </w:rPr>
        <w:t>ality</w:t>
      </w:r>
      <w:r w:rsidR="00CE5753">
        <w:rPr>
          <w:i/>
          <w:iCs/>
        </w:rPr>
        <w:t xml:space="preserve"> 20 Mbps Justification Letter</w:t>
      </w:r>
      <w:r w:rsidR="00CE5753">
        <w:t>.</w:t>
      </w:r>
    </w:p>
  </w:footnote>
  <w:footnote w:id="14">
    <w:p w:rsidR="00BF2C93" w:rsidRPr="00B45D4D" w14:paraId="1EBC53B6" w14:textId="20AA2345">
      <w:pPr>
        <w:pStyle w:val="FootnoteText"/>
      </w:pPr>
      <w:r>
        <w:rPr>
          <w:rStyle w:val="FootnoteReference"/>
        </w:rPr>
        <w:footnoteRef/>
      </w:r>
      <w:r>
        <w:t xml:space="preserve"> </w:t>
      </w:r>
      <w:r w:rsidR="00E63E83">
        <w:rPr>
          <w:i/>
          <w:iCs/>
        </w:rPr>
        <w:t xml:space="preserve">USAC 10 Mbps Decision </w:t>
      </w:r>
      <w:r w:rsidR="00E63E83">
        <w:t xml:space="preserve">at </w:t>
      </w:r>
      <w:r w:rsidR="00B45D4D">
        <w:t xml:space="preserve">3-4; </w:t>
      </w:r>
      <w:r w:rsidR="00B45D4D">
        <w:rPr>
          <w:i/>
          <w:iCs/>
        </w:rPr>
        <w:t xml:space="preserve">USAC 20 Mbps Decision </w:t>
      </w:r>
      <w:r w:rsidR="00B45D4D">
        <w:t>at 3-4.</w:t>
      </w:r>
    </w:p>
  </w:footnote>
  <w:footnote w:id="15">
    <w:p w:rsidR="00C035F7" w:rsidRPr="00C035F7" w14:paraId="638C1737" w14:textId="4A3F9F1F">
      <w:pPr>
        <w:pStyle w:val="FootnoteText"/>
      </w:pPr>
      <w:r>
        <w:rPr>
          <w:rStyle w:val="FootnoteReference"/>
        </w:rPr>
        <w:footnoteRef/>
      </w:r>
      <w:r>
        <w:t xml:space="preserve"> </w:t>
      </w:r>
      <w:r w:rsidRPr="00FD5DB5" w:rsidR="00FD5DB5">
        <w:rPr>
          <w:iCs/>
        </w:rPr>
        <w:t>Request for Review and/or Waiver</w:t>
      </w:r>
      <w:r w:rsidR="00FF4CD7">
        <w:t>,</w:t>
      </w:r>
      <w:r w:rsidR="000F71D1">
        <w:t xml:space="preserve"> Exhibit 6</w:t>
      </w:r>
      <w:r>
        <w:t>.</w:t>
      </w:r>
    </w:p>
  </w:footnote>
  <w:footnote w:id="16">
    <w:p w:rsidR="00163607" w:rsidRPr="00163607" w14:paraId="56FBA241" w14:textId="18C55464">
      <w:pPr>
        <w:pStyle w:val="FootnoteText"/>
      </w:pPr>
      <w:r>
        <w:rPr>
          <w:rStyle w:val="FootnoteReference"/>
        </w:rPr>
        <w:footnoteRef/>
      </w:r>
      <w:r>
        <w:t xml:space="preserve"> </w:t>
      </w:r>
      <w:r>
        <w:rPr>
          <w:i/>
          <w:iCs/>
        </w:rPr>
        <w:t>USAC 10 Mbps Decision</w:t>
      </w:r>
      <w:r>
        <w:t xml:space="preserve"> at 4; </w:t>
      </w:r>
      <w:r w:rsidRPr="00FD5DB5" w:rsidR="00FD5DB5">
        <w:rPr>
          <w:iCs/>
        </w:rPr>
        <w:t>Request for Review and/or Waiver</w:t>
      </w:r>
      <w:r>
        <w:rPr>
          <w:i/>
          <w:iCs/>
        </w:rPr>
        <w:t xml:space="preserve"> </w:t>
      </w:r>
      <w:r>
        <w:t>at</w:t>
      </w:r>
      <w:r w:rsidR="00254C24">
        <w:t xml:space="preserve"> 6.</w:t>
      </w:r>
    </w:p>
  </w:footnote>
  <w:footnote w:id="17">
    <w:p w:rsidR="00AB379D" w:rsidRPr="00097537" w14:paraId="428E6FF0" w14:textId="45FF40CD">
      <w:pPr>
        <w:pStyle w:val="FootnoteText"/>
      </w:pPr>
      <w:r>
        <w:rPr>
          <w:rStyle w:val="FootnoteReference"/>
        </w:rPr>
        <w:footnoteRef/>
      </w:r>
      <w:r>
        <w:t xml:space="preserve"> </w:t>
      </w:r>
      <w:r>
        <w:rPr>
          <w:i/>
          <w:iCs/>
        </w:rPr>
        <w:t xml:space="preserve">USAC 10 Mbps Decision </w:t>
      </w:r>
      <w:r>
        <w:t xml:space="preserve">at </w:t>
      </w:r>
      <w:r w:rsidR="00097537">
        <w:t xml:space="preserve">3; </w:t>
      </w:r>
      <w:r w:rsidR="00097537">
        <w:rPr>
          <w:i/>
          <w:iCs/>
        </w:rPr>
        <w:t xml:space="preserve">USAC 20 Mbps Decision </w:t>
      </w:r>
      <w:r w:rsidR="00097537">
        <w:t>at 3.</w:t>
      </w:r>
    </w:p>
  </w:footnote>
  <w:footnote w:id="18">
    <w:p w:rsidR="00175DB3" w:rsidRPr="00C062AC" w14:paraId="1F4B94A6" w14:textId="65434530">
      <w:pPr>
        <w:pStyle w:val="FootnoteText"/>
      </w:pPr>
      <w:r>
        <w:rPr>
          <w:rStyle w:val="FootnoteReference"/>
        </w:rPr>
        <w:footnoteRef/>
      </w:r>
      <w:r>
        <w:t xml:space="preserve"> </w:t>
      </w:r>
      <w:r>
        <w:rPr>
          <w:i/>
          <w:iCs/>
        </w:rPr>
        <w:t xml:space="preserve">USAC 10 Mbps Decision </w:t>
      </w:r>
      <w:r>
        <w:t xml:space="preserve">at 3-4; </w:t>
      </w:r>
      <w:r w:rsidRPr="00FD5DB5" w:rsidR="00FD5DB5">
        <w:rPr>
          <w:iCs/>
        </w:rPr>
        <w:t>Request for Review and/or Waiver</w:t>
      </w:r>
      <w:r>
        <w:rPr>
          <w:i/>
          <w:iCs/>
        </w:rPr>
        <w:t xml:space="preserve"> </w:t>
      </w:r>
      <w:r w:rsidR="00C062AC">
        <w:t>at 6.</w:t>
      </w:r>
    </w:p>
  </w:footnote>
  <w:footnote w:id="19">
    <w:p w:rsidR="009C3E1E" w:rsidRPr="00DA4C50" w14:paraId="14A45452" w14:textId="7846BEC1">
      <w:pPr>
        <w:pStyle w:val="FootnoteText"/>
      </w:pPr>
      <w:r>
        <w:rPr>
          <w:rStyle w:val="FootnoteReference"/>
        </w:rPr>
        <w:footnoteRef/>
      </w:r>
      <w:r>
        <w:t xml:space="preserve"> </w:t>
      </w:r>
      <w:r w:rsidR="00DA4C50">
        <w:rPr>
          <w:i/>
          <w:iCs/>
        </w:rPr>
        <w:t xml:space="preserve">USAC 20 Mbps Decision </w:t>
      </w:r>
      <w:r w:rsidR="00DA4C50">
        <w:t>at 4</w:t>
      </w:r>
      <w:r w:rsidR="008F64F7">
        <w:t>.</w:t>
      </w:r>
    </w:p>
  </w:footnote>
  <w:footnote w:id="20">
    <w:p w:rsidR="00D01202" w:rsidRPr="00D01202" w14:paraId="037D7E19" w14:textId="60C23081">
      <w:pPr>
        <w:pStyle w:val="FootnoteText"/>
      </w:pPr>
      <w:r>
        <w:rPr>
          <w:rStyle w:val="FootnoteReference"/>
        </w:rPr>
        <w:footnoteRef/>
      </w:r>
      <w:r>
        <w:t xml:space="preserve"> </w:t>
      </w:r>
      <w:r>
        <w:rPr>
          <w:i/>
          <w:iCs/>
        </w:rPr>
        <w:t xml:space="preserve">USAC 20 Mbps Decision </w:t>
      </w:r>
      <w:r>
        <w:t xml:space="preserve">at 5; </w:t>
      </w:r>
      <w:r w:rsidRPr="00FD5DB5" w:rsidR="00FD5DB5">
        <w:rPr>
          <w:iCs/>
        </w:rPr>
        <w:t>Request for Review and/or Waiver</w:t>
      </w:r>
      <w:r>
        <w:t xml:space="preserve"> at </w:t>
      </w:r>
      <w:r w:rsidR="009C0378">
        <w:t>7.</w:t>
      </w:r>
    </w:p>
  </w:footnote>
  <w:footnote w:id="21">
    <w:p w:rsidR="006416F6" w:rsidRPr="00B83DC5" w14:paraId="050A9A93" w14:textId="14CBBE8D">
      <w:pPr>
        <w:pStyle w:val="FootnoteText"/>
      </w:pPr>
      <w:r>
        <w:rPr>
          <w:rStyle w:val="FootnoteReference"/>
        </w:rPr>
        <w:footnoteRef/>
      </w:r>
      <w:r>
        <w:rPr>
          <w:i/>
          <w:iCs/>
        </w:rPr>
        <w:t xml:space="preserve"> </w:t>
      </w:r>
      <w:r w:rsidRPr="00FD5DB5" w:rsidR="00FD5DB5">
        <w:rPr>
          <w:iCs/>
        </w:rPr>
        <w:t>Request for Review and/or Waiver</w:t>
      </w:r>
      <w:r>
        <w:rPr>
          <w:i/>
          <w:iCs/>
        </w:rPr>
        <w:t xml:space="preserve"> </w:t>
      </w:r>
      <w:r>
        <w:t>at 8.</w:t>
      </w:r>
    </w:p>
  </w:footnote>
  <w:footnote w:id="22">
    <w:p w:rsidR="00B83C7C" w:rsidRPr="00B83C7C" w14:paraId="6A4D2A6C" w14:textId="528BA1A2">
      <w:pPr>
        <w:pStyle w:val="FootnoteText"/>
      </w:pPr>
      <w:r>
        <w:rPr>
          <w:rStyle w:val="FootnoteReference"/>
        </w:rPr>
        <w:footnoteRef/>
      </w:r>
      <w:r>
        <w:t xml:space="preserve"> </w:t>
      </w:r>
      <w:r w:rsidRPr="00FD5DB5" w:rsidR="00FD5DB5">
        <w:rPr>
          <w:iCs/>
        </w:rPr>
        <w:t>Request for Review and/or Waiver</w:t>
      </w:r>
      <w:r>
        <w:rPr>
          <w:i/>
          <w:iCs/>
        </w:rPr>
        <w:t xml:space="preserve"> </w:t>
      </w:r>
      <w:r>
        <w:t>at 13-14</w:t>
      </w:r>
      <w:r w:rsidR="003C6738">
        <w:t xml:space="preserve">; </w:t>
      </w:r>
      <w:r w:rsidRPr="00116E28" w:rsidR="003C6738">
        <w:rPr>
          <w:szCs w:val="22"/>
        </w:rPr>
        <w:t>47 CFR § 54.605</w:t>
      </w:r>
      <w:r>
        <w:t>.</w:t>
      </w:r>
    </w:p>
  </w:footnote>
  <w:footnote w:id="23">
    <w:p w:rsidR="00C333CE" w:rsidRPr="00FB68F0" w14:paraId="2336C8F7" w14:textId="4582B107">
      <w:pPr>
        <w:pStyle w:val="FootnoteText"/>
      </w:pPr>
      <w:r>
        <w:rPr>
          <w:rStyle w:val="FootnoteReference"/>
        </w:rPr>
        <w:footnoteRef/>
      </w:r>
      <w:r>
        <w:t xml:space="preserve"> 47 CFR § 54.605(a) (2018).</w:t>
      </w:r>
      <w:r w:rsidR="00804688">
        <w:t xml:space="preserve">  </w:t>
      </w:r>
    </w:p>
  </w:footnote>
  <w:footnote w:id="24">
    <w:p w:rsidR="0074660C" w14:paraId="17693280" w14:textId="498AAAFB">
      <w:pPr>
        <w:pStyle w:val="FootnoteText"/>
      </w:pPr>
      <w:r>
        <w:rPr>
          <w:rStyle w:val="FootnoteReference"/>
        </w:rPr>
        <w:footnoteRef/>
      </w:r>
      <w:r>
        <w:t xml:space="preserve"> </w:t>
      </w:r>
      <w:r w:rsidRPr="00FD5DB5" w:rsidR="00FD5DB5">
        <w:rPr>
          <w:iCs/>
        </w:rPr>
        <w:t>Request for Review and/or Waiver</w:t>
      </w:r>
      <w:r>
        <w:rPr>
          <w:i/>
          <w:iCs/>
        </w:rPr>
        <w:t xml:space="preserve"> </w:t>
      </w:r>
      <w:r>
        <w:t xml:space="preserve">at 9, </w:t>
      </w:r>
      <w:r>
        <w:rPr>
          <w:i/>
          <w:iCs/>
        </w:rPr>
        <w:t xml:space="preserve">citing In the Matter of </w:t>
      </w:r>
      <w:r>
        <w:rPr>
          <w:i/>
          <w:iCs/>
        </w:rPr>
        <w:t>DataConnex</w:t>
      </w:r>
      <w:r>
        <w:rPr>
          <w:i/>
          <w:iCs/>
        </w:rPr>
        <w:t>, LLC</w:t>
      </w:r>
      <w:r>
        <w:t>, Notice of Apparent Liability for Forfeiture and Order, 33 FCC Rcd 1575, 1580, para. 10 (2018)</w:t>
      </w:r>
      <w:r w:rsidR="00953433">
        <w:t xml:space="preserve"> (</w:t>
      </w:r>
      <w:r w:rsidR="00953433">
        <w:rPr>
          <w:i/>
          <w:iCs/>
        </w:rPr>
        <w:t>DataConnex</w:t>
      </w:r>
      <w:r w:rsidR="00953433">
        <w:rPr>
          <w:i/>
          <w:iCs/>
        </w:rPr>
        <w:t xml:space="preserve"> </w:t>
      </w:r>
      <w:r w:rsidR="00953433">
        <w:rPr>
          <w:i/>
          <w:iCs/>
        </w:rPr>
        <w:t>NAL</w:t>
      </w:r>
      <w:r w:rsidR="00953433">
        <w:t>)</w:t>
      </w:r>
      <w:r w:rsidR="00680592">
        <w:t>.</w:t>
      </w:r>
    </w:p>
  </w:footnote>
  <w:footnote w:id="25">
    <w:p w:rsidR="00476766" w:rsidRPr="001E4262" w:rsidP="00476766" w14:paraId="6460C7A5" w14:textId="2BA56E73">
      <w:pPr>
        <w:pStyle w:val="FootnoteText"/>
      </w:pPr>
      <w:r>
        <w:rPr>
          <w:rStyle w:val="FootnoteReference"/>
        </w:rPr>
        <w:footnoteRef/>
      </w:r>
      <w:r>
        <w:t xml:space="preserve"> </w:t>
      </w:r>
      <w:r w:rsidR="006E78BE">
        <w:rPr>
          <w:i/>
          <w:iCs/>
        </w:rPr>
        <w:t xml:space="preserve">See </w:t>
      </w:r>
      <w:r w:rsidR="006E78BE">
        <w:t>Request for Review and/or Waiver</w:t>
      </w:r>
      <w:r>
        <w:t>,</w:t>
      </w:r>
      <w:r>
        <w:rPr>
          <w:i/>
          <w:iCs/>
        </w:rPr>
        <w:t xml:space="preserve"> </w:t>
      </w:r>
      <w:r>
        <w:t>Exhibit 4.</w:t>
      </w:r>
    </w:p>
  </w:footnote>
  <w:footnote w:id="26">
    <w:p w:rsidR="006D2112" w:rsidRPr="005873BF" w14:paraId="3301286E" w14:textId="199FEC9D">
      <w:pPr>
        <w:pStyle w:val="FootnoteText"/>
      </w:pPr>
      <w:r>
        <w:rPr>
          <w:rStyle w:val="FootnoteReference"/>
        </w:rPr>
        <w:footnoteRef/>
      </w:r>
      <w:r>
        <w:t xml:space="preserve"> </w:t>
      </w:r>
      <w:r w:rsidR="005873BF">
        <w:rPr>
          <w:i/>
          <w:iCs/>
        </w:rPr>
        <w:t>TeleQuality</w:t>
      </w:r>
      <w:r w:rsidR="005873BF">
        <w:rPr>
          <w:i/>
          <w:iCs/>
        </w:rPr>
        <w:t xml:space="preserve"> 10 Mbps Justification Letter</w:t>
      </w:r>
      <w:r w:rsidR="005873BF">
        <w:t xml:space="preserve">; </w:t>
      </w:r>
      <w:r w:rsidR="005873BF">
        <w:rPr>
          <w:i/>
          <w:iCs/>
        </w:rPr>
        <w:t>TeleQuality</w:t>
      </w:r>
      <w:r w:rsidR="005873BF">
        <w:rPr>
          <w:i/>
          <w:iCs/>
        </w:rPr>
        <w:t xml:space="preserve"> 20 </w:t>
      </w:r>
      <w:r w:rsidR="005873BF">
        <w:rPr>
          <w:i/>
          <w:iCs/>
        </w:rPr>
        <w:t>Mpbs</w:t>
      </w:r>
      <w:r w:rsidR="005873BF">
        <w:rPr>
          <w:i/>
          <w:iCs/>
        </w:rPr>
        <w:t xml:space="preserve"> Justification Letter</w:t>
      </w:r>
      <w:r w:rsidR="005873BF">
        <w:t>.</w:t>
      </w:r>
    </w:p>
  </w:footnote>
  <w:footnote w:id="27">
    <w:p w:rsidR="001C64AA" w:rsidRPr="001C64AA" w14:paraId="1B25E712" w14:textId="05C8542A">
      <w:pPr>
        <w:pStyle w:val="FootnoteText"/>
      </w:pPr>
      <w:r>
        <w:rPr>
          <w:rStyle w:val="FootnoteReference"/>
        </w:rPr>
        <w:footnoteRef/>
      </w:r>
      <w:r>
        <w:t xml:space="preserve"> </w:t>
      </w:r>
      <w:r w:rsidRPr="00FD5DB5" w:rsidR="00FD5DB5">
        <w:rPr>
          <w:iCs/>
        </w:rPr>
        <w:t>Request for Review and/or Waiver</w:t>
      </w:r>
      <w:r>
        <w:t xml:space="preserve">, Exhibit </w:t>
      </w:r>
      <w:r w:rsidR="00107C23">
        <w:t>6</w:t>
      </w:r>
      <w:r w:rsidR="007D0186">
        <w:t xml:space="preserve">; </w:t>
      </w:r>
      <w:r w:rsidR="00953433">
        <w:rPr>
          <w:i/>
          <w:iCs/>
        </w:rPr>
        <w:t>DataConnex</w:t>
      </w:r>
      <w:r w:rsidR="00953433">
        <w:rPr>
          <w:i/>
          <w:iCs/>
        </w:rPr>
        <w:t xml:space="preserve"> </w:t>
      </w:r>
      <w:r w:rsidR="00953433">
        <w:rPr>
          <w:i/>
          <w:iCs/>
        </w:rPr>
        <w:t>NAL</w:t>
      </w:r>
      <w:r w:rsidR="00953433">
        <w:t>, 33 FCC Rcd at 1580, para. 10.</w:t>
      </w:r>
    </w:p>
  </w:footnote>
  <w:footnote w:id="28">
    <w:p w:rsidR="003E7AAE" w:rsidRPr="003E7AAE" w14:paraId="458548F3" w14:textId="39AAC1B6">
      <w:pPr>
        <w:pStyle w:val="FootnoteText"/>
      </w:pPr>
      <w:r>
        <w:rPr>
          <w:rStyle w:val="FootnoteReference"/>
        </w:rPr>
        <w:footnoteRef/>
      </w:r>
      <w:r>
        <w:t xml:space="preserve"> </w:t>
      </w:r>
      <w:r>
        <w:rPr>
          <w:i/>
          <w:iCs/>
        </w:rPr>
        <w:t>Id</w:t>
      </w:r>
      <w:r>
        <w:t>.</w:t>
      </w:r>
    </w:p>
  </w:footnote>
  <w:footnote w:id="29">
    <w:p w:rsidR="00680592" w:rsidRPr="003E3B00" w:rsidP="00680592" w14:paraId="5E586836" w14:textId="77777777">
      <w:pPr>
        <w:pStyle w:val="FootnoteText"/>
      </w:pPr>
      <w:r>
        <w:rPr>
          <w:rStyle w:val="FootnoteReference"/>
        </w:rPr>
        <w:footnoteRef/>
      </w:r>
      <w:r>
        <w:t xml:space="preserve"> </w:t>
      </w:r>
      <w:r>
        <w:rPr>
          <w:i/>
          <w:iCs/>
        </w:rPr>
        <w:t xml:space="preserve">In the Matter of </w:t>
      </w:r>
      <w:r>
        <w:rPr>
          <w:i/>
          <w:iCs/>
        </w:rPr>
        <w:t>TeleQuality</w:t>
      </w:r>
      <w:r>
        <w:rPr>
          <w:i/>
          <w:iCs/>
        </w:rPr>
        <w:t xml:space="preserve"> Communications</w:t>
      </w:r>
      <w:r>
        <w:t>, Order and Consent Decree, 35 FCC Rcd 503 (EB 2020) (</w:t>
      </w:r>
      <w:r>
        <w:rPr>
          <w:i/>
          <w:iCs/>
        </w:rPr>
        <w:t>TeleQuality</w:t>
      </w:r>
      <w:r>
        <w:rPr>
          <w:i/>
          <w:iCs/>
        </w:rPr>
        <w:t xml:space="preserve"> Consent Decree</w:t>
      </w:r>
      <w:r>
        <w:t>).</w:t>
      </w:r>
    </w:p>
  </w:footnote>
  <w:footnote w:id="30">
    <w:p w:rsidR="00564BB9" w:rsidRPr="00564BB9" w14:paraId="63097E2C" w14:textId="22AF7198">
      <w:pPr>
        <w:pStyle w:val="FootnoteText"/>
      </w:pPr>
      <w:r>
        <w:rPr>
          <w:rStyle w:val="FootnoteReference"/>
        </w:rPr>
        <w:footnoteRef/>
      </w:r>
      <w:r>
        <w:t xml:space="preserve"> </w:t>
      </w:r>
      <w:r w:rsidR="00C6567B">
        <w:rPr>
          <w:i/>
          <w:iCs/>
        </w:rPr>
        <w:t>See i</w:t>
      </w:r>
      <w:r>
        <w:rPr>
          <w:i/>
          <w:iCs/>
        </w:rPr>
        <w:t>d</w:t>
      </w:r>
      <w:r w:rsidR="00C6567B">
        <w:t>. at 503, para. 13</w:t>
      </w:r>
      <w:r w:rsidR="00700187">
        <w:t>.</w:t>
      </w:r>
    </w:p>
  </w:footnote>
  <w:footnote w:id="31">
    <w:p w:rsidR="009C6F14" w:rsidRPr="009C6F14" w14:paraId="6462AB5C" w14:textId="28658507">
      <w:pPr>
        <w:pStyle w:val="FootnoteText"/>
      </w:pPr>
      <w:r>
        <w:rPr>
          <w:rStyle w:val="FootnoteReference"/>
        </w:rPr>
        <w:footnoteRef/>
      </w:r>
      <w:r>
        <w:t xml:space="preserve"> </w:t>
      </w:r>
      <w:r>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4CC3" w:rsidP="00444CC3" w14:paraId="177E35FD" w14:textId="512FC3DD">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DA 21-</w:t>
    </w:r>
    <w:r w:rsidR="00A91976">
      <w:rPr>
        <w:spacing w:val="-2"/>
      </w:rPr>
      <w:t>561</w:t>
    </w:r>
  </w:p>
  <w:p w:rsidR="00D25FB5" w14:paraId="0D5FD94A" w14:textId="1A3A18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11F9F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D33479" w14:textId="2F4ACC4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C86FB5">
      <w:tab/>
      <w:t>Federal Communications Commission</w:t>
    </w:r>
    <w:r w:rsidR="00C86FB5">
      <w:tab/>
    </w:r>
    <w:r w:rsidR="00B1002F">
      <w:rPr>
        <w:spacing w:val="-2"/>
      </w:rPr>
      <w:t>DA 2</w:t>
    </w:r>
    <w:r w:rsidR="00CE7DF2">
      <w:rPr>
        <w:spacing w:val="-2"/>
      </w:rPr>
      <w:t>1</w:t>
    </w:r>
    <w:r w:rsidR="00B1002F">
      <w:rPr>
        <w:spacing w:val="-2"/>
      </w:rPr>
      <w:t>-</w:t>
    </w:r>
    <w:r w:rsidR="00A91976">
      <w:rPr>
        <w:spacing w:val="-2"/>
      </w:rPr>
      <w:t>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3A6E6F"/>
    <w:multiLevelType w:val="hybridMultilevel"/>
    <w:tmpl w:val="69241A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5A"/>
    <w:rsid w:val="000017A2"/>
    <w:rsid w:val="000068CE"/>
    <w:rsid w:val="0001120A"/>
    <w:rsid w:val="00013446"/>
    <w:rsid w:val="00014270"/>
    <w:rsid w:val="00017A1B"/>
    <w:rsid w:val="00017C4D"/>
    <w:rsid w:val="00021674"/>
    <w:rsid w:val="00023CEB"/>
    <w:rsid w:val="000247D4"/>
    <w:rsid w:val="00030DA0"/>
    <w:rsid w:val="00033A4D"/>
    <w:rsid w:val="00036039"/>
    <w:rsid w:val="00036C00"/>
    <w:rsid w:val="00037113"/>
    <w:rsid w:val="00037F90"/>
    <w:rsid w:val="00040562"/>
    <w:rsid w:val="00043938"/>
    <w:rsid w:val="00043E4F"/>
    <w:rsid w:val="00046C1E"/>
    <w:rsid w:val="000515CF"/>
    <w:rsid w:val="00053232"/>
    <w:rsid w:val="00054C90"/>
    <w:rsid w:val="000552E3"/>
    <w:rsid w:val="00060F49"/>
    <w:rsid w:val="00061600"/>
    <w:rsid w:val="00067396"/>
    <w:rsid w:val="00070D35"/>
    <w:rsid w:val="00071184"/>
    <w:rsid w:val="00071618"/>
    <w:rsid w:val="0007429B"/>
    <w:rsid w:val="000764D7"/>
    <w:rsid w:val="00076DB8"/>
    <w:rsid w:val="0007772B"/>
    <w:rsid w:val="000829F3"/>
    <w:rsid w:val="000830FF"/>
    <w:rsid w:val="00086CBE"/>
    <w:rsid w:val="000875BF"/>
    <w:rsid w:val="000907C1"/>
    <w:rsid w:val="00091010"/>
    <w:rsid w:val="00091EF8"/>
    <w:rsid w:val="00093DEE"/>
    <w:rsid w:val="00095C63"/>
    <w:rsid w:val="00096D8C"/>
    <w:rsid w:val="00097537"/>
    <w:rsid w:val="00097C92"/>
    <w:rsid w:val="000A0BCA"/>
    <w:rsid w:val="000A0DC2"/>
    <w:rsid w:val="000A3FD8"/>
    <w:rsid w:val="000B4F6A"/>
    <w:rsid w:val="000B79B2"/>
    <w:rsid w:val="000C0B65"/>
    <w:rsid w:val="000C0CDF"/>
    <w:rsid w:val="000C2805"/>
    <w:rsid w:val="000C5658"/>
    <w:rsid w:val="000C5E4F"/>
    <w:rsid w:val="000C6D32"/>
    <w:rsid w:val="000C6D7A"/>
    <w:rsid w:val="000C7C09"/>
    <w:rsid w:val="000C7C61"/>
    <w:rsid w:val="000E05FE"/>
    <w:rsid w:val="000E0F3A"/>
    <w:rsid w:val="000E10C6"/>
    <w:rsid w:val="000E296D"/>
    <w:rsid w:val="000E3154"/>
    <w:rsid w:val="000E3641"/>
    <w:rsid w:val="000E3D42"/>
    <w:rsid w:val="000E532F"/>
    <w:rsid w:val="000F1DF6"/>
    <w:rsid w:val="000F3995"/>
    <w:rsid w:val="000F5FB4"/>
    <w:rsid w:val="000F71D1"/>
    <w:rsid w:val="0010206C"/>
    <w:rsid w:val="00102919"/>
    <w:rsid w:val="00102BF1"/>
    <w:rsid w:val="0010546B"/>
    <w:rsid w:val="001061F5"/>
    <w:rsid w:val="00107C23"/>
    <w:rsid w:val="001128A1"/>
    <w:rsid w:val="00116E28"/>
    <w:rsid w:val="00122485"/>
    <w:rsid w:val="00122915"/>
    <w:rsid w:val="00122BD5"/>
    <w:rsid w:val="00123CCC"/>
    <w:rsid w:val="00124218"/>
    <w:rsid w:val="00124847"/>
    <w:rsid w:val="00131ACA"/>
    <w:rsid w:val="0013207F"/>
    <w:rsid w:val="00132C07"/>
    <w:rsid w:val="00132D7D"/>
    <w:rsid w:val="00133F79"/>
    <w:rsid w:val="00134498"/>
    <w:rsid w:val="00135189"/>
    <w:rsid w:val="0014073E"/>
    <w:rsid w:val="00142EA5"/>
    <w:rsid w:val="00144E9D"/>
    <w:rsid w:val="00150A01"/>
    <w:rsid w:val="00153DBC"/>
    <w:rsid w:val="001542F6"/>
    <w:rsid w:val="00154941"/>
    <w:rsid w:val="00163607"/>
    <w:rsid w:val="001706E0"/>
    <w:rsid w:val="001711DA"/>
    <w:rsid w:val="0017296B"/>
    <w:rsid w:val="00172BA2"/>
    <w:rsid w:val="00174F2B"/>
    <w:rsid w:val="00175DB3"/>
    <w:rsid w:val="00181629"/>
    <w:rsid w:val="00183317"/>
    <w:rsid w:val="0018489B"/>
    <w:rsid w:val="00190CC9"/>
    <w:rsid w:val="001915D8"/>
    <w:rsid w:val="00194A66"/>
    <w:rsid w:val="001A0CE8"/>
    <w:rsid w:val="001A4BD5"/>
    <w:rsid w:val="001A7362"/>
    <w:rsid w:val="001B1171"/>
    <w:rsid w:val="001B38A1"/>
    <w:rsid w:val="001B4EEF"/>
    <w:rsid w:val="001B71FD"/>
    <w:rsid w:val="001C64AA"/>
    <w:rsid w:val="001C6B62"/>
    <w:rsid w:val="001D09E1"/>
    <w:rsid w:val="001D5ECC"/>
    <w:rsid w:val="001D6BCF"/>
    <w:rsid w:val="001E01CA"/>
    <w:rsid w:val="001E3443"/>
    <w:rsid w:val="001E3550"/>
    <w:rsid w:val="001E4262"/>
    <w:rsid w:val="001F5477"/>
    <w:rsid w:val="001F5681"/>
    <w:rsid w:val="002003BB"/>
    <w:rsid w:val="00200B4D"/>
    <w:rsid w:val="00205AB8"/>
    <w:rsid w:val="0020614C"/>
    <w:rsid w:val="00206842"/>
    <w:rsid w:val="00210756"/>
    <w:rsid w:val="00212651"/>
    <w:rsid w:val="0022134F"/>
    <w:rsid w:val="00222D8B"/>
    <w:rsid w:val="00224BF5"/>
    <w:rsid w:val="002256FC"/>
    <w:rsid w:val="0023194D"/>
    <w:rsid w:val="00235329"/>
    <w:rsid w:val="00237C2D"/>
    <w:rsid w:val="00240569"/>
    <w:rsid w:val="00240C4D"/>
    <w:rsid w:val="002410A3"/>
    <w:rsid w:val="00245527"/>
    <w:rsid w:val="00245B1C"/>
    <w:rsid w:val="00252305"/>
    <w:rsid w:val="002538D6"/>
    <w:rsid w:val="00254468"/>
    <w:rsid w:val="00254C24"/>
    <w:rsid w:val="00256260"/>
    <w:rsid w:val="00256E2A"/>
    <w:rsid w:val="002604BE"/>
    <w:rsid w:val="002609CC"/>
    <w:rsid w:val="00260B8B"/>
    <w:rsid w:val="0027369C"/>
    <w:rsid w:val="0027375D"/>
    <w:rsid w:val="00275CF5"/>
    <w:rsid w:val="00280AF4"/>
    <w:rsid w:val="0028301F"/>
    <w:rsid w:val="00284BFB"/>
    <w:rsid w:val="00284FFC"/>
    <w:rsid w:val="00285017"/>
    <w:rsid w:val="002851C4"/>
    <w:rsid w:val="002863FD"/>
    <w:rsid w:val="0028734C"/>
    <w:rsid w:val="0029737D"/>
    <w:rsid w:val="00297E50"/>
    <w:rsid w:val="002A2D2E"/>
    <w:rsid w:val="002A4579"/>
    <w:rsid w:val="002A6469"/>
    <w:rsid w:val="002B2359"/>
    <w:rsid w:val="002B5252"/>
    <w:rsid w:val="002C00E8"/>
    <w:rsid w:val="002C2946"/>
    <w:rsid w:val="002C3C57"/>
    <w:rsid w:val="002C43F7"/>
    <w:rsid w:val="002C6C47"/>
    <w:rsid w:val="002D122A"/>
    <w:rsid w:val="002D355A"/>
    <w:rsid w:val="002D3616"/>
    <w:rsid w:val="002D5B37"/>
    <w:rsid w:val="002E186E"/>
    <w:rsid w:val="002E23F2"/>
    <w:rsid w:val="002E3295"/>
    <w:rsid w:val="002E3835"/>
    <w:rsid w:val="002E3B84"/>
    <w:rsid w:val="002E453E"/>
    <w:rsid w:val="002E53FF"/>
    <w:rsid w:val="002F2048"/>
    <w:rsid w:val="002F20C6"/>
    <w:rsid w:val="00302D71"/>
    <w:rsid w:val="00305B08"/>
    <w:rsid w:val="00312340"/>
    <w:rsid w:val="00313DAF"/>
    <w:rsid w:val="003149D6"/>
    <w:rsid w:val="00320C53"/>
    <w:rsid w:val="003211BC"/>
    <w:rsid w:val="00324DA7"/>
    <w:rsid w:val="00331B37"/>
    <w:rsid w:val="00335800"/>
    <w:rsid w:val="00343749"/>
    <w:rsid w:val="00345A4B"/>
    <w:rsid w:val="00345CE0"/>
    <w:rsid w:val="00346DA8"/>
    <w:rsid w:val="00347633"/>
    <w:rsid w:val="00350E31"/>
    <w:rsid w:val="00351635"/>
    <w:rsid w:val="00352488"/>
    <w:rsid w:val="003536F9"/>
    <w:rsid w:val="0036414B"/>
    <w:rsid w:val="003660ED"/>
    <w:rsid w:val="003700CC"/>
    <w:rsid w:val="00370700"/>
    <w:rsid w:val="003738C8"/>
    <w:rsid w:val="00377C11"/>
    <w:rsid w:val="0038291B"/>
    <w:rsid w:val="0038291F"/>
    <w:rsid w:val="00382F3B"/>
    <w:rsid w:val="003836F6"/>
    <w:rsid w:val="00383D8D"/>
    <w:rsid w:val="00384075"/>
    <w:rsid w:val="0039131A"/>
    <w:rsid w:val="00391F6B"/>
    <w:rsid w:val="00392A24"/>
    <w:rsid w:val="00395EE0"/>
    <w:rsid w:val="00397B2A"/>
    <w:rsid w:val="003A0620"/>
    <w:rsid w:val="003A1BDE"/>
    <w:rsid w:val="003A4717"/>
    <w:rsid w:val="003A7C22"/>
    <w:rsid w:val="003B0550"/>
    <w:rsid w:val="003B141F"/>
    <w:rsid w:val="003B2787"/>
    <w:rsid w:val="003B27BB"/>
    <w:rsid w:val="003B3CBA"/>
    <w:rsid w:val="003B55B3"/>
    <w:rsid w:val="003B694F"/>
    <w:rsid w:val="003B7782"/>
    <w:rsid w:val="003C0333"/>
    <w:rsid w:val="003C0A74"/>
    <w:rsid w:val="003C6738"/>
    <w:rsid w:val="003C7125"/>
    <w:rsid w:val="003D1590"/>
    <w:rsid w:val="003D16DB"/>
    <w:rsid w:val="003D196D"/>
    <w:rsid w:val="003D28D1"/>
    <w:rsid w:val="003D485E"/>
    <w:rsid w:val="003D6ACF"/>
    <w:rsid w:val="003D7930"/>
    <w:rsid w:val="003E240F"/>
    <w:rsid w:val="003E3B00"/>
    <w:rsid w:val="003E4C4E"/>
    <w:rsid w:val="003E7AAE"/>
    <w:rsid w:val="003F171C"/>
    <w:rsid w:val="003F5482"/>
    <w:rsid w:val="003F5E2F"/>
    <w:rsid w:val="003F714E"/>
    <w:rsid w:val="00400909"/>
    <w:rsid w:val="00401130"/>
    <w:rsid w:val="00401D31"/>
    <w:rsid w:val="004044F0"/>
    <w:rsid w:val="004060D7"/>
    <w:rsid w:val="004062F5"/>
    <w:rsid w:val="004101A4"/>
    <w:rsid w:val="0041051B"/>
    <w:rsid w:val="00412FC5"/>
    <w:rsid w:val="00416202"/>
    <w:rsid w:val="00422155"/>
    <w:rsid w:val="00422276"/>
    <w:rsid w:val="004242F1"/>
    <w:rsid w:val="00432327"/>
    <w:rsid w:val="00432606"/>
    <w:rsid w:val="00433036"/>
    <w:rsid w:val="00433273"/>
    <w:rsid w:val="00433DFA"/>
    <w:rsid w:val="0043535C"/>
    <w:rsid w:val="00436B84"/>
    <w:rsid w:val="00437FCD"/>
    <w:rsid w:val="004425EB"/>
    <w:rsid w:val="00443F3E"/>
    <w:rsid w:val="00444006"/>
    <w:rsid w:val="00444CC3"/>
    <w:rsid w:val="00445A00"/>
    <w:rsid w:val="00451B0F"/>
    <w:rsid w:val="00454601"/>
    <w:rsid w:val="004558A2"/>
    <w:rsid w:val="004639B9"/>
    <w:rsid w:val="004652C8"/>
    <w:rsid w:val="00473445"/>
    <w:rsid w:val="004749BC"/>
    <w:rsid w:val="00476766"/>
    <w:rsid w:val="004848C3"/>
    <w:rsid w:val="00485316"/>
    <w:rsid w:val="004866EB"/>
    <w:rsid w:val="00486A4A"/>
    <w:rsid w:val="00491B93"/>
    <w:rsid w:val="00493BF9"/>
    <w:rsid w:val="00496E7C"/>
    <w:rsid w:val="004A15EE"/>
    <w:rsid w:val="004A610C"/>
    <w:rsid w:val="004B17B3"/>
    <w:rsid w:val="004B3243"/>
    <w:rsid w:val="004B48D5"/>
    <w:rsid w:val="004B65E3"/>
    <w:rsid w:val="004C1C25"/>
    <w:rsid w:val="004C2EE3"/>
    <w:rsid w:val="004C3116"/>
    <w:rsid w:val="004C6A43"/>
    <w:rsid w:val="004C6BE7"/>
    <w:rsid w:val="004C7B16"/>
    <w:rsid w:val="004D2C09"/>
    <w:rsid w:val="004D4814"/>
    <w:rsid w:val="004D4A6F"/>
    <w:rsid w:val="004D57E7"/>
    <w:rsid w:val="004D709B"/>
    <w:rsid w:val="004D72A7"/>
    <w:rsid w:val="004E3674"/>
    <w:rsid w:val="004E4206"/>
    <w:rsid w:val="004E4A22"/>
    <w:rsid w:val="004E6254"/>
    <w:rsid w:val="004E6DA8"/>
    <w:rsid w:val="004F27EA"/>
    <w:rsid w:val="004F29B3"/>
    <w:rsid w:val="004F3871"/>
    <w:rsid w:val="004F5D76"/>
    <w:rsid w:val="004F5F07"/>
    <w:rsid w:val="004F68C3"/>
    <w:rsid w:val="00500542"/>
    <w:rsid w:val="005008E9"/>
    <w:rsid w:val="005035F2"/>
    <w:rsid w:val="00507747"/>
    <w:rsid w:val="00507B30"/>
    <w:rsid w:val="00510245"/>
    <w:rsid w:val="00511968"/>
    <w:rsid w:val="00512DA2"/>
    <w:rsid w:val="00517985"/>
    <w:rsid w:val="00517C4A"/>
    <w:rsid w:val="0052278B"/>
    <w:rsid w:val="0052444B"/>
    <w:rsid w:val="00527E8A"/>
    <w:rsid w:val="0053012E"/>
    <w:rsid w:val="0053060C"/>
    <w:rsid w:val="00530CD2"/>
    <w:rsid w:val="00536802"/>
    <w:rsid w:val="005372D2"/>
    <w:rsid w:val="00540186"/>
    <w:rsid w:val="0054193A"/>
    <w:rsid w:val="00550A46"/>
    <w:rsid w:val="00550C0D"/>
    <w:rsid w:val="00551F1C"/>
    <w:rsid w:val="00552EF6"/>
    <w:rsid w:val="0055614C"/>
    <w:rsid w:val="005561FC"/>
    <w:rsid w:val="005575A9"/>
    <w:rsid w:val="0056255D"/>
    <w:rsid w:val="005644D8"/>
    <w:rsid w:val="00564BB9"/>
    <w:rsid w:val="00566D06"/>
    <w:rsid w:val="00570907"/>
    <w:rsid w:val="00570ED6"/>
    <w:rsid w:val="00573EA1"/>
    <w:rsid w:val="005741FC"/>
    <w:rsid w:val="00575180"/>
    <w:rsid w:val="00575225"/>
    <w:rsid w:val="00575716"/>
    <w:rsid w:val="00575840"/>
    <w:rsid w:val="00575914"/>
    <w:rsid w:val="00575DAA"/>
    <w:rsid w:val="00576568"/>
    <w:rsid w:val="00583D10"/>
    <w:rsid w:val="00585B89"/>
    <w:rsid w:val="005873BF"/>
    <w:rsid w:val="00591FB5"/>
    <w:rsid w:val="005920E2"/>
    <w:rsid w:val="0059373E"/>
    <w:rsid w:val="00595685"/>
    <w:rsid w:val="005960DF"/>
    <w:rsid w:val="005A1D7D"/>
    <w:rsid w:val="005A6724"/>
    <w:rsid w:val="005B2AF4"/>
    <w:rsid w:val="005B3A9F"/>
    <w:rsid w:val="005B5691"/>
    <w:rsid w:val="005B57E5"/>
    <w:rsid w:val="005B5CF4"/>
    <w:rsid w:val="005C2130"/>
    <w:rsid w:val="005C34A9"/>
    <w:rsid w:val="005C3F89"/>
    <w:rsid w:val="005C5E82"/>
    <w:rsid w:val="005D2484"/>
    <w:rsid w:val="005E0CE6"/>
    <w:rsid w:val="005E14C2"/>
    <w:rsid w:val="005E2784"/>
    <w:rsid w:val="005E3A40"/>
    <w:rsid w:val="005F0B8C"/>
    <w:rsid w:val="005F2A2C"/>
    <w:rsid w:val="005F2EC9"/>
    <w:rsid w:val="005F3DFC"/>
    <w:rsid w:val="005F5A61"/>
    <w:rsid w:val="00601BE5"/>
    <w:rsid w:val="0060210F"/>
    <w:rsid w:val="00603AB0"/>
    <w:rsid w:val="006056FD"/>
    <w:rsid w:val="00606F8F"/>
    <w:rsid w:val="00607BA5"/>
    <w:rsid w:val="00610B73"/>
    <w:rsid w:val="0061180A"/>
    <w:rsid w:val="00612260"/>
    <w:rsid w:val="00612893"/>
    <w:rsid w:val="00615C9E"/>
    <w:rsid w:val="006206E0"/>
    <w:rsid w:val="00622A85"/>
    <w:rsid w:val="00624296"/>
    <w:rsid w:val="00625FF3"/>
    <w:rsid w:val="00626EB6"/>
    <w:rsid w:val="00630C03"/>
    <w:rsid w:val="00631921"/>
    <w:rsid w:val="00632AB9"/>
    <w:rsid w:val="00635717"/>
    <w:rsid w:val="00636D4E"/>
    <w:rsid w:val="006373D3"/>
    <w:rsid w:val="006416F6"/>
    <w:rsid w:val="00641A9A"/>
    <w:rsid w:val="006508CC"/>
    <w:rsid w:val="00654C99"/>
    <w:rsid w:val="00655D03"/>
    <w:rsid w:val="006618AC"/>
    <w:rsid w:val="0067064C"/>
    <w:rsid w:val="00670DCE"/>
    <w:rsid w:val="00672BFA"/>
    <w:rsid w:val="0067324A"/>
    <w:rsid w:val="00676AD4"/>
    <w:rsid w:val="0068000D"/>
    <w:rsid w:val="0068035A"/>
    <w:rsid w:val="00680592"/>
    <w:rsid w:val="00680B7D"/>
    <w:rsid w:val="00681650"/>
    <w:rsid w:val="00681FFE"/>
    <w:rsid w:val="0068302E"/>
    <w:rsid w:val="00683388"/>
    <w:rsid w:val="0068345D"/>
    <w:rsid w:val="00683F84"/>
    <w:rsid w:val="0069228B"/>
    <w:rsid w:val="00692C18"/>
    <w:rsid w:val="006941C9"/>
    <w:rsid w:val="00694C6D"/>
    <w:rsid w:val="00694C82"/>
    <w:rsid w:val="00695451"/>
    <w:rsid w:val="006A11BF"/>
    <w:rsid w:val="006A1542"/>
    <w:rsid w:val="006A235E"/>
    <w:rsid w:val="006A2CC7"/>
    <w:rsid w:val="006A306B"/>
    <w:rsid w:val="006A6A81"/>
    <w:rsid w:val="006B02FD"/>
    <w:rsid w:val="006B1A38"/>
    <w:rsid w:val="006B207D"/>
    <w:rsid w:val="006B4980"/>
    <w:rsid w:val="006B6279"/>
    <w:rsid w:val="006C1204"/>
    <w:rsid w:val="006D0C8B"/>
    <w:rsid w:val="006D1B94"/>
    <w:rsid w:val="006D2112"/>
    <w:rsid w:val="006D3290"/>
    <w:rsid w:val="006D49DE"/>
    <w:rsid w:val="006E72C7"/>
    <w:rsid w:val="006E78BE"/>
    <w:rsid w:val="006F09DD"/>
    <w:rsid w:val="006F1B74"/>
    <w:rsid w:val="006F7393"/>
    <w:rsid w:val="00700187"/>
    <w:rsid w:val="00701170"/>
    <w:rsid w:val="00701683"/>
    <w:rsid w:val="0070224F"/>
    <w:rsid w:val="00706C9D"/>
    <w:rsid w:val="007115F7"/>
    <w:rsid w:val="00711A12"/>
    <w:rsid w:val="0071359F"/>
    <w:rsid w:val="00714C99"/>
    <w:rsid w:val="00715567"/>
    <w:rsid w:val="007158B6"/>
    <w:rsid w:val="0072758E"/>
    <w:rsid w:val="00727C55"/>
    <w:rsid w:val="00732FE5"/>
    <w:rsid w:val="00733587"/>
    <w:rsid w:val="007337DB"/>
    <w:rsid w:val="007352F3"/>
    <w:rsid w:val="007401DB"/>
    <w:rsid w:val="007409B5"/>
    <w:rsid w:val="00745E88"/>
    <w:rsid w:val="0074660C"/>
    <w:rsid w:val="007509A7"/>
    <w:rsid w:val="0075102B"/>
    <w:rsid w:val="007510DA"/>
    <w:rsid w:val="00751D9B"/>
    <w:rsid w:val="00757AFC"/>
    <w:rsid w:val="00761B42"/>
    <w:rsid w:val="00762122"/>
    <w:rsid w:val="00767F3A"/>
    <w:rsid w:val="00770380"/>
    <w:rsid w:val="0077195F"/>
    <w:rsid w:val="00771D77"/>
    <w:rsid w:val="0077275D"/>
    <w:rsid w:val="00773B0F"/>
    <w:rsid w:val="007748C0"/>
    <w:rsid w:val="007819CB"/>
    <w:rsid w:val="0078242B"/>
    <w:rsid w:val="00782615"/>
    <w:rsid w:val="00782AF3"/>
    <w:rsid w:val="007836DA"/>
    <w:rsid w:val="00785689"/>
    <w:rsid w:val="00793BC1"/>
    <w:rsid w:val="00794DF8"/>
    <w:rsid w:val="0079754B"/>
    <w:rsid w:val="007A1E6D"/>
    <w:rsid w:val="007A229B"/>
    <w:rsid w:val="007A3849"/>
    <w:rsid w:val="007A3C64"/>
    <w:rsid w:val="007A561F"/>
    <w:rsid w:val="007A6F5B"/>
    <w:rsid w:val="007B0EB2"/>
    <w:rsid w:val="007C0A27"/>
    <w:rsid w:val="007C2DC6"/>
    <w:rsid w:val="007C2ECA"/>
    <w:rsid w:val="007D007B"/>
    <w:rsid w:val="007D0186"/>
    <w:rsid w:val="007D0BEB"/>
    <w:rsid w:val="007D0F87"/>
    <w:rsid w:val="007D19AF"/>
    <w:rsid w:val="007D4BDF"/>
    <w:rsid w:val="007D675A"/>
    <w:rsid w:val="007E7846"/>
    <w:rsid w:val="007F3AF2"/>
    <w:rsid w:val="007F416F"/>
    <w:rsid w:val="007F4939"/>
    <w:rsid w:val="007F4A99"/>
    <w:rsid w:val="007F511D"/>
    <w:rsid w:val="007F59DE"/>
    <w:rsid w:val="00801224"/>
    <w:rsid w:val="00801916"/>
    <w:rsid w:val="00801FF8"/>
    <w:rsid w:val="00804688"/>
    <w:rsid w:val="008068D2"/>
    <w:rsid w:val="00810B6F"/>
    <w:rsid w:val="008124A4"/>
    <w:rsid w:val="0081664E"/>
    <w:rsid w:val="00822CE0"/>
    <w:rsid w:val="00824E86"/>
    <w:rsid w:val="008265F5"/>
    <w:rsid w:val="0082763E"/>
    <w:rsid w:val="00831A02"/>
    <w:rsid w:val="008331EF"/>
    <w:rsid w:val="00833CBA"/>
    <w:rsid w:val="00833D31"/>
    <w:rsid w:val="00837B4A"/>
    <w:rsid w:val="00841665"/>
    <w:rsid w:val="00841AB1"/>
    <w:rsid w:val="00845F8E"/>
    <w:rsid w:val="008466CD"/>
    <w:rsid w:val="00850593"/>
    <w:rsid w:val="00851019"/>
    <w:rsid w:val="00852276"/>
    <w:rsid w:val="00854AD2"/>
    <w:rsid w:val="00855373"/>
    <w:rsid w:val="0086170D"/>
    <w:rsid w:val="0086202A"/>
    <w:rsid w:val="00867B98"/>
    <w:rsid w:val="00867E5B"/>
    <w:rsid w:val="00870EEF"/>
    <w:rsid w:val="008714D0"/>
    <w:rsid w:val="00877064"/>
    <w:rsid w:val="00883D7C"/>
    <w:rsid w:val="00894231"/>
    <w:rsid w:val="00895B93"/>
    <w:rsid w:val="00896511"/>
    <w:rsid w:val="008A0B6D"/>
    <w:rsid w:val="008A15DC"/>
    <w:rsid w:val="008A3AEB"/>
    <w:rsid w:val="008A3C02"/>
    <w:rsid w:val="008A62D8"/>
    <w:rsid w:val="008B2B46"/>
    <w:rsid w:val="008B5127"/>
    <w:rsid w:val="008B6C9F"/>
    <w:rsid w:val="008C1DA1"/>
    <w:rsid w:val="008C5811"/>
    <w:rsid w:val="008C5E71"/>
    <w:rsid w:val="008C621E"/>
    <w:rsid w:val="008C6328"/>
    <w:rsid w:val="008C68F1"/>
    <w:rsid w:val="008C7004"/>
    <w:rsid w:val="008C73A0"/>
    <w:rsid w:val="008D1E0E"/>
    <w:rsid w:val="008D29F1"/>
    <w:rsid w:val="008D37E4"/>
    <w:rsid w:val="008D3A0D"/>
    <w:rsid w:val="008D568C"/>
    <w:rsid w:val="008D75C0"/>
    <w:rsid w:val="008E01DE"/>
    <w:rsid w:val="008E4075"/>
    <w:rsid w:val="008E41D2"/>
    <w:rsid w:val="008E477D"/>
    <w:rsid w:val="008F367C"/>
    <w:rsid w:val="008F64F7"/>
    <w:rsid w:val="009009EA"/>
    <w:rsid w:val="00904B17"/>
    <w:rsid w:val="00906640"/>
    <w:rsid w:val="00906774"/>
    <w:rsid w:val="00906BC4"/>
    <w:rsid w:val="00911414"/>
    <w:rsid w:val="00912BF5"/>
    <w:rsid w:val="00913235"/>
    <w:rsid w:val="0091337F"/>
    <w:rsid w:val="00913875"/>
    <w:rsid w:val="00921803"/>
    <w:rsid w:val="00923E55"/>
    <w:rsid w:val="00925D09"/>
    <w:rsid w:val="00926503"/>
    <w:rsid w:val="009277DD"/>
    <w:rsid w:val="00927CD0"/>
    <w:rsid w:val="0093096E"/>
    <w:rsid w:val="0093276E"/>
    <w:rsid w:val="00933B30"/>
    <w:rsid w:val="009358D9"/>
    <w:rsid w:val="00936F0E"/>
    <w:rsid w:val="00941E64"/>
    <w:rsid w:val="00942FA0"/>
    <w:rsid w:val="00943B64"/>
    <w:rsid w:val="009441E9"/>
    <w:rsid w:val="009462F3"/>
    <w:rsid w:val="00951EB7"/>
    <w:rsid w:val="00951F3E"/>
    <w:rsid w:val="00953433"/>
    <w:rsid w:val="00956510"/>
    <w:rsid w:val="009627BC"/>
    <w:rsid w:val="00971ACF"/>
    <w:rsid w:val="00972403"/>
    <w:rsid w:val="009726D8"/>
    <w:rsid w:val="0097459C"/>
    <w:rsid w:val="00974BDC"/>
    <w:rsid w:val="009803DE"/>
    <w:rsid w:val="00982881"/>
    <w:rsid w:val="00984424"/>
    <w:rsid w:val="00986403"/>
    <w:rsid w:val="009879FC"/>
    <w:rsid w:val="00987D5B"/>
    <w:rsid w:val="00993579"/>
    <w:rsid w:val="00995590"/>
    <w:rsid w:val="009A186E"/>
    <w:rsid w:val="009A3AF0"/>
    <w:rsid w:val="009A46D7"/>
    <w:rsid w:val="009A5037"/>
    <w:rsid w:val="009A64A3"/>
    <w:rsid w:val="009A7439"/>
    <w:rsid w:val="009B3516"/>
    <w:rsid w:val="009B7F6B"/>
    <w:rsid w:val="009C0378"/>
    <w:rsid w:val="009C0548"/>
    <w:rsid w:val="009C060C"/>
    <w:rsid w:val="009C20B8"/>
    <w:rsid w:val="009C3E1E"/>
    <w:rsid w:val="009C4009"/>
    <w:rsid w:val="009C4AE5"/>
    <w:rsid w:val="009C6F14"/>
    <w:rsid w:val="009C70F6"/>
    <w:rsid w:val="009C7236"/>
    <w:rsid w:val="009C7711"/>
    <w:rsid w:val="009D0CB7"/>
    <w:rsid w:val="009D1F3E"/>
    <w:rsid w:val="009D446B"/>
    <w:rsid w:val="009D5429"/>
    <w:rsid w:val="009D7308"/>
    <w:rsid w:val="009E02B6"/>
    <w:rsid w:val="009E3A41"/>
    <w:rsid w:val="009E7B88"/>
    <w:rsid w:val="009F383B"/>
    <w:rsid w:val="009F724E"/>
    <w:rsid w:val="009F76DB"/>
    <w:rsid w:val="009F7CCA"/>
    <w:rsid w:val="00A012A7"/>
    <w:rsid w:val="00A0592B"/>
    <w:rsid w:val="00A068CD"/>
    <w:rsid w:val="00A11B68"/>
    <w:rsid w:val="00A16A3E"/>
    <w:rsid w:val="00A2284C"/>
    <w:rsid w:val="00A234E4"/>
    <w:rsid w:val="00A26865"/>
    <w:rsid w:val="00A30799"/>
    <w:rsid w:val="00A31CDA"/>
    <w:rsid w:val="00A32C3B"/>
    <w:rsid w:val="00A32C58"/>
    <w:rsid w:val="00A34A72"/>
    <w:rsid w:val="00A40012"/>
    <w:rsid w:val="00A406BE"/>
    <w:rsid w:val="00A4173F"/>
    <w:rsid w:val="00A43660"/>
    <w:rsid w:val="00A43B31"/>
    <w:rsid w:val="00A4514B"/>
    <w:rsid w:val="00A45F4F"/>
    <w:rsid w:val="00A4748B"/>
    <w:rsid w:val="00A507EF"/>
    <w:rsid w:val="00A514E1"/>
    <w:rsid w:val="00A52D78"/>
    <w:rsid w:val="00A536B7"/>
    <w:rsid w:val="00A600A9"/>
    <w:rsid w:val="00A601CA"/>
    <w:rsid w:val="00A60682"/>
    <w:rsid w:val="00A64D0E"/>
    <w:rsid w:val="00A673BA"/>
    <w:rsid w:val="00A71B2D"/>
    <w:rsid w:val="00A75966"/>
    <w:rsid w:val="00A81CB5"/>
    <w:rsid w:val="00A82A3F"/>
    <w:rsid w:val="00A82C97"/>
    <w:rsid w:val="00A87FF4"/>
    <w:rsid w:val="00A90B23"/>
    <w:rsid w:val="00A91976"/>
    <w:rsid w:val="00A92AEF"/>
    <w:rsid w:val="00A94F8D"/>
    <w:rsid w:val="00A95C8A"/>
    <w:rsid w:val="00A9602B"/>
    <w:rsid w:val="00AA0B6B"/>
    <w:rsid w:val="00AA5267"/>
    <w:rsid w:val="00AA55B7"/>
    <w:rsid w:val="00AA5B9E"/>
    <w:rsid w:val="00AA7E59"/>
    <w:rsid w:val="00AB1BC2"/>
    <w:rsid w:val="00AB2407"/>
    <w:rsid w:val="00AB25FE"/>
    <w:rsid w:val="00AB379D"/>
    <w:rsid w:val="00AB47FC"/>
    <w:rsid w:val="00AB53DF"/>
    <w:rsid w:val="00AC1928"/>
    <w:rsid w:val="00AC734C"/>
    <w:rsid w:val="00AD706D"/>
    <w:rsid w:val="00AD7234"/>
    <w:rsid w:val="00AD7859"/>
    <w:rsid w:val="00AE20A7"/>
    <w:rsid w:val="00AE3E33"/>
    <w:rsid w:val="00AE450B"/>
    <w:rsid w:val="00AE6838"/>
    <w:rsid w:val="00AF2754"/>
    <w:rsid w:val="00AF3EED"/>
    <w:rsid w:val="00AF52BB"/>
    <w:rsid w:val="00AF5FED"/>
    <w:rsid w:val="00AF6EA6"/>
    <w:rsid w:val="00B01379"/>
    <w:rsid w:val="00B02E5F"/>
    <w:rsid w:val="00B037C4"/>
    <w:rsid w:val="00B06664"/>
    <w:rsid w:val="00B07E5C"/>
    <w:rsid w:val="00B1002F"/>
    <w:rsid w:val="00B11780"/>
    <w:rsid w:val="00B16442"/>
    <w:rsid w:val="00B21C5F"/>
    <w:rsid w:val="00B2264A"/>
    <w:rsid w:val="00B23519"/>
    <w:rsid w:val="00B25EED"/>
    <w:rsid w:val="00B269BE"/>
    <w:rsid w:val="00B31BDD"/>
    <w:rsid w:val="00B32377"/>
    <w:rsid w:val="00B36F5C"/>
    <w:rsid w:val="00B37F3A"/>
    <w:rsid w:val="00B41EBC"/>
    <w:rsid w:val="00B43361"/>
    <w:rsid w:val="00B44196"/>
    <w:rsid w:val="00B45D4D"/>
    <w:rsid w:val="00B46FB4"/>
    <w:rsid w:val="00B46FDF"/>
    <w:rsid w:val="00B51B09"/>
    <w:rsid w:val="00B51E7F"/>
    <w:rsid w:val="00B561CB"/>
    <w:rsid w:val="00B563A4"/>
    <w:rsid w:val="00B56857"/>
    <w:rsid w:val="00B57186"/>
    <w:rsid w:val="00B60F37"/>
    <w:rsid w:val="00B62802"/>
    <w:rsid w:val="00B6394A"/>
    <w:rsid w:val="00B63FA6"/>
    <w:rsid w:val="00B64777"/>
    <w:rsid w:val="00B76A73"/>
    <w:rsid w:val="00B811F7"/>
    <w:rsid w:val="00B83C7C"/>
    <w:rsid w:val="00B83DC5"/>
    <w:rsid w:val="00B85E26"/>
    <w:rsid w:val="00B861E5"/>
    <w:rsid w:val="00B96536"/>
    <w:rsid w:val="00BA0A3F"/>
    <w:rsid w:val="00BA1F76"/>
    <w:rsid w:val="00BA3AA9"/>
    <w:rsid w:val="00BA462C"/>
    <w:rsid w:val="00BA5DC6"/>
    <w:rsid w:val="00BA6196"/>
    <w:rsid w:val="00BB32D4"/>
    <w:rsid w:val="00BB39E4"/>
    <w:rsid w:val="00BB3BEF"/>
    <w:rsid w:val="00BB426F"/>
    <w:rsid w:val="00BB4EBE"/>
    <w:rsid w:val="00BB5D31"/>
    <w:rsid w:val="00BB6BA5"/>
    <w:rsid w:val="00BB6D30"/>
    <w:rsid w:val="00BB7B55"/>
    <w:rsid w:val="00BB7BBC"/>
    <w:rsid w:val="00BC080D"/>
    <w:rsid w:val="00BC33F8"/>
    <w:rsid w:val="00BC3994"/>
    <w:rsid w:val="00BC5C1A"/>
    <w:rsid w:val="00BC6CAD"/>
    <w:rsid w:val="00BC6D8C"/>
    <w:rsid w:val="00BC7A05"/>
    <w:rsid w:val="00BD18BC"/>
    <w:rsid w:val="00BD1AB3"/>
    <w:rsid w:val="00BD2572"/>
    <w:rsid w:val="00BD2A9D"/>
    <w:rsid w:val="00BD7960"/>
    <w:rsid w:val="00BE0B91"/>
    <w:rsid w:val="00BE1C60"/>
    <w:rsid w:val="00BE301D"/>
    <w:rsid w:val="00BF063D"/>
    <w:rsid w:val="00BF141B"/>
    <w:rsid w:val="00BF2C93"/>
    <w:rsid w:val="00BF48EF"/>
    <w:rsid w:val="00C035F7"/>
    <w:rsid w:val="00C03AB1"/>
    <w:rsid w:val="00C04BEB"/>
    <w:rsid w:val="00C057AF"/>
    <w:rsid w:val="00C05B0C"/>
    <w:rsid w:val="00C062AC"/>
    <w:rsid w:val="00C06C52"/>
    <w:rsid w:val="00C115CE"/>
    <w:rsid w:val="00C14BFF"/>
    <w:rsid w:val="00C160C7"/>
    <w:rsid w:val="00C20984"/>
    <w:rsid w:val="00C232E4"/>
    <w:rsid w:val="00C24174"/>
    <w:rsid w:val="00C252A3"/>
    <w:rsid w:val="00C26594"/>
    <w:rsid w:val="00C26EF2"/>
    <w:rsid w:val="00C31FC3"/>
    <w:rsid w:val="00C32FED"/>
    <w:rsid w:val="00C333CE"/>
    <w:rsid w:val="00C34006"/>
    <w:rsid w:val="00C34DF6"/>
    <w:rsid w:val="00C35B34"/>
    <w:rsid w:val="00C36470"/>
    <w:rsid w:val="00C36B4C"/>
    <w:rsid w:val="00C426B1"/>
    <w:rsid w:val="00C4612B"/>
    <w:rsid w:val="00C52D5D"/>
    <w:rsid w:val="00C53E2D"/>
    <w:rsid w:val="00C55AC9"/>
    <w:rsid w:val="00C55C9B"/>
    <w:rsid w:val="00C61723"/>
    <w:rsid w:val="00C61CCE"/>
    <w:rsid w:val="00C63303"/>
    <w:rsid w:val="00C653CD"/>
    <w:rsid w:val="00C6567B"/>
    <w:rsid w:val="00C66160"/>
    <w:rsid w:val="00C66266"/>
    <w:rsid w:val="00C67F1E"/>
    <w:rsid w:val="00C721AC"/>
    <w:rsid w:val="00C737B3"/>
    <w:rsid w:val="00C76232"/>
    <w:rsid w:val="00C808BE"/>
    <w:rsid w:val="00C82DEB"/>
    <w:rsid w:val="00C86FB5"/>
    <w:rsid w:val="00C90BF0"/>
    <w:rsid w:val="00C90D6A"/>
    <w:rsid w:val="00C9136E"/>
    <w:rsid w:val="00CA0511"/>
    <w:rsid w:val="00CA247E"/>
    <w:rsid w:val="00CA31F2"/>
    <w:rsid w:val="00CA6160"/>
    <w:rsid w:val="00CA6403"/>
    <w:rsid w:val="00CA6D21"/>
    <w:rsid w:val="00CA77B0"/>
    <w:rsid w:val="00CB01EC"/>
    <w:rsid w:val="00CC0882"/>
    <w:rsid w:val="00CC34F0"/>
    <w:rsid w:val="00CC4D5A"/>
    <w:rsid w:val="00CC4F78"/>
    <w:rsid w:val="00CC64E7"/>
    <w:rsid w:val="00CC72B6"/>
    <w:rsid w:val="00CD097D"/>
    <w:rsid w:val="00CD29B6"/>
    <w:rsid w:val="00CD48BD"/>
    <w:rsid w:val="00CD5E0B"/>
    <w:rsid w:val="00CD69BF"/>
    <w:rsid w:val="00CE1BCF"/>
    <w:rsid w:val="00CE2A4C"/>
    <w:rsid w:val="00CE34A1"/>
    <w:rsid w:val="00CE5753"/>
    <w:rsid w:val="00CE6162"/>
    <w:rsid w:val="00CE6A5F"/>
    <w:rsid w:val="00CE7DF2"/>
    <w:rsid w:val="00CF2731"/>
    <w:rsid w:val="00CF5C70"/>
    <w:rsid w:val="00D005C4"/>
    <w:rsid w:val="00D01202"/>
    <w:rsid w:val="00D0218D"/>
    <w:rsid w:val="00D0422D"/>
    <w:rsid w:val="00D04767"/>
    <w:rsid w:val="00D05017"/>
    <w:rsid w:val="00D06A6C"/>
    <w:rsid w:val="00D07C09"/>
    <w:rsid w:val="00D10181"/>
    <w:rsid w:val="00D17AB6"/>
    <w:rsid w:val="00D20E2B"/>
    <w:rsid w:val="00D24594"/>
    <w:rsid w:val="00D25FB5"/>
    <w:rsid w:val="00D345D6"/>
    <w:rsid w:val="00D40BCB"/>
    <w:rsid w:val="00D41878"/>
    <w:rsid w:val="00D434C3"/>
    <w:rsid w:val="00D43FE4"/>
    <w:rsid w:val="00D44223"/>
    <w:rsid w:val="00D450EB"/>
    <w:rsid w:val="00D50F32"/>
    <w:rsid w:val="00D51906"/>
    <w:rsid w:val="00D51BDF"/>
    <w:rsid w:val="00D52D77"/>
    <w:rsid w:val="00D56091"/>
    <w:rsid w:val="00D633C0"/>
    <w:rsid w:val="00D6472A"/>
    <w:rsid w:val="00D64F2B"/>
    <w:rsid w:val="00D65DCB"/>
    <w:rsid w:val="00D70D49"/>
    <w:rsid w:val="00D7244F"/>
    <w:rsid w:val="00D73A0A"/>
    <w:rsid w:val="00D814EF"/>
    <w:rsid w:val="00D828ED"/>
    <w:rsid w:val="00D83D96"/>
    <w:rsid w:val="00D870EB"/>
    <w:rsid w:val="00D87D4E"/>
    <w:rsid w:val="00D87F5A"/>
    <w:rsid w:val="00D90972"/>
    <w:rsid w:val="00D910C9"/>
    <w:rsid w:val="00D94E73"/>
    <w:rsid w:val="00D95168"/>
    <w:rsid w:val="00D96B58"/>
    <w:rsid w:val="00DA02B0"/>
    <w:rsid w:val="00DA2529"/>
    <w:rsid w:val="00DA4C50"/>
    <w:rsid w:val="00DB028F"/>
    <w:rsid w:val="00DB130A"/>
    <w:rsid w:val="00DB1D83"/>
    <w:rsid w:val="00DB2EBB"/>
    <w:rsid w:val="00DB360C"/>
    <w:rsid w:val="00DB74CA"/>
    <w:rsid w:val="00DC10A1"/>
    <w:rsid w:val="00DC655F"/>
    <w:rsid w:val="00DC6B61"/>
    <w:rsid w:val="00DD0B59"/>
    <w:rsid w:val="00DD24BE"/>
    <w:rsid w:val="00DD4883"/>
    <w:rsid w:val="00DD58D9"/>
    <w:rsid w:val="00DD6751"/>
    <w:rsid w:val="00DD7EBD"/>
    <w:rsid w:val="00DE06BC"/>
    <w:rsid w:val="00DE2928"/>
    <w:rsid w:val="00DE449C"/>
    <w:rsid w:val="00DE4D97"/>
    <w:rsid w:val="00DE59E7"/>
    <w:rsid w:val="00DF62B6"/>
    <w:rsid w:val="00E0536B"/>
    <w:rsid w:val="00E07225"/>
    <w:rsid w:val="00E10CB3"/>
    <w:rsid w:val="00E12399"/>
    <w:rsid w:val="00E23207"/>
    <w:rsid w:val="00E2355E"/>
    <w:rsid w:val="00E24589"/>
    <w:rsid w:val="00E24EEB"/>
    <w:rsid w:val="00E25974"/>
    <w:rsid w:val="00E331AD"/>
    <w:rsid w:val="00E37005"/>
    <w:rsid w:val="00E3734F"/>
    <w:rsid w:val="00E46E22"/>
    <w:rsid w:val="00E5409F"/>
    <w:rsid w:val="00E5495D"/>
    <w:rsid w:val="00E55574"/>
    <w:rsid w:val="00E63E83"/>
    <w:rsid w:val="00E66874"/>
    <w:rsid w:val="00E81957"/>
    <w:rsid w:val="00E84C66"/>
    <w:rsid w:val="00E85C00"/>
    <w:rsid w:val="00E92690"/>
    <w:rsid w:val="00E93C7D"/>
    <w:rsid w:val="00E95DCD"/>
    <w:rsid w:val="00E96A44"/>
    <w:rsid w:val="00EA14EF"/>
    <w:rsid w:val="00EA15D4"/>
    <w:rsid w:val="00EA1A87"/>
    <w:rsid w:val="00EA29C4"/>
    <w:rsid w:val="00EA66F5"/>
    <w:rsid w:val="00EA73AB"/>
    <w:rsid w:val="00EB0449"/>
    <w:rsid w:val="00EB2411"/>
    <w:rsid w:val="00EB3254"/>
    <w:rsid w:val="00EB692C"/>
    <w:rsid w:val="00EC0FDF"/>
    <w:rsid w:val="00EC1B2A"/>
    <w:rsid w:val="00EC4889"/>
    <w:rsid w:val="00EC72EE"/>
    <w:rsid w:val="00ED15E1"/>
    <w:rsid w:val="00ED477E"/>
    <w:rsid w:val="00ED5C8F"/>
    <w:rsid w:val="00ED6B62"/>
    <w:rsid w:val="00EE3198"/>
    <w:rsid w:val="00EE56A8"/>
    <w:rsid w:val="00EE6488"/>
    <w:rsid w:val="00EF2599"/>
    <w:rsid w:val="00F00E05"/>
    <w:rsid w:val="00F021FA"/>
    <w:rsid w:val="00F02A37"/>
    <w:rsid w:val="00F078FA"/>
    <w:rsid w:val="00F10C2D"/>
    <w:rsid w:val="00F1286A"/>
    <w:rsid w:val="00F15611"/>
    <w:rsid w:val="00F210A8"/>
    <w:rsid w:val="00F27436"/>
    <w:rsid w:val="00F27AF1"/>
    <w:rsid w:val="00F3252C"/>
    <w:rsid w:val="00F3414B"/>
    <w:rsid w:val="00F347F0"/>
    <w:rsid w:val="00F34E26"/>
    <w:rsid w:val="00F401F3"/>
    <w:rsid w:val="00F407F1"/>
    <w:rsid w:val="00F40BE2"/>
    <w:rsid w:val="00F4348B"/>
    <w:rsid w:val="00F469E8"/>
    <w:rsid w:val="00F50372"/>
    <w:rsid w:val="00F5735A"/>
    <w:rsid w:val="00F61AF2"/>
    <w:rsid w:val="00F62E97"/>
    <w:rsid w:val="00F64209"/>
    <w:rsid w:val="00F677EE"/>
    <w:rsid w:val="00F7293B"/>
    <w:rsid w:val="00F7303F"/>
    <w:rsid w:val="00F73DA7"/>
    <w:rsid w:val="00F74CD1"/>
    <w:rsid w:val="00F75E10"/>
    <w:rsid w:val="00F81A00"/>
    <w:rsid w:val="00F84B9C"/>
    <w:rsid w:val="00F87462"/>
    <w:rsid w:val="00F87FC8"/>
    <w:rsid w:val="00F93AC6"/>
    <w:rsid w:val="00F93BF5"/>
    <w:rsid w:val="00F94767"/>
    <w:rsid w:val="00F95533"/>
    <w:rsid w:val="00FA1031"/>
    <w:rsid w:val="00FA4060"/>
    <w:rsid w:val="00FA5FAD"/>
    <w:rsid w:val="00FA684C"/>
    <w:rsid w:val="00FB2002"/>
    <w:rsid w:val="00FB2C37"/>
    <w:rsid w:val="00FB4B22"/>
    <w:rsid w:val="00FB68F0"/>
    <w:rsid w:val="00FC3EF9"/>
    <w:rsid w:val="00FD1FF9"/>
    <w:rsid w:val="00FD24E4"/>
    <w:rsid w:val="00FD4B5F"/>
    <w:rsid w:val="00FD5DB5"/>
    <w:rsid w:val="00FD69F7"/>
    <w:rsid w:val="00FD728A"/>
    <w:rsid w:val="00FE35D4"/>
    <w:rsid w:val="00FE6F39"/>
    <w:rsid w:val="00FE7515"/>
    <w:rsid w:val="00FF02E0"/>
    <w:rsid w:val="00FF0356"/>
    <w:rsid w:val="00FF1ADF"/>
    <w:rsid w:val="00FF21B8"/>
    <w:rsid w:val="00FF221B"/>
    <w:rsid w:val="00FF4498"/>
    <w:rsid w:val="00FF4CD7"/>
    <w:rsid w:val="00FF4D57"/>
    <w:rsid w:val="00FF76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D2621D"/>
  <w15:chartTrackingRefBased/>
  <w15:docId w15:val="{DB3E7027-2C82-4E67-9321-131B009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76"/>
    <w:pPr>
      <w:widowControl w:val="0"/>
    </w:pPr>
    <w:rPr>
      <w:snapToGrid w:val="0"/>
      <w:kern w:val="28"/>
      <w:sz w:val="22"/>
    </w:rPr>
  </w:style>
  <w:style w:type="paragraph" w:styleId="Heading1">
    <w:name w:val="heading 1"/>
    <w:basedOn w:val="Normal"/>
    <w:next w:val="ParaNum"/>
    <w:qFormat/>
    <w:rsid w:val="00A919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1976"/>
    <w:pPr>
      <w:keepNext/>
      <w:numPr>
        <w:ilvl w:val="1"/>
        <w:numId w:val="3"/>
      </w:numPr>
      <w:spacing w:after="120"/>
      <w:outlineLvl w:val="1"/>
    </w:pPr>
    <w:rPr>
      <w:b/>
    </w:rPr>
  </w:style>
  <w:style w:type="paragraph" w:styleId="Heading3">
    <w:name w:val="heading 3"/>
    <w:basedOn w:val="Normal"/>
    <w:next w:val="ParaNum"/>
    <w:qFormat/>
    <w:rsid w:val="00A91976"/>
    <w:pPr>
      <w:keepNext/>
      <w:numPr>
        <w:ilvl w:val="2"/>
        <w:numId w:val="3"/>
      </w:numPr>
      <w:tabs>
        <w:tab w:val="left" w:pos="2160"/>
      </w:tabs>
      <w:spacing w:after="120"/>
      <w:outlineLvl w:val="2"/>
    </w:pPr>
    <w:rPr>
      <w:b/>
    </w:rPr>
  </w:style>
  <w:style w:type="paragraph" w:styleId="Heading4">
    <w:name w:val="heading 4"/>
    <w:basedOn w:val="Normal"/>
    <w:next w:val="ParaNum"/>
    <w:qFormat/>
    <w:rsid w:val="00A91976"/>
    <w:pPr>
      <w:keepNext/>
      <w:numPr>
        <w:ilvl w:val="3"/>
        <w:numId w:val="3"/>
      </w:numPr>
      <w:tabs>
        <w:tab w:val="left" w:pos="2880"/>
      </w:tabs>
      <w:spacing w:after="120"/>
      <w:outlineLvl w:val="3"/>
    </w:pPr>
    <w:rPr>
      <w:b/>
    </w:rPr>
  </w:style>
  <w:style w:type="paragraph" w:styleId="Heading5">
    <w:name w:val="heading 5"/>
    <w:basedOn w:val="Normal"/>
    <w:next w:val="ParaNum"/>
    <w:qFormat/>
    <w:rsid w:val="00A919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1976"/>
    <w:pPr>
      <w:numPr>
        <w:ilvl w:val="5"/>
        <w:numId w:val="3"/>
      </w:numPr>
      <w:tabs>
        <w:tab w:val="left" w:pos="4320"/>
      </w:tabs>
      <w:spacing w:after="120"/>
      <w:outlineLvl w:val="5"/>
    </w:pPr>
    <w:rPr>
      <w:b/>
    </w:rPr>
  </w:style>
  <w:style w:type="paragraph" w:styleId="Heading7">
    <w:name w:val="heading 7"/>
    <w:basedOn w:val="Normal"/>
    <w:next w:val="ParaNum"/>
    <w:qFormat/>
    <w:rsid w:val="00A919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19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19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9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976"/>
  </w:style>
  <w:style w:type="paragraph" w:customStyle="1" w:styleId="ParaNum">
    <w:name w:val="ParaNum"/>
    <w:basedOn w:val="Normal"/>
    <w:link w:val="ParaNumChar"/>
    <w:rsid w:val="00A91976"/>
    <w:pPr>
      <w:numPr>
        <w:numId w:val="2"/>
      </w:numPr>
      <w:tabs>
        <w:tab w:val="clear" w:pos="1080"/>
        <w:tab w:val="num" w:pos="1440"/>
      </w:tabs>
      <w:spacing w:after="120"/>
    </w:pPr>
  </w:style>
  <w:style w:type="paragraph" w:styleId="EndnoteText">
    <w:name w:val="endnote text"/>
    <w:basedOn w:val="Normal"/>
    <w:semiHidden/>
    <w:rsid w:val="00A91976"/>
    <w:rPr>
      <w:sz w:val="20"/>
    </w:rPr>
  </w:style>
  <w:style w:type="character" w:styleId="EndnoteReference">
    <w:name w:val="endnote reference"/>
    <w:semiHidden/>
    <w:rsid w:val="00A91976"/>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A9197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91976"/>
    <w:rPr>
      <w:rFonts w:ascii="Times New Roman" w:hAnsi="Times New Roman"/>
      <w:dstrike w:val="0"/>
      <w:color w:val="auto"/>
      <w:sz w:val="20"/>
      <w:vertAlign w:val="superscript"/>
    </w:rPr>
  </w:style>
  <w:style w:type="paragraph" w:styleId="TOC1">
    <w:name w:val="toc 1"/>
    <w:basedOn w:val="Normal"/>
    <w:next w:val="Normal"/>
    <w:semiHidden/>
    <w:rsid w:val="00A919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1976"/>
    <w:pPr>
      <w:tabs>
        <w:tab w:val="left" w:pos="720"/>
        <w:tab w:val="right" w:leader="dot" w:pos="9360"/>
      </w:tabs>
      <w:suppressAutoHyphens/>
      <w:ind w:left="720" w:right="720" w:hanging="360"/>
    </w:pPr>
    <w:rPr>
      <w:noProof/>
    </w:rPr>
  </w:style>
  <w:style w:type="paragraph" w:styleId="TOC3">
    <w:name w:val="toc 3"/>
    <w:basedOn w:val="Normal"/>
    <w:next w:val="Normal"/>
    <w:semiHidden/>
    <w:rsid w:val="00A919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19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19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19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19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19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19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1976"/>
    <w:pPr>
      <w:tabs>
        <w:tab w:val="right" w:pos="9360"/>
      </w:tabs>
      <w:suppressAutoHyphens/>
    </w:pPr>
  </w:style>
  <w:style w:type="character" w:customStyle="1" w:styleId="EquationCaption">
    <w:name w:val="_Equation Caption"/>
    <w:rsid w:val="00A91976"/>
  </w:style>
  <w:style w:type="paragraph" w:styleId="Header">
    <w:name w:val="header"/>
    <w:basedOn w:val="Normal"/>
    <w:autoRedefine/>
    <w:rsid w:val="00A91976"/>
    <w:pPr>
      <w:tabs>
        <w:tab w:val="center" w:pos="4680"/>
        <w:tab w:val="right" w:pos="9360"/>
      </w:tabs>
    </w:pPr>
    <w:rPr>
      <w:b/>
    </w:rPr>
  </w:style>
  <w:style w:type="paragraph" w:styleId="Footer">
    <w:name w:val="footer"/>
    <w:basedOn w:val="Normal"/>
    <w:link w:val="FooterChar"/>
    <w:uiPriority w:val="99"/>
    <w:rsid w:val="00A91976"/>
    <w:pPr>
      <w:tabs>
        <w:tab w:val="center" w:pos="4320"/>
        <w:tab w:val="right" w:pos="8640"/>
      </w:tabs>
    </w:pPr>
  </w:style>
  <w:style w:type="character" w:styleId="PageNumber">
    <w:name w:val="page number"/>
    <w:basedOn w:val="DefaultParagraphFont"/>
    <w:rsid w:val="00A91976"/>
  </w:style>
  <w:style w:type="paragraph" w:styleId="BlockText">
    <w:name w:val="Block Text"/>
    <w:basedOn w:val="Normal"/>
    <w:rsid w:val="00A91976"/>
    <w:pPr>
      <w:spacing w:after="240"/>
      <w:ind w:left="1440" w:right="1440"/>
    </w:pPr>
  </w:style>
  <w:style w:type="paragraph" w:customStyle="1" w:styleId="Paratitle">
    <w:name w:val="Para title"/>
    <w:basedOn w:val="Normal"/>
    <w:rsid w:val="00A91976"/>
    <w:pPr>
      <w:tabs>
        <w:tab w:val="center" w:pos="9270"/>
      </w:tabs>
      <w:spacing w:after="240"/>
    </w:pPr>
    <w:rPr>
      <w:spacing w:val="-2"/>
    </w:rPr>
  </w:style>
  <w:style w:type="paragraph" w:customStyle="1" w:styleId="Bullet">
    <w:name w:val="Bullet"/>
    <w:basedOn w:val="Normal"/>
    <w:rsid w:val="00A91976"/>
    <w:pPr>
      <w:tabs>
        <w:tab w:val="left" w:pos="2160"/>
      </w:tabs>
      <w:spacing w:after="220"/>
      <w:ind w:left="2160" w:hanging="720"/>
    </w:pPr>
  </w:style>
  <w:style w:type="paragraph" w:customStyle="1" w:styleId="TableFormat">
    <w:name w:val="TableFormat"/>
    <w:basedOn w:val="Bullet"/>
    <w:rsid w:val="00A91976"/>
    <w:pPr>
      <w:tabs>
        <w:tab w:val="clear" w:pos="2160"/>
        <w:tab w:val="left" w:pos="5040"/>
      </w:tabs>
      <w:ind w:left="5040" w:hanging="3600"/>
    </w:pPr>
  </w:style>
  <w:style w:type="paragraph" w:customStyle="1" w:styleId="TOCTitle">
    <w:name w:val="TOC Title"/>
    <w:basedOn w:val="Normal"/>
    <w:rsid w:val="00A919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976"/>
    <w:pPr>
      <w:jc w:val="center"/>
    </w:pPr>
    <w:rPr>
      <w:rFonts w:ascii="Times New Roman Bold" w:hAnsi="Times New Roman Bold"/>
      <w:b/>
      <w:bCs/>
      <w:caps/>
      <w:szCs w:val="22"/>
    </w:rPr>
  </w:style>
  <w:style w:type="character" w:styleId="Hyperlink">
    <w:name w:val="Hyperlink"/>
    <w:rsid w:val="00A91976"/>
    <w:rPr>
      <w:color w:val="0000FF"/>
      <w:u w:val="single"/>
    </w:rPr>
  </w:style>
  <w:style w:type="character" w:customStyle="1" w:styleId="FooterChar">
    <w:name w:val="Footer Char"/>
    <w:link w:val="Footer"/>
    <w:uiPriority w:val="99"/>
    <w:rsid w:val="00A91976"/>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CC4D5A"/>
  </w:style>
  <w:style w:type="character" w:customStyle="1" w:styleId="ParaNumChar">
    <w:name w:val="ParaNum Char"/>
    <w:link w:val="ParaNum"/>
    <w:locked/>
    <w:rsid w:val="00CC4D5A"/>
    <w:rPr>
      <w:snapToGrid w:val="0"/>
      <w:kern w:val="28"/>
      <w:sz w:val="22"/>
    </w:rPr>
  </w:style>
  <w:style w:type="paragraph" w:styleId="BalloonText">
    <w:name w:val="Balloon Text"/>
    <w:basedOn w:val="Normal"/>
    <w:link w:val="BalloonTextChar"/>
    <w:rsid w:val="00CC4D5A"/>
    <w:rPr>
      <w:rFonts w:ascii="Segoe UI" w:hAnsi="Segoe UI" w:cs="Segoe UI"/>
      <w:sz w:val="18"/>
      <w:szCs w:val="18"/>
    </w:rPr>
  </w:style>
  <w:style w:type="character" w:customStyle="1" w:styleId="BalloonTextChar">
    <w:name w:val="Balloon Text Char"/>
    <w:link w:val="BalloonText"/>
    <w:rsid w:val="00CC4D5A"/>
    <w:rPr>
      <w:rFonts w:ascii="Segoe UI" w:hAnsi="Segoe UI" w:cs="Segoe UI"/>
      <w:snapToGrid w:val="0"/>
      <w:kern w:val="28"/>
      <w:sz w:val="18"/>
      <w:szCs w:val="18"/>
    </w:rPr>
  </w:style>
  <w:style w:type="character" w:customStyle="1" w:styleId="StyleNumberedparagraphs11ptChar">
    <w:name w:val="Style Numbered paragraphs + 11 pt Char"/>
    <w:rsid w:val="00CC4D5A"/>
    <w:rPr>
      <w:noProof w:val="0"/>
      <w:sz w:val="22"/>
      <w:lang w:val="en-US" w:eastAsia="en-US" w:bidi="ar-SA"/>
    </w:rPr>
  </w:style>
  <w:style w:type="character" w:customStyle="1" w:styleId="ParaNumChar2">
    <w:name w:val="ParaNum Char2"/>
    <w:locked/>
    <w:rsid w:val="00AE6838"/>
    <w:rPr>
      <w:snapToGrid w:val="0"/>
      <w:kern w:val="28"/>
      <w:sz w:val="22"/>
    </w:rPr>
  </w:style>
  <w:style w:type="character" w:styleId="CommentReference">
    <w:name w:val="annotation reference"/>
    <w:rsid w:val="00782AF3"/>
    <w:rPr>
      <w:sz w:val="16"/>
      <w:szCs w:val="16"/>
    </w:rPr>
  </w:style>
  <w:style w:type="paragraph" w:styleId="CommentText">
    <w:name w:val="annotation text"/>
    <w:basedOn w:val="Normal"/>
    <w:link w:val="CommentTextChar"/>
    <w:rsid w:val="00782AF3"/>
    <w:rPr>
      <w:sz w:val="20"/>
    </w:rPr>
  </w:style>
  <w:style w:type="character" w:customStyle="1" w:styleId="CommentTextChar">
    <w:name w:val="Comment Text Char"/>
    <w:link w:val="CommentText"/>
    <w:rsid w:val="00782AF3"/>
    <w:rPr>
      <w:snapToGrid w:val="0"/>
      <w:kern w:val="28"/>
    </w:rPr>
  </w:style>
  <w:style w:type="paragraph" w:styleId="CommentSubject">
    <w:name w:val="annotation subject"/>
    <w:basedOn w:val="CommentText"/>
    <w:next w:val="CommentText"/>
    <w:link w:val="CommentSubjectChar"/>
    <w:rsid w:val="00782AF3"/>
    <w:rPr>
      <w:b/>
      <w:bCs/>
    </w:rPr>
  </w:style>
  <w:style w:type="character" w:customStyle="1" w:styleId="CommentSubjectChar">
    <w:name w:val="Comment Subject Char"/>
    <w:link w:val="CommentSubject"/>
    <w:rsid w:val="00782AF3"/>
    <w:rPr>
      <w:b/>
      <w:bCs/>
      <w:snapToGrid w:val="0"/>
      <w:kern w:val="28"/>
    </w:rPr>
  </w:style>
  <w:style w:type="character" w:customStyle="1" w:styleId="UnresolvedMention">
    <w:name w:val="Unresolved Mention"/>
    <w:rsid w:val="00A4173F"/>
    <w:rPr>
      <w:color w:val="605E5C"/>
      <w:shd w:val="clear" w:color="auto" w:fill="E1DFDD"/>
    </w:rPr>
  </w:style>
  <w:style w:type="table" w:styleId="TableGrid">
    <w:name w:val="Table Grid"/>
    <w:basedOn w:val="TableNormal"/>
    <w:rsid w:val="00DD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70D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wp-content/uploads/rural-health-care/documents/FCC-Forms/Form_466_201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