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756DA" w:rsidRPr="002007ED" w:rsidP="004756DA" w14:paraId="17D4ED9A" w14:textId="77777777">
      <w:pPr>
        <w:jc w:val="center"/>
        <w:rPr>
          <w:b/>
          <w:szCs w:val="22"/>
        </w:rPr>
      </w:pPr>
      <w:r w:rsidRPr="002007ED">
        <w:rPr>
          <w:b/>
          <w:szCs w:val="22"/>
        </w:rPr>
        <w:t>Before the</w:t>
      </w:r>
    </w:p>
    <w:p w:rsidR="004756DA" w:rsidRPr="002007ED" w:rsidP="004756DA" w14:paraId="5EABE943" w14:textId="77777777">
      <w:pPr>
        <w:jc w:val="center"/>
        <w:rPr>
          <w:b/>
          <w:szCs w:val="22"/>
        </w:rPr>
      </w:pPr>
      <w:r w:rsidRPr="002007ED">
        <w:rPr>
          <w:b/>
          <w:szCs w:val="22"/>
        </w:rPr>
        <w:t>Federal Communications Commission</w:t>
      </w:r>
    </w:p>
    <w:p w:rsidR="004756DA" w:rsidRPr="002007ED" w:rsidP="004756DA" w14:paraId="042091A6" w14:textId="77777777">
      <w:pPr>
        <w:jc w:val="center"/>
        <w:rPr>
          <w:b/>
          <w:szCs w:val="22"/>
        </w:rPr>
      </w:pPr>
      <w:r w:rsidRPr="002007ED">
        <w:rPr>
          <w:b/>
          <w:szCs w:val="22"/>
        </w:rPr>
        <w:t>Washington, D.C. 20554</w:t>
      </w:r>
    </w:p>
    <w:p w:rsidR="004756DA" w:rsidRPr="002007ED" w:rsidP="004756DA" w14:paraId="70804CC4" w14:textId="77777777">
      <w:pPr>
        <w:rPr>
          <w:szCs w:val="22"/>
        </w:rPr>
      </w:pPr>
    </w:p>
    <w:tbl>
      <w:tblPr>
        <w:tblW w:w="9648" w:type="dxa"/>
        <w:tblLayout w:type="fixed"/>
        <w:tblLook w:val="0000"/>
      </w:tblPr>
      <w:tblGrid>
        <w:gridCol w:w="4698"/>
        <w:gridCol w:w="720"/>
        <w:gridCol w:w="4230"/>
      </w:tblGrid>
      <w:tr w14:paraId="7B2E559E" w14:textId="77777777" w:rsidTr="000C1190">
        <w:tblPrEx>
          <w:tblW w:w="9648" w:type="dxa"/>
          <w:tblLayout w:type="fixed"/>
          <w:tblLook w:val="0000"/>
        </w:tblPrEx>
        <w:tc>
          <w:tcPr>
            <w:tcW w:w="4698" w:type="dxa"/>
          </w:tcPr>
          <w:p w:rsidR="004756DA" w:rsidRPr="002007ED" w:rsidP="000C1190" w14:paraId="050DF5A4" w14:textId="77777777">
            <w:pPr>
              <w:ind w:right="-18"/>
              <w:rPr>
                <w:szCs w:val="22"/>
              </w:rPr>
            </w:pPr>
            <w:r w:rsidRPr="002007ED">
              <w:rPr>
                <w:szCs w:val="22"/>
              </w:rPr>
              <w:t xml:space="preserve">In re </w:t>
            </w:r>
            <w:r w:rsidRPr="002007ED" w:rsidR="00EA24F5">
              <w:rPr>
                <w:szCs w:val="22"/>
              </w:rPr>
              <w:t>Application of</w:t>
            </w:r>
            <w:r w:rsidRPr="002007ED">
              <w:rPr>
                <w:szCs w:val="22"/>
              </w:rPr>
              <w:t xml:space="preserve">  </w:t>
            </w:r>
          </w:p>
          <w:p w:rsidR="004756DA" w:rsidRPr="002007ED" w:rsidP="000C1190" w14:paraId="03954091" w14:textId="77777777">
            <w:pPr>
              <w:ind w:right="-18"/>
              <w:rPr>
                <w:szCs w:val="22"/>
              </w:rPr>
            </w:pPr>
          </w:p>
          <w:p w:rsidR="00642AED" w:rsidRPr="00642AED" w:rsidP="00642AED" w14:paraId="0FDA9FB2" w14:textId="703EED3D">
            <w:pPr>
              <w:tabs>
                <w:tab w:val="center" w:pos="4680"/>
              </w:tabs>
              <w:suppressAutoHyphens/>
              <w:rPr>
                <w:b/>
                <w:bCs/>
                <w:spacing w:val="-2"/>
              </w:rPr>
            </w:pPr>
            <w:r>
              <w:rPr>
                <w:b/>
                <w:bCs/>
                <w:spacing w:val="-2"/>
              </w:rPr>
              <w:t>LLF Holdings, LLC</w:t>
            </w:r>
          </w:p>
          <w:p w:rsidR="00642AED" w:rsidRPr="00642AED" w:rsidP="00642AED" w14:paraId="512D18CD" w14:textId="77777777">
            <w:pPr>
              <w:tabs>
                <w:tab w:val="center" w:pos="4680"/>
              </w:tabs>
              <w:suppressAutoHyphens/>
              <w:rPr>
                <w:b/>
                <w:bCs/>
                <w:spacing w:val="-2"/>
              </w:rPr>
            </w:pPr>
          </w:p>
          <w:p w:rsidR="00642AED" w:rsidRPr="00642AED" w:rsidP="00642AED" w14:paraId="4A1D3F99" w14:textId="77777777">
            <w:pPr>
              <w:tabs>
                <w:tab w:val="center" w:pos="4680"/>
              </w:tabs>
              <w:suppressAutoHyphens/>
              <w:rPr>
                <w:spacing w:val="-2"/>
              </w:rPr>
            </w:pPr>
            <w:r w:rsidRPr="00642AED">
              <w:rPr>
                <w:spacing w:val="-2"/>
              </w:rPr>
              <w:t>For Renewal of License for</w:t>
            </w:r>
          </w:p>
          <w:p w:rsidR="00642AED" w:rsidRPr="00642AED" w:rsidP="00642AED" w14:paraId="5F1DA33A" w14:textId="66A6F0E8">
            <w:pPr>
              <w:tabs>
                <w:tab w:val="center" w:pos="4680"/>
              </w:tabs>
              <w:suppressAutoHyphens/>
              <w:rPr>
                <w:spacing w:val="-2"/>
              </w:rPr>
            </w:pPr>
            <w:r w:rsidRPr="00642AED">
              <w:rPr>
                <w:spacing w:val="-2"/>
              </w:rPr>
              <w:t xml:space="preserve">FM Translator Station </w:t>
            </w:r>
            <w:r w:rsidR="0096099E">
              <w:rPr>
                <w:spacing w:val="-2"/>
              </w:rPr>
              <w:t>W275CC</w:t>
            </w:r>
          </w:p>
          <w:p w:rsidR="004756DA" w:rsidRPr="002007ED" w:rsidP="00642AED" w14:paraId="0F0BCF53" w14:textId="49F50797">
            <w:pPr>
              <w:ind w:right="-18"/>
              <w:rPr>
                <w:b/>
                <w:szCs w:val="22"/>
              </w:rPr>
            </w:pPr>
            <w:r>
              <w:rPr>
                <w:spacing w:val="-2"/>
              </w:rPr>
              <w:t>Macon</w:t>
            </w:r>
            <w:r w:rsidRPr="00642AED" w:rsidR="00F41036">
              <w:rPr>
                <w:spacing w:val="-2"/>
              </w:rPr>
              <w:t xml:space="preserve">, </w:t>
            </w:r>
            <w:r>
              <w:rPr>
                <w:spacing w:val="-2"/>
              </w:rPr>
              <w:t>Georgia</w:t>
            </w:r>
          </w:p>
        </w:tc>
        <w:tc>
          <w:tcPr>
            <w:tcW w:w="720" w:type="dxa"/>
          </w:tcPr>
          <w:p w:rsidR="004756DA" w:rsidRPr="002007ED" w:rsidP="000C1190" w14:paraId="531D622B" w14:textId="77777777">
            <w:pPr>
              <w:rPr>
                <w:b/>
                <w:szCs w:val="22"/>
              </w:rPr>
            </w:pPr>
            <w:r w:rsidRPr="002007ED">
              <w:rPr>
                <w:b/>
                <w:szCs w:val="22"/>
              </w:rPr>
              <w:t>)</w:t>
            </w:r>
          </w:p>
          <w:p w:rsidR="004756DA" w:rsidRPr="002007ED" w:rsidP="000C1190" w14:paraId="294BDC3F" w14:textId="77777777">
            <w:pPr>
              <w:rPr>
                <w:b/>
                <w:szCs w:val="22"/>
              </w:rPr>
            </w:pPr>
            <w:r w:rsidRPr="002007ED">
              <w:rPr>
                <w:b/>
                <w:szCs w:val="22"/>
              </w:rPr>
              <w:t>)</w:t>
            </w:r>
          </w:p>
          <w:p w:rsidR="004756DA" w:rsidRPr="002007ED" w:rsidP="000C1190" w14:paraId="5E4D2172" w14:textId="77777777">
            <w:pPr>
              <w:rPr>
                <w:b/>
                <w:szCs w:val="22"/>
              </w:rPr>
            </w:pPr>
            <w:r w:rsidRPr="002007ED">
              <w:rPr>
                <w:b/>
                <w:szCs w:val="22"/>
              </w:rPr>
              <w:t>)</w:t>
            </w:r>
          </w:p>
          <w:p w:rsidR="004756DA" w:rsidRPr="002007ED" w:rsidP="000C1190" w14:paraId="5008F3F8" w14:textId="77777777">
            <w:pPr>
              <w:rPr>
                <w:b/>
                <w:szCs w:val="22"/>
              </w:rPr>
            </w:pPr>
            <w:r w:rsidRPr="002007ED">
              <w:rPr>
                <w:b/>
                <w:szCs w:val="22"/>
              </w:rPr>
              <w:t>)</w:t>
            </w:r>
          </w:p>
          <w:p w:rsidR="004756DA" w:rsidRPr="002007ED" w:rsidP="000C1190" w14:paraId="02845DF8" w14:textId="77777777">
            <w:pPr>
              <w:rPr>
                <w:b/>
                <w:szCs w:val="22"/>
              </w:rPr>
            </w:pPr>
            <w:r w:rsidRPr="002007ED">
              <w:rPr>
                <w:b/>
                <w:szCs w:val="22"/>
              </w:rPr>
              <w:t>)</w:t>
            </w:r>
          </w:p>
          <w:p w:rsidR="004756DA" w:rsidRPr="002007ED" w:rsidP="000C1190" w14:paraId="2B15A3A6" w14:textId="77777777">
            <w:pPr>
              <w:rPr>
                <w:b/>
                <w:szCs w:val="22"/>
              </w:rPr>
            </w:pPr>
            <w:r w:rsidRPr="002007ED">
              <w:rPr>
                <w:b/>
                <w:szCs w:val="22"/>
              </w:rPr>
              <w:t>)</w:t>
            </w:r>
          </w:p>
          <w:p w:rsidR="009834E0" w:rsidRPr="002007ED" w:rsidP="000C1190" w14:paraId="7833E5C1" w14:textId="77777777">
            <w:pPr>
              <w:rPr>
                <w:b/>
                <w:szCs w:val="22"/>
              </w:rPr>
            </w:pPr>
            <w:r w:rsidRPr="002007ED">
              <w:rPr>
                <w:b/>
                <w:szCs w:val="22"/>
              </w:rPr>
              <w:t>)</w:t>
            </w:r>
          </w:p>
          <w:p w:rsidR="00EA24F5" w:rsidRPr="002007ED" w:rsidP="000C1190" w14:paraId="7A0214C5" w14:textId="77777777">
            <w:pPr>
              <w:rPr>
                <w:b/>
                <w:szCs w:val="22"/>
              </w:rPr>
            </w:pPr>
          </w:p>
        </w:tc>
        <w:tc>
          <w:tcPr>
            <w:tcW w:w="4230" w:type="dxa"/>
          </w:tcPr>
          <w:p w:rsidR="004756DA" w:rsidRPr="002007ED" w:rsidP="000C1190" w14:paraId="3CE3CCEB" w14:textId="77777777">
            <w:pPr>
              <w:rPr>
                <w:szCs w:val="22"/>
              </w:rPr>
            </w:pPr>
          </w:p>
          <w:p w:rsidR="004756DA" w:rsidRPr="002007ED" w:rsidP="000C1190" w14:paraId="0A3916E3" w14:textId="77777777">
            <w:pPr>
              <w:rPr>
                <w:szCs w:val="22"/>
              </w:rPr>
            </w:pPr>
          </w:p>
          <w:p w:rsidR="00642AED" w:rsidRPr="00642AED" w:rsidP="00642AED" w14:paraId="4B2FA8D4" w14:textId="4BDD72DD">
            <w:pPr>
              <w:pStyle w:val="TOAHeading"/>
              <w:rPr>
                <w:spacing w:val="-2"/>
              </w:rPr>
            </w:pPr>
            <w:r w:rsidRPr="00642AED">
              <w:rPr>
                <w:spacing w:val="-2"/>
              </w:rPr>
              <w:t xml:space="preserve">Facility ID No. </w:t>
            </w:r>
            <w:r w:rsidR="00D31F68">
              <w:rPr>
                <w:spacing w:val="-2"/>
              </w:rPr>
              <w:t>148100</w:t>
            </w:r>
          </w:p>
          <w:p w:rsidR="00642AED" w:rsidRPr="00642AED" w:rsidP="00642AED" w14:paraId="7E6CA6DA" w14:textId="2618427C">
            <w:pPr>
              <w:pStyle w:val="TOAHeading"/>
              <w:rPr>
                <w:spacing w:val="-2"/>
              </w:rPr>
            </w:pPr>
            <w:r w:rsidRPr="00642AED">
              <w:rPr>
                <w:spacing w:val="-2"/>
              </w:rPr>
              <w:t xml:space="preserve">NAL/Acct. No. </w:t>
            </w:r>
            <w:r w:rsidR="00D31F68">
              <w:rPr>
                <w:rFonts w:ascii="TimesNewRomanPSMT" w:hAnsi="TimesNewRomanPSMT" w:cs="TimesNewRomanPSMT"/>
                <w:snapToGrid/>
                <w:kern w:val="0"/>
                <w:szCs w:val="22"/>
              </w:rPr>
              <w:t>MB-202141410015</w:t>
            </w:r>
          </w:p>
          <w:p w:rsidR="00642AED" w:rsidRPr="00642AED" w:rsidP="00642AED" w14:paraId="2949F13B" w14:textId="165F8429">
            <w:pPr>
              <w:pStyle w:val="TOAHeading"/>
              <w:rPr>
                <w:spacing w:val="-2"/>
              </w:rPr>
            </w:pPr>
            <w:r w:rsidRPr="00642AED">
              <w:rPr>
                <w:spacing w:val="-2"/>
              </w:rPr>
              <w:t xml:space="preserve">FRN:  </w:t>
            </w:r>
            <w:r w:rsidR="00AA5D47">
              <w:rPr>
                <w:rFonts w:ascii="TimesNewRomanPSMT" w:hAnsi="TimesNewRomanPSMT" w:cs="TimesNewRomanPSMT"/>
                <w:snapToGrid/>
                <w:kern w:val="0"/>
                <w:szCs w:val="22"/>
              </w:rPr>
              <w:t>0028146306</w:t>
            </w:r>
          </w:p>
          <w:p w:rsidR="004756DA" w:rsidRPr="002007ED" w:rsidP="00642AED" w14:paraId="14B83DFA" w14:textId="06D11A9E">
            <w:pPr>
              <w:rPr>
                <w:szCs w:val="22"/>
              </w:rPr>
            </w:pPr>
            <w:r w:rsidRPr="00642AED">
              <w:rPr>
                <w:spacing w:val="-2"/>
              </w:rPr>
              <w:t xml:space="preserve">File No. </w:t>
            </w:r>
            <w:r w:rsidRPr="003664F8" w:rsidR="003664F8">
              <w:rPr>
                <w:spacing w:val="-2"/>
              </w:rPr>
              <w:t>0000108149</w:t>
            </w:r>
          </w:p>
        </w:tc>
      </w:tr>
    </w:tbl>
    <w:p w:rsidR="004756DA" w:rsidRPr="002007ED" w:rsidP="004756DA" w14:paraId="3B977846" w14:textId="77777777">
      <w:pPr>
        <w:jc w:val="center"/>
        <w:rPr>
          <w:b/>
          <w:szCs w:val="22"/>
        </w:rPr>
      </w:pPr>
      <w:r>
        <w:rPr>
          <w:b/>
          <w:szCs w:val="22"/>
        </w:rPr>
        <w:t xml:space="preserve">FORFEITURE </w:t>
      </w:r>
      <w:r w:rsidRPr="002007ED" w:rsidR="00DB41FF">
        <w:rPr>
          <w:b/>
          <w:szCs w:val="22"/>
        </w:rPr>
        <w:t>ORDER</w:t>
      </w:r>
    </w:p>
    <w:p w:rsidR="004756DA" w:rsidRPr="002007ED" w:rsidP="004756DA" w14:paraId="3CEDE23B" w14:textId="77777777">
      <w:pPr>
        <w:tabs>
          <w:tab w:val="left" w:pos="5760"/>
        </w:tabs>
        <w:rPr>
          <w:szCs w:val="22"/>
        </w:rPr>
      </w:pPr>
    </w:p>
    <w:p w:rsidR="004756DA" w:rsidRPr="002007ED" w:rsidP="004756DA" w14:paraId="0D0CD23F" w14:textId="3FF5509C">
      <w:pPr>
        <w:tabs>
          <w:tab w:val="left" w:pos="5760"/>
        </w:tabs>
        <w:rPr>
          <w:b/>
          <w:szCs w:val="22"/>
        </w:rPr>
      </w:pPr>
      <w:r w:rsidRPr="002007ED">
        <w:rPr>
          <w:b/>
          <w:szCs w:val="22"/>
        </w:rPr>
        <w:t xml:space="preserve">Adopted:  </w:t>
      </w:r>
      <w:r w:rsidR="007476E6">
        <w:rPr>
          <w:b/>
          <w:szCs w:val="22"/>
        </w:rPr>
        <w:t>May 13,</w:t>
      </w:r>
      <w:r w:rsidR="007D3800">
        <w:rPr>
          <w:b/>
          <w:szCs w:val="22"/>
        </w:rPr>
        <w:t xml:space="preserve"> 2021</w:t>
      </w:r>
      <w:r w:rsidRPr="002007ED">
        <w:rPr>
          <w:b/>
          <w:szCs w:val="22"/>
        </w:rPr>
        <w:tab/>
      </w:r>
      <w:r w:rsidR="007D3800">
        <w:rPr>
          <w:b/>
          <w:szCs w:val="22"/>
        </w:rPr>
        <w:tab/>
      </w:r>
      <w:r w:rsidRPr="002007ED">
        <w:rPr>
          <w:b/>
          <w:szCs w:val="22"/>
        </w:rPr>
        <w:t xml:space="preserve">Released:  </w:t>
      </w:r>
      <w:r w:rsidR="007476E6">
        <w:rPr>
          <w:b/>
          <w:szCs w:val="22"/>
        </w:rPr>
        <w:t>May 13,</w:t>
      </w:r>
      <w:r w:rsidR="007D3800">
        <w:rPr>
          <w:b/>
          <w:szCs w:val="22"/>
        </w:rPr>
        <w:t xml:space="preserve"> 2021</w:t>
      </w:r>
    </w:p>
    <w:p w:rsidR="004756DA" w:rsidRPr="002007ED" w:rsidP="004756DA" w14:paraId="3FEA6213" w14:textId="77777777">
      <w:pPr>
        <w:tabs>
          <w:tab w:val="left" w:pos="5760"/>
        </w:tabs>
        <w:rPr>
          <w:b/>
          <w:szCs w:val="22"/>
        </w:rPr>
      </w:pPr>
    </w:p>
    <w:p w:rsidR="004756DA" w:rsidRPr="002007ED" w:rsidP="004756DA" w14:paraId="1DC14CAB" w14:textId="77777777">
      <w:pPr>
        <w:tabs>
          <w:tab w:val="left" w:pos="5760"/>
        </w:tabs>
        <w:rPr>
          <w:spacing w:val="-2"/>
          <w:szCs w:val="22"/>
        </w:rPr>
      </w:pPr>
      <w:r w:rsidRPr="002007ED">
        <w:rPr>
          <w:szCs w:val="22"/>
        </w:rPr>
        <w:t xml:space="preserve">By the Chief, </w:t>
      </w:r>
      <w:r w:rsidRPr="002007ED" w:rsidR="00475AB4">
        <w:rPr>
          <w:szCs w:val="22"/>
        </w:rPr>
        <w:t>Audio Division</w:t>
      </w:r>
      <w:r w:rsidRPr="002007ED" w:rsidR="00BF70C1">
        <w:rPr>
          <w:szCs w:val="22"/>
        </w:rPr>
        <w:t>, Media Bureau</w:t>
      </w:r>
      <w:r w:rsidRPr="002007ED">
        <w:rPr>
          <w:spacing w:val="-2"/>
          <w:szCs w:val="22"/>
        </w:rPr>
        <w:t>:</w:t>
      </w:r>
    </w:p>
    <w:p w:rsidR="007415F1" w:rsidRPr="002007ED" w:rsidP="007415F1" w14:paraId="1BA706D4" w14:textId="77777777">
      <w:pPr>
        <w:tabs>
          <w:tab w:val="left" w:pos="1080"/>
          <w:tab w:val="left" w:pos="5760"/>
        </w:tabs>
        <w:rPr>
          <w:spacing w:val="-2"/>
          <w:szCs w:val="22"/>
        </w:rPr>
      </w:pPr>
    </w:p>
    <w:p w:rsidR="005F3236" w:rsidRPr="002007ED" w:rsidP="005F3236" w14:paraId="71BDAA29" w14:textId="77777777">
      <w:pPr>
        <w:pStyle w:val="Heading1"/>
        <w:rPr>
          <w:rFonts w:ascii="Times New Roman" w:hAnsi="Times New Roman"/>
          <w:szCs w:val="22"/>
        </w:rPr>
      </w:pPr>
      <w:r w:rsidRPr="002007ED">
        <w:rPr>
          <w:rFonts w:ascii="Times New Roman" w:hAnsi="Times New Roman"/>
          <w:szCs w:val="22"/>
        </w:rPr>
        <w:t>introduction</w:t>
      </w:r>
    </w:p>
    <w:p w:rsidR="003A22F6" w:rsidP="003A22F6" w14:paraId="1435DB1C" w14:textId="7CA062F2">
      <w:pPr>
        <w:pStyle w:val="ParaNum"/>
        <w:numPr>
          <w:ilvl w:val="0"/>
          <w:numId w:val="20"/>
        </w:numPr>
        <w:tabs>
          <w:tab w:val="clear" w:pos="450"/>
          <w:tab w:val="left" w:pos="1440"/>
        </w:tabs>
        <w:snapToGrid w:val="0"/>
        <w:spacing w:after="220"/>
        <w:ind w:left="0"/>
        <w:rPr>
          <w:snapToGrid/>
        </w:rPr>
      </w:pPr>
      <w:r>
        <w:t xml:space="preserve">In this </w:t>
      </w:r>
      <w:r>
        <w:rPr>
          <w:i/>
          <w:iCs/>
        </w:rPr>
        <w:t>Forfeiture Order</w:t>
      </w:r>
      <w:r>
        <w:t xml:space="preserve">, we issue a monetary forfeiture in the amount of </w:t>
      </w:r>
      <w:r w:rsidR="00DF778B">
        <w:t xml:space="preserve">one thousand, </w:t>
      </w:r>
      <w:r w:rsidR="009A1545">
        <w:t>five</w:t>
      </w:r>
      <w:r w:rsidR="00DF778B">
        <w:t xml:space="preserve"> hundred </w:t>
      </w:r>
      <w:r>
        <w:t>dollars ($</w:t>
      </w:r>
      <w:r w:rsidR="000717E9">
        <w:t>1,</w:t>
      </w:r>
      <w:r w:rsidR="00DF778B">
        <w:t>5</w:t>
      </w:r>
      <w:r w:rsidR="009A1545">
        <w:t>00</w:t>
      </w:r>
      <w:r>
        <w:t>) to</w:t>
      </w:r>
      <w:r>
        <w:rPr>
          <w:szCs w:val="22"/>
        </w:rPr>
        <w:t xml:space="preserve"> </w:t>
      </w:r>
      <w:r w:rsidR="008F5A0A">
        <w:rPr>
          <w:szCs w:val="22"/>
        </w:rPr>
        <w:t>LLF Holdings, LLC</w:t>
      </w:r>
      <w:r>
        <w:rPr>
          <w:szCs w:val="22"/>
        </w:rPr>
        <w:t xml:space="preserve"> (Licensee), licensee of FM Translator Station </w:t>
      </w:r>
      <w:r w:rsidR="005276EB">
        <w:rPr>
          <w:szCs w:val="22"/>
        </w:rPr>
        <w:t>W275CC</w:t>
      </w:r>
      <w:r w:rsidR="00612A61">
        <w:rPr>
          <w:szCs w:val="22"/>
        </w:rPr>
        <w:t xml:space="preserve">, </w:t>
      </w:r>
      <w:r w:rsidR="005276EB">
        <w:rPr>
          <w:szCs w:val="22"/>
        </w:rPr>
        <w:t>Macon</w:t>
      </w:r>
      <w:r w:rsidR="00612A61">
        <w:rPr>
          <w:szCs w:val="22"/>
        </w:rPr>
        <w:t xml:space="preserve">, </w:t>
      </w:r>
      <w:r w:rsidR="005276EB">
        <w:rPr>
          <w:szCs w:val="22"/>
        </w:rPr>
        <w:t>Georgia</w:t>
      </w:r>
      <w:r w:rsidR="00DF778B">
        <w:rPr>
          <w:szCs w:val="22"/>
        </w:rPr>
        <w:t xml:space="preserve"> </w:t>
      </w:r>
      <w:r>
        <w:rPr>
          <w:szCs w:val="22"/>
        </w:rPr>
        <w:t>(Station</w:t>
      </w:r>
      <w:r>
        <w:t>), for willfully violating section 73.3539 of the Commission’s rules (Rules) by failing to timely file a license renewal application for the Station.</w:t>
      </w:r>
      <w:r>
        <w:rPr>
          <w:rStyle w:val="FootnoteReference"/>
          <w:szCs w:val="22"/>
        </w:rPr>
        <w:footnoteReference w:id="2"/>
      </w:r>
      <w:r>
        <w:t xml:space="preserve">  </w:t>
      </w:r>
    </w:p>
    <w:p w:rsidR="005F3236" w:rsidRPr="002007ED" w:rsidP="005F3236" w14:paraId="71239085" w14:textId="77777777">
      <w:pPr>
        <w:pStyle w:val="Heading1"/>
        <w:rPr>
          <w:rFonts w:ascii="Times New Roman" w:hAnsi="Times New Roman"/>
          <w:szCs w:val="22"/>
        </w:rPr>
      </w:pPr>
      <w:r w:rsidRPr="002007ED">
        <w:rPr>
          <w:rFonts w:ascii="Times New Roman" w:hAnsi="Times New Roman"/>
          <w:szCs w:val="22"/>
        </w:rPr>
        <w:t>background</w:t>
      </w:r>
    </w:p>
    <w:p w:rsidR="008426F1" w:rsidRPr="002007ED" w:rsidP="008426F1" w14:paraId="7C6C25DD" w14:textId="24D74096">
      <w:pPr>
        <w:pStyle w:val="ParaNum"/>
        <w:rPr>
          <w:szCs w:val="22"/>
        </w:rPr>
      </w:pPr>
      <w:r w:rsidRPr="002007ED">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3"/>
      </w:r>
      <w:r w:rsidRPr="002007ED">
        <w:rPr>
          <w:szCs w:val="22"/>
        </w:rPr>
        <w:t xml:space="preserve">  An application for renewal of the Station’s license should have been filed by </w:t>
      </w:r>
      <w:r w:rsidR="007E5E4E">
        <w:rPr>
          <w:szCs w:val="22"/>
        </w:rPr>
        <w:t>December 2, 2019</w:t>
      </w:r>
      <w:r w:rsidRPr="002007ED">
        <w:rPr>
          <w:szCs w:val="22"/>
        </w:rPr>
        <w:t xml:space="preserve">, the first </w:t>
      </w:r>
      <w:r w:rsidR="007E5E4E">
        <w:rPr>
          <w:szCs w:val="22"/>
        </w:rPr>
        <w:t xml:space="preserve">business </w:t>
      </w:r>
      <w:r w:rsidRPr="002007ED">
        <w:rPr>
          <w:szCs w:val="22"/>
        </w:rPr>
        <w:t xml:space="preserve">day of the fourth full calendar month prior to the Station’s license expiration date of </w:t>
      </w:r>
      <w:r w:rsidR="00C20149">
        <w:rPr>
          <w:szCs w:val="22"/>
        </w:rPr>
        <w:t>April</w:t>
      </w:r>
      <w:r w:rsidR="0023747D">
        <w:rPr>
          <w:szCs w:val="22"/>
        </w:rPr>
        <w:t xml:space="preserve"> </w:t>
      </w:r>
      <w:r w:rsidRPr="002007ED">
        <w:rPr>
          <w:szCs w:val="22"/>
        </w:rPr>
        <w:t>1, 2020.</w:t>
      </w:r>
      <w:r>
        <w:rPr>
          <w:rStyle w:val="FootnoteReference"/>
          <w:sz w:val="22"/>
          <w:szCs w:val="22"/>
        </w:rPr>
        <w:footnoteReference w:id="4"/>
      </w:r>
      <w:r w:rsidRPr="002007ED">
        <w:rPr>
          <w:szCs w:val="22"/>
        </w:rPr>
        <w:t xml:space="preserve">  The application was not filed until </w:t>
      </w:r>
      <w:r w:rsidR="003B7CC1">
        <w:rPr>
          <w:szCs w:val="22"/>
        </w:rPr>
        <w:t>March 17</w:t>
      </w:r>
      <w:r w:rsidRPr="002007ED">
        <w:rPr>
          <w:szCs w:val="22"/>
        </w:rPr>
        <w:t xml:space="preserve">, 2020.  The Licensee provided no explanation for its untimely filing of the application. </w:t>
      </w:r>
    </w:p>
    <w:p w:rsidR="00A6332C" w:rsidRPr="002007ED" w:rsidP="00F9169F" w14:paraId="5BF590AF" w14:textId="01C87BF3">
      <w:pPr>
        <w:pStyle w:val="ParaNum"/>
        <w:widowControl/>
        <w:rPr>
          <w:szCs w:val="22"/>
        </w:rPr>
      </w:pPr>
      <w:r w:rsidRPr="002007ED">
        <w:rPr>
          <w:szCs w:val="22"/>
        </w:rPr>
        <w:t xml:space="preserve">Accordingly, on </w:t>
      </w:r>
      <w:r w:rsidR="0023747D">
        <w:rPr>
          <w:szCs w:val="22"/>
        </w:rPr>
        <w:t xml:space="preserve">February </w:t>
      </w:r>
      <w:r w:rsidR="000D6F8A">
        <w:rPr>
          <w:szCs w:val="22"/>
        </w:rPr>
        <w:t>26</w:t>
      </w:r>
      <w:r w:rsidR="0023747D">
        <w:rPr>
          <w:szCs w:val="22"/>
        </w:rPr>
        <w:t>, 2021</w:t>
      </w:r>
      <w:r w:rsidRPr="002007ED">
        <w:rPr>
          <w:szCs w:val="22"/>
        </w:rPr>
        <w:t>, we release</w:t>
      </w:r>
      <w:r w:rsidRPr="002007ED" w:rsidR="002D6CCE">
        <w:rPr>
          <w:szCs w:val="22"/>
        </w:rPr>
        <w:t xml:space="preserve">d the </w:t>
      </w:r>
      <w:r w:rsidR="00720F0B">
        <w:rPr>
          <w:i/>
          <w:iCs/>
          <w:szCs w:val="22"/>
        </w:rPr>
        <w:t xml:space="preserve">Memorandum Opinion and Order and Notice of Apparent Liability for Forfeiture </w:t>
      </w:r>
      <w:r w:rsidRPr="00F9169F" w:rsidR="00720F0B">
        <w:rPr>
          <w:szCs w:val="22"/>
        </w:rPr>
        <w:t>(</w:t>
      </w:r>
      <w:r w:rsidRPr="002007ED" w:rsidR="002D6CCE">
        <w:rPr>
          <w:i/>
          <w:iCs/>
          <w:szCs w:val="22"/>
        </w:rPr>
        <w:t>NAL</w:t>
      </w:r>
      <w:r w:rsidRPr="00F9169F" w:rsidR="00720F0B">
        <w:rPr>
          <w:szCs w:val="22"/>
        </w:rPr>
        <w:t>)</w:t>
      </w:r>
      <w:r w:rsidRPr="002007ED" w:rsidR="002D6CCE">
        <w:rPr>
          <w:szCs w:val="22"/>
        </w:rPr>
        <w:t xml:space="preserve">, which </w:t>
      </w:r>
      <w:r w:rsidRPr="002007ED">
        <w:rPr>
          <w:szCs w:val="22"/>
        </w:rPr>
        <w:t xml:space="preserve">proposed a forfeiture of </w:t>
      </w:r>
      <w:r w:rsidR="003A22F6">
        <w:rPr>
          <w:szCs w:val="22"/>
        </w:rPr>
        <w:t xml:space="preserve">one thousand five hundred </w:t>
      </w:r>
      <w:r w:rsidRPr="002007ED">
        <w:rPr>
          <w:szCs w:val="22"/>
        </w:rPr>
        <w:t>dollars ($</w:t>
      </w:r>
      <w:r w:rsidR="003A22F6">
        <w:rPr>
          <w:szCs w:val="22"/>
        </w:rPr>
        <w:t>1,5</w:t>
      </w:r>
      <w:r w:rsidRPr="002007ED">
        <w:rPr>
          <w:szCs w:val="22"/>
        </w:rPr>
        <w:t>00).</w:t>
      </w:r>
      <w:r>
        <w:rPr>
          <w:rStyle w:val="FootnoteReference"/>
          <w:szCs w:val="22"/>
        </w:rPr>
        <w:footnoteReference w:id="5"/>
      </w:r>
      <w:r w:rsidRPr="002007ED">
        <w:rPr>
          <w:szCs w:val="22"/>
        </w:rPr>
        <w:t xml:space="preserve">  </w:t>
      </w:r>
      <w:r w:rsidR="00D13C33">
        <w:rPr>
          <w:szCs w:val="22"/>
        </w:rPr>
        <w:t xml:space="preserve">As noted in the </w:t>
      </w:r>
      <w:r w:rsidR="00D13C33">
        <w:rPr>
          <w:i/>
          <w:iCs/>
          <w:szCs w:val="22"/>
        </w:rPr>
        <w:t xml:space="preserve">NAL, </w:t>
      </w:r>
      <w:r w:rsidR="00D13C33">
        <w:rPr>
          <w:rFonts w:ascii="TimesNewRomanPSMT" w:hAnsi="TimesNewRomanPSMT" w:cs="TimesNewRomanPSMT"/>
          <w:snapToGrid/>
          <w:kern w:val="0"/>
        </w:rPr>
        <w:t>t</w:t>
      </w:r>
      <w:r w:rsidRPr="00B83812" w:rsidR="00D13C33">
        <w:rPr>
          <w:rFonts w:ascii="TimesNewRomanPSMT" w:hAnsi="TimesNewRomanPSMT" w:cs="TimesNewRomanPSMT"/>
          <w:snapToGrid/>
          <w:kern w:val="0"/>
        </w:rPr>
        <w:t xml:space="preserve">he Commission's </w:t>
      </w:r>
      <w:r w:rsidRPr="00B83812" w:rsidR="00D13C33">
        <w:rPr>
          <w:rFonts w:ascii="TimesNewRomanPS-ItalicMT" w:hAnsi="TimesNewRomanPS-ItalicMT" w:cs="TimesNewRomanPS-ItalicMT"/>
          <w:i/>
          <w:iCs/>
          <w:snapToGrid/>
          <w:kern w:val="0"/>
        </w:rPr>
        <w:t xml:space="preserve">Forfeiture Policy Statement </w:t>
      </w:r>
      <w:r w:rsidRPr="00B83812" w:rsidR="00D13C33">
        <w:rPr>
          <w:rFonts w:ascii="TimesNewRomanPSMT" w:hAnsi="TimesNewRomanPSMT" w:cs="TimesNewRomanPSMT"/>
          <w:snapToGrid/>
          <w:kern w:val="0"/>
        </w:rPr>
        <w:t>and section 1.80(b)(10) of the Rules</w:t>
      </w:r>
      <w:r w:rsidR="00D13C33">
        <w:rPr>
          <w:rFonts w:ascii="TimesNewRomanPSMT" w:hAnsi="TimesNewRomanPSMT" w:cs="TimesNewRomanPSMT"/>
          <w:snapToGrid/>
          <w:kern w:val="0"/>
        </w:rPr>
        <w:t xml:space="preserve"> </w:t>
      </w:r>
      <w:r w:rsidRPr="00B83812" w:rsidR="00D13C33">
        <w:rPr>
          <w:rFonts w:ascii="TimesNewRomanPSMT" w:hAnsi="TimesNewRomanPSMT" w:cs="TimesNewRomanPSMT"/>
          <w:snapToGrid/>
          <w:kern w:val="0"/>
        </w:rPr>
        <w:t>establish a base forfeiture amount of $3,000 for the failure to file a required form</w:t>
      </w:r>
      <w:r w:rsidR="00D13C33">
        <w:rPr>
          <w:rFonts w:ascii="TimesNewRomanPSMT" w:hAnsi="TimesNewRomanPSMT" w:cs="TimesNewRomanPSMT"/>
          <w:snapToGrid/>
          <w:kern w:val="0"/>
        </w:rPr>
        <w:t xml:space="preserve">, and the Bureau reduced this proposed forfeiture to $1,500 because the Station provides a </w:t>
      </w:r>
      <w:r w:rsidR="00D13C33">
        <w:rPr>
          <w:rFonts w:ascii="TimesNewRomanPSMT" w:hAnsi="TimesNewRomanPSMT" w:cs="TimesNewRomanPSMT"/>
          <w:snapToGrid/>
          <w:kern w:val="0"/>
        </w:rPr>
        <w:t>secondary service</w:t>
      </w:r>
      <w:r w:rsidRPr="00B83812" w:rsidR="00D13C33">
        <w:rPr>
          <w:rFonts w:ascii="TimesNewRomanPSMT" w:hAnsi="TimesNewRomanPSMT" w:cs="TimesNewRomanPSMT"/>
          <w:snapToGrid/>
          <w:kern w:val="0"/>
        </w:rPr>
        <w:t>.</w:t>
      </w:r>
      <w:r>
        <w:rPr>
          <w:rStyle w:val="FootnoteReference"/>
          <w:rFonts w:cs="TimesNewRomanPSMT"/>
          <w:snapToGrid/>
          <w:kern w:val="0"/>
          <w:szCs w:val="22"/>
        </w:rPr>
        <w:footnoteReference w:id="6"/>
      </w:r>
      <w:r w:rsidRPr="00B83812" w:rsidR="00D13C33">
        <w:rPr>
          <w:rFonts w:ascii="TimesNewRomanPSMT" w:hAnsi="TimesNewRomanPSMT" w:cs="TimesNewRomanPSMT"/>
          <w:snapToGrid/>
          <w:kern w:val="0"/>
        </w:rPr>
        <w:t xml:space="preserve">  </w:t>
      </w:r>
      <w:r w:rsidRPr="002007ED">
        <w:rPr>
          <w:szCs w:val="22"/>
        </w:rPr>
        <w:t xml:space="preserve">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7"/>
      </w:r>
      <w:r w:rsidRPr="002007ED">
        <w:rPr>
          <w:szCs w:val="22"/>
        </w:rPr>
        <w:t xml:space="preserve">  </w:t>
      </w:r>
    </w:p>
    <w:p w:rsidR="00476746" w:rsidP="00033E4F" w14:paraId="5E47CEBA" w14:textId="4F0D17E0">
      <w:pPr>
        <w:pStyle w:val="ParaNum"/>
        <w:widowControl/>
        <w:rPr>
          <w:szCs w:val="22"/>
        </w:rPr>
      </w:pPr>
      <w:r w:rsidRPr="00397006">
        <w:rPr>
          <w:szCs w:val="22"/>
        </w:rPr>
        <w:t xml:space="preserve">On </w:t>
      </w:r>
      <w:r w:rsidRPr="00397006" w:rsidR="00A52FA6">
        <w:rPr>
          <w:szCs w:val="22"/>
        </w:rPr>
        <w:t>March 29</w:t>
      </w:r>
      <w:r w:rsidRPr="00397006">
        <w:rPr>
          <w:szCs w:val="22"/>
        </w:rPr>
        <w:t>, 2021,</w:t>
      </w:r>
      <w:r w:rsidRPr="00397006" w:rsidR="00DB41FF">
        <w:rPr>
          <w:szCs w:val="22"/>
        </w:rPr>
        <w:t xml:space="preserve"> the Licensee submitted a</w:t>
      </w:r>
      <w:r w:rsidR="00397006">
        <w:rPr>
          <w:szCs w:val="22"/>
        </w:rPr>
        <w:t xml:space="preserve"> written response </w:t>
      </w:r>
      <w:r w:rsidR="00074DFE">
        <w:rPr>
          <w:szCs w:val="22"/>
        </w:rPr>
        <w:t>styled</w:t>
      </w:r>
      <w:r w:rsidR="00007E16">
        <w:rPr>
          <w:szCs w:val="22"/>
        </w:rPr>
        <w:t xml:space="preserve"> as</w:t>
      </w:r>
      <w:r w:rsidR="00397006">
        <w:rPr>
          <w:szCs w:val="22"/>
        </w:rPr>
        <w:t xml:space="preserve"> a response to the </w:t>
      </w:r>
      <w:r w:rsidR="00397006">
        <w:rPr>
          <w:i/>
          <w:iCs/>
          <w:szCs w:val="22"/>
        </w:rPr>
        <w:t>NAL</w:t>
      </w:r>
      <w:r w:rsidR="00397006">
        <w:rPr>
          <w:szCs w:val="22"/>
        </w:rPr>
        <w:t>, or in the alternative, a petition for declaratory ruling</w:t>
      </w:r>
      <w:r w:rsidR="00074DFE">
        <w:rPr>
          <w:szCs w:val="22"/>
        </w:rPr>
        <w:t>,</w:t>
      </w:r>
      <w:r w:rsidR="00397006">
        <w:rPr>
          <w:szCs w:val="22"/>
        </w:rPr>
        <w:t xml:space="preserve"> or petition for reconsideration</w:t>
      </w:r>
      <w:r w:rsidR="00802DA3">
        <w:rPr>
          <w:szCs w:val="22"/>
        </w:rPr>
        <w:t xml:space="preserve"> (Response)</w:t>
      </w:r>
      <w:r w:rsidR="00397006">
        <w:rPr>
          <w:szCs w:val="22"/>
        </w:rPr>
        <w:t>.</w:t>
      </w:r>
      <w:r>
        <w:rPr>
          <w:rStyle w:val="FootnoteReference"/>
          <w:szCs w:val="22"/>
        </w:rPr>
        <w:footnoteReference w:id="8"/>
      </w:r>
      <w:r w:rsidR="00397006">
        <w:rPr>
          <w:szCs w:val="22"/>
        </w:rPr>
        <w:t xml:space="preserve">  </w:t>
      </w:r>
      <w:r w:rsidRPr="001F6799" w:rsidR="00FC17B8">
        <w:rPr>
          <w:szCs w:val="22"/>
        </w:rPr>
        <w:t xml:space="preserve">Licensee </w:t>
      </w:r>
      <w:r w:rsidRPr="002007ED" w:rsidR="00A13946">
        <w:rPr>
          <w:szCs w:val="22"/>
        </w:rPr>
        <w:t>d</w:t>
      </w:r>
      <w:r w:rsidR="00A13946">
        <w:rPr>
          <w:szCs w:val="22"/>
        </w:rPr>
        <w:t>oes</w:t>
      </w:r>
      <w:r w:rsidRPr="002007ED" w:rsidR="00A13946">
        <w:rPr>
          <w:szCs w:val="22"/>
        </w:rPr>
        <w:t xml:space="preserve"> not dispute that it violated section 73.35</w:t>
      </w:r>
      <w:r w:rsidR="00A13946">
        <w:rPr>
          <w:szCs w:val="22"/>
        </w:rPr>
        <w:t>3</w:t>
      </w:r>
      <w:r w:rsidRPr="002007ED" w:rsidR="00A13946">
        <w:rPr>
          <w:szCs w:val="22"/>
        </w:rPr>
        <w:t xml:space="preserve">9 of the Rules but </w:t>
      </w:r>
      <w:r w:rsidR="00A13946">
        <w:rPr>
          <w:szCs w:val="22"/>
        </w:rPr>
        <w:t xml:space="preserve">argues that </w:t>
      </w:r>
      <w:r w:rsidR="001B4FAB">
        <w:rPr>
          <w:szCs w:val="22"/>
        </w:rPr>
        <w:t xml:space="preserve">1) </w:t>
      </w:r>
      <w:r w:rsidR="00A13946">
        <w:rPr>
          <w:szCs w:val="22"/>
        </w:rPr>
        <w:t xml:space="preserve">the </w:t>
      </w:r>
      <w:r w:rsidR="00D97699">
        <w:rPr>
          <w:szCs w:val="22"/>
        </w:rPr>
        <w:t xml:space="preserve">Bureau erred in not granting its renewal application at the time it issued the </w:t>
      </w:r>
      <w:r w:rsidR="00D97699">
        <w:rPr>
          <w:i/>
          <w:iCs/>
          <w:szCs w:val="22"/>
        </w:rPr>
        <w:t>NAL</w:t>
      </w:r>
      <w:r w:rsidR="00AD0958">
        <w:rPr>
          <w:szCs w:val="22"/>
        </w:rPr>
        <w:t>,</w:t>
      </w:r>
      <w:r w:rsidR="00D97699">
        <w:rPr>
          <w:szCs w:val="22"/>
        </w:rPr>
        <w:t xml:space="preserve"> and </w:t>
      </w:r>
      <w:r w:rsidR="001B4FAB">
        <w:rPr>
          <w:szCs w:val="22"/>
        </w:rPr>
        <w:t xml:space="preserve">2) </w:t>
      </w:r>
      <w:r w:rsidR="00D97699">
        <w:rPr>
          <w:szCs w:val="22"/>
        </w:rPr>
        <w:t xml:space="preserve">the </w:t>
      </w:r>
      <w:r w:rsidR="00A13946">
        <w:rPr>
          <w:szCs w:val="22"/>
        </w:rPr>
        <w:t xml:space="preserve">proposed forfeiture should be </w:t>
      </w:r>
      <w:r w:rsidR="00AC76E7">
        <w:rPr>
          <w:szCs w:val="22"/>
        </w:rPr>
        <w:t>ca</w:t>
      </w:r>
      <w:r w:rsidR="00FB6A84">
        <w:rPr>
          <w:szCs w:val="22"/>
        </w:rPr>
        <w:t>n</w:t>
      </w:r>
      <w:r w:rsidR="00AC76E7">
        <w:rPr>
          <w:szCs w:val="22"/>
        </w:rPr>
        <w:t>celled</w:t>
      </w:r>
      <w:r w:rsidR="00450B5E">
        <w:rPr>
          <w:szCs w:val="22"/>
        </w:rPr>
        <w:t>.  Specifically, Licensee</w:t>
      </w:r>
      <w:r w:rsidR="00A13946">
        <w:rPr>
          <w:szCs w:val="22"/>
        </w:rPr>
        <w:t xml:space="preserve"> </w:t>
      </w:r>
      <w:r w:rsidRPr="001F6799" w:rsidR="00FC17B8">
        <w:rPr>
          <w:szCs w:val="22"/>
        </w:rPr>
        <w:t>argues that</w:t>
      </w:r>
      <w:r w:rsidR="00FC17B8">
        <w:rPr>
          <w:szCs w:val="22"/>
        </w:rPr>
        <w:t xml:space="preserve"> </w:t>
      </w:r>
      <w:r w:rsidR="006A00C7">
        <w:rPr>
          <w:szCs w:val="22"/>
        </w:rPr>
        <w:t>section 504(c) of the Communications Act of 1934, as amended</w:t>
      </w:r>
      <w:r w:rsidR="00C47C32">
        <w:rPr>
          <w:szCs w:val="22"/>
        </w:rPr>
        <w:t xml:space="preserve"> (Act), </w:t>
      </w:r>
      <w:r w:rsidR="00C56D70">
        <w:rPr>
          <w:szCs w:val="22"/>
        </w:rPr>
        <w:t xml:space="preserve">bars the Commission from making the payment of a civil forfeiture a condition precedent to the grant of an application because </w:t>
      </w:r>
      <w:r w:rsidR="005E52AB">
        <w:rPr>
          <w:szCs w:val="22"/>
        </w:rPr>
        <w:t>where a licensee has not paid</w:t>
      </w:r>
      <w:r w:rsidR="009C71AD">
        <w:rPr>
          <w:szCs w:val="22"/>
        </w:rPr>
        <w:t>,</w:t>
      </w:r>
      <w:r>
        <w:rPr>
          <w:rStyle w:val="FootnoteReference"/>
          <w:szCs w:val="22"/>
        </w:rPr>
        <w:footnoteReference w:id="9"/>
      </w:r>
      <w:r w:rsidR="009605EE">
        <w:rPr>
          <w:szCs w:val="22"/>
        </w:rPr>
        <w:t xml:space="preserve"> </w:t>
      </w:r>
      <w:r w:rsidR="00C56D70">
        <w:rPr>
          <w:szCs w:val="22"/>
        </w:rPr>
        <w:t xml:space="preserve">civil forfeitures are </w:t>
      </w:r>
      <w:r w:rsidR="00521C8F">
        <w:rPr>
          <w:szCs w:val="22"/>
        </w:rPr>
        <w:t xml:space="preserve">only </w:t>
      </w:r>
      <w:r w:rsidR="005E52AB">
        <w:rPr>
          <w:szCs w:val="22"/>
        </w:rPr>
        <w:t>recoverable in de novo proceedings brought in federal district court.</w:t>
      </w:r>
      <w:r>
        <w:rPr>
          <w:rStyle w:val="FootnoteReference"/>
          <w:szCs w:val="22"/>
        </w:rPr>
        <w:footnoteReference w:id="10"/>
      </w:r>
      <w:r w:rsidR="00397006">
        <w:rPr>
          <w:szCs w:val="22"/>
        </w:rPr>
        <w:t xml:space="preserve"> </w:t>
      </w:r>
      <w:r w:rsidR="009605EE">
        <w:rPr>
          <w:szCs w:val="22"/>
        </w:rPr>
        <w:t xml:space="preserve"> </w:t>
      </w:r>
    </w:p>
    <w:p w:rsidR="00A6332C" w:rsidRPr="00033E4F" w:rsidP="00033E4F" w14:paraId="76BC7E16" w14:textId="071D3EA6">
      <w:pPr>
        <w:pStyle w:val="ParaNum"/>
        <w:widowControl/>
        <w:rPr>
          <w:szCs w:val="22"/>
        </w:rPr>
      </w:pPr>
      <w:r>
        <w:rPr>
          <w:szCs w:val="22"/>
        </w:rPr>
        <w:t xml:space="preserve"> </w:t>
      </w:r>
      <w:r w:rsidR="007561B4">
        <w:rPr>
          <w:szCs w:val="22"/>
        </w:rPr>
        <w:t xml:space="preserve">Licensee also </w:t>
      </w:r>
      <w:r w:rsidR="00A86FB5">
        <w:rPr>
          <w:szCs w:val="22"/>
        </w:rPr>
        <w:t>contends</w:t>
      </w:r>
      <w:r w:rsidR="003D36E8">
        <w:rPr>
          <w:szCs w:val="22"/>
        </w:rPr>
        <w:t xml:space="preserve"> that the Rules</w:t>
      </w:r>
      <w:r w:rsidR="00AD0958">
        <w:rPr>
          <w:szCs w:val="22"/>
        </w:rPr>
        <w:t xml:space="preserve"> and </w:t>
      </w:r>
      <w:r w:rsidR="00AD0958">
        <w:rPr>
          <w:i/>
          <w:iCs/>
          <w:szCs w:val="22"/>
        </w:rPr>
        <w:t>Forfeiture Policy Statement</w:t>
      </w:r>
      <w:r w:rsidR="003D36E8">
        <w:rPr>
          <w:szCs w:val="22"/>
        </w:rPr>
        <w:t xml:space="preserve"> do not include a forfeiture provision for late-filed renewal applications and </w:t>
      </w:r>
      <w:r w:rsidR="00BB53CF">
        <w:rPr>
          <w:szCs w:val="22"/>
        </w:rPr>
        <w:t>moreover</w:t>
      </w:r>
      <w:r w:rsidR="003D36E8">
        <w:rPr>
          <w:szCs w:val="22"/>
        </w:rPr>
        <w:t>,</w:t>
      </w:r>
      <w:r w:rsidR="00BB53CF">
        <w:rPr>
          <w:szCs w:val="22"/>
        </w:rPr>
        <w:t xml:space="preserve"> that</w:t>
      </w:r>
      <w:r w:rsidR="003D36E8">
        <w:rPr>
          <w:szCs w:val="22"/>
        </w:rPr>
        <w:t xml:space="preserve"> it was not put on notice </w:t>
      </w:r>
      <w:r w:rsidR="00C159C3">
        <w:rPr>
          <w:szCs w:val="22"/>
        </w:rPr>
        <w:t>of the</w:t>
      </w:r>
      <w:r w:rsidR="00AD0958">
        <w:rPr>
          <w:szCs w:val="22"/>
        </w:rPr>
        <w:t xml:space="preserve"> potential</w:t>
      </w:r>
      <w:r w:rsidR="00C159C3">
        <w:rPr>
          <w:szCs w:val="22"/>
        </w:rPr>
        <w:t xml:space="preserve"> </w:t>
      </w:r>
      <w:r w:rsidR="00BB53CF">
        <w:rPr>
          <w:szCs w:val="22"/>
        </w:rPr>
        <w:t>forfeiture</w:t>
      </w:r>
      <w:r w:rsidR="00AB1C13">
        <w:rPr>
          <w:szCs w:val="22"/>
        </w:rPr>
        <w:t>,</w:t>
      </w:r>
      <w:r>
        <w:rPr>
          <w:rStyle w:val="FootnoteReference"/>
          <w:szCs w:val="22"/>
        </w:rPr>
        <w:footnoteReference w:id="11"/>
      </w:r>
      <w:r w:rsidR="00AB1C13">
        <w:rPr>
          <w:szCs w:val="22"/>
        </w:rPr>
        <w:t xml:space="preserve"> in violation of </w:t>
      </w:r>
      <w:r w:rsidR="0090224C">
        <w:rPr>
          <w:szCs w:val="22"/>
        </w:rPr>
        <w:t>the Administrative Procedure Act</w:t>
      </w:r>
      <w:r w:rsidR="00C159C3">
        <w:rPr>
          <w:szCs w:val="22"/>
        </w:rPr>
        <w:t>.</w:t>
      </w:r>
      <w:r>
        <w:rPr>
          <w:rStyle w:val="FootnoteReference"/>
          <w:szCs w:val="22"/>
        </w:rPr>
        <w:footnoteReference w:id="12"/>
      </w:r>
      <w:r w:rsidR="00C159C3">
        <w:rPr>
          <w:szCs w:val="22"/>
        </w:rPr>
        <w:t xml:space="preserve">  </w:t>
      </w:r>
      <w:r w:rsidRPr="00033E4F" w:rsidR="007F2A69">
        <w:rPr>
          <w:szCs w:val="22"/>
        </w:rPr>
        <w:t xml:space="preserve">Finally, the Licensee argues that </w:t>
      </w:r>
      <w:r w:rsidR="00E84B39">
        <w:rPr>
          <w:szCs w:val="22"/>
        </w:rPr>
        <w:t>the Commission has</w:t>
      </w:r>
      <w:r w:rsidR="00D45253">
        <w:rPr>
          <w:szCs w:val="22"/>
        </w:rPr>
        <w:t xml:space="preserve"> </w:t>
      </w:r>
      <w:r w:rsidR="006438B4">
        <w:rPr>
          <w:szCs w:val="22"/>
        </w:rPr>
        <w:t>treated similarly situated parties differently</w:t>
      </w:r>
      <w:r>
        <w:rPr>
          <w:rStyle w:val="FootnoteReference"/>
          <w:szCs w:val="22"/>
        </w:rPr>
        <w:footnoteReference w:id="13"/>
      </w:r>
      <w:r w:rsidR="00DB12A9">
        <w:rPr>
          <w:szCs w:val="22"/>
        </w:rPr>
        <w:t xml:space="preserve"> because it granted </w:t>
      </w:r>
      <w:r w:rsidR="006439E7">
        <w:rPr>
          <w:szCs w:val="22"/>
        </w:rPr>
        <w:t xml:space="preserve">late-filed </w:t>
      </w:r>
      <w:r w:rsidR="00E84B39">
        <w:rPr>
          <w:szCs w:val="22"/>
        </w:rPr>
        <w:t>renewal application</w:t>
      </w:r>
      <w:r w:rsidR="006439E7">
        <w:rPr>
          <w:szCs w:val="22"/>
        </w:rPr>
        <w:t xml:space="preserve">s </w:t>
      </w:r>
      <w:r w:rsidR="00DB12A9">
        <w:rPr>
          <w:szCs w:val="22"/>
        </w:rPr>
        <w:t>for other translator stations in Georgia an</w:t>
      </w:r>
      <w:r w:rsidR="00F9169F">
        <w:rPr>
          <w:szCs w:val="22"/>
        </w:rPr>
        <w:t>d</w:t>
      </w:r>
      <w:r w:rsidR="00DB12A9">
        <w:rPr>
          <w:szCs w:val="22"/>
        </w:rPr>
        <w:t xml:space="preserve"> Alabama </w:t>
      </w:r>
      <w:r w:rsidR="006439E7">
        <w:rPr>
          <w:szCs w:val="22"/>
        </w:rPr>
        <w:t xml:space="preserve">without imposition of a </w:t>
      </w:r>
      <w:r w:rsidR="00D65160">
        <w:rPr>
          <w:szCs w:val="22"/>
        </w:rPr>
        <w:t xml:space="preserve">monetary </w:t>
      </w:r>
      <w:r w:rsidR="00D65160">
        <w:rPr>
          <w:szCs w:val="22"/>
        </w:rPr>
        <w:t>forfeiture,</w:t>
      </w:r>
      <w:r>
        <w:rPr>
          <w:rStyle w:val="FootnoteReference"/>
          <w:szCs w:val="22"/>
        </w:rPr>
        <w:footnoteReference w:id="14"/>
      </w:r>
      <w:r w:rsidR="00D65160">
        <w:rPr>
          <w:szCs w:val="22"/>
        </w:rPr>
        <w:t xml:space="preserve"> </w:t>
      </w:r>
      <w:r w:rsidR="00DB12A9">
        <w:rPr>
          <w:szCs w:val="22"/>
        </w:rPr>
        <w:t xml:space="preserve">granted </w:t>
      </w:r>
      <w:r w:rsidR="00D65160">
        <w:rPr>
          <w:szCs w:val="22"/>
        </w:rPr>
        <w:t>a late-filed renewal application</w:t>
      </w:r>
      <w:r w:rsidR="00E84B39">
        <w:rPr>
          <w:szCs w:val="22"/>
        </w:rPr>
        <w:t xml:space="preserve"> prior to the licensee’s payment of a forfeiture,</w:t>
      </w:r>
      <w:r>
        <w:rPr>
          <w:rStyle w:val="FootnoteReference"/>
          <w:szCs w:val="22"/>
        </w:rPr>
        <w:footnoteReference w:id="15"/>
      </w:r>
      <w:r w:rsidR="00E84B39">
        <w:rPr>
          <w:szCs w:val="22"/>
        </w:rPr>
        <w:t xml:space="preserve"> and </w:t>
      </w:r>
      <w:r w:rsidR="00DB12A9">
        <w:rPr>
          <w:szCs w:val="22"/>
        </w:rPr>
        <w:t xml:space="preserve">declined </w:t>
      </w:r>
      <w:r w:rsidR="00C20805">
        <w:rPr>
          <w:szCs w:val="22"/>
        </w:rPr>
        <w:t>to impose</w:t>
      </w:r>
      <w:r w:rsidR="00FB2C1B">
        <w:rPr>
          <w:szCs w:val="22"/>
        </w:rPr>
        <w:t xml:space="preserve"> a forfeiture for </w:t>
      </w:r>
      <w:r w:rsidR="00626686">
        <w:rPr>
          <w:szCs w:val="22"/>
        </w:rPr>
        <w:t>late-filed</w:t>
      </w:r>
      <w:r w:rsidR="00FB2C1B">
        <w:rPr>
          <w:szCs w:val="22"/>
        </w:rPr>
        <w:t xml:space="preserve"> ownership reports</w:t>
      </w:r>
      <w:r w:rsidR="00044AD3">
        <w:rPr>
          <w:szCs w:val="22"/>
        </w:rPr>
        <w:t xml:space="preserve"> in a</w:t>
      </w:r>
      <w:r w:rsidR="00A85297">
        <w:rPr>
          <w:szCs w:val="22"/>
        </w:rPr>
        <w:t xml:space="preserve"> </w:t>
      </w:r>
      <w:r w:rsidR="00044AD3">
        <w:rPr>
          <w:szCs w:val="22"/>
        </w:rPr>
        <w:t>renewal application</w:t>
      </w:r>
      <w:r w:rsidRPr="00033E4F" w:rsidR="00D05025">
        <w:rPr>
          <w:szCs w:val="22"/>
        </w:rPr>
        <w:t>.</w:t>
      </w:r>
      <w:r>
        <w:rPr>
          <w:rStyle w:val="FootnoteReference"/>
          <w:szCs w:val="22"/>
        </w:rPr>
        <w:footnoteReference w:id="16"/>
      </w:r>
    </w:p>
    <w:p w:rsidR="00912D6D" w:rsidRPr="002007ED" w:rsidP="00912D6D" w14:paraId="383DFD24" w14:textId="77777777">
      <w:pPr>
        <w:pStyle w:val="Heading1"/>
        <w:rPr>
          <w:rFonts w:ascii="Times New Roman" w:hAnsi="Times New Roman"/>
          <w:szCs w:val="22"/>
        </w:rPr>
      </w:pPr>
      <w:r w:rsidRPr="002007ED">
        <w:rPr>
          <w:rFonts w:ascii="Times New Roman" w:hAnsi="Times New Roman"/>
          <w:szCs w:val="22"/>
        </w:rPr>
        <w:t>discussion</w:t>
      </w:r>
    </w:p>
    <w:p w:rsidR="00DB12A9" w:rsidRPr="00DB12A9" w:rsidP="00DB12A9" w14:paraId="0EBE9833" w14:textId="34131412">
      <w:pPr>
        <w:pStyle w:val="ParaNum"/>
        <w:rPr>
          <w:szCs w:val="22"/>
        </w:rPr>
      </w:pPr>
      <w:r w:rsidRPr="00D911F2">
        <w:rPr>
          <w:szCs w:val="22"/>
          <w:shd w:val="clear" w:color="auto" w:fill="FFFFFF"/>
        </w:rPr>
        <w:t>We affirm our finding that the Licensee willfully violated section 73.3539 of the Rules</w:t>
      </w:r>
      <w:r w:rsidR="00B00A3B">
        <w:rPr>
          <w:szCs w:val="22"/>
          <w:shd w:val="clear" w:color="auto" w:fill="FFFFFF"/>
        </w:rPr>
        <w:t>, and w</w:t>
      </w:r>
      <w:r>
        <w:rPr>
          <w:szCs w:val="22"/>
          <w:shd w:val="clear" w:color="auto" w:fill="FFFFFF"/>
        </w:rPr>
        <w:t xml:space="preserve">e reject Licensee’s arguments </w:t>
      </w:r>
      <w:r w:rsidR="001E1796">
        <w:rPr>
          <w:szCs w:val="22"/>
          <w:shd w:val="clear" w:color="auto" w:fill="FFFFFF"/>
        </w:rPr>
        <w:t>to ca</w:t>
      </w:r>
      <w:r w:rsidR="00FF27D4">
        <w:rPr>
          <w:szCs w:val="22"/>
          <w:shd w:val="clear" w:color="auto" w:fill="FFFFFF"/>
        </w:rPr>
        <w:t>ncel or reduce the forfeiture.</w:t>
      </w:r>
      <w:r w:rsidR="001E1796">
        <w:rPr>
          <w:szCs w:val="22"/>
          <w:shd w:val="clear" w:color="auto" w:fill="FFFFFF"/>
        </w:rPr>
        <w:t xml:space="preserve">  </w:t>
      </w:r>
      <w:r w:rsidR="006F05D2">
        <w:rPr>
          <w:szCs w:val="22"/>
          <w:shd w:val="clear" w:color="auto" w:fill="FFFFFF"/>
        </w:rPr>
        <w:t xml:space="preserve">Licensee </w:t>
      </w:r>
      <w:r w:rsidR="00F12560">
        <w:rPr>
          <w:szCs w:val="22"/>
          <w:shd w:val="clear" w:color="auto" w:fill="FFFFFF"/>
        </w:rPr>
        <w:t>misinterprets</w:t>
      </w:r>
      <w:r w:rsidR="006F05D2">
        <w:rPr>
          <w:szCs w:val="22"/>
          <w:shd w:val="clear" w:color="auto" w:fill="FFFFFF"/>
        </w:rPr>
        <w:t xml:space="preserve"> s</w:t>
      </w:r>
      <w:r w:rsidR="001C63E4">
        <w:rPr>
          <w:szCs w:val="22"/>
          <w:shd w:val="clear" w:color="auto" w:fill="FFFFFF"/>
        </w:rPr>
        <w:t>ection</w:t>
      </w:r>
      <w:r w:rsidR="00443321">
        <w:rPr>
          <w:szCs w:val="22"/>
          <w:shd w:val="clear" w:color="auto" w:fill="FFFFFF"/>
        </w:rPr>
        <w:t xml:space="preserve"> 504</w:t>
      </w:r>
      <w:r w:rsidR="006B0BCC">
        <w:rPr>
          <w:szCs w:val="22"/>
          <w:shd w:val="clear" w:color="auto" w:fill="FFFFFF"/>
        </w:rPr>
        <w:t>(c)</w:t>
      </w:r>
      <w:r w:rsidR="00731A80">
        <w:rPr>
          <w:szCs w:val="22"/>
          <w:shd w:val="clear" w:color="auto" w:fill="FFFFFF"/>
        </w:rPr>
        <w:t xml:space="preserve"> of the Act</w:t>
      </w:r>
      <w:r w:rsidR="006F05D2">
        <w:rPr>
          <w:szCs w:val="22"/>
          <w:shd w:val="clear" w:color="auto" w:fill="FFFFFF"/>
        </w:rPr>
        <w:t xml:space="preserve">, which </w:t>
      </w:r>
      <w:r w:rsidRPr="0047692A" w:rsidR="0047692A">
        <w:rPr>
          <w:szCs w:val="22"/>
        </w:rPr>
        <w:t xml:space="preserve">forbids the Commission from using a Notice of Apparent Liability to the prejudice of the party against whom it was issued “in any </w:t>
      </w:r>
      <w:r w:rsidRPr="0047692A" w:rsidR="0047692A">
        <w:rPr>
          <w:i/>
          <w:szCs w:val="22"/>
        </w:rPr>
        <w:t>other</w:t>
      </w:r>
      <w:r w:rsidRPr="0047692A" w:rsidR="0047692A">
        <w:rPr>
          <w:szCs w:val="22"/>
        </w:rPr>
        <w:t xml:space="preserve"> proceeding before the Commission[.]”</w:t>
      </w:r>
      <w:r>
        <w:rPr>
          <w:rStyle w:val="FootnoteReference"/>
          <w:szCs w:val="22"/>
        </w:rPr>
        <w:footnoteReference w:id="17"/>
      </w:r>
      <w:r w:rsidRPr="0047692A" w:rsidR="0047692A">
        <w:rPr>
          <w:szCs w:val="22"/>
        </w:rPr>
        <w:t xml:space="preserve">  </w:t>
      </w:r>
      <w:r w:rsidR="006E7669">
        <w:rPr>
          <w:szCs w:val="22"/>
        </w:rPr>
        <w:t>I</w:t>
      </w:r>
      <w:r w:rsidRPr="0047692A" w:rsidR="0047692A">
        <w:rPr>
          <w:szCs w:val="22"/>
        </w:rPr>
        <w:t xml:space="preserve">n </w:t>
      </w:r>
      <w:r w:rsidR="000C3965">
        <w:rPr>
          <w:szCs w:val="22"/>
        </w:rPr>
        <w:t>this</w:t>
      </w:r>
      <w:r w:rsidRPr="0047692A" w:rsidR="0047692A">
        <w:rPr>
          <w:szCs w:val="22"/>
        </w:rPr>
        <w:t xml:space="preserve"> case</w:t>
      </w:r>
      <w:r w:rsidR="00513E47">
        <w:rPr>
          <w:szCs w:val="22"/>
        </w:rPr>
        <w:t>,</w:t>
      </w:r>
      <w:r w:rsidRPr="0047692A" w:rsidR="0047692A">
        <w:rPr>
          <w:szCs w:val="22"/>
        </w:rPr>
        <w:t xml:space="preserve"> </w:t>
      </w:r>
      <w:r w:rsidR="004037B0">
        <w:rPr>
          <w:szCs w:val="22"/>
        </w:rPr>
        <w:t xml:space="preserve">both </w:t>
      </w:r>
      <w:r w:rsidRPr="0047692A" w:rsidR="0047692A">
        <w:rPr>
          <w:szCs w:val="22"/>
        </w:rPr>
        <w:t xml:space="preserve">the </w:t>
      </w:r>
      <w:r w:rsidRPr="00513E47" w:rsidR="0047692A">
        <w:rPr>
          <w:i/>
          <w:iCs/>
          <w:szCs w:val="22"/>
        </w:rPr>
        <w:t>NAL</w:t>
      </w:r>
      <w:r w:rsidRPr="0047692A" w:rsidR="0047692A">
        <w:rPr>
          <w:szCs w:val="22"/>
        </w:rPr>
        <w:t xml:space="preserve"> and this Forfeiture Order </w:t>
      </w:r>
      <w:r w:rsidR="00F84492">
        <w:rPr>
          <w:szCs w:val="22"/>
        </w:rPr>
        <w:t>are</w:t>
      </w:r>
      <w:r w:rsidR="00411D7F">
        <w:rPr>
          <w:szCs w:val="22"/>
        </w:rPr>
        <w:t xml:space="preserve"> </w:t>
      </w:r>
      <w:r w:rsidRPr="0047692A" w:rsidR="0047692A">
        <w:rPr>
          <w:szCs w:val="22"/>
        </w:rPr>
        <w:t xml:space="preserve">issued as part of </w:t>
      </w:r>
      <w:r w:rsidR="00E96DC9">
        <w:rPr>
          <w:szCs w:val="22"/>
        </w:rPr>
        <w:t>the</w:t>
      </w:r>
      <w:r w:rsidRPr="0047692A" w:rsidR="0047692A">
        <w:rPr>
          <w:szCs w:val="22"/>
        </w:rPr>
        <w:t xml:space="preserve"> ongoing renewal proceeding</w:t>
      </w:r>
      <w:r w:rsidR="00671843">
        <w:rPr>
          <w:szCs w:val="22"/>
        </w:rPr>
        <w:t xml:space="preserve">. </w:t>
      </w:r>
      <w:r w:rsidR="00F20824">
        <w:rPr>
          <w:szCs w:val="22"/>
        </w:rPr>
        <w:t xml:space="preserve"> Further, </w:t>
      </w:r>
      <w:r w:rsidRPr="001B7D2C" w:rsidR="00F20824">
        <w:rPr>
          <w:i/>
          <w:iCs/>
          <w:szCs w:val="22"/>
        </w:rPr>
        <w:t>KTNC</w:t>
      </w:r>
      <w:r w:rsidR="007F520E">
        <w:rPr>
          <w:szCs w:val="22"/>
        </w:rPr>
        <w:t>, and the cases cited in that decision</w:t>
      </w:r>
      <w:r w:rsidR="00F20824">
        <w:rPr>
          <w:i/>
          <w:iCs/>
          <w:szCs w:val="22"/>
        </w:rPr>
        <w:t xml:space="preserve"> </w:t>
      </w:r>
      <w:r w:rsidR="007F520E">
        <w:rPr>
          <w:szCs w:val="22"/>
        </w:rPr>
        <w:t>are</w:t>
      </w:r>
      <w:r w:rsidR="00F20824">
        <w:rPr>
          <w:szCs w:val="22"/>
        </w:rPr>
        <w:t xml:space="preserve"> distinguishable because </w:t>
      </w:r>
      <w:r w:rsidR="0090224C">
        <w:rPr>
          <w:szCs w:val="22"/>
        </w:rPr>
        <w:t>they</w:t>
      </w:r>
      <w:r w:rsidR="007F520E">
        <w:rPr>
          <w:szCs w:val="22"/>
        </w:rPr>
        <w:t xml:space="preserve"> addressed the </w:t>
      </w:r>
      <w:r w:rsidR="0090224C">
        <w:rPr>
          <w:szCs w:val="22"/>
        </w:rPr>
        <w:t>issue</w:t>
      </w:r>
      <w:r w:rsidR="007F520E">
        <w:rPr>
          <w:szCs w:val="22"/>
        </w:rPr>
        <w:t xml:space="preserve"> of whether a licensee that had voluntarily paid a forfeiture order could then seek a refund of its payment of that forfeiture</w:t>
      </w:r>
      <w:r w:rsidR="001F45A5">
        <w:rPr>
          <w:szCs w:val="22"/>
        </w:rPr>
        <w:t>.</w:t>
      </w:r>
      <w:r>
        <w:rPr>
          <w:rStyle w:val="FootnoteReference"/>
          <w:szCs w:val="22"/>
        </w:rPr>
        <w:footnoteReference w:id="18"/>
      </w:r>
      <w:r w:rsidR="001F45A5">
        <w:rPr>
          <w:szCs w:val="22"/>
        </w:rPr>
        <w:t xml:space="preserve"> </w:t>
      </w:r>
      <w:r w:rsidR="007F520E">
        <w:rPr>
          <w:szCs w:val="22"/>
        </w:rPr>
        <w:t xml:space="preserve"> </w:t>
      </w:r>
      <w:r w:rsidR="001F45A5">
        <w:rPr>
          <w:szCs w:val="22"/>
        </w:rPr>
        <w:t xml:space="preserve">Licensee’s reliance on </w:t>
      </w:r>
      <w:r w:rsidR="001F45A5">
        <w:rPr>
          <w:i/>
          <w:iCs/>
          <w:szCs w:val="22"/>
        </w:rPr>
        <w:t xml:space="preserve">Pleasant Broadcasting </w:t>
      </w:r>
      <w:r w:rsidR="001F45A5">
        <w:rPr>
          <w:szCs w:val="22"/>
        </w:rPr>
        <w:t>is also misplaced.  That decision merely cites the statutory provision of section 504(a) of the Act, which provides that the Commission cannot initiate a civil suit on its own to recover an unpaid forfeiture but must instead refer the matter to a United States attorney.  Licensee cites to no caselaw that precludes</w:t>
      </w:r>
      <w:r w:rsidR="007F520E">
        <w:rPr>
          <w:szCs w:val="22"/>
        </w:rPr>
        <w:t xml:space="preserve"> the Bureau </w:t>
      </w:r>
      <w:r w:rsidR="001F45A5">
        <w:rPr>
          <w:szCs w:val="22"/>
        </w:rPr>
        <w:t>from</w:t>
      </w:r>
      <w:r w:rsidR="007F520E">
        <w:rPr>
          <w:szCs w:val="22"/>
        </w:rPr>
        <w:t xml:space="preserve"> withhold</w:t>
      </w:r>
      <w:r w:rsidR="001F45A5">
        <w:rPr>
          <w:szCs w:val="22"/>
        </w:rPr>
        <w:t>ing</w:t>
      </w:r>
      <w:r w:rsidR="007F520E">
        <w:rPr>
          <w:szCs w:val="22"/>
        </w:rPr>
        <w:t xml:space="preserve"> action on an application</w:t>
      </w:r>
      <w:r w:rsidR="001F45A5">
        <w:rPr>
          <w:szCs w:val="22"/>
        </w:rPr>
        <w:t>,</w:t>
      </w:r>
      <w:r w:rsidR="007F520E">
        <w:rPr>
          <w:szCs w:val="22"/>
        </w:rPr>
        <w:t xml:space="preserve"> pending payment of a forfeiture</w:t>
      </w:r>
      <w:r w:rsidR="0090224C">
        <w:rPr>
          <w:szCs w:val="22"/>
        </w:rPr>
        <w:t xml:space="preserve"> issued in the </w:t>
      </w:r>
      <w:r w:rsidRPr="00E12D38" w:rsidR="0090224C">
        <w:rPr>
          <w:i/>
          <w:iCs/>
          <w:szCs w:val="22"/>
        </w:rPr>
        <w:t>same proceeding</w:t>
      </w:r>
      <w:r w:rsidR="001F45A5">
        <w:rPr>
          <w:szCs w:val="22"/>
        </w:rPr>
        <w:t xml:space="preserve"> involving that application</w:t>
      </w:r>
      <w:r w:rsidR="008D059B">
        <w:rPr>
          <w:szCs w:val="22"/>
        </w:rPr>
        <w:t>.</w:t>
      </w:r>
      <w:r w:rsidR="004630EF">
        <w:rPr>
          <w:szCs w:val="22"/>
        </w:rPr>
        <w:t xml:space="preserve"> </w:t>
      </w:r>
      <w:r w:rsidR="004C3D98">
        <w:rPr>
          <w:szCs w:val="22"/>
        </w:rPr>
        <w:t xml:space="preserve"> </w:t>
      </w:r>
      <w:r w:rsidRPr="004C3D98" w:rsidR="00671843">
        <w:rPr>
          <w:szCs w:val="22"/>
        </w:rPr>
        <w:t>Therefore</w:t>
      </w:r>
      <w:r w:rsidR="00671843">
        <w:rPr>
          <w:szCs w:val="22"/>
        </w:rPr>
        <w:t>,</w:t>
      </w:r>
      <w:r w:rsidRPr="0047692A" w:rsidR="0047692A">
        <w:rPr>
          <w:szCs w:val="22"/>
        </w:rPr>
        <w:t xml:space="preserve"> withholding grant of the renewal application until the proposed forfeiture is paid or </w:t>
      </w:r>
      <w:r w:rsidR="0090224C">
        <w:rPr>
          <w:szCs w:val="22"/>
        </w:rPr>
        <w:t>cancelled</w:t>
      </w:r>
      <w:r w:rsidRPr="0047692A" w:rsidR="0047692A">
        <w:rPr>
          <w:szCs w:val="22"/>
        </w:rPr>
        <w:t xml:space="preserve"> is consistent with the statute</w:t>
      </w:r>
      <w:r>
        <w:rPr>
          <w:szCs w:val="22"/>
        </w:rPr>
        <w:t xml:space="preserve"> and caselaw</w:t>
      </w:r>
      <w:r w:rsidRPr="0047692A" w:rsidR="0047692A">
        <w:rPr>
          <w:szCs w:val="22"/>
        </w:rPr>
        <w:t>.</w:t>
      </w:r>
      <w:r>
        <w:rPr>
          <w:rStyle w:val="FootnoteReference"/>
          <w:szCs w:val="22"/>
        </w:rPr>
        <w:footnoteReference w:id="19"/>
      </w:r>
      <w:r w:rsidR="001E46E1">
        <w:rPr>
          <w:szCs w:val="22"/>
        </w:rPr>
        <w:t xml:space="preserve">  </w:t>
      </w:r>
    </w:p>
    <w:p w:rsidR="00E57A0B" w:rsidRPr="00E0057D" w:rsidP="00B83812" w14:paraId="2EE8973F" w14:textId="4B11B2FD">
      <w:pPr>
        <w:pStyle w:val="ParaNum"/>
        <w:rPr>
          <w:rFonts w:ascii="TimesNewRomanPSMT" w:hAnsi="TimesNewRomanPSMT" w:cs="TimesNewRomanPSMT"/>
          <w:snapToGrid/>
          <w:kern w:val="0"/>
          <w:szCs w:val="22"/>
        </w:rPr>
      </w:pPr>
      <w:r>
        <w:t>We reject Licensee’s argument that there are no</w:t>
      </w:r>
      <w:r w:rsidRPr="005D3A6A" w:rsidR="00B24F9B">
        <w:t xml:space="preserve"> provision</w:t>
      </w:r>
      <w:r w:rsidR="005236B3">
        <w:t>s</w:t>
      </w:r>
      <w:r w:rsidRPr="005D3A6A" w:rsidR="007328A1">
        <w:t xml:space="preserve"> for,</w:t>
      </w:r>
      <w:r w:rsidRPr="005D3A6A" w:rsidR="00B24F9B">
        <w:t xml:space="preserve"> </w:t>
      </w:r>
      <w:r w:rsidR="0032542F">
        <w:t>or</w:t>
      </w:r>
      <w:r w:rsidRPr="005D3A6A" w:rsidR="00B24F9B">
        <w:t xml:space="preserve"> notice of</w:t>
      </w:r>
      <w:r w:rsidRPr="005D3A6A" w:rsidR="007328A1">
        <w:t>,</w:t>
      </w:r>
      <w:r w:rsidRPr="005D3A6A" w:rsidR="00B24F9B">
        <w:t xml:space="preserve"> </w:t>
      </w:r>
      <w:r w:rsidR="0032542F">
        <w:t xml:space="preserve">forfeitures for </w:t>
      </w:r>
      <w:r w:rsidRPr="005D3A6A" w:rsidR="00B24F9B">
        <w:t>late-filed renewal applicatio</w:t>
      </w:r>
      <w:r w:rsidR="0032542F">
        <w:t>ns</w:t>
      </w:r>
      <w:r w:rsidRPr="005D3A6A" w:rsidR="00B24F9B">
        <w:t xml:space="preserve">.  </w:t>
      </w:r>
      <w:r w:rsidR="00D32331">
        <w:t>Section</w:t>
      </w:r>
      <w:r w:rsidRPr="005D3A6A" w:rsidR="004A45F7">
        <w:t xml:space="preserve"> </w:t>
      </w:r>
      <w:r w:rsidRPr="005D3A6A" w:rsidR="00EA417B">
        <w:rPr>
          <w:rFonts w:ascii="TimesNewRomanPSMT" w:hAnsi="TimesNewRomanPSMT" w:cs="TimesNewRomanPSMT"/>
          <w:snapToGrid/>
          <w:kern w:val="0"/>
        </w:rPr>
        <w:t>503(b)(1)(B) of the Act</w:t>
      </w:r>
      <w:r w:rsidRPr="005D3A6A" w:rsidR="004A45F7">
        <w:rPr>
          <w:rFonts w:ascii="TimesNewRomanPSMT" w:hAnsi="TimesNewRomanPSMT" w:cs="TimesNewRomanPSMT"/>
          <w:snapToGrid/>
          <w:kern w:val="0"/>
        </w:rPr>
        <w:t xml:space="preserve"> </w:t>
      </w:r>
      <w:r w:rsidRPr="00B83812" w:rsidR="00D04E67">
        <w:rPr>
          <w:rFonts w:ascii="TimesNewRomanPSMT" w:hAnsi="TimesNewRomanPSMT" w:cs="TimesNewRomanPSMT"/>
          <w:snapToGrid/>
          <w:kern w:val="0"/>
          <w:szCs w:val="22"/>
        </w:rPr>
        <w:t>authorizes the Commission to impose a forfeiture against</w:t>
      </w:r>
      <w:r w:rsidR="00B83812">
        <w:rPr>
          <w:rFonts w:ascii="TimesNewRomanPSMT" w:hAnsi="TimesNewRomanPSMT" w:cs="TimesNewRomanPSMT"/>
          <w:snapToGrid/>
          <w:kern w:val="0"/>
          <w:szCs w:val="22"/>
        </w:rPr>
        <w:t xml:space="preserve"> </w:t>
      </w:r>
      <w:r w:rsidRPr="00B83812" w:rsidR="00D04E67">
        <w:rPr>
          <w:rFonts w:ascii="TimesNewRomanPSMT" w:hAnsi="TimesNewRomanPSMT" w:cs="TimesNewRomanPSMT"/>
          <w:snapToGrid/>
          <w:kern w:val="0"/>
          <w:szCs w:val="22"/>
        </w:rPr>
        <w:t>any entity that “willfully or repeatedly fail[s] to comply with any of the provisions of [the Act] or of any</w:t>
      </w:r>
      <w:r w:rsidR="00B83812">
        <w:rPr>
          <w:rFonts w:ascii="TimesNewRomanPSMT" w:hAnsi="TimesNewRomanPSMT" w:cs="TimesNewRomanPSMT"/>
          <w:snapToGrid/>
          <w:kern w:val="0"/>
          <w:szCs w:val="22"/>
        </w:rPr>
        <w:t xml:space="preserve"> </w:t>
      </w:r>
      <w:r w:rsidRPr="00B83812" w:rsidR="00D04E67">
        <w:rPr>
          <w:rFonts w:ascii="TimesNewRomanPSMT" w:hAnsi="TimesNewRomanPSMT" w:cs="TimesNewRomanPSMT"/>
          <w:snapToGrid/>
          <w:kern w:val="0"/>
          <w:szCs w:val="22"/>
        </w:rPr>
        <w:t>rule</w:t>
      </w:r>
      <w:r w:rsidR="002C4F94">
        <w:rPr>
          <w:rFonts w:ascii="TimesNewRomanPSMT" w:hAnsi="TimesNewRomanPSMT" w:cs="TimesNewRomanPSMT"/>
          <w:snapToGrid/>
          <w:kern w:val="0"/>
          <w:szCs w:val="22"/>
        </w:rPr>
        <w:t xml:space="preserve"> . . . </w:t>
      </w:r>
      <w:r w:rsidRPr="00B83812" w:rsidR="00D04E67">
        <w:rPr>
          <w:rFonts w:ascii="TimesNewRomanPSMT" w:hAnsi="TimesNewRomanPSMT" w:cs="TimesNewRomanPSMT"/>
          <w:snapToGrid/>
          <w:kern w:val="0"/>
          <w:szCs w:val="22"/>
        </w:rPr>
        <w:t>.</w:t>
      </w:r>
      <w:r w:rsidR="00B83812">
        <w:rPr>
          <w:rFonts w:ascii="TimesNewRomanPSMT" w:hAnsi="TimesNewRomanPSMT" w:cs="TimesNewRomanPSMT"/>
          <w:snapToGrid/>
          <w:kern w:val="0"/>
          <w:szCs w:val="22"/>
        </w:rPr>
        <w:t>”</w:t>
      </w:r>
      <w:r>
        <w:rPr>
          <w:rStyle w:val="FootnoteReference"/>
          <w:rFonts w:cs="TimesNewRomanPSMT"/>
          <w:snapToGrid/>
          <w:kern w:val="0"/>
          <w:szCs w:val="22"/>
        </w:rPr>
        <w:footnoteReference w:id="20"/>
      </w:r>
      <w:r w:rsidRPr="00B83812" w:rsidR="00C544EC">
        <w:rPr>
          <w:rFonts w:ascii="TimesNewRomanPSMT" w:hAnsi="TimesNewRomanPSMT" w:cs="TimesNewRomanPSMT"/>
          <w:snapToGrid/>
          <w:kern w:val="0"/>
        </w:rPr>
        <w:t xml:space="preserve"> </w:t>
      </w:r>
      <w:r w:rsidR="0090224C">
        <w:rPr>
          <w:rFonts w:ascii="TimesNewRomanPSMT" w:hAnsi="TimesNewRomanPSMT" w:cs="TimesNewRomanPSMT"/>
          <w:snapToGrid/>
          <w:kern w:val="0"/>
        </w:rPr>
        <w:t xml:space="preserve"> </w:t>
      </w:r>
      <w:r w:rsidRPr="009438DF" w:rsidR="009438DF">
        <w:rPr>
          <w:rFonts w:ascii="TimesNewRomanPSMT" w:hAnsi="TimesNewRomanPSMT" w:cs="TimesNewRomanPSMT"/>
          <w:snapToGrid/>
          <w:kern w:val="0"/>
        </w:rPr>
        <w:t>In cases in which the Commission has not established a base forfeiture amount for an apparent violation, it has looked to the base forfeitures established or issued in analogous cases for guidance,</w:t>
      </w:r>
      <w:r>
        <w:rPr>
          <w:rFonts w:ascii="TimesNewRomanPSMT" w:hAnsi="TimesNewRomanPSMT" w:cs="TimesNewRomanPSMT"/>
          <w:snapToGrid/>
          <w:kern w:val="0"/>
          <w:vertAlign w:val="superscript"/>
        </w:rPr>
        <w:footnoteReference w:id="21"/>
      </w:r>
      <w:r w:rsidRPr="009438DF" w:rsidR="009438DF">
        <w:rPr>
          <w:rFonts w:ascii="TimesNewRomanPSMT" w:hAnsi="TimesNewRomanPSMT" w:cs="TimesNewRomanPSMT"/>
          <w:snapToGrid/>
          <w:kern w:val="0"/>
        </w:rPr>
        <w:t xml:space="preserve"> and the Commission retains the discretion to issue forfeitures on a case-by-case basis</w:t>
      </w:r>
      <w:r w:rsidR="009438DF">
        <w:rPr>
          <w:rFonts w:ascii="TimesNewRomanPSMT" w:hAnsi="TimesNewRomanPSMT" w:cs="TimesNewRomanPSMT"/>
          <w:snapToGrid/>
          <w:kern w:val="0"/>
        </w:rPr>
        <w:t xml:space="preserve"> pursuant to section 503</w:t>
      </w:r>
      <w:r w:rsidRPr="009438DF" w:rsidR="009438DF">
        <w:rPr>
          <w:rFonts w:ascii="TimesNewRomanPSMT" w:hAnsi="TimesNewRomanPSMT" w:cs="TimesNewRomanPSMT"/>
          <w:snapToGrid/>
          <w:kern w:val="0"/>
        </w:rPr>
        <w:t>,</w:t>
      </w:r>
      <w:r>
        <w:rPr>
          <w:rFonts w:ascii="TimesNewRomanPSMT" w:hAnsi="TimesNewRomanPSMT" w:cs="TimesNewRomanPSMT"/>
          <w:snapToGrid/>
          <w:kern w:val="0"/>
          <w:vertAlign w:val="superscript"/>
        </w:rPr>
        <w:footnoteReference w:id="22"/>
      </w:r>
      <w:r w:rsidRPr="009438DF" w:rsidR="009438DF">
        <w:rPr>
          <w:rFonts w:ascii="TimesNewRomanPSMT" w:hAnsi="TimesNewRomanPSMT" w:cs="TimesNewRomanPSMT"/>
          <w:snapToGrid/>
          <w:kern w:val="0"/>
        </w:rPr>
        <w:t xml:space="preserve"> irrespective of whether it has established a corresponding base forfeiture amount.</w:t>
      </w:r>
      <w:r>
        <w:rPr>
          <w:rStyle w:val="FootnoteReference"/>
          <w:rFonts w:cs="TimesNewRomanPSMT"/>
          <w:snapToGrid/>
          <w:kern w:val="0"/>
        </w:rPr>
        <w:footnoteReference w:id="23"/>
      </w:r>
      <w:r w:rsidR="0090224C">
        <w:rPr>
          <w:rFonts w:ascii="TimesNewRomanPSMT" w:hAnsi="TimesNewRomanPSMT" w:cs="TimesNewRomanPSMT"/>
          <w:snapToGrid/>
          <w:kern w:val="0"/>
        </w:rPr>
        <w:t xml:space="preserve"> </w:t>
      </w:r>
      <w:r w:rsidRPr="00B83812" w:rsidR="00EA50AC">
        <w:rPr>
          <w:rFonts w:ascii="TimesNewRomanPSMT" w:hAnsi="TimesNewRomanPSMT" w:cs="TimesNewRomanPSMT"/>
          <w:snapToGrid/>
          <w:kern w:val="0"/>
        </w:rPr>
        <w:t xml:space="preserve"> </w:t>
      </w:r>
      <w:r w:rsidRPr="00B83812" w:rsidR="00197E2B">
        <w:rPr>
          <w:rFonts w:ascii="TimesNewRomanPSMT" w:hAnsi="TimesNewRomanPSMT" w:cs="TimesNewRomanPSMT"/>
          <w:snapToGrid/>
          <w:kern w:val="0"/>
        </w:rPr>
        <w:t xml:space="preserve">Moreover, the </w:t>
      </w:r>
      <w:r w:rsidRPr="00B83812" w:rsidR="00197E2B">
        <w:rPr>
          <w:rFonts w:ascii="TimesNewRomanPSMT" w:hAnsi="TimesNewRomanPSMT" w:cs="TimesNewRomanPSMT"/>
          <w:i/>
          <w:iCs/>
          <w:snapToGrid/>
          <w:kern w:val="0"/>
        </w:rPr>
        <w:t xml:space="preserve">Forfeiture Policy Statement </w:t>
      </w:r>
      <w:r w:rsidRPr="00B83812" w:rsidR="006A2363">
        <w:rPr>
          <w:rFonts w:ascii="TimesNewRomanPSMT" w:hAnsi="TimesNewRomanPSMT" w:cs="TimesNewRomanPSMT"/>
          <w:snapToGrid/>
          <w:kern w:val="0"/>
        </w:rPr>
        <w:t>clarified</w:t>
      </w:r>
      <w:r w:rsidRPr="00B83812" w:rsidR="006945D9">
        <w:rPr>
          <w:rFonts w:ascii="TimesNewRomanPSMT" w:hAnsi="TimesNewRomanPSMT" w:cs="TimesNewRomanPSMT"/>
          <w:snapToGrid/>
          <w:kern w:val="0"/>
        </w:rPr>
        <w:t xml:space="preserve"> </w:t>
      </w:r>
      <w:r w:rsidRPr="00B83812" w:rsidR="00707FB4">
        <w:rPr>
          <w:rFonts w:ascii="TimesNewRomanPSMT" w:hAnsi="TimesNewRomanPSMT" w:cs="TimesNewRomanPSMT"/>
          <w:snapToGrid/>
          <w:kern w:val="0"/>
        </w:rPr>
        <w:t xml:space="preserve">that </w:t>
      </w:r>
      <w:r w:rsidRPr="00B83812" w:rsidR="001F6242">
        <w:rPr>
          <w:rFonts w:ascii="TimesNewRomanPSMT" w:hAnsi="TimesNewRomanPSMT" w:cs="TimesNewRomanPSMT"/>
          <w:snapToGrid/>
          <w:kern w:val="0"/>
        </w:rPr>
        <w:t xml:space="preserve">“any omission of a specific rule violation </w:t>
      </w:r>
      <w:r w:rsidRPr="00B83812" w:rsidR="00C43DE6">
        <w:rPr>
          <w:rFonts w:ascii="TimesNewRomanPSMT" w:hAnsi="TimesNewRomanPSMT" w:cs="TimesNewRomanPSMT"/>
          <w:snapToGrid/>
          <w:kern w:val="0"/>
        </w:rPr>
        <w:t>. . .</w:t>
      </w:r>
      <w:r w:rsidRPr="00B83812" w:rsidR="001F6242">
        <w:rPr>
          <w:rFonts w:ascii="TimesNewRomanPSMT" w:hAnsi="TimesNewRomanPSMT" w:cs="TimesNewRomanPSMT"/>
          <w:snapToGrid/>
          <w:kern w:val="0"/>
        </w:rPr>
        <w:t xml:space="preserve"> should not signal that the Commission considers any unlisted violation as nonexistent or unimportant. </w:t>
      </w:r>
      <w:r w:rsidRPr="00B83812" w:rsidR="00B92BA0">
        <w:rPr>
          <w:rFonts w:ascii="TimesNewRomanPSMT" w:hAnsi="TimesNewRomanPSMT" w:cs="TimesNewRomanPSMT"/>
          <w:snapToGrid/>
          <w:kern w:val="0"/>
        </w:rPr>
        <w:t xml:space="preserve"> </w:t>
      </w:r>
      <w:r w:rsidRPr="00B83812" w:rsidR="001F6242">
        <w:rPr>
          <w:rFonts w:ascii="TimesNewRomanPSMT" w:hAnsi="TimesNewRomanPSMT" w:cs="TimesNewRomanPSMT"/>
          <w:snapToGrid/>
          <w:kern w:val="0"/>
        </w:rPr>
        <w:t xml:space="preserve">The Commission expects, and it is each licensee's obligation, to know and comply with all </w:t>
      </w:r>
      <w:r w:rsidRPr="00B83812" w:rsidR="001F6242">
        <w:rPr>
          <w:rFonts w:ascii="TimesNewRomanPSMT" w:hAnsi="TimesNewRomanPSMT" w:cs="TimesNewRomanPSMT"/>
          <w:snapToGrid/>
          <w:kern w:val="0"/>
        </w:rPr>
        <w:t>of the Commission's rules.</w:t>
      </w:r>
      <w:r w:rsidRPr="00B83812" w:rsidR="0060291D">
        <w:rPr>
          <w:rFonts w:ascii="TimesNewRomanPSMT" w:hAnsi="TimesNewRomanPSMT" w:cs="TimesNewRomanPSMT"/>
          <w:snapToGrid/>
          <w:kern w:val="0"/>
        </w:rPr>
        <w:t>”</w:t>
      </w:r>
      <w:r>
        <w:rPr>
          <w:rStyle w:val="FootnoteReference"/>
          <w:rFonts w:cs="TimesNewRomanPSMT"/>
          <w:snapToGrid/>
          <w:kern w:val="0"/>
          <w:szCs w:val="22"/>
        </w:rPr>
        <w:footnoteReference w:id="24"/>
      </w:r>
      <w:r w:rsidR="00FA5B3B">
        <w:t xml:space="preserve">  </w:t>
      </w:r>
      <w:r w:rsidR="000C048F">
        <w:t xml:space="preserve">Because the Act and the </w:t>
      </w:r>
      <w:r w:rsidR="000C048F">
        <w:rPr>
          <w:i/>
          <w:iCs/>
        </w:rPr>
        <w:t>Forfeiture Policy Statement</w:t>
      </w:r>
      <w:r w:rsidR="000C048F">
        <w:t xml:space="preserve"> plainly allow the issuance of </w:t>
      </w:r>
      <w:r w:rsidR="009438DF">
        <w:t xml:space="preserve">the forfeiture proposed in the </w:t>
      </w:r>
      <w:r w:rsidR="009438DF">
        <w:rPr>
          <w:i/>
          <w:iCs/>
        </w:rPr>
        <w:t>NAL</w:t>
      </w:r>
      <w:r w:rsidR="009438DF">
        <w:t>,</w:t>
      </w:r>
      <w:r w:rsidR="000C048F">
        <w:t xml:space="preserve"> the Commission was not required to engage in a notice and comment rulemaking proceeding as Licensee argues.  Moreover,</w:t>
      </w:r>
      <w:r w:rsidR="000C048F">
        <w:rPr>
          <w:i/>
          <w:iCs/>
        </w:rPr>
        <w:t xml:space="preserve"> </w:t>
      </w:r>
      <w:r w:rsidR="000C048F">
        <w:t>t</w:t>
      </w:r>
      <w:r w:rsidR="004665C9">
        <w:t>he Commission has long-held that the failure to file a timely renewal application is grounds for the issuance for a monetary forfeiture.</w:t>
      </w:r>
      <w:r>
        <w:rPr>
          <w:rStyle w:val="FootnoteReference"/>
          <w:szCs w:val="22"/>
        </w:rPr>
        <w:footnoteReference w:id="25"/>
      </w:r>
      <w:r w:rsidR="004665C9">
        <w:t xml:space="preserve">  </w:t>
      </w:r>
      <w:r w:rsidRPr="00B83812" w:rsidR="00843B67">
        <w:rPr>
          <w:rFonts w:ascii="TimesNewRomanPSMT" w:hAnsi="TimesNewRomanPSMT" w:cs="TimesNewRomanPSMT"/>
          <w:snapToGrid/>
          <w:kern w:val="0"/>
        </w:rPr>
        <w:t xml:space="preserve">As </w:t>
      </w:r>
      <w:r w:rsidR="000C048F">
        <w:rPr>
          <w:rFonts w:ascii="TimesNewRomanPSMT" w:hAnsi="TimesNewRomanPSMT" w:cs="TimesNewRomanPSMT"/>
          <w:snapToGrid/>
          <w:kern w:val="0"/>
        </w:rPr>
        <w:t xml:space="preserve">a </w:t>
      </w:r>
      <w:r w:rsidRPr="00B83812" w:rsidR="00005A0A">
        <w:rPr>
          <w:rFonts w:ascii="TimesNewRomanPSMT" w:hAnsi="TimesNewRomanPSMT" w:cs="TimesNewRomanPSMT"/>
          <w:snapToGrid/>
          <w:kern w:val="0"/>
        </w:rPr>
        <w:t>further</w:t>
      </w:r>
      <w:r w:rsidRPr="00B83812" w:rsidR="00843B67">
        <w:rPr>
          <w:rFonts w:ascii="TimesNewRomanPSMT" w:hAnsi="TimesNewRomanPSMT" w:cs="TimesNewRomanPSMT"/>
          <w:snapToGrid/>
          <w:kern w:val="0"/>
        </w:rPr>
        <w:t xml:space="preserve"> reminder to licensees, </w:t>
      </w:r>
      <w:r w:rsidRPr="00B83812" w:rsidR="00992362">
        <w:rPr>
          <w:rFonts w:ascii="TimesNewRomanPSMT" w:hAnsi="TimesNewRomanPSMT" w:cs="TimesNewRomanPSMT"/>
          <w:snapToGrid/>
          <w:kern w:val="0"/>
        </w:rPr>
        <w:t>the Bureau released a Public Notice</w:t>
      </w:r>
      <w:r w:rsidRPr="00B83812" w:rsidR="00514BC0">
        <w:rPr>
          <w:rFonts w:ascii="TimesNewRomanPSMT" w:hAnsi="TimesNewRomanPSMT" w:cs="TimesNewRomanPSMT"/>
          <w:snapToGrid/>
          <w:kern w:val="0"/>
        </w:rPr>
        <w:t xml:space="preserve"> on March 15, 2019, </w:t>
      </w:r>
      <w:r w:rsidRPr="00B83812" w:rsidR="00A30A1D">
        <w:rPr>
          <w:rFonts w:ascii="TimesNewRomanPSMT" w:hAnsi="TimesNewRomanPSMT" w:cs="TimesNewRomanPSMT"/>
          <w:snapToGrid/>
          <w:kern w:val="0"/>
        </w:rPr>
        <w:t xml:space="preserve">clearly </w:t>
      </w:r>
      <w:r w:rsidRPr="00B83812" w:rsidR="00C46E6F">
        <w:rPr>
          <w:rFonts w:ascii="TimesNewRomanPSMT" w:hAnsi="TimesNewRomanPSMT" w:cs="TimesNewRomanPSMT"/>
          <w:snapToGrid/>
          <w:kern w:val="0"/>
        </w:rPr>
        <w:t>warning</w:t>
      </w:r>
      <w:r w:rsidRPr="00B83812" w:rsidR="00992362">
        <w:rPr>
          <w:rFonts w:ascii="TimesNewRomanPSMT" w:hAnsi="TimesNewRomanPSMT" w:cs="TimesNewRomanPSMT"/>
          <w:snapToGrid/>
          <w:kern w:val="0"/>
        </w:rPr>
        <w:t xml:space="preserve"> all radio broadcast licensees of their obligations </w:t>
      </w:r>
      <w:r w:rsidRPr="00B83812" w:rsidR="00FA685D">
        <w:rPr>
          <w:rFonts w:ascii="TimesNewRomanPSMT" w:hAnsi="TimesNewRomanPSMT" w:cs="TimesNewRomanPSMT"/>
          <w:snapToGrid/>
          <w:kern w:val="0"/>
        </w:rPr>
        <w:t xml:space="preserve">during the upcoming renewal cycle, </w:t>
      </w:r>
      <w:r w:rsidRPr="00B83812" w:rsidR="00514BC0">
        <w:rPr>
          <w:rFonts w:ascii="TimesNewRomanPSMT" w:hAnsi="TimesNewRomanPSMT" w:cs="TimesNewRomanPSMT"/>
          <w:snapToGrid/>
          <w:kern w:val="0"/>
        </w:rPr>
        <w:t xml:space="preserve">including </w:t>
      </w:r>
      <w:r w:rsidRPr="00B83812" w:rsidR="004362BA">
        <w:rPr>
          <w:rFonts w:ascii="TimesNewRomanPSMT" w:hAnsi="TimesNewRomanPSMT" w:cs="TimesNewRomanPSMT"/>
          <w:snapToGrid/>
          <w:kern w:val="0"/>
        </w:rPr>
        <w:t>where to find</w:t>
      </w:r>
      <w:r w:rsidRPr="00B83812" w:rsidR="00726EC0">
        <w:rPr>
          <w:rFonts w:ascii="TimesNewRomanPSMT" w:hAnsi="TimesNewRomanPSMT" w:cs="TimesNewRomanPSMT"/>
          <w:snapToGrid/>
          <w:kern w:val="0"/>
        </w:rPr>
        <w:t xml:space="preserve"> </w:t>
      </w:r>
      <w:r w:rsidRPr="00B83812" w:rsidR="00745336">
        <w:rPr>
          <w:rFonts w:ascii="TimesNewRomanPSMT" w:hAnsi="TimesNewRomanPSMT" w:cs="TimesNewRomanPSMT"/>
          <w:snapToGrid/>
          <w:kern w:val="0"/>
        </w:rPr>
        <w:t xml:space="preserve">application </w:t>
      </w:r>
      <w:r w:rsidRPr="00B83812" w:rsidR="00FA685D">
        <w:rPr>
          <w:rFonts w:ascii="TimesNewRomanPSMT" w:hAnsi="TimesNewRomanPSMT" w:cs="TimesNewRomanPSMT"/>
          <w:snapToGrid/>
          <w:kern w:val="0"/>
        </w:rPr>
        <w:t>filing deadlines</w:t>
      </w:r>
      <w:r w:rsidRPr="00B83812" w:rsidR="00E305C6">
        <w:rPr>
          <w:rFonts w:ascii="TimesNewRomanPSMT" w:hAnsi="TimesNewRomanPSMT" w:cs="TimesNewRomanPSMT"/>
          <w:snapToGrid/>
          <w:kern w:val="0"/>
        </w:rPr>
        <w:t xml:space="preserve"> </w:t>
      </w:r>
      <w:r w:rsidRPr="00B83812" w:rsidR="00BC67EF">
        <w:rPr>
          <w:rFonts w:ascii="TimesNewRomanPSMT" w:hAnsi="TimesNewRomanPSMT" w:cs="TimesNewRomanPSMT"/>
          <w:snapToGrid/>
          <w:kern w:val="0"/>
        </w:rPr>
        <w:t xml:space="preserve">and </w:t>
      </w:r>
      <w:r w:rsidRPr="00B83812" w:rsidR="00E305C6">
        <w:rPr>
          <w:rFonts w:ascii="TimesNewRomanPSMT" w:hAnsi="TimesNewRomanPSMT" w:cs="TimesNewRomanPSMT"/>
          <w:snapToGrid/>
          <w:kern w:val="0"/>
        </w:rPr>
        <w:t>notification</w:t>
      </w:r>
      <w:r w:rsidRPr="00B83812" w:rsidR="002855D6">
        <w:rPr>
          <w:rFonts w:ascii="TimesNewRomanPSMT" w:hAnsi="TimesNewRomanPSMT" w:cs="TimesNewRomanPSMT"/>
          <w:snapToGrid/>
          <w:kern w:val="0"/>
        </w:rPr>
        <w:t xml:space="preserve"> that failure to timely file </w:t>
      </w:r>
      <w:r w:rsidRPr="00B83812" w:rsidR="00F15791">
        <w:rPr>
          <w:rFonts w:ascii="TimesNewRomanPSMT" w:hAnsi="TimesNewRomanPSMT" w:cs="TimesNewRomanPSMT"/>
          <w:snapToGrid/>
          <w:kern w:val="0"/>
        </w:rPr>
        <w:t>a</w:t>
      </w:r>
      <w:r w:rsidRPr="00B83812" w:rsidR="002855D6">
        <w:rPr>
          <w:rFonts w:ascii="TimesNewRomanPSMT" w:hAnsi="TimesNewRomanPSMT" w:cs="TimesNewRomanPSMT"/>
          <w:snapToGrid/>
          <w:kern w:val="0"/>
        </w:rPr>
        <w:t xml:space="preserve"> renewal application can result in forfeiture</w:t>
      </w:r>
      <w:r w:rsidRPr="00B83812" w:rsidR="002368D1">
        <w:rPr>
          <w:rFonts w:ascii="TimesNewRomanPSMT" w:hAnsi="TimesNewRomanPSMT" w:cs="TimesNewRomanPSMT"/>
          <w:snapToGrid/>
          <w:kern w:val="0"/>
        </w:rPr>
        <w:t>s</w:t>
      </w:r>
      <w:r w:rsidRPr="00B83812" w:rsidR="004B3BB5">
        <w:rPr>
          <w:rFonts w:ascii="TimesNewRomanPSMT" w:hAnsi="TimesNewRomanPSMT" w:cs="TimesNewRomanPSMT"/>
          <w:snapToGrid/>
          <w:kern w:val="0"/>
        </w:rPr>
        <w:t>.</w:t>
      </w:r>
      <w:r>
        <w:rPr>
          <w:rStyle w:val="FootnoteReference"/>
          <w:rFonts w:cs="TimesNewRomanPSMT"/>
          <w:snapToGrid/>
          <w:kern w:val="0"/>
          <w:szCs w:val="22"/>
        </w:rPr>
        <w:footnoteReference w:id="26"/>
      </w:r>
      <w:r w:rsidRPr="00B83812" w:rsidR="00843B67">
        <w:rPr>
          <w:rFonts w:ascii="TimesNewRomanPSMT" w:hAnsi="TimesNewRomanPSMT" w:cs="TimesNewRomanPSMT"/>
          <w:snapToGrid/>
          <w:kern w:val="0"/>
        </w:rPr>
        <w:t xml:space="preserve">  </w:t>
      </w:r>
    </w:p>
    <w:p w:rsidR="00A21B28" w:rsidP="00D45188" w14:paraId="03CAE94B" w14:textId="58001DBE">
      <w:pPr>
        <w:pStyle w:val="ParaNum"/>
        <w:rPr>
          <w:szCs w:val="22"/>
        </w:rPr>
      </w:pPr>
      <w:r>
        <w:rPr>
          <w:szCs w:val="22"/>
        </w:rPr>
        <w:t>Licensee</w:t>
      </w:r>
      <w:r w:rsidR="00BC4D7E">
        <w:rPr>
          <w:szCs w:val="22"/>
        </w:rPr>
        <w:t xml:space="preserve"> also ref</w:t>
      </w:r>
      <w:r w:rsidR="000F5D1E">
        <w:rPr>
          <w:szCs w:val="22"/>
        </w:rPr>
        <w:t xml:space="preserve">erences </w:t>
      </w:r>
      <w:r w:rsidR="00224459">
        <w:rPr>
          <w:szCs w:val="22"/>
        </w:rPr>
        <w:t>application</w:t>
      </w:r>
      <w:r w:rsidR="004A2B79">
        <w:rPr>
          <w:szCs w:val="22"/>
        </w:rPr>
        <w:t>s of other stations</w:t>
      </w:r>
      <w:r>
        <w:rPr>
          <w:szCs w:val="22"/>
        </w:rPr>
        <w:t xml:space="preserve"> </w:t>
      </w:r>
      <w:r w:rsidR="004852BF">
        <w:rPr>
          <w:szCs w:val="22"/>
        </w:rPr>
        <w:t xml:space="preserve">that </w:t>
      </w:r>
      <w:r w:rsidR="004A2B79">
        <w:rPr>
          <w:szCs w:val="22"/>
        </w:rPr>
        <w:t>were</w:t>
      </w:r>
      <w:r w:rsidR="004852BF">
        <w:rPr>
          <w:szCs w:val="22"/>
        </w:rPr>
        <w:t xml:space="preserve"> late-filed </w:t>
      </w:r>
      <w:r w:rsidR="00A16947">
        <w:rPr>
          <w:szCs w:val="22"/>
        </w:rPr>
        <w:t>and</w:t>
      </w:r>
      <w:r w:rsidR="00224459">
        <w:rPr>
          <w:szCs w:val="22"/>
        </w:rPr>
        <w:t xml:space="preserve"> </w:t>
      </w:r>
      <w:r w:rsidR="004A2B79">
        <w:rPr>
          <w:szCs w:val="22"/>
        </w:rPr>
        <w:t xml:space="preserve">subsequently </w:t>
      </w:r>
      <w:r w:rsidR="00224459">
        <w:rPr>
          <w:szCs w:val="22"/>
        </w:rPr>
        <w:t>granted</w:t>
      </w:r>
      <w:r w:rsidR="00543514">
        <w:rPr>
          <w:szCs w:val="22"/>
        </w:rPr>
        <w:t>,</w:t>
      </w:r>
      <w:r w:rsidR="00A16947">
        <w:rPr>
          <w:szCs w:val="22"/>
        </w:rPr>
        <w:t xml:space="preserve"> </w:t>
      </w:r>
      <w:r w:rsidR="00147231">
        <w:rPr>
          <w:szCs w:val="22"/>
        </w:rPr>
        <w:t xml:space="preserve">and </w:t>
      </w:r>
      <w:r w:rsidR="00A16947">
        <w:rPr>
          <w:szCs w:val="22"/>
        </w:rPr>
        <w:t xml:space="preserve">an application where the Bureau declined to </w:t>
      </w:r>
      <w:r w:rsidR="00543514">
        <w:rPr>
          <w:szCs w:val="22"/>
        </w:rPr>
        <w:t xml:space="preserve">impose a forfeiture for </w:t>
      </w:r>
      <w:r w:rsidR="00AA147F">
        <w:rPr>
          <w:szCs w:val="22"/>
        </w:rPr>
        <w:t>late-filed ownership reports in a renewal application.</w:t>
      </w:r>
      <w:r w:rsidR="005E38FE">
        <w:rPr>
          <w:szCs w:val="22"/>
        </w:rPr>
        <w:t xml:space="preserve">  However, </w:t>
      </w:r>
      <w:r w:rsidR="00C46359">
        <w:rPr>
          <w:szCs w:val="22"/>
        </w:rPr>
        <w:t>these examples</w:t>
      </w:r>
      <w:r w:rsidR="005E38FE">
        <w:rPr>
          <w:szCs w:val="22"/>
        </w:rPr>
        <w:t xml:space="preserve"> are inapposite.  Since 2011, it has been the Bureau’s processing policy to afford licensees a 30-day grace period in which to file renewal applications following the filing deadline, without imposing a monetary forfeiture.</w:t>
      </w:r>
      <w:r w:rsidR="00594B70">
        <w:rPr>
          <w:szCs w:val="22"/>
        </w:rPr>
        <w:t xml:space="preserve"> </w:t>
      </w:r>
      <w:r w:rsidR="009B1B2E">
        <w:rPr>
          <w:szCs w:val="22"/>
        </w:rPr>
        <w:t xml:space="preserve"> </w:t>
      </w:r>
      <w:r w:rsidR="009438DF">
        <w:rPr>
          <w:szCs w:val="22"/>
        </w:rPr>
        <w:t>The</w:t>
      </w:r>
      <w:r w:rsidR="006417C0">
        <w:rPr>
          <w:szCs w:val="22"/>
        </w:rPr>
        <w:t xml:space="preserve"> </w:t>
      </w:r>
      <w:r w:rsidR="00546AFD">
        <w:rPr>
          <w:szCs w:val="22"/>
        </w:rPr>
        <w:t xml:space="preserve">Georgia </w:t>
      </w:r>
      <w:r w:rsidR="009438DF">
        <w:rPr>
          <w:szCs w:val="22"/>
        </w:rPr>
        <w:t xml:space="preserve">and Alabama </w:t>
      </w:r>
      <w:r w:rsidR="006417C0">
        <w:rPr>
          <w:szCs w:val="22"/>
        </w:rPr>
        <w:t xml:space="preserve">stations </w:t>
      </w:r>
      <w:r w:rsidR="002D2F49">
        <w:rPr>
          <w:szCs w:val="22"/>
        </w:rPr>
        <w:t>listed</w:t>
      </w:r>
      <w:r w:rsidR="006417C0">
        <w:rPr>
          <w:szCs w:val="22"/>
        </w:rPr>
        <w:t xml:space="preserve"> </w:t>
      </w:r>
      <w:r w:rsidR="00480D50">
        <w:rPr>
          <w:szCs w:val="22"/>
        </w:rPr>
        <w:t xml:space="preserve">in </w:t>
      </w:r>
      <w:r w:rsidR="002A13A7">
        <w:rPr>
          <w:szCs w:val="22"/>
        </w:rPr>
        <w:t>Exhibit</w:t>
      </w:r>
      <w:r w:rsidR="00480D50">
        <w:rPr>
          <w:szCs w:val="22"/>
        </w:rPr>
        <w:t xml:space="preserve"> A of </w:t>
      </w:r>
      <w:r w:rsidR="00CD1C40">
        <w:rPr>
          <w:szCs w:val="22"/>
        </w:rPr>
        <w:t xml:space="preserve">the Response </w:t>
      </w:r>
      <w:r w:rsidR="00546AFD">
        <w:rPr>
          <w:szCs w:val="22"/>
        </w:rPr>
        <w:t xml:space="preserve">were </w:t>
      </w:r>
      <w:r w:rsidR="00CD1C40">
        <w:rPr>
          <w:szCs w:val="22"/>
        </w:rPr>
        <w:t>all filed within 30 days of the filing deadline.</w:t>
      </w:r>
      <w:r>
        <w:rPr>
          <w:rStyle w:val="FootnoteReference"/>
          <w:szCs w:val="22"/>
        </w:rPr>
        <w:footnoteReference w:id="27"/>
      </w:r>
      <w:r w:rsidR="00CD1C40">
        <w:rPr>
          <w:szCs w:val="22"/>
        </w:rPr>
        <w:t xml:space="preserve">  Licensee did not file its renewal application until March </w:t>
      </w:r>
      <w:r w:rsidR="00567C12">
        <w:rPr>
          <w:szCs w:val="22"/>
        </w:rPr>
        <w:t xml:space="preserve">17, 2020, </w:t>
      </w:r>
      <w:r w:rsidR="003E19FA">
        <w:rPr>
          <w:szCs w:val="22"/>
        </w:rPr>
        <w:t xml:space="preserve">well </w:t>
      </w:r>
      <w:r w:rsidR="00F06D4A">
        <w:rPr>
          <w:szCs w:val="22"/>
        </w:rPr>
        <w:t>over</w:t>
      </w:r>
      <w:r w:rsidR="006F55B2">
        <w:rPr>
          <w:szCs w:val="22"/>
        </w:rPr>
        <w:t xml:space="preserve"> three months past the December 2, 2019</w:t>
      </w:r>
      <w:r w:rsidR="008C6CA8">
        <w:rPr>
          <w:szCs w:val="22"/>
        </w:rPr>
        <w:t xml:space="preserve"> filing deadline</w:t>
      </w:r>
      <w:r w:rsidR="00EC6406">
        <w:rPr>
          <w:szCs w:val="22"/>
        </w:rPr>
        <w:t xml:space="preserve"> and outside the 30-day grace period</w:t>
      </w:r>
      <w:r w:rsidR="006F55B2">
        <w:rPr>
          <w:szCs w:val="22"/>
        </w:rPr>
        <w:t>.</w:t>
      </w:r>
      <w:r>
        <w:rPr>
          <w:szCs w:val="22"/>
        </w:rPr>
        <w:t xml:space="preserve">  Licensee’s reliance on </w:t>
      </w:r>
      <w:r>
        <w:rPr>
          <w:i/>
          <w:iCs/>
          <w:szCs w:val="22"/>
        </w:rPr>
        <w:t>Colorado West</w:t>
      </w:r>
      <w:r>
        <w:rPr>
          <w:szCs w:val="22"/>
        </w:rPr>
        <w:t xml:space="preserve"> is also misplaced because that decision involves an ownership report, not a renewal application, and predates </w:t>
      </w:r>
      <w:r>
        <w:rPr>
          <w:i/>
          <w:iCs/>
          <w:szCs w:val="22"/>
        </w:rPr>
        <w:t>Discussion Radio</w:t>
      </w:r>
      <w:r>
        <w:rPr>
          <w:szCs w:val="22"/>
        </w:rPr>
        <w:t>, where the Commission established the Bureau’s authority to impose monetary forfeitures for untimely filing of license renewal applications.</w:t>
      </w:r>
    </w:p>
    <w:p w:rsidR="00ED3F37" w:rsidRPr="00D45188" w:rsidP="00D45188" w14:paraId="62EECC1D" w14:textId="679963CB">
      <w:pPr>
        <w:pStyle w:val="ParaNum"/>
        <w:rPr>
          <w:szCs w:val="22"/>
        </w:rPr>
      </w:pPr>
      <w:r>
        <w:rPr>
          <w:szCs w:val="22"/>
        </w:rPr>
        <w:t xml:space="preserve">Licensee is simply incorrect that it “was arbitrarily and </w:t>
      </w:r>
      <w:r w:rsidR="00C46359">
        <w:rPr>
          <w:szCs w:val="22"/>
        </w:rPr>
        <w:t>capriciously</w:t>
      </w:r>
      <w:r>
        <w:rPr>
          <w:szCs w:val="22"/>
        </w:rPr>
        <w:t xml:space="preserve"> picked out for a $1,500 civil forfeiture</w:t>
      </w:r>
      <w:r w:rsidR="00660B17">
        <w:rPr>
          <w:szCs w:val="22"/>
        </w:rPr>
        <w:t>.”</w:t>
      </w:r>
      <w:r>
        <w:rPr>
          <w:rStyle w:val="FootnoteReference"/>
          <w:szCs w:val="22"/>
        </w:rPr>
        <w:footnoteReference w:id="28"/>
      </w:r>
      <w:r>
        <w:rPr>
          <w:szCs w:val="22"/>
        </w:rPr>
        <w:t xml:space="preserve">  Rather, </w:t>
      </w:r>
      <w:r w:rsidR="00C46359">
        <w:rPr>
          <w:szCs w:val="22"/>
        </w:rPr>
        <w:t xml:space="preserve">during the current renewal cycle, </w:t>
      </w:r>
      <w:r>
        <w:rPr>
          <w:szCs w:val="22"/>
        </w:rPr>
        <w:t xml:space="preserve">the Bureau </w:t>
      </w:r>
      <w:r w:rsidR="00C46359">
        <w:rPr>
          <w:szCs w:val="22"/>
        </w:rPr>
        <w:t>has</w:t>
      </w:r>
      <w:r>
        <w:rPr>
          <w:szCs w:val="22"/>
        </w:rPr>
        <w:t xml:space="preserve"> consistently applied the provisions of the Act, the </w:t>
      </w:r>
      <w:r w:rsidR="00D50014">
        <w:rPr>
          <w:szCs w:val="22"/>
        </w:rPr>
        <w:t>Rules</w:t>
      </w:r>
      <w:r>
        <w:rPr>
          <w:szCs w:val="22"/>
        </w:rPr>
        <w:t xml:space="preserve">, and its processing policy </w:t>
      </w:r>
      <w:r w:rsidR="00D50014">
        <w:rPr>
          <w:szCs w:val="22"/>
        </w:rPr>
        <w:t xml:space="preserve">and in fact proposed $1,500 civil forfeitures to </w:t>
      </w:r>
      <w:r w:rsidR="00C46359">
        <w:rPr>
          <w:szCs w:val="22"/>
        </w:rPr>
        <w:t xml:space="preserve">eight </w:t>
      </w:r>
      <w:r w:rsidR="00D50014">
        <w:rPr>
          <w:szCs w:val="22"/>
        </w:rPr>
        <w:t xml:space="preserve">other </w:t>
      </w:r>
      <w:r w:rsidR="00C46359">
        <w:rPr>
          <w:szCs w:val="22"/>
        </w:rPr>
        <w:t>similarly</w:t>
      </w:r>
      <w:r w:rsidR="00D50014">
        <w:rPr>
          <w:szCs w:val="22"/>
        </w:rPr>
        <w:t xml:space="preserve"> situated </w:t>
      </w:r>
      <w:r w:rsidR="00C46359">
        <w:rPr>
          <w:szCs w:val="22"/>
        </w:rPr>
        <w:t xml:space="preserve">FM </w:t>
      </w:r>
      <w:r w:rsidR="00D50014">
        <w:rPr>
          <w:szCs w:val="22"/>
        </w:rPr>
        <w:t>translator</w:t>
      </w:r>
      <w:r w:rsidR="00C46359">
        <w:rPr>
          <w:szCs w:val="22"/>
        </w:rPr>
        <w:t xml:space="preserve"> licensees for violations of section 73.3539</w:t>
      </w:r>
      <w:r w:rsidR="00D50014">
        <w:rPr>
          <w:szCs w:val="22"/>
        </w:rPr>
        <w:t>.</w:t>
      </w:r>
      <w:r>
        <w:rPr>
          <w:rStyle w:val="FootnoteReference"/>
          <w:szCs w:val="22"/>
        </w:rPr>
        <w:footnoteReference w:id="29"/>
      </w:r>
      <w:r w:rsidR="00125206">
        <w:rPr>
          <w:szCs w:val="22"/>
        </w:rPr>
        <w:t xml:space="preserve">  We thus find no basis to reduce or cancel the proposed forfeiture and affirm the </w:t>
      </w:r>
      <w:r w:rsidR="00125206">
        <w:rPr>
          <w:i/>
          <w:iCs/>
          <w:szCs w:val="22"/>
        </w:rPr>
        <w:t>NAL</w:t>
      </w:r>
      <w:r w:rsidR="00125206">
        <w:rPr>
          <w:szCs w:val="22"/>
        </w:rPr>
        <w:t>.</w:t>
      </w:r>
    </w:p>
    <w:p w:rsidR="00912D6D" w:rsidRPr="002007ED" w:rsidP="006D5941" w14:paraId="02997162" w14:textId="77777777">
      <w:pPr>
        <w:pStyle w:val="Heading1"/>
        <w:rPr>
          <w:rFonts w:ascii="Times New Roman" w:hAnsi="Times New Roman"/>
          <w:szCs w:val="22"/>
        </w:rPr>
      </w:pPr>
      <w:r w:rsidRPr="002007ED">
        <w:rPr>
          <w:rFonts w:ascii="Times New Roman" w:hAnsi="Times New Roman"/>
          <w:szCs w:val="22"/>
        </w:rPr>
        <w:t>order</w:t>
      </w:r>
      <w:r w:rsidRPr="002007ED" w:rsidR="006D5941">
        <w:rPr>
          <w:rFonts w:ascii="Times New Roman" w:hAnsi="Times New Roman"/>
          <w:szCs w:val="22"/>
        </w:rPr>
        <w:t>ing</w:t>
      </w:r>
      <w:r w:rsidRPr="002007ED">
        <w:rPr>
          <w:rFonts w:ascii="Times New Roman" w:hAnsi="Times New Roman"/>
          <w:szCs w:val="22"/>
        </w:rPr>
        <w:t xml:space="preserve"> Clauses</w:t>
      </w:r>
    </w:p>
    <w:p w:rsidR="00300160" w:rsidRPr="000642CE" w:rsidP="002A0F2F" w14:paraId="539F813C" w14:textId="767668E9">
      <w:pPr>
        <w:pStyle w:val="ParaNum"/>
        <w:widowControl/>
        <w:rPr>
          <w:szCs w:val="22"/>
        </w:rPr>
      </w:pPr>
      <w:r w:rsidRPr="002007ED">
        <w:rPr>
          <w:szCs w:val="22"/>
        </w:rPr>
        <w:t xml:space="preserve">Accordingly, </w:t>
      </w:r>
      <w:r w:rsidRPr="002007ED">
        <w:rPr>
          <w:b/>
          <w:szCs w:val="22"/>
        </w:rPr>
        <w:t>IT IS ORDERED</w:t>
      </w:r>
      <w:r w:rsidR="000642CE">
        <w:rPr>
          <w:szCs w:val="22"/>
        </w:rPr>
        <w:t xml:space="preserve"> that, </w:t>
      </w:r>
      <w:r w:rsidRPr="000642CE">
        <w:rPr>
          <w:szCs w:val="22"/>
        </w:rPr>
        <w:t xml:space="preserve">pursuant to section 503(b) of the Communications Act of 1934, as amended, and sections 0.283 and 1.80 of the Commission’s Rules, </w:t>
      </w:r>
      <w:r w:rsidR="00B66628">
        <w:rPr>
          <w:szCs w:val="22"/>
        </w:rPr>
        <w:t>LLF Holdings, LLC</w:t>
      </w:r>
      <w:r w:rsidRPr="000642CE">
        <w:rPr>
          <w:szCs w:val="22"/>
        </w:rPr>
        <w:t xml:space="preserve">, </w:t>
      </w:r>
      <w:r w:rsidRPr="000642CE">
        <w:rPr>
          <w:b/>
          <w:szCs w:val="22"/>
        </w:rPr>
        <w:t>IS LIABLE FOR A MONETARY FORFEITURE</w:t>
      </w:r>
      <w:r w:rsidRPr="000642CE">
        <w:rPr>
          <w:szCs w:val="22"/>
        </w:rPr>
        <w:t xml:space="preserve"> in the amount </w:t>
      </w:r>
      <w:r w:rsidRPr="00362DA9">
        <w:rPr>
          <w:szCs w:val="22"/>
        </w:rPr>
        <w:t>of $</w:t>
      </w:r>
      <w:r w:rsidR="00272754">
        <w:rPr>
          <w:szCs w:val="22"/>
        </w:rPr>
        <w:t>1,</w:t>
      </w:r>
      <w:r w:rsidR="00DF778B">
        <w:rPr>
          <w:szCs w:val="22"/>
        </w:rPr>
        <w:t>5</w:t>
      </w:r>
      <w:r w:rsidR="006E7D8F">
        <w:rPr>
          <w:szCs w:val="22"/>
        </w:rPr>
        <w:t>00</w:t>
      </w:r>
      <w:r w:rsidRPr="000642CE">
        <w:rPr>
          <w:szCs w:val="22"/>
        </w:rPr>
        <w:t xml:space="preserve"> for its willful violation of section 73.3539 of the Commission’s rules. </w:t>
      </w:r>
    </w:p>
    <w:p w:rsidR="00300160" w:rsidRPr="002007ED" w:rsidP="00362DA9" w14:paraId="292DC353" w14:textId="77777777">
      <w:pPr>
        <w:pStyle w:val="ParaNum"/>
        <w:widowControl/>
        <w:rPr>
          <w:szCs w:val="22"/>
        </w:rPr>
      </w:pPr>
      <w:r w:rsidRPr="002007ED">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30"/>
      </w:r>
      <w:r w:rsidRPr="002007ED">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31"/>
      </w:r>
      <w:r w:rsidRPr="002007ED">
        <w:rPr>
          <w:szCs w:val="22"/>
        </w:rPr>
        <w:t xml:space="preserve"> </w:t>
      </w:r>
    </w:p>
    <w:p w:rsidR="00300160" w:rsidRPr="002007ED" w:rsidP="0048488E" w14:paraId="5BAB208A" w14:textId="77777777">
      <w:pPr>
        <w:widowControl/>
        <w:numPr>
          <w:ilvl w:val="0"/>
          <w:numId w:val="10"/>
        </w:numPr>
        <w:spacing w:after="120"/>
        <w:rPr>
          <w:b/>
          <w:szCs w:val="22"/>
        </w:rPr>
      </w:pPr>
      <w:r w:rsidRPr="002007ED">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007ED">
          <w:rPr>
            <w:rStyle w:val="Hyperlink"/>
            <w:color w:val="auto"/>
            <w:szCs w:val="22"/>
          </w:rPr>
          <w:t>RROGWireFaxes@fcc.gov</w:t>
        </w:r>
      </w:hyperlink>
      <w:r w:rsidRPr="002007ED">
        <w:rPr>
          <w:szCs w:val="22"/>
        </w:rPr>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2"/>
      </w:r>
      <w:r w:rsidRPr="002007ED">
        <w:rPr>
          <w:szCs w:val="22"/>
        </w:rPr>
        <w:t xml:space="preserve">  For additional detail and wire transfer instructions, go to </w:t>
      </w:r>
      <w:hyperlink r:id="rId6" w:history="1">
        <w:r w:rsidRPr="002007ED">
          <w:rPr>
            <w:rStyle w:val="Hyperlink"/>
            <w:color w:val="auto"/>
            <w:szCs w:val="22"/>
          </w:rPr>
          <w:t>https://www.fcc.gov/licensing-databases/fees/wire-transfer</w:t>
        </w:r>
      </w:hyperlink>
      <w:r w:rsidRPr="002007ED">
        <w:rPr>
          <w:szCs w:val="22"/>
        </w:rPr>
        <w:t>.</w:t>
      </w:r>
    </w:p>
    <w:p w:rsidR="00300160" w:rsidRPr="002007ED" w:rsidP="00300160" w14:paraId="4F0C42B8" w14:textId="77777777">
      <w:pPr>
        <w:numPr>
          <w:ilvl w:val="0"/>
          <w:numId w:val="10"/>
        </w:numPr>
        <w:spacing w:after="120"/>
        <w:rPr>
          <w:b/>
          <w:szCs w:val="22"/>
        </w:rPr>
      </w:pPr>
      <w:r w:rsidRPr="002007ED">
        <w:rPr>
          <w:szCs w:val="22"/>
        </w:rPr>
        <w:t xml:space="preserve">Payment by credit card must be made by using the Commission’s Fee Filer website at </w:t>
      </w:r>
      <w:hyperlink r:id="rId7" w:history="1">
        <w:r w:rsidRPr="002007ED">
          <w:rPr>
            <w:rStyle w:val="Hyperlink"/>
            <w:color w:val="auto"/>
            <w:szCs w:val="22"/>
          </w:rPr>
          <w:t>https://apps.fcc.gov/FeeFiler/login.cfm</w:t>
        </w:r>
      </w:hyperlink>
      <w:r w:rsidRPr="002007ED">
        <w:rPr>
          <w:szCs w:val="22"/>
        </w:rPr>
        <w:t>.  To pay by credit card, log 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dollar limitation on credit card transactions, which cannot exceed $24,999.99.</w:t>
      </w:r>
    </w:p>
    <w:p w:rsidR="00300160" w:rsidRPr="002007ED" w:rsidP="00300160" w14:paraId="24687EF6" w14:textId="77777777">
      <w:pPr>
        <w:numPr>
          <w:ilvl w:val="0"/>
          <w:numId w:val="10"/>
        </w:numPr>
        <w:spacing w:after="120"/>
        <w:rPr>
          <w:spacing w:val="-2"/>
          <w:szCs w:val="22"/>
        </w:rPr>
      </w:pPr>
      <w:r w:rsidRPr="002007ED">
        <w:rPr>
          <w:szCs w:val="22"/>
        </w:rPr>
        <w:t xml:space="preserve">Payment by ACH must be made by using the Commission’s Fee Filer website at </w:t>
      </w:r>
      <w:hyperlink r:id="rId7" w:history="1">
        <w:r w:rsidRPr="002007ED">
          <w:rPr>
            <w:rStyle w:val="Hyperlink"/>
            <w:color w:val="auto"/>
            <w:szCs w:val="22"/>
          </w:rPr>
          <w:t>https://apps.fcc.gov/FeeFiler/login.cfm</w:t>
        </w:r>
      </w:hyperlink>
      <w:r w:rsidRPr="002007ED">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00160" w:rsidRPr="002007ED" w:rsidP="00196CAD" w14:paraId="57DB6F58" w14:textId="77777777">
      <w:pPr>
        <w:pStyle w:val="ParaNum"/>
        <w:widowControl/>
        <w:rPr>
          <w:szCs w:val="22"/>
        </w:rPr>
      </w:pPr>
      <w:r w:rsidRPr="002007ED">
        <w:rPr>
          <w:szCs w:val="22"/>
        </w:rPr>
        <w:t xml:space="preserve">Any request for making full payment over time under an installment plan should be sent to:  </w:t>
      </w:r>
      <w:r w:rsidR="009A20B4">
        <w:rPr>
          <w:szCs w:val="22"/>
        </w:rPr>
        <w:t>Associate Managing Director</w:t>
      </w:r>
      <w:r w:rsidRPr="002007ED">
        <w:rPr>
          <w:szCs w:val="22"/>
        </w:rPr>
        <w:t>—Financial Operations, Federal Communications Commission, 45 L Street NE, Washington, DC 20554.  Questions regarding payment procedures should be directed to the Financial Operations Group Help Desk by phone, 1-877-480-3201</w:t>
      </w:r>
      <w:r w:rsidR="009A20B4">
        <w:rPr>
          <w:szCs w:val="22"/>
        </w:rPr>
        <w:t xml:space="preserve"> </w:t>
      </w:r>
      <w:r w:rsidR="009A20B4">
        <w:t>(option #6)</w:t>
      </w:r>
      <w:r w:rsidRPr="002007ED">
        <w:rPr>
          <w:szCs w:val="22"/>
        </w:rPr>
        <w:t>, or by e-mail,</w:t>
      </w:r>
      <w:r w:rsidR="001B4EDB">
        <w:rPr>
          <w:szCs w:val="22"/>
        </w:rPr>
        <w:t xml:space="preserve"> </w:t>
      </w:r>
      <w:hyperlink r:id="rId8" w:history="1">
        <w:r w:rsidRPr="009122FE" w:rsidR="001B4EDB">
          <w:rPr>
            <w:rStyle w:val="Hyperlink"/>
            <w:szCs w:val="22"/>
          </w:rPr>
          <w:t>ARINQUIRIES@fcc.gov</w:t>
        </w:r>
      </w:hyperlink>
      <w:r w:rsidRPr="002007ED">
        <w:rPr>
          <w:szCs w:val="22"/>
        </w:rPr>
        <w:t>.</w:t>
      </w:r>
    </w:p>
    <w:p w:rsidR="002F075D" w:rsidRPr="00841F27" w:rsidP="00841F27" w14:paraId="184B63DB" w14:textId="4BED0D0F">
      <w:pPr>
        <w:pStyle w:val="ParaNum"/>
        <w:keepNext/>
        <w:keepLines/>
      </w:pPr>
      <w:r w:rsidRPr="002007ED">
        <w:rPr>
          <w:b/>
          <w:szCs w:val="22"/>
        </w:rPr>
        <w:t>IT IS FURTHER ORDERED</w:t>
      </w:r>
      <w:r w:rsidRPr="002007ED">
        <w:rPr>
          <w:szCs w:val="22"/>
        </w:rPr>
        <w:t xml:space="preserve"> that a copy of this </w:t>
      </w:r>
      <w:r w:rsidR="003A22F6">
        <w:rPr>
          <w:i/>
          <w:iCs/>
          <w:szCs w:val="22"/>
        </w:rPr>
        <w:t xml:space="preserve">Forfeiture </w:t>
      </w:r>
      <w:r w:rsidRPr="002007ED">
        <w:rPr>
          <w:i/>
          <w:szCs w:val="22"/>
        </w:rPr>
        <w:t>Order</w:t>
      </w:r>
      <w:r w:rsidRPr="002007ED">
        <w:rPr>
          <w:szCs w:val="22"/>
        </w:rPr>
        <w:t xml:space="preserve"> shall be sent by First Class and Certified Mail, Return Receipt Requested, to </w:t>
      </w:r>
      <w:r w:rsidRPr="001F5466" w:rsidR="00841F27">
        <w:t xml:space="preserve">Joshua Hale, LLF Holdings, LLC, 3646 </w:t>
      </w:r>
      <w:r w:rsidRPr="001F5466" w:rsidR="00841F27">
        <w:t>Vineville</w:t>
      </w:r>
      <w:r w:rsidRPr="001F5466" w:rsidR="00841F27">
        <w:t xml:space="preserve"> Avenue, </w:t>
      </w:r>
      <w:r w:rsidRPr="00841F27" w:rsidR="00841F27">
        <w:t>Macon, GA 32104, and to its counsel, Dennis J. Kelly, P.O. Box 4</w:t>
      </w:r>
      <w:r w:rsidR="00DB6385">
        <w:t>1</w:t>
      </w:r>
      <w:r w:rsidRPr="00841F27" w:rsidR="00841F27">
        <w:t>177, Washington, DC 20018-0577</w:t>
      </w:r>
      <w:r w:rsidRPr="001F5466" w:rsidR="00272754">
        <w:t>.</w:t>
      </w:r>
    </w:p>
    <w:p w:rsidR="004862E0" w:rsidP="00301105" w14:paraId="1F4276B7" w14:textId="77777777">
      <w:pPr>
        <w:keepNext/>
        <w:keepLines/>
      </w:pPr>
      <w:r>
        <w:tab/>
      </w:r>
      <w:r>
        <w:tab/>
      </w:r>
      <w:r>
        <w:tab/>
      </w:r>
      <w:r>
        <w:tab/>
      </w:r>
      <w:r>
        <w:tab/>
      </w:r>
      <w:r>
        <w:tab/>
        <w:t>FEDERAL COMMUNICATIONS COMMISSION</w:t>
      </w:r>
    </w:p>
    <w:p w:rsidR="004862E0" w:rsidP="00301105" w14:paraId="53D1201F" w14:textId="77777777">
      <w:pPr>
        <w:keepNext/>
        <w:keepLines/>
      </w:pPr>
    </w:p>
    <w:p w:rsidR="004862E0" w:rsidP="00301105" w14:paraId="18CA36B5" w14:textId="77777777">
      <w:pPr>
        <w:keepNext/>
        <w:keepLines/>
      </w:pPr>
    </w:p>
    <w:p w:rsidR="004862E0" w:rsidP="00301105" w14:paraId="20A17162" w14:textId="77777777">
      <w:pPr>
        <w:keepNext/>
        <w:keepLines/>
      </w:pPr>
    </w:p>
    <w:p w:rsidR="004862E0" w:rsidP="00301105" w14:paraId="6C8775D8" w14:textId="77777777">
      <w:pPr>
        <w:keepNext/>
        <w:keepLines/>
      </w:pPr>
    </w:p>
    <w:p w:rsidR="004862E0" w:rsidRPr="002007ED" w:rsidP="00301105" w14:paraId="23C0D6FB" w14:textId="77777777">
      <w:pPr>
        <w:keepNext/>
        <w:keepLines/>
        <w:rPr>
          <w:szCs w:val="22"/>
        </w:rPr>
      </w:pPr>
      <w:r>
        <w:tab/>
      </w:r>
      <w:r>
        <w:tab/>
      </w:r>
      <w:r>
        <w:tab/>
      </w:r>
      <w:r>
        <w:tab/>
      </w:r>
      <w:r>
        <w:tab/>
      </w:r>
      <w:r>
        <w:tab/>
      </w:r>
      <w:r w:rsidRPr="002007ED">
        <w:rPr>
          <w:szCs w:val="22"/>
        </w:rPr>
        <w:t>Albert Shuldiner</w:t>
      </w:r>
    </w:p>
    <w:p w:rsidR="004862E0" w:rsidRPr="002007ED" w:rsidP="00301105" w14:paraId="38042A3C" w14:textId="77777777">
      <w:pPr>
        <w:keepNext/>
        <w:keepLines/>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Chief, Audio Division</w:t>
      </w:r>
    </w:p>
    <w:p w:rsidR="004862E0" w:rsidRPr="002007ED" w:rsidP="00301105" w14:paraId="12D50B7A" w14:textId="77777777">
      <w:pPr>
        <w:keepNext/>
        <w:keepLines/>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Media Bureau</w:t>
      </w:r>
    </w:p>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1B7E44C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56209C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2F8FA5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4D4C9A0"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3E4DC4E4"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55DA" w14:paraId="42B58983" w14:textId="77777777">
      <w:r>
        <w:separator/>
      </w:r>
    </w:p>
  </w:footnote>
  <w:footnote w:type="continuationSeparator" w:id="1">
    <w:p w:rsidR="008355DA" w14:paraId="683AF237" w14:textId="77777777">
      <w:r>
        <w:continuationSeparator/>
      </w:r>
    </w:p>
  </w:footnote>
  <w:footnote w:id="2">
    <w:p w:rsidR="003A22F6" w:rsidRPr="00607051" w:rsidP="003A22F6" w14:paraId="496DE928" w14:textId="77777777">
      <w:pPr>
        <w:pStyle w:val="FootnoteText"/>
      </w:pPr>
      <w:r w:rsidRPr="00607051">
        <w:rPr>
          <w:rStyle w:val="FootnoteReference"/>
        </w:rPr>
        <w:footnoteRef/>
      </w:r>
      <w:r w:rsidRPr="00607051">
        <w:t xml:space="preserve"> </w:t>
      </w:r>
      <w:r w:rsidRPr="00607051">
        <w:rPr>
          <w:i/>
        </w:rPr>
        <w:t xml:space="preserve">See </w:t>
      </w:r>
      <w:r w:rsidRPr="00607051">
        <w:t>47 CFR § 73.3539.</w:t>
      </w:r>
    </w:p>
  </w:footnote>
  <w:footnote w:id="3">
    <w:p w:rsidR="008426F1" w:rsidRPr="00607051" w:rsidP="008426F1" w14:paraId="18969247" w14:textId="77777777">
      <w:pPr>
        <w:pStyle w:val="FootnoteText"/>
      </w:pPr>
      <w:r w:rsidRPr="00607051">
        <w:rPr>
          <w:rStyle w:val="FootnoteReference"/>
        </w:rPr>
        <w:footnoteRef/>
      </w:r>
      <w:r w:rsidRPr="00607051">
        <w:t xml:space="preserve"> </w:t>
      </w:r>
      <w:r w:rsidRPr="00607051">
        <w:rPr>
          <w:i/>
          <w:iCs/>
        </w:rPr>
        <w:t>Id</w:t>
      </w:r>
      <w:r w:rsidRPr="00607051">
        <w:t xml:space="preserve">. § 73.3539(a).  </w:t>
      </w:r>
    </w:p>
  </w:footnote>
  <w:footnote w:id="4">
    <w:p w:rsidR="00B748B7" w:rsidRPr="00607051" w:rsidP="00B748B7" w14:paraId="14565921" w14:textId="61456125">
      <w:pPr>
        <w:widowControl/>
        <w:autoSpaceDE w:val="0"/>
        <w:autoSpaceDN w:val="0"/>
        <w:adjustRightInd w:val="0"/>
        <w:rPr>
          <w:snapToGrid/>
          <w:kern w:val="0"/>
          <w:sz w:val="20"/>
        </w:rPr>
      </w:pPr>
      <w:r w:rsidRPr="00607051">
        <w:rPr>
          <w:rStyle w:val="FootnoteReference"/>
        </w:rPr>
        <w:footnoteRef/>
      </w:r>
      <w:r w:rsidRPr="00607051">
        <w:rPr>
          <w:sz w:val="20"/>
        </w:rPr>
        <w:t xml:space="preserve"> </w:t>
      </w:r>
      <w:r w:rsidRPr="00607051">
        <w:rPr>
          <w:i/>
          <w:iCs/>
          <w:snapToGrid/>
          <w:kern w:val="0"/>
          <w:sz w:val="20"/>
        </w:rPr>
        <w:t xml:space="preserve">See </w:t>
      </w:r>
      <w:r w:rsidRPr="00607051">
        <w:rPr>
          <w:snapToGrid/>
          <w:kern w:val="0"/>
          <w:sz w:val="20"/>
        </w:rPr>
        <w:t>47 CFR §§ 73.1020, 73.3539(a).  Because December 1, 2019, was a Sunday—a holiday as defined by the</w:t>
      </w:r>
    </w:p>
    <w:p w:rsidR="00B748B7" w:rsidRPr="00607051" w:rsidP="00B748B7" w14:paraId="4FA61357" w14:textId="2187940E">
      <w:pPr>
        <w:widowControl/>
        <w:autoSpaceDE w:val="0"/>
        <w:autoSpaceDN w:val="0"/>
        <w:adjustRightInd w:val="0"/>
        <w:rPr>
          <w:snapToGrid/>
          <w:kern w:val="0"/>
          <w:sz w:val="20"/>
        </w:rPr>
      </w:pPr>
      <w:r w:rsidRPr="00607051">
        <w:rPr>
          <w:snapToGrid/>
          <w:kern w:val="0"/>
          <w:sz w:val="20"/>
        </w:rPr>
        <w:t>Rules—the filing deadline was December 2, 2019, the first business day after December 1, 2019.</w:t>
      </w:r>
      <w:r w:rsidRPr="00607051" w:rsidR="00A15020">
        <w:rPr>
          <w:snapToGrid/>
          <w:kern w:val="0"/>
          <w:sz w:val="20"/>
        </w:rPr>
        <w:t xml:space="preserve"> </w:t>
      </w:r>
      <w:r w:rsidRPr="00607051">
        <w:rPr>
          <w:snapToGrid/>
          <w:kern w:val="0"/>
          <w:sz w:val="20"/>
        </w:rPr>
        <w:t xml:space="preserve"> </w:t>
      </w:r>
      <w:r w:rsidRPr="00607051">
        <w:rPr>
          <w:i/>
          <w:iCs/>
          <w:snapToGrid/>
          <w:kern w:val="0"/>
          <w:sz w:val="20"/>
        </w:rPr>
        <w:t xml:space="preserve">See </w:t>
      </w:r>
      <w:r w:rsidRPr="00607051">
        <w:rPr>
          <w:snapToGrid/>
          <w:kern w:val="0"/>
          <w:sz w:val="20"/>
        </w:rPr>
        <w:t>47 CFR §§</w:t>
      </w:r>
    </w:p>
    <w:p w:rsidR="008426F1" w:rsidRPr="00607051" w:rsidP="00B748B7" w14:paraId="6376731A" w14:textId="3140CDF8">
      <w:pPr>
        <w:pStyle w:val="FootnoteText"/>
        <w:rPr>
          <w:i/>
        </w:rPr>
      </w:pPr>
      <w:r w:rsidRPr="00607051">
        <w:t>1.4(e), (j).</w:t>
      </w:r>
    </w:p>
  </w:footnote>
  <w:footnote w:id="5">
    <w:p w:rsidR="003A22F6" w:rsidRPr="00607051" w14:paraId="522A86F5" w14:textId="57A0F349">
      <w:pPr>
        <w:pStyle w:val="FootnoteText"/>
      </w:pPr>
      <w:r w:rsidRPr="00607051">
        <w:rPr>
          <w:rStyle w:val="FootnoteReference"/>
        </w:rPr>
        <w:footnoteRef/>
      </w:r>
      <w:r w:rsidRPr="00607051" w:rsidR="00E43B6B">
        <w:rPr>
          <w:i/>
          <w:iCs/>
        </w:rPr>
        <w:t xml:space="preserve"> LLF Holdings, LLC</w:t>
      </w:r>
      <w:r w:rsidRPr="00607051" w:rsidR="00DF778B">
        <w:t>,</w:t>
      </w:r>
      <w:r w:rsidRPr="00607051">
        <w:t xml:space="preserve"> </w:t>
      </w:r>
      <w:r w:rsidRPr="00607051">
        <w:rPr>
          <w:snapToGrid w:val="0"/>
        </w:rPr>
        <w:t>Memorandum Opinion and Order and Notice of Apparent Liability for Forfeiture, DA 21-</w:t>
      </w:r>
      <w:r w:rsidRPr="00607051" w:rsidR="00E43B6B">
        <w:rPr>
          <w:snapToGrid w:val="0"/>
        </w:rPr>
        <w:t>231</w:t>
      </w:r>
      <w:r w:rsidRPr="00607051" w:rsidR="00DF778B">
        <w:rPr>
          <w:snapToGrid w:val="0"/>
        </w:rPr>
        <w:t xml:space="preserve"> </w:t>
      </w:r>
      <w:r w:rsidRPr="00607051">
        <w:rPr>
          <w:snapToGrid w:val="0"/>
        </w:rPr>
        <w:t xml:space="preserve">(MB Feb. </w:t>
      </w:r>
      <w:r w:rsidRPr="00607051" w:rsidR="00E43B6B">
        <w:rPr>
          <w:snapToGrid w:val="0"/>
        </w:rPr>
        <w:t>26</w:t>
      </w:r>
      <w:r w:rsidRPr="00607051">
        <w:rPr>
          <w:snapToGrid w:val="0"/>
        </w:rPr>
        <w:t>, 2021).</w:t>
      </w:r>
    </w:p>
  </w:footnote>
  <w:footnote w:id="6">
    <w:p w:rsidR="00D13C33" w:rsidRPr="007249A2" w:rsidP="00D13C33" w14:paraId="0634171A" w14:textId="7DCECC67">
      <w:pPr>
        <w:widowControl/>
        <w:autoSpaceDE w:val="0"/>
        <w:autoSpaceDN w:val="0"/>
        <w:adjustRightInd w:val="0"/>
        <w:spacing w:after="120"/>
        <w:rPr>
          <w:snapToGrid/>
          <w:kern w:val="0"/>
          <w:sz w:val="20"/>
        </w:rPr>
      </w:pPr>
      <w:r w:rsidRPr="002E1432">
        <w:rPr>
          <w:rStyle w:val="FootnoteReference"/>
        </w:rPr>
        <w:footnoteRef/>
      </w:r>
      <w:r w:rsidRPr="002E1432">
        <w:rPr>
          <w:sz w:val="20"/>
        </w:rPr>
        <w:t xml:space="preserve"> </w:t>
      </w:r>
      <w:r w:rsidRPr="00E15E5B" w:rsidR="001C184A">
        <w:rPr>
          <w:i/>
          <w:iCs/>
          <w:sz w:val="20"/>
        </w:rPr>
        <w:t xml:space="preserve">NAL </w:t>
      </w:r>
      <w:r w:rsidRPr="00E15E5B" w:rsidR="001C184A">
        <w:rPr>
          <w:sz w:val="20"/>
        </w:rPr>
        <w:t>at 2, paras. 5-6 (citing</w:t>
      </w:r>
      <w:r w:rsidRPr="001C184A">
        <w:rPr>
          <w:i/>
          <w:iCs/>
          <w:snapToGrid/>
          <w:kern w:val="0"/>
          <w:sz w:val="20"/>
        </w:rPr>
        <w:t xml:space="preserve"> </w:t>
      </w:r>
      <w:r w:rsidRPr="001C184A">
        <w:rPr>
          <w:i/>
          <w:sz w:val="20"/>
        </w:rPr>
        <w:t>Forfeiture Policy Statement and Amendment of Section 1.80 of the Rules to Incorporate the Forfeiture Guidelines</w:t>
      </w:r>
      <w:r w:rsidRPr="00DF4F95">
        <w:rPr>
          <w:sz w:val="20"/>
        </w:rPr>
        <w:t>, Report and Order, 12 FCC Rcd 17087</w:t>
      </w:r>
      <w:r w:rsidRPr="001C184A">
        <w:rPr>
          <w:sz w:val="20"/>
        </w:rPr>
        <w:t xml:space="preserve">, </w:t>
      </w:r>
      <w:r w:rsidRPr="001C184A">
        <w:rPr>
          <w:snapToGrid/>
          <w:kern w:val="0"/>
          <w:sz w:val="20"/>
        </w:rPr>
        <w:t>17113-15</w:t>
      </w:r>
      <w:r w:rsidRPr="001C184A">
        <w:rPr>
          <w:sz w:val="20"/>
        </w:rPr>
        <w:t xml:space="preserve"> (1997), </w:t>
      </w:r>
      <w:r w:rsidRPr="001C184A">
        <w:rPr>
          <w:i/>
          <w:sz w:val="20"/>
        </w:rPr>
        <w:t>recon. denied</w:t>
      </w:r>
      <w:r w:rsidRPr="001C184A">
        <w:rPr>
          <w:sz w:val="20"/>
        </w:rPr>
        <w:t>, Memorandum Opinion</w:t>
      </w:r>
      <w:r w:rsidRPr="002E1432">
        <w:rPr>
          <w:sz w:val="20"/>
        </w:rPr>
        <w:t xml:space="preserve"> and Order, 15 FCC Rcd 303 (1999) (</w:t>
      </w:r>
      <w:r w:rsidRPr="002E1432">
        <w:rPr>
          <w:i/>
          <w:iCs/>
          <w:snapToGrid/>
          <w:kern w:val="0"/>
          <w:sz w:val="20"/>
        </w:rPr>
        <w:t>Forfeiture Policy Statement</w:t>
      </w:r>
      <w:r w:rsidRPr="002E1432">
        <w:rPr>
          <w:snapToGrid/>
          <w:kern w:val="0"/>
          <w:sz w:val="20"/>
        </w:rPr>
        <w:t xml:space="preserve">); </w:t>
      </w:r>
      <w:r w:rsidRPr="002E1432">
        <w:rPr>
          <w:sz w:val="20"/>
        </w:rPr>
        <w:t xml:space="preserve">47 CFR </w:t>
      </w:r>
      <w:r w:rsidRPr="006B5ED5">
        <w:rPr>
          <w:sz w:val="20"/>
        </w:rPr>
        <w:t>§ 1.80(b)(10), note to paragraph (b)(10),</w:t>
      </w:r>
      <w:r w:rsidRPr="002E1432">
        <w:rPr>
          <w:sz w:val="20"/>
        </w:rPr>
        <w:t xml:space="preserve"> Section I</w:t>
      </w:r>
      <w:r w:rsidR="001C184A">
        <w:rPr>
          <w:sz w:val="20"/>
        </w:rPr>
        <w:t>)</w:t>
      </w:r>
      <w:r w:rsidRPr="002E1432">
        <w:rPr>
          <w:sz w:val="20"/>
        </w:rPr>
        <w:t>.</w:t>
      </w:r>
      <w:r>
        <w:rPr>
          <w:sz w:val="20"/>
        </w:rPr>
        <w:t xml:space="preserve">  The Commission recently renumbered section 1.80(b)(</w:t>
      </w:r>
      <w:r w:rsidR="001C184A">
        <w:rPr>
          <w:sz w:val="20"/>
        </w:rPr>
        <w:t xml:space="preserve">9) as section 1.80(b)(10) </w:t>
      </w:r>
      <w:r>
        <w:rPr>
          <w:sz w:val="20"/>
        </w:rPr>
        <w:t xml:space="preserve">to reflect implantation of provisions of the PIRATE Act.  </w:t>
      </w:r>
      <w:r w:rsidRPr="008738EF">
        <w:rPr>
          <w:i/>
          <w:iCs/>
          <w:sz w:val="20"/>
        </w:rPr>
        <w:t>See Ame</w:t>
      </w:r>
      <w:r w:rsidRPr="004F2DD8">
        <w:rPr>
          <w:i/>
          <w:iCs/>
          <w:sz w:val="20"/>
        </w:rPr>
        <w:t>ndment of Section 1</w:t>
      </w:r>
      <w:r w:rsidRPr="00841224">
        <w:rPr>
          <w:i/>
          <w:iCs/>
          <w:sz w:val="20"/>
        </w:rPr>
        <w:t xml:space="preserve">.80 of </w:t>
      </w:r>
      <w:r w:rsidRPr="002441FB">
        <w:rPr>
          <w:i/>
          <w:iCs/>
          <w:sz w:val="20"/>
        </w:rPr>
        <w:t xml:space="preserve">the Rules </w:t>
      </w:r>
      <w:r w:rsidRPr="004623AD">
        <w:rPr>
          <w:i/>
          <w:iCs/>
          <w:sz w:val="20"/>
        </w:rPr>
        <w:t>Implementing Section 2 of the Preventing Illegal Radio Abuse Through Enforcement Act</w:t>
      </w:r>
      <w:r w:rsidRPr="004623AD">
        <w:rPr>
          <w:sz w:val="20"/>
        </w:rPr>
        <w:t>, Order, 35 FCC Rcd 14591 (</w:t>
      </w:r>
      <w:r>
        <w:rPr>
          <w:sz w:val="20"/>
        </w:rPr>
        <w:t xml:space="preserve">OMD/EB </w:t>
      </w:r>
      <w:r w:rsidRPr="004623AD">
        <w:rPr>
          <w:sz w:val="20"/>
        </w:rPr>
        <w:t>2020).</w:t>
      </w:r>
    </w:p>
  </w:footnote>
  <w:footnote w:id="7">
    <w:p w:rsidR="008426F1" w:rsidRPr="00607051" w:rsidP="008426F1" w14:paraId="44884F07" w14:textId="77777777">
      <w:pPr>
        <w:pStyle w:val="FootnoteText"/>
      </w:pPr>
      <w:r w:rsidRPr="00607051">
        <w:rPr>
          <w:rStyle w:val="FootnoteReference"/>
        </w:rPr>
        <w:footnoteRef/>
      </w:r>
      <w:r w:rsidRPr="00607051">
        <w:t xml:space="preserve"> </w:t>
      </w:r>
      <w:r w:rsidRPr="00607051" w:rsidR="003A22F6">
        <w:rPr>
          <w:i/>
          <w:iCs/>
        </w:rPr>
        <w:t>Id.</w:t>
      </w:r>
      <w:r w:rsidRPr="00607051" w:rsidR="003A22F6">
        <w:t xml:space="preserve"> at</w:t>
      </w:r>
      <w:r w:rsidRPr="00607051" w:rsidR="00DF778B">
        <w:t xml:space="preserve"> 3,</w:t>
      </w:r>
      <w:r w:rsidRPr="00607051">
        <w:t xml:space="preserve"> para. </w:t>
      </w:r>
      <w:r w:rsidRPr="00607051" w:rsidR="003A22F6">
        <w:t>1</w:t>
      </w:r>
      <w:r w:rsidRPr="00607051" w:rsidR="0072332E">
        <w:t>0</w:t>
      </w:r>
      <w:r w:rsidRPr="00607051">
        <w:t>.</w:t>
      </w:r>
    </w:p>
  </w:footnote>
  <w:footnote w:id="8">
    <w:p w:rsidR="00397006" w:rsidRPr="00607051" w14:paraId="2CCC0DD6" w14:textId="68DCF19B">
      <w:pPr>
        <w:pStyle w:val="FootnoteText"/>
        <w:rPr>
          <w:bCs/>
        </w:rPr>
      </w:pPr>
      <w:r w:rsidRPr="00607051">
        <w:rPr>
          <w:rStyle w:val="FootnoteReference"/>
        </w:rPr>
        <w:footnoteRef/>
      </w:r>
      <w:r w:rsidRPr="00607051">
        <w:t xml:space="preserve"> </w:t>
      </w:r>
      <w:r w:rsidRPr="00607051" w:rsidR="005B3AE0">
        <w:t xml:space="preserve">Response to Notice of Apparent Liability for Forfeiture of </w:t>
      </w:r>
      <w:r w:rsidRPr="00607051" w:rsidR="0088024F">
        <w:t>LLF Holdings, LLC,</w:t>
      </w:r>
      <w:r w:rsidRPr="00607051" w:rsidR="005B3AE0">
        <w:t xml:space="preserve"> (dated </w:t>
      </w:r>
      <w:r w:rsidRPr="00607051" w:rsidR="0088024F">
        <w:t>Mar</w:t>
      </w:r>
      <w:r w:rsidRPr="00607051" w:rsidR="005B3AE0">
        <w:t xml:space="preserve">. </w:t>
      </w:r>
      <w:r w:rsidRPr="00607051" w:rsidR="0088024F">
        <w:t>29</w:t>
      </w:r>
      <w:r w:rsidRPr="00607051" w:rsidR="005B3AE0">
        <w:t xml:space="preserve">, 2021).  </w:t>
      </w:r>
      <w:r w:rsidR="00476746">
        <w:t>Licensee explained that the Commission’s filing system</w:t>
      </w:r>
      <w:r w:rsidR="003A2EAE">
        <w:t>, LMS,</w:t>
      </w:r>
      <w:r w:rsidR="00476746">
        <w:t xml:space="preserve"> would not allow it to file a petition for reconsideration, and accordingly it was</w:t>
      </w:r>
      <w:r w:rsidR="00AD0958">
        <w:t xml:space="preserve"> electronically</w:t>
      </w:r>
      <w:r w:rsidR="00476746">
        <w:t xml:space="preserve"> submitting it as a petition for declaratory ruling.</w:t>
      </w:r>
      <w:r w:rsidR="007A49E7">
        <w:t xml:space="preserve">  Email from Denis J. Kelly, Law Office of Dennis J. Kelly, to Albert Shuldiner, Chief, Audio Division, FCC Media Bureau (Mar. 29, 2021, 1:52 AM EDT)</w:t>
      </w:r>
      <w:r w:rsidR="00932E1E">
        <w:t>.</w:t>
      </w:r>
      <w:r w:rsidR="00476746">
        <w:t xml:space="preserve"> </w:t>
      </w:r>
      <w:r w:rsidR="007A49E7">
        <w:rPr>
          <w:bCs/>
        </w:rPr>
        <w:t xml:space="preserve"> However, </w:t>
      </w:r>
      <w:r w:rsidRPr="00607051">
        <w:rPr>
          <w:bCs/>
        </w:rPr>
        <w:t>p</w:t>
      </w:r>
      <w:r w:rsidRPr="00607051">
        <w:t xml:space="preserve">etitions for reconsideration do not lie against interlocutory actions, such as the </w:t>
      </w:r>
      <w:r w:rsidRPr="00607051">
        <w:rPr>
          <w:i/>
          <w:iCs/>
        </w:rPr>
        <w:t>NAL</w:t>
      </w:r>
      <w:r w:rsidRPr="00607051">
        <w:t xml:space="preserve">.  </w:t>
      </w:r>
      <w:r w:rsidRPr="00607051">
        <w:rPr>
          <w:i/>
          <w:iCs/>
        </w:rPr>
        <w:t>See</w:t>
      </w:r>
      <w:r w:rsidRPr="00607051">
        <w:t xml:space="preserve"> 47 CFR § 1.106(a)(1).  </w:t>
      </w:r>
      <w:r w:rsidRPr="00607051">
        <w:rPr>
          <w:i/>
          <w:iCs/>
        </w:rPr>
        <w:t>See also</w:t>
      </w:r>
      <w:r w:rsidRPr="00607051">
        <w:t xml:space="preserve"> </w:t>
      </w:r>
      <w:r w:rsidRPr="00607051">
        <w:rPr>
          <w:i/>
          <w:iCs/>
        </w:rPr>
        <w:t>South Seas Broad., Inc.</w:t>
      </w:r>
      <w:r w:rsidRPr="00607051">
        <w:t xml:space="preserve">, Forfeiture Order, 27 FCC Rcd 4151, 4152 n.7 (MB 2012) (“Because the NAL merely proposed rather than imposed a forfeiture, the </w:t>
      </w:r>
      <w:r w:rsidRPr="00607051" w:rsidR="00A35CA1">
        <w:t xml:space="preserve">Media </w:t>
      </w:r>
      <w:r w:rsidRPr="00607051">
        <w:t>Bureau's</w:t>
      </w:r>
      <w:r w:rsidRPr="00607051" w:rsidR="00A35CA1">
        <w:t xml:space="preserve"> (Bureau)</w:t>
      </w:r>
      <w:r w:rsidRPr="00607051">
        <w:t xml:space="preserve"> action was interlocutory in nature.”), </w:t>
      </w:r>
      <w:r w:rsidRPr="00607051">
        <w:rPr>
          <w:i/>
          <w:iCs/>
        </w:rPr>
        <w:t>recon. denied</w:t>
      </w:r>
      <w:r w:rsidRPr="00607051">
        <w:t xml:space="preserve">, Memorandum Opinion and Order, 27 FCC Rcd 15049 (MB 2012).  Accordingly, we will treat the pleading as a “written statement seeking reduction or cancellation of the proposed forfeiture” specifically authorized in the </w:t>
      </w:r>
      <w:r w:rsidRPr="00607051">
        <w:rPr>
          <w:i/>
          <w:iCs/>
        </w:rPr>
        <w:t>NAL</w:t>
      </w:r>
      <w:r w:rsidRPr="00607051">
        <w:t xml:space="preserve">.  </w:t>
      </w:r>
      <w:r w:rsidRPr="00607051">
        <w:rPr>
          <w:i/>
          <w:iCs/>
        </w:rPr>
        <w:t>See</w:t>
      </w:r>
      <w:r w:rsidRPr="00607051">
        <w:t xml:space="preserve"> </w:t>
      </w:r>
      <w:r w:rsidRPr="00607051">
        <w:rPr>
          <w:i/>
          <w:iCs/>
        </w:rPr>
        <w:t>NAL</w:t>
      </w:r>
      <w:r w:rsidRPr="00607051">
        <w:t xml:space="preserve"> at para. 10.  </w:t>
      </w:r>
    </w:p>
  </w:footnote>
  <w:footnote w:id="9">
    <w:p w:rsidR="009605EE" w14:paraId="2926CFB4" w14:textId="0C076166">
      <w:pPr>
        <w:pStyle w:val="FootnoteText"/>
      </w:pPr>
      <w:r>
        <w:rPr>
          <w:rStyle w:val="FootnoteReference"/>
        </w:rPr>
        <w:footnoteRef/>
      </w:r>
      <w:r>
        <w:t xml:space="preserve"> Response at 2 (citing </w:t>
      </w:r>
      <w:r w:rsidR="007F520E">
        <w:rPr>
          <w:i/>
          <w:iCs/>
        </w:rPr>
        <w:t>AM Broadcast</w:t>
      </w:r>
      <w:r>
        <w:rPr>
          <w:i/>
          <w:iCs/>
        </w:rPr>
        <w:t xml:space="preserve"> Station KTNC</w:t>
      </w:r>
      <w:r w:rsidR="007F520E">
        <w:rPr>
          <w:i/>
          <w:iCs/>
        </w:rPr>
        <w:t xml:space="preserve"> and C.R. Communications, Inc</w:t>
      </w:r>
      <w:r>
        <w:t xml:space="preserve">, </w:t>
      </w:r>
      <w:r w:rsidR="00815337">
        <w:t>Memorandum Opinion and Order</w:t>
      </w:r>
      <w:r w:rsidR="007253A8">
        <w:t xml:space="preserve">, </w:t>
      </w:r>
      <w:r>
        <w:t>15 FCC Rcd 19114, para. 2, n.5 (2000)</w:t>
      </w:r>
      <w:r w:rsidR="0088742A">
        <w:t xml:space="preserve"> (</w:t>
      </w:r>
      <w:r w:rsidR="0088742A">
        <w:rPr>
          <w:i/>
          <w:iCs/>
        </w:rPr>
        <w:t>KTNC</w:t>
      </w:r>
      <w:r w:rsidR="0088742A">
        <w:t>)</w:t>
      </w:r>
      <w:r w:rsidR="007F520E">
        <w:t xml:space="preserve"> (citing </w:t>
      </w:r>
      <w:r>
        <w:rPr>
          <w:i/>
          <w:iCs/>
        </w:rPr>
        <w:t>Associated Broadcasters, Inc.</w:t>
      </w:r>
      <w:r>
        <w:t xml:space="preserve">, </w:t>
      </w:r>
      <w:r w:rsidR="0018779A">
        <w:t xml:space="preserve">Memorandum Opinion and Order, </w:t>
      </w:r>
      <w:r>
        <w:t xml:space="preserve">12 FCC Rcd 3324 (1997); </w:t>
      </w:r>
      <w:r>
        <w:rPr>
          <w:i/>
          <w:iCs/>
        </w:rPr>
        <w:t>Pikes Peak Broadcasting Company</w:t>
      </w:r>
      <w:r>
        <w:t xml:space="preserve">, </w:t>
      </w:r>
      <w:r w:rsidR="00213D8A">
        <w:t xml:space="preserve">Memorandum Opinion and Order, </w:t>
      </w:r>
      <w:r>
        <w:t xml:space="preserve">14 FCC Rcd 19011 (1999), </w:t>
      </w:r>
      <w:r>
        <w:rPr>
          <w:i/>
          <w:iCs/>
        </w:rPr>
        <w:t>Tri-Valley Broadcasters</w:t>
      </w:r>
      <w:r>
        <w:t xml:space="preserve">, </w:t>
      </w:r>
      <w:r w:rsidR="00B67665">
        <w:t xml:space="preserve">Memorandum Opinion and Order, </w:t>
      </w:r>
      <w:r>
        <w:t>14 FCC Rcd 19307 (1999)</w:t>
      </w:r>
      <w:r w:rsidR="004665C9">
        <w:t>)</w:t>
      </w:r>
      <w:r w:rsidR="007F520E">
        <w:t>)</w:t>
      </w:r>
      <w:r w:rsidRPr="00607051">
        <w:t>.</w:t>
      </w:r>
    </w:p>
  </w:footnote>
  <w:footnote w:id="10">
    <w:p w:rsidR="005E52AB" w:rsidRPr="009605EE" w14:paraId="0D772FFF" w14:textId="3F13B727">
      <w:pPr>
        <w:pStyle w:val="FootnoteText"/>
      </w:pPr>
      <w:r w:rsidRPr="00607051">
        <w:rPr>
          <w:rStyle w:val="FootnoteReference"/>
        </w:rPr>
        <w:footnoteRef/>
      </w:r>
      <w:r w:rsidRPr="00607051">
        <w:t xml:space="preserve"> </w:t>
      </w:r>
      <w:r w:rsidRPr="00607051" w:rsidR="00F85E92">
        <w:t>Response at 2</w:t>
      </w:r>
      <w:r w:rsidR="009605EE">
        <w:t xml:space="preserve"> (citing </w:t>
      </w:r>
      <w:r w:rsidR="009605EE">
        <w:rPr>
          <w:i/>
          <w:iCs/>
        </w:rPr>
        <w:t>Pleasant Broadcasting v. FCC</w:t>
      </w:r>
      <w:r w:rsidR="009605EE">
        <w:t>, 564 F.2d 496, 498 (D.C. Cir 1977</w:t>
      </w:r>
      <w:r w:rsidR="001F45A5">
        <w:t>) (</w:t>
      </w:r>
      <w:r w:rsidR="001F45A5">
        <w:rPr>
          <w:i/>
          <w:iCs/>
        </w:rPr>
        <w:t>Pleasant Broadcasting</w:t>
      </w:r>
      <w:r w:rsidR="001F45A5">
        <w:t>)</w:t>
      </w:r>
      <w:r w:rsidR="009605EE">
        <w:t>).</w:t>
      </w:r>
    </w:p>
  </w:footnote>
  <w:footnote w:id="11">
    <w:p w:rsidR="00AD0958" w14:paraId="2DC576D8" w14:textId="6D078FE7">
      <w:pPr>
        <w:pStyle w:val="FootnoteText"/>
      </w:pPr>
      <w:r>
        <w:rPr>
          <w:rStyle w:val="FootnoteReference"/>
        </w:rPr>
        <w:footnoteRef/>
      </w:r>
      <w:r>
        <w:t xml:space="preserve"> Response at 3-4 (citing </w:t>
      </w:r>
      <w:r w:rsidRPr="002E1432">
        <w:rPr>
          <w:i/>
        </w:rPr>
        <w:t>Forfeiture Policy Statement</w:t>
      </w:r>
      <w:r w:rsidR="001C184A">
        <w:rPr>
          <w:iCs/>
        </w:rPr>
        <w:t>,</w:t>
      </w:r>
      <w:r w:rsidRPr="002E1432">
        <w:rPr>
          <w:i/>
        </w:rPr>
        <w:t xml:space="preserve"> </w:t>
      </w:r>
      <w:r w:rsidRPr="002E1432">
        <w:t xml:space="preserve">12 FCC Rcd </w:t>
      </w:r>
      <w:r w:rsidR="001C184A">
        <w:t>at</w:t>
      </w:r>
      <w:r w:rsidRPr="002E1432">
        <w:t xml:space="preserve"> 17113-15; 47 CFR </w:t>
      </w:r>
      <w:r w:rsidRPr="006B5ED5">
        <w:t>§ 1.80</w:t>
      </w:r>
      <w:r w:rsidR="001C184A">
        <w:t>(b))</w:t>
      </w:r>
      <w:r w:rsidR="00B65B0E">
        <w:t>.</w:t>
      </w:r>
    </w:p>
  </w:footnote>
  <w:footnote w:id="12">
    <w:p w:rsidR="00C159C3" w:rsidRPr="00607051" w14:paraId="1E8F4964" w14:textId="6D68432D">
      <w:pPr>
        <w:pStyle w:val="FootnoteText"/>
      </w:pPr>
      <w:r w:rsidRPr="00607051">
        <w:rPr>
          <w:rStyle w:val="FootnoteReference"/>
        </w:rPr>
        <w:footnoteRef/>
      </w:r>
      <w:r w:rsidRPr="00607051">
        <w:t xml:space="preserve"> </w:t>
      </w:r>
      <w:r w:rsidR="00DB12A9">
        <w:t xml:space="preserve">Response </w:t>
      </w:r>
      <w:r w:rsidRPr="00607051">
        <w:t>at 3-</w:t>
      </w:r>
      <w:r w:rsidRPr="00607051" w:rsidR="00390BB7">
        <w:t>6</w:t>
      </w:r>
      <w:r w:rsidR="0090224C">
        <w:t xml:space="preserve"> (citing 5 U.S.C. 553(c)-(d)</w:t>
      </w:r>
      <w:r w:rsidR="00DB12A9">
        <w:t xml:space="preserve">; </w:t>
      </w:r>
      <w:r w:rsidR="00DB12A9">
        <w:rPr>
          <w:i/>
          <w:iCs/>
        </w:rPr>
        <w:t>First American Bank of Virginia v. Dole</w:t>
      </w:r>
      <w:r w:rsidR="00DB12A9">
        <w:t>, 763 F.2d 644, n.6 (4</w:t>
      </w:r>
      <w:r w:rsidRPr="00B65B0E" w:rsidR="00DB12A9">
        <w:rPr>
          <w:vertAlign w:val="superscript"/>
        </w:rPr>
        <w:t>th</w:t>
      </w:r>
      <w:r w:rsidR="00DB12A9">
        <w:t xml:space="preserve"> Cir. 1984)</w:t>
      </w:r>
      <w:r w:rsidR="00AD0958">
        <w:t>)</w:t>
      </w:r>
      <w:r w:rsidRPr="00607051">
        <w:t>.</w:t>
      </w:r>
    </w:p>
  </w:footnote>
  <w:footnote w:id="13">
    <w:p w:rsidR="00DB12A9" w:rsidRPr="00DB12A9" w14:paraId="5E023727" w14:textId="3A2374A8">
      <w:pPr>
        <w:pStyle w:val="FootnoteText"/>
      </w:pPr>
      <w:r>
        <w:rPr>
          <w:rStyle w:val="FootnoteReference"/>
        </w:rPr>
        <w:footnoteRef/>
      </w:r>
      <w:r>
        <w:t xml:space="preserve"> Response at </w:t>
      </w:r>
      <w:r w:rsidR="009438DF">
        <w:t>4</w:t>
      </w:r>
      <w:r>
        <w:t xml:space="preserve"> (citing </w:t>
      </w:r>
      <w:r>
        <w:rPr>
          <w:i/>
          <w:iCs/>
        </w:rPr>
        <w:t>City of Cleburne Living Center, Inc.</w:t>
      </w:r>
      <w:r>
        <w:t>,</w:t>
      </w:r>
      <w:r>
        <w:rPr>
          <w:i/>
          <w:iCs/>
        </w:rPr>
        <w:t xml:space="preserve"> </w:t>
      </w:r>
      <w:r w:rsidRPr="00B65B0E">
        <w:t>473 U.S. 432, 439 (1985)</w:t>
      </w:r>
      <w:r>
        <w:rPr>
          <w:i/>
          <w:iCs/>
        </w:rPr>
        <w:t>; Melody Music, Inc. v. FCC</w:t>
      </w:r>
      <w:r>
        <w:t>, 345 F.2d 720 (D.C. Cir. 1965).</w:t>
      </w:r>
    </w:p>
  </w:footnote>
  <w:footnote w:id="14">
    <w:p w:rsidR="00DB12A9" w14:paraId="0441456A" w14:textId="0901348E">
      <w:pPr>
        <w:pStyle w:val="FootnoteText"/>
      </w:pPr>
      <w:r>
        <w:rPr>
          <w:rStyle w:val="FootnoteReference"/>
        </w:rPr>
        <w:footnoteRef/>
      </w:r>
      <w:r>
        <w:t xml:space="preserve"> Response at 4 and </w:t>
      </w:r>
      <w:r>
        <w:t>Exh</w:t>
      </w:r>
      <w:r>
        <w:t>. A.</w:t>
      </w:r>
    </w:p>
  </w:footnote>
  <w:footnote w:id="15">
    <w:p w:rsidR="00DB12A9" w14:paraId="44CE884F" w14:textId="4ABF2542">
      <w:pPr>
        <w:pStyle w:val="FootnoteText"/>
      </w:pPr>
      <w:r>
        <w:rPr>
          <w:rStyle w:val="FootnoteReference"/>
        </w:rPr>
        <w:footnoteRef/>
      </w:r>
      <w:r>
        <w:t xml:space="preserve"> Response at 3 (citing </w:t>
      </w:r>
      <w:r>
        <w:rPr>
          <w:i/>
          <w:iCs/>
        </w:rPr>
        <w:t>Crawford County Community Radio, Inc.</w:t>
      </w:r>
      <w:r>
        <w:t>, Memorandum Opinion and Order, 25 FC Rcd 16329 (MB 2010).</w:t>
      </w:r>
    </w:p>
  </w:footnote>
  <w:footnote w:id="16">
    <w:p w:rsidR="00D05025" w:rsidRPr="00607051" w14:paraId="525AE19E" w14:textId="1DA99F9A">
      <w:pPr>
        <w:pStyle w:val="FootnoteText"/>
      </w:pPr>
      <w:r w:rsidRPr="00607051">
        <w:rPr>
          <w:rStyle w:val="FootnoteReference"/>
        </w:rPr>
        <w:footnoteRef/>
      </w:r>
      <w:r w:rsidRPr="00607051">
        <w:t xml:space="preserve"> </w:t>
      </w:r>
      <w:r w:rsidRPr="0019600D" w:rsidR="00DB12A9">
        <w:t>Response</w:t>
      </w:r>
      <w:r w:rsidR="00A21B28">
        <w:rPr>
          <w:i/>
          <w:iCs/>
        </w:rPr>
        <w:t xml:space="preserve"> </w:t>
      </w:r>
      <w:r w:rsidR="00BC72D4">
        <w:t>at 6 (</w:t>
      </w:r>
      <w:r w:rsidR="00A21B28">
        <w:t xml:space="preserve">citing </w:t>
      </w:r>
      <w:r w:rsidR="00A21B28">
        <w:rPr>
          <w:i/>
          <w:iCs/>
        </w:rPr>
        <w:t>Colorado West Broadcasting, Inc.</w:t>
      </w:r>
      <w:r w:rsidR="00A21B28">
        <w:t>, Letter, 14 FCC Rcd 18354 (MMB 1999) (</w:t>
      </w:r>
      <w:r w:rsidR="00A21B28">
        <w:rPr>
          <w:i/>
          <w:iCs/>
        </w:rPr>
        <w:t>Colorado West</w:t>
      </w:r>
      <w:r w:rsidR="00A21B28">
        <w:t>)</w:t>
      </w:r>
      <w:r w:rsidR="00BC72D4">
        <w:t>)</w:t>
      </w:r>
      <w:r w:rsidRPr="00607051">
        <w:t>.</w:t>
      </w:r>
    </w:p>
  </w:footnote>
  <w:footnote w:id="17">
    <w:p w:rsidR="0047692A" w:rsidRPr="00607051" w:rsidP="0047692A" w14:paraId="13E537A6" w14:textId="05F733EF">
      <w:pPr>
        <w:pStyle w:val="FootnoteText"/>
        <w:spacing w:after="80"/>
      </w:pPr>
      <w:r w:rsidRPr="00607051">
        <w:rPr>
          <w:rStyle w:val="FootnoteReference"/>
        </w:rPr>
        <w:footnoteRef/>
      </w:r>
      <w:r w:rsidRPr="00607051">
        <w:t xml:space="preserve"> </w:t>
      </w:r>
      <w:r w:rsidRPr="00607051">
        <w:rPr>
          <w:i/>
        </w:rPr>
        <w:t xml:space="preserve">See </w:t>
      </w:r>
      <w:r w:rsidRPr="00607051">
        <w:t>47 U</w:t>
      </w:r>
      <w:r w:rsidR="00725256">
        <w:t>.</w:t>
      </w:r>
      <w:r w:rsidRPr="00607051">
        <w:t>S</w:t>
      </w:r>
      <w:r w:rsidR="00725256">
        <w:t>.</w:t>
      </w:r>
      <w:r w:rsidRPr="00607051">
        <w:t>C</w:t>
      </w:r>
      <w:r w:rsidR="00725256">
        <w:t>.</w:t>
      </w:r>
      <w:r w:rsidRPr="00607051">
        <w:t xml:space="preserve"> § 504(c) (emphasis added).</w:t>
      </w:r>
    </w:p>
  </w:footnote>
  <w:footnote w:id="18">
    <w:p w:rsidR="001F45A5" w:rsidRPr="0088742A" w:rsidP="001F45A5" w14:paraId="6564BB74" w14:textId="77777777">
      <w:pPr>
        <w:pStyle w:val="FootnoteText"/>
      </w:pPr>
      <w:r>
        <w:rPr>
          <w:rStyle w:val="FootnoteReference"/>
        </w:rPr>
        <w:footnoteRef/>
      </w:r>
      <w:r>
        <w:t xml:space="preserve"> </w:t>
      </w:r>
      <w:r>
        <w:rPr>
          <w:i/>
          <w:iCs/>
        </w:rPr>
        <w:t>KTNC</w:t>
      </w:r>
      <w:r>
        <w:t>, 15 FCC Rcd at 19114-15.</w:t>
      </w:r>
    </w:p>
  </w:footnote>
  <w:footnote w:id="19">
    <w:p w:rsidR="0047692A" w:rsidRPr="00C17809" w:rsidP="00FB6B0E" w14:paraId="5B94A0FD" w14:textId="3658DA89">
      <w:pPr>
        <w:pStyle w:val="FootnoteText"/>
        <w:spacing w:after="80"/>
      </w:pPr>
      <w:r w:rsidRPr="00607051">
        <w:rPr>
          <w:rStyle w:val="FootnoteReference"/>
        </w:rPr>
        <w:footnoteRef/>
      </w:r>
      <w:r w:rsidRPr="00607051">
        <w:t xml:space="preserve"> </w:t>
      </w:r>
      <w:r w:rsidR="00EA13E5">
        <w:rPr>
          <w:i/>
          <w:iCs/>
        </w:rPr>
        <w:t xml:space="preserve">See </w:t>
      </w:r>
      <w:r w:rsidRPr="002E1432" w:rsidR="00FB6B0E">
        <w:rPr>
          <w:i/>
          <w:iCs/>
        </w:rPr>
        <w:t>Toccoa Falls Coll.</w:t>
      </w:r>
      <w:r w:rsidRPr="002E1432" w:rsidR="00FB6B0E">
        <w:t>,</w:t>
      </w:r>
      <w:r w:rsidRPr="002E1432" w:rsidR="00226504">
        <w:t xml:space="preserve"> Forfeiture Order,</w:t>
      </w:r>
      <w:r w:rsidRPr="002E1432" w:rsidR="00FB6B0E">
        <w:t xml:space="preserve"> 27 FCC Rcd. 8365, </w:t>
      </w:r>
      <w:r w:rsidRPr="002E1432" w:rsidR="00FB2188">
        <w:t>8368</w:t>
      </w:r>
      <w:r w:rsidRPr="002E1432" w:rsidR="00254D25">
        <w:t>,</w:t>
      </w:r>
      <w:r w:rsidRPr="002E1432" w:rsidR="00FB2188">
        <w:t xml:space="preserve"> para. 12</w:t>
      </w:r>
      <w:r w:rsidRPr="002E1432" w:rsidR="00FB6B0E">
        <w:t xml:space="preserve"> (</w:t>
      </w:r>
      <w:r w:rsidR="007F6C1E">
        <w:t xml:space="preserve">MB </w:t>
      </w:r>
      <w:r w:rsidRPr="002E1432" w:rsidR="00FB6B0E">
        <w:t>2012)</w:t>
      </w:r>
      <w:r w:rsidRPr="002E1432" w:rsidR="00254D25">
        <w:t>.</w:t>
      </w:r>
      <w:r w:rsidR="002E576E">
        <w:t xml:space="preserve">  Licensee’s reliance on </w:t>
      </w:r>
      <w:r w:rsidR="002E576E">
        <w:rPr>
          <w:i/>
          <w:iCs/>
        </w:rPr>
        <w:t>Crawford</w:t>
      </w:r>
      <w:r w:rsidR="002E576E">
        <w:t xml:space="preserve"> is misplaced because it predates the Bureau’s p</w:t>
      </w:r>
      <w:r w:rsidR="00C17809">
        <w:t>olicy</w:t>
      </w:r>
      <w:r w:rsidR="002E576E">
        <w:t xml:space="preserve"> of withholding grant of renewal application</w:t>
      </w:r>
      <w:r w:rsidR="000D7DD3">
        <w:t>s</w:t>
      </w:r>
      <w:r w:rsidR="002E576E">
        <w:t xml:space="preserve"> until the resolution of forfeiture proceedings</w:t>
      </w:r>
      <w:r w:rsidR="00C17809">
        <w:t xml:space="preserve">.  </w:t>
      </w:r>
      <w:r w:rsidR="00C17809">
        <w:rPr>
          <w:i/>
          <w:iCs/>
        </w:rPr>
        <w:t xml:space="preserve">See, e.g., The </w:t>
      </w:r>
      <w:r w:rsidR="00C17809">
        <w:rPr>
          <w:i/>
          <w:iCs/>
        </w:rPr>
        <w:t>Padner</w:t>
      </w:r>
      <w:r w:rsidR="00C17809">
        <w:rPr>
          <w:i/>
          <w:iCs/>
        </w:rPr>
        <w:t xml:space="preserve"> Group, LLC</w:t>
      </w:r>
      <w:r w:rsidR="00C17809">
        <w:t xml:space="preserve">, Memorandum Opinion and Order and Notice of Apparent Liability for Forfeiture, 27 FCC Rcd 576, 578, para. 9 (MB 2012). </w:t>
      </w:r>
      <w:r w:rsidR="004C72AD">
        <w:t xml:space="preserve"> </w:t>
      </w:r>
      <w:r w:rsidR="00C17809">
        <w:t xml:space="preserve">The Bureau has </w:t>
      </w:r>
      <w:r w:rsidR="00D50014">
        <w:t>consistently</w:t>
      </w:r>
      <w:r w:rsidR="00C17809">
        <w:t xml:space="preserve"> applied this policy to applicants that have violated section 73.3539 through the renewal cycles beginning in 2011 and 2019.</w:t>
      </w:r>
    </w:p>
  </w:footnote>
  <w:footnote w:id="20">
    <w:p w:rsidR="00471C2C" w:rsidRPr="002E1432" w14:paraId="0DB0D1C5" w14:textId="31AD7E38">
      <w:pPr>
        <w:pStyle w:val="FootnoteText"/>
      </w:pPr>
      <w:r w:rsidRPr="002E1432">
        <w:rPr>
          <w:rStyle w:val="FootnoteReference"/>
        </w:rPr>
        <w:footnoteRef/>
      </w:r>
      <w:r w:rsidRPr="002E1432">
        <w:t xml:space="preserve"> </w:t>
      </w:r>
      <w:r w:rsidRPr="002E1432" w:rsidR="00C544EC">
        <w:t>47 U.S.C. § 503(b)(1)(B)</w:t>
      </w:r>
      <w:r w:rsidR="002911D9">
        <w:t>;</w:t>
      </w:r>
      <w:r w:rsidRPr="002E1432" w:rsidR="00C544EC">
        <w:rPr>
          <w:i/>
          <w:iCs/>
        </w:rPr>
        <w:t xml:space="preserve"> </w:t>
      </w:r>
      <w:r w:rsidRPr="002E1432" w:rsidR="00C544EC">
        <w:t>47 CFR § 1.80(a)(</w:t>
      </w:r>
      <w:r w:rsidR="00196A33">
        <w:t>2</w:t>
      </w:r>
      <w:r w:rsidRPr="002E1432" w:rsidR="00C544EC">
        <w:t>).</w:t>
      </w:r>
      <w:r w:rsidRPr="002E1432" w:rsidR="00610472">
        <w:t xml:space="preserve">  </w:t>
      </w:r>
      <w:r w:rsidRPr="002E1432" w:rsidR="00610472">
        <w:rPr>
          <w:i/>
          <w:iCs/>
        </w:rPr>
        <w:t>See also</w:t>
      </w:r>
      <w:r w:rsidR="002911D9">
        <w:rPr>
          <w:i/>
          <w:iCs/>
        </w:rPr>
        <w:t xml:space="preserve"> </w:t>
      </w:r>
      <w:r w:rsidRPr="002E1432" w:rsidR="00610472">
        <w:rPr>
          <w:i/>
          <w:iCs/>
        </w:rPr>
        <w:t xml:space="preserve">NAL </w:t>
      </w:r>
      <w:r w:rsidRPr="002E1432" w:rsidR="00175ADF">
        <w:t>at</w:t>
      </w:r>
      <w:r w:rsidRPr="002E1432" w:rsidR="003973F9">
        <w:t xml:space="preserve"> 2,</w:t>
      </w:r>
      <w:r w:rsidRPr="002E1432" w:rsidR="00175ADF">
        <w:t xml:space="preserve"> para</w:t>
      </w:r>
      <w:r w:rsidRPr="002E1432" w:rsidR="003973F9">
        <w:t>s</w:t>
      </w:r>
      <w:r w:rsidRPr="002E1432" w:rsidR="00175ADF">
        <w:t>.</w:t>
      </w:r>
      <w:r w:rsidRPr="002E1432" w:rsidR="003973F9">
        <w:t xml:space="preserve"> 4-6.</w:t>
      </w:r>
      <w:r w:rsidRPr="002E1432" w:rsidR="00175ADF">
        <w:t xml:space="preserve"> </w:t>
      </w:r>
    </w:p>
  </w:footnote>
  <w:footnote w:id="21">
    <w:p w:rsidR="009438DF" w:rsidRPr="00E25CC2" w:rsidP="009438DF" w14:paraId="14783C3C" w14:textId="77777777">
      <w:pPr>
        <w:pStyle w:val="FootnoteText"/>
      </w:pPr>
      <w:r w:rsidRPr="00F01246">
        <w:rPr>
          <w:rStyle w:val="FootnoteReference"/>
        </w:rPr>
        <w:footnoteRef/>
      </w:r>
      <w:r w:rsidRPr="00F01246">
        <w:t xml:space="preserve"> </w:t>
      </w:r>
      <w:r w:rsidRPr="00F01246">
        <w:rPr>
          <w:i/>
        </w:rPr>
        <w:t xml:space="preserve">See, e.g., </w:t>
      </w:r>
      <w:r w:rsidRPr="00B508F6">
        <w:rPr>
          <w:i/>
        </w:rPr>
        <w:t>Long Distance Direct, Inc</w:t>
      </w:r>
      <w:r w:rsidRPr="00B508F6">
        <w:t>., Memorandum Opinion and Order, 15 FCC Rcd 3297, 3304</w:t>
      </w:r>
      <w:r w:rsidRPr="00E25CC2">
        <w:t>, para. 19 (2000).</w:t>
      </w:r>
    </w:p>
  </w:footnote>
  <w:footnote w:id="22">
    <w:p w:rsidR="009438DF" w:rsidRPr="00B508F6" w:rsidP="009438DF" w14:paraId="63AB733B" w14:textId="3C523E0E">
      <w:pPr>
        <w:pStyle w:val="FootnoteText"/>
      </w:pPr>
      <w:r w:rsidRPr="00F01246">
        <w:rPr>
          <w:rStyle w:val="FootnoteReference"/>
        </w:rPr>
        <w:footnoteRef/>
      </w:r>
      <w:r w:rsidRPr="00F01246">
        <w:t xml:space="preserve"> </w:t>
      </w:r>
      <w:r w:rsidRPr="00F01246">
        <w:rPr>
          <w:i/>
        </w:rPr>
        <w:t>Forfeiture Policy Statement</w:t>
      </w:r>
      <w:r w:rsidRPr="00B508F6">
        <w:t>, 12 FCC Rcd at 170</w:t>
      </w:r>
      <w:r>
        <w:t>98-</w:t>
      </w:r>
      <w:r w:rsidRPr="00B508F6">
        <w:t xml:space="preserve">99, para. 22.  </w:t>
      </w:r>
    </w:p>
  </w:footnote>
  <w:footnote w:id="23">
    <w:p w:rsidR="0090224C" w:rsidRPr="0090224C" w14:paraId="341DCF5A" w14:textId="3C86567D">
      <w:pPr>
        <w:pStyle w:val="FootnoteText"/>
      </w:pPr>
      <w:r>
        <w:rPr>
          <w:rStyle w:val="FootnoteReference"/>
        </w:rPr>
        <w:footnoteRef/>
      </w:r>
      <w:r>
        <w:t xml:space="preserve"> </w:t>
      </w:r>
      <w:r w:rsidR="009438DF">
        <w:rPr>
          <w:i/>
          <w:iCs/>
        </w:rPr>
        <w:t xml:space="preserve">See, e.g., </w:t>
      </w:r>
      <w:r w:rsidRPr="003C7DCF">
        <w:rPr>
          <w:i/>
          <w:iCs/>
        </w:rPr>
        <w:t>Cumulus Radio LLC et al.</w:t>
      </w:r>
      <w:r>
        <w:t xml:space="preserve">, Notice of Apparent Liability for Forfeiture, 34 FCC Rcd 7289, 7294-95, para. 14 (2019) (noting that the </w:t>
      </w:r>
      <w:r>
        <w:rPr>
          <w:i/>
          <w:iCs/>
        </w:rPr>
        <w:t>Forfeiture Policy Statement</w:t>
      </w:r>
      <w:r>
        <w:t xml:space="preserve"> and section 1.80 of the R</w:t>
      </w:r>
      <w:r w:rsidR="00153E30">
        <w:t>u</w:t>
      </w:r>
      <w:r>
        <w:t xml:space="preserve">les do not </w:t>
      </w:r>
      <w:r w:rsidR="00153E30">
        <w:t>specify</w:t>
      </w:r>
      <w:r>
        <w:t xml:space="preserve"> a base forfeiture for failing to comply with a Commission </w:t>
      </w:r>
      <w:r>
        <w:t>order</w:t>
      </w:r>
      <w:r w:rsidR="00153E30">
        <w:t>, and</w:t>
      </w:r>
      <w:r w:rsidR="00153E30">
        <w:t xml:space="preserve"> proposing a $25,000 penalty for failure to comply with terms of a consent decree</w:t>
      </w:r>
      <w:r>
        <w:t xml:space="preserve">). </w:t>
      </w:r>
    </w:p>
  </w:footnote>
  <w:footnote w:id="24">
    <w:p w:rsidR="0060291D" w14:paraId="29956B44" w14:textId="030B533F">
      <w:pPr>
        <w:pStyle w:val="FootnoteText"/>
      </w:pPr>
      <w:r w:rsidRPr="002E1432">
        <w:rPr>
          <w:rStyle w:val="FootnoteReference"/>
        </w:rPr>
        <w:footnoteRef/>
      </w:r>
      <w:r w:rsidRPr="002E1432">
        <w:t xml:space="preserve"> </w:t>
      </w:r>
      <w:r w:rsidRPr="002E1432">
        <w:rPr>
          <w:i/>
          <w:iCs/>
        </w:rPr>
        <w:t>Forfeiture Policy Statement</w:t>
      </w:r>
      <w:r w:rsidRPr="002E1432">
        <w:t>, 12 FCC Rcd at 170</w:t>
      </w:r>
      <w:r w:rsidR="00C31AF1">
        <w:t>99</w:t>
      </w:r>
      <w:r w:rsidRPr="002E1432">
        <w:t>,</w:t>
      </w:r>
      <w:r>
        <w:t xml:space="preserve"> para. 22</w:t>
      </w:r>
      <w:r w:rsidR="00CD475E">
        <w:t>.</w:t>
      </w:r>
    </w:p>
  </w:footnote>
  <w:footnote w:id="25">
    <w:p w:rsidR="004665C9" w:rsidRPr="004665C9" w14:paraId="3C36EE1B" w14:textId="7EA3061B">
      <w:pPr>
        <w:pStyle w:val="FootnoteText"/>
      </w:pPr>
      <w:r>
        <w:rPr>
          <w:rStyle w:val="FootnoteReference"/>
        </w:rPr>
        <w:footnoteRef/>
      </w:r>
      <w:r>
        <w:t xml:space="preserve"> </w:t>
      </w:r>
      <w:r>
        <w:rPr>
          <w:i/>
          <w:iCs/>
        </w:rPr>
        <w:t>Discussion Radio, Inc.</w:t>
      </w:r>
      <w:r>
        <w:t>, Memorandum Opinion and Order and Notice of Apparent Liability, 19 FCC Rcd 7433, 7438, para. 15 (2004)</w:t>
      </w:r>
      <w:r w:rsidR="000C048F">
        <w:t xml:space="preserve"> (</w:t>
      </w:r>
      <w:r w:rsidR="000C048F">
        <w:rPr>
          <w:i/>
          <w:iCs/>
        </w:rPr>
        <w:t>Discussion Radio</w:t>
      </w:r>
      <w:r w:rsidR="000C048F">
        <w:t>)</w:t>
      </w:r>
      <w:r>
        <w:t>.</w:t>
      </w:r>
      <w:r w:rsidR="003A2EAE">
        <w:t xml:space="preserve"> </w:t>
      </w:r>
    </w:p>
  </w:footnote>
  <w:footnote w:id="26">
    <w:p w:rsidR="004B3BB5" w:rsidRPr="00607051" w14:paraId="615C5ABD" w14:textId="78844DB7">
      <w:pPr>
        <w:pStyle w:val="FootnoteText"/>
        <w:rPr>
          <w:i/>
          <w:iCs/>
        </w:rPr>
      </w:pPr>
      <w:r w:rsidRPr="00607051">
        <w:rPr>
          <w:rStyle w:val="FootnoteReference"/>
        </w:rPr>
        <w:footnoteRef/>
      </w:r>
      <w:r w:rsidRPr="00607051">
        <w:t xml:space="preserve"> </w:t>
      </w:r>
      <w:r w:rsidRPr="00607051" w:rsidR="00691634">
        <w:rPr>
          <w:i/>
          <w:iCs/>
        </w:rPr>
        <w:t xml:space="preserve">See </w:t>
      </w:r>
      <w:r w:rsidRPr="00607051" w:rsidR="004C4794">
        <w:rPr>
          <w:i/>
          <w:iCs/>
        </w:rPr>
        <w:t>Media Bureau Reminds Broadcast Licensees Of Upcoming Radio Station License Renewal Cycle</w:t>
      </w:r>
      <w:r w:rsidRPr="00607051" w:rsidR="00FE6D8D">
        <w:t xml:space="preserve">, Public Notice, </w:t>
      </w:r>
      <w:r w:rsidRPr="00607051" w:rsidR="00462273">
        <w:t xml:space="preserve">34 </w:t>
      </w:r>
      <w:r w:rsidRPr="00607051" w:rsidR="00FE6D8D">
        <w:t>FCC Rcd</w:t>
      </w:r>
      <w:r w:rsidRPr="00607051" w:rsidR="00462273">
        <w:t xml:space="preserve"> 1344 (</w:t>
      </w:r>
      <w:r w:rsidR="000C048F">
        <w:t>MB</w:t>
      </w:r>
      <w:r w:rsidRPr="00607051" w:rsidR="003E4433">
        <w:t xml:space="preserve"> 2019)</w:t>
      </w:r>
      <w:r w:rsidR="00D13C33">
        <w:t xml:space="preserve"> (“</w:t>
      </w:r>
      <w:r w:rsidRPr="00D13C33" w:rsidR="00D13C33">
        <w:t>The base forfeiture amount for a late-filed AM or FM station (including NCE station) license renewal application is $3,000.</w:t>
      </w:r>
      <w:r w:rsidR="00D13C33">
        <w:t>”)</w:t>
      </w:r>
      <w:r w:rsidRPr="00607051" w:rsidR="003E4433">
        <w:t>.</w:t>
      </w:r>
    </w:p>
  </w:footnote>
  <w:footnote w:id="27">
    <w:p w:rsidR="00546AFD" w:rsidRPr="00607051" w14:paraId="009A4247" w14:textId="0D46FE63">
      <w:pPr>
        <w:pStyle w:val="FootnoteText"/>
      </w:pPr>
      <w:r w:rsidRPr="00607051">
        <w:rPr>
          <w:rStyle w:val="FootnoteReference"/>
        </w:rPr>
        <w:footnoteRef/>
      </w:r>
      <w:r w:rsidRPr="00607051">
        <w:t xml:space="preserve"> Response Exhibit A.</w:t>
      </w:r>
    </w:p>
  </w:footnote>
  <w:footnote w:id="28">
    <w:p w:rsidR="005E38FE" w:rsidP="005E38FE" w14:paraId="67F97F6D" w14:textId="77777777">
      <w:pPr>
        <w:pStyle w:val="FootnoteText"/>
      </w:pPr>
      <w:r>
        <w:rPr>
          <w:rStyle w:val="FootnoteReference"/>
        </w:rPr>
        <w:footnoteRef/>
      </w:r>
      <w:r>
        <w:t xml:space="preserve"> Response at 6, para. 15.</w:t>
      </w:r>
    </w:p>
  </w:footnote>
  <w:footnote w:id="29">
    <w:p w:rsidR="00D50014" w:rsidRPr="00660B17" w14:paraId="4BB79EA8" w14:textId="6379C6C6">
      <w:pPr>
        <w:pStyle w:val="FootnoteText"/>
      </w:pPr>
      <w:r>
        <w:rPr>
          <w:rStyle w:val="FootnoteReference"/>
        </w:rPr>
        <w:footnoteRef/>
      </w:r>
      <w:r>
        <w:t xml:space="preserve"> </w:t>
      </w:r>
      <w:r>
        <w:rPr>
          <w:i/>
          <w:iCs/>
        </w:rPr>
        <w:t>See</w:t>
      </w:r>
      <w:r w:rsidR="00C46359">
        <w:rPr>
          <w:i/>
          <w:iCs/>
        </w:rPr>
        <w:t xml:space="preserve"> Pirate Media Group, LLC</w:t>
      </w:r>
      <w:r w:rsidR="00C46359">
        <w:t>, Memorandum Opinion and Order and Notice of Apparent Liability for Forfeiture, DA 19-1284 (MB 2019) ($1,500 forfeiture proposed for</w:t>
      </w:r>
      <w:r w:rsidR="00660B17">
        <w:t xml:space="preserve"> translator</w:t>
      </w:r>
      <w:r w:rsidR="00C46359">
        <w:t xml:space="preserve"> renewal application that was 90 days late);  </w:t>
      </w:r>
      <w:r w:rsidRPr="00660B17" w:rsidR="00C46359">
        <w:rPr>
          <w:i/>
          <w:iCs/>
        </w:rPr>
        <w:t>CTC Media Group</w:t>
      </w:r>
      <w:r w:rsidR="00660B17">
        <w:t>, Memorandum Opinion and Order and Notice of Apparent Liability for Forfeiture, DA 19-128</w:t>
      </w:r>
      <w:r w:rsidR="001376A0">
        <w:t>5</w:t>
      </w:r>
      <w:r w:rsidR="00660B17">
        <w:t xml:space="preserve"> (MB 2019) ($1,500 forfeiture proposed for translator renewal application that was </w:t>
      </w:r>
      <w:r w:rsidR="005F2136">
        <w:t xml:space="preserve">88 </w:t>
      </w:r>
      <w:r w:rsidR="00660B17">
        <w:t>days late)</w:t>
      </w:r>
      <w:r w:rsidR="00C46359">
        <w:t xml:space="preserve">;  </w:t>
      </w:r>
      <w:r>
        <w:rPr>
          <w:i/>
          <w:iCs/>
        </w:rPr>
        <w:t>Letcher County Broadcasting</w:t>
      </w:r>
      <w:r>
        <w:t>, Memorandum Opinion and Order and Notice of Apparent Liability for Forfeiture, DA 21-</w:t>
      </w:r>
      <w:r w:rsidR="00C46359">
        <w:t>116</w:t>
      </w:r>
      <w:r>
        <w:t xml:space="preserve"> (MB 2021) ($1,500 forfeiture proposed for</w:t>
      </w:r>
      <w:r w:rsidR="00660B17">
        <w:t xml:space="preserve"> translator</w:t>
      </w:r>
      <w:r>
        <w:t xml:space="preserve"> renewal application that was </w:t>
      </w:r>
      <w:r w:rsidR="00C46359">
        <w:t>106</w:t>
      </w:r>
      <w:r>
        <w:t xml:space="preserve"> days late);</w:t>
      </w:r>
      <w:r>
        <w:rPr>
          <w:i/>
          <w:iCs/>
        </w:rPr>
        <w:t xml:space="preserve"> FCR Broadcasting, Inc</w:t>
      </w:r>
      <w:r>
        <w:t xml:space="preserve">., Memorandum Opinion and Order and Notice of Apparent Liability for Forfeiture, DA 21-119 (MB 2021) ($1,500 forfeiture proposed for </w:t>
      </w:r>
      <w:r w:rsidR="00660B17">
        <w:t xml:space="preserve">translator </w:t>
      </w:r>
      <w:r>
        <w:t xml:space="preserve">renewal application that was 40 days late); </w:t>
      </w:r>
      <w:r>
        <w:rPr>
          <w:i/>
          <w:iCs/>
        </w:rPr>
        <w:t>Gerard Media LLC</w:t>
      </w:r>
      <w:r>
        <w:t xml:space="preserve">, Memorandum Opinion and Order and Notice of Apparent Liability for Forfeiture, DA 21-133 (MB 2021) ($1,500 forfeiture proposed for </w:t>
      </w:r>
      <w:r w:rsidR="00660B17">
        <w:t xml:space="preserve">translator </w:t>
      </w:r>
      <w:r>
        <w:t xml:space="preserve">renewal application that was 113 days late); </w:t>
      </w:r>
      <w:r w:rsidRPr="00EF3481" w:rsidR="00C46359">
        <w:rPr>
          <w:i/>
          <w:iCs/>
        </w:rPr>
        <w:t>John Burdette</w:t>
      </w:r>
      <w:r w:rsidR="00C46359">
        <w:t xml:space="preserve">, </w:t>
      </w:r>
      <w:r w:rsidR="00660B17">
        <w:t>Memorandum Opinion and Order and Notice of Apparent Liability for Forfeiture, DA 21-</w:t>
      </w:r>
      <w:r w:rsidR="0025364B">
        <w:t>225</w:t>
      </w:r>
      <w:r w:rsidR="00660B17">
        <w:t xml:space="preserve"> (MB 2021) ($1,500 forfeiture proposed for translator renewal application that was </w:t>
      </w:r>
      <w:r w:rsidR="000A66C1">
        <w:t xml:space="preserve">118 </w:t>
      </w:r>
      <w:r w:rsidR="00660B17">
        <w:t xml:space="preserve">days late); </w:t>
      </w:r>
      <w:r w:rsidR="00660B17">
        <w:rPr>
          <w:i/>
          <w:iCs/>
        </w:rPr>
        <w:t>Family Worship Center</w:t>
      </w:r>
      <w:r w:rsidR="00660B17">
        <w:t>, Memorandum Opinion and Order and Notice of Apparent Liability for Forfeiture, DA 21-</w:t>
      </w:r>
      <w:r w:rsidR="005D6EDA">
        <w:t>294</w:t>
      </w:r>
      <w:r w:rsidR="00660B17">
        <w:t xml:space="preserve"> (MB 2021) ($1,500 forfeiture proposed for translator renewal application that was </w:t>
      </w:r>
      <w:r w:rsidR="00992261">
        <w:t xml:space="preserve">105 </w:t>
      </w:r>
      <w:r w:rsidR="00660B17">
        <w:t>days late)</w:t>
      </w:r>
      <w:r w:rsidR="00DC1895">
        <w:t>.</w:t>
      </w:r>
    </w:p>
  </w:footnote>
  <w:footnote w:id="30">
    <w:p w:rsidR="00300160" w:rsidRPr="00607051" w:rsidP="00300160" w14:paraId="45CED9A9" w14:textId="77777777">
      <w:pPr>
        <w:pStyle w:val="FootnoteText"/>
      </w:pPr>
      <w:r w:rsidRPr="00607051">
        <w:rPr>
          <w:rStyle w:val="FootnoteReference"/>
        </w:rPr>
        <w:footnoteRef/>
      </w:r>
      <w:r w:rsidRPr="00607051">
        <w:t xml:space="preserve"> Payments made using the Commission’s Fee Filer system do not require the submission of an FCC Form 159.</w:t>
      </w:r>
    </w:p>
  </w:footnote>
  <w:footnote w:id="31">
    <w:p w:rsidR="00300160" w:rsidRPr="00607051" w:rsidP="00300160" w14:paraId="2B8102D6" w14:textId="77777777">
      <w:pPr>
        <w:pStyle w:val="FootnoteText"/>
      </w:pPr>
      <w:r w:rsidRPr="00607051">
        <w:rPr>
          <w:rStyle w:val="FootnoteReference"/>
        </w:rPr>
        <w:footnoteRef/>
      </w:r>
      <w:r w:rsidRPr="00607051">
        <w:t xml:space="preserve"> For questions regarding payment procedures, please contact the Financial Operations Group Help Desk by phone at 1-877-480-3201 (option #6), or by e-mail at </w:t>
      </w:r>
      <w:hyperlink r:id="rId1" w:history="1">
        <w:r w:rsidRPr="00607051">
          <w:rPr>
            <w:rStyle w:val="Hyperlink"/>
          </w:rPr>
          <w:t>ARINQUIRIES@fcc.gov</w:t>
        </w:r>
      </w:hyperlink>
      <w:r w:rsidRPr="00607051">
        <w:t xml:space="preserve">.  </w:t>
      </w:r>
    </w:p>
  </w:footnote>
  <w:footnote w:id="32">
    <w:p w:rsidR="00300160" w:rsidRPr="00607051" w:rsidP="00300160" w14:paraId="0F568870" w14:textId="77777777">
      <w:pPr>
        <w:pStyle w:val="FootnoteText"/>
      </w:pPr>
      <w:r w:rsidRPr="00607051">
        <w:rPr>
          <w:rStyle w:val="FootnoteReference"/>
        </w:rPr>
        <w:footnoteRef/>
      </w:r>
      <w:r w:rsidRPr="00607051">
        <w:t xml:space="preserve"> Instructions for completing the form may be obtained at </w:t>
      </w:r>
      <w:hyperlink r:id="rId2" w:history="1">
        <w:r w:rsidRPr="00607051">
          <w:rPr>
            <w:rStyle w:val="Hyperlink"/>
          </w:rPr>
          <w:t>https://transition.fcc.gov/Forms/Form159/159.pdf</w:t>
        </w:r>
      </w:hyperlink>
      <w:r w:rsidRPr="006070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B55" w:rsidRPr="00947B4D" w:rsidP="00915413" w14:paraId="74C395FF" w14:textId="76B55624">
    <w:pPr>
      <w:pStyle w:val="Header"/>
    </w:pPr>
    <w:r>
      <w:tab/>
    </w:r>
    <w:r w:rsidRPr="00947B4D">
      <w:t>Federal Communications Commission</w:t>
    </w:r>
    <w:r w:rsidRPr="00947B4D">
      <w:tab/>
      <w:t xml:space="preserve">   </w:t>
    </w:r>
    <w:r>
      <w:t xml:space="preserve">                       </w:t>
    </w:r>
    <w:r w:rsidRPr="001E57CE" w:rsidR="001E57CE">
      <w:t>DA 21-565</w:t>
    </w:r>
  </w:p>
  <w:p w:rsidR="00124FB3" w:rsidRPr="00947B4D" w:rsidP="00915413" w14:paraId="18863B6D" w14:textId="77777777">
    <w:pPr>
      <w:pStyle w:val="Header"/>
    </w:pPr>
    <w:r w:rsidRPr="00947B4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rsidP="00915413" w14:paraId="70A278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15413" w:rsidP="00915413" w14:paraId="7894F653" w14:textId="0C75C3E3">
    <w:pPr>
      <w:pStyle w:val="Header"/>
    </w:pPr>
    <w:r w:rsidRPr="00915413">
      <w:tab/>
      <w:t>Federal Communications Commission</w:t>
    </w:r>
    <w:r w:rsidRPr="00915413">
      <w:tab/>
      <w:t>DA</w:t>
    </w:r>
    <w:r w:rsidRPr="001E57CE" w:rsidR="001E57CE">
      <w:t xml:space="preserve"> 21-565</w:t>
    </w:r>
  </w:p>
  <w:p w:rsidR="00124FB3" w:rsidRPr="00947B4D" w:rsidP="00915413" w14:paraId="05BAB75B" w14:textId="77777777">
    <w:pPr>
      <w:pStyle w:val="Header"/>
    </w:pPr>
    <w:r w:rsidRPr="00947B4D">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 w:numId="18">
    <w:abstractNumId w:val="10"/>
  </w:num>
  <w:num w:numId="19">
    <w:abstractNumId w:val="10"/>
    <w:lvlOverride w:ilvl="0">
      <w:startOverride w:val="1"/>
    </w:lvlOverride>
  </w:num>
  <w:num w:numId="20">
    <w:abstractNumId w:val="7"/>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0F18"/>
    <w:rsid w:val="000027A9"/>
    <w:rsid w:val="00002F87"/>
    <w:rsid w:val="00003076"/>
    <w:rsid w:val="00005A0A"/>
    <w:rsid w:val="000061AC"/>
    <w:rsid w:val="00007E16"/>
    <w:rsid w:val="00014793"/>
    <w:rsid w:val="00014F92"/>
    <w:rsid w:val="00015F64"/>
    <w:rsid w:val="00016B78"/>
    <w:rsid w:val="00020958"/>
    <w:rsid w:val="00021407"/>
    <w:rsid w:val="00033E4F"/>
    <w:rsid w:val="00033EEF"/>
    <w:rsid w:val="00034312"/>
    <w:rsid w:val="000374FA"/>
    <w:rsid w:val="00042486"/>
    <w:rsid w:val="00044AD3"/>
    <w:rsid w:val="00044C4F"/>
    <w:rsid w:val="00045A7C"/>
    <w:rsid w:val="00051B9B"/>
    <w:rsid w:val="00057F20"/>
    <w:rsid w:val="00061845"/>
    <w:rsid w:val="00063599"/>
    <w:rsid w:val="000642CE"/>
    <w:rsid w:val="000657DA"/>
    <w:rsid w:val="000717E9"/>
    <w:rsid w:val="000725CB"/>
    <w:rsid w:val="00074957"/>
    <w:rsid w:val="00074DFE"/>
    <w:rsid w:val="0008678F"/>
    <w:rsid w:val="00091210"/>
    <w:rsid w:val="0009697D"/>
    <w:rsid w:val="000A45C8"/>
    <w:rsid w:val="000A66C1"/>
    <w:rsid w:val="000C048F"/>
    <w:rsid w:val="000C1190"/>
    <w:rsid w:val="000C2EFA"/>
    <w:rsid w:val="000C3965"/>
    <w:rsid w:val="000C7177"/>
    <w:rsid w:val="000D6F8A"/>
    <w:rsid w:val="000D7395"/>
    <w:rsid w:val="000D798D"/>
    <w:rsid w:val="000D7DD3"/>
    <w:rsid w:val="000E327A"/>
    <w:rsid w:val="000F3534"/>
    <w:rsid w:val="000F4530"/>
    <w:rsid w:val="000F5D1E"/>
    <w:rsid w:val="000F643B"/>
    <w:rsid w:val="00100A37"/>
    <w:rsid w:val="00102A40"/>
    <w:rsid w:val="0010399E"/>
    <w:rsid w:val="00107D4F"/>
    <w:rsid w:val="0011183F"/>
    <w:rsid w:val="00115EFF"/>
    <w:rsid w:val="00117352"/>
    <w:rsid w:val="001173C3"/>
    <w:rsid w:val="001207FF"/>
    <w:rsid w:val="0012244A"/>
    <w:rsid w:val="00124FB3"/>
    <w:rsid w:val="00125206"/>
    <w:rsid w:val="00131CFA"/>
    <w:rsid w:val="00132193"/>
    <w:rsid w:val="001376A0"/>
    <w:rsid w:val="00146D8A"/>
    <w:rsid w:val="00147231"/>
    <w:rsid w:val="00151C03"/>
    <w:rsid w:val="00151C89"/>
    <w:rsid w:val="00153E30"/>
    <w:rsid w:val="00157AB4"/>
    <w:rsid w:val="00170AEF"/>
    <w:rsid w:val="0017245E"/>
    <w:rsid w:val="0017457E"/>
    <w:rsid w:val="00174F11"/>
    <w:rsid w:val="001751AB"/>
    <w:rsid w:val="00175ADF"/>
    <w:rsid w:val="001773EF"/>
    <w:rsid w:val="00182875"/>
    <w:rsid w:val="001831CE"/>
    <w:rsid w:val="0018779A"/>
    <w:rsid w:val="0019600D"/>
    <w:rsid w:val="00196A33"/>
    <w:rsid w:val="00196CAD"/>
    <w:rsid w:val="00197E2B"/>
    <w:rsid w:val="001A13B4"/>
    <w:rsid w:val="001A362F"/>
    <w:rsid w:val="001A67BD"/>
    <w:rsid w:val="001B4EDB"/>
    <w:rsid w:val="001B4FAB"/>
    <w:rsid w:val="001B636C"/>
    <w:rsid w:val="001B7D2C"/>
    <w:rsid w:val="001C184A"/>
    <w:rsid w:val="001C63E4"/>
    <w:rsid w:val="001C6591"/>
    <w:rsid w:val="001D1D96"/>
    <w:rsid w:val="001D2AFC"/>
    <w:rsid w:val="001D64B7"/>
    <w:rsid w:val="001D751A"/>
    <w:rsid w:val="001E1796"/>
    <w:rsid w:val="001E46E1"/>
    <w:rsid w:val="001E57CE"/>
    <w:rsid w:val="001F407C"/>
    <w:rsid w:val="001F45A5"/>
    <w:rsid w:val="001F5466"/>
    <w:rsid w:val="001F6242"/>
    <w:rsid w:val="001F6799"/>
    <w:rsid w:val="002007ED"/>
    <w:rsid w:val="00204BD9"/>
    <w:rsid w:val="0021210B"/>
    <w:rsid w:val="00213D8A"/>
    <w:rsid w:val="00213FBD"/>
    <w:rsid w:val="002218A0"/>
    <w:rsid w:val="0022196A"/>
    <w:rsid w:val="00221B3B"/>
    <w:rsid w:val="002226D0"/>
    <w:rsid w:val="00224394"/>
    <w:rsid w:val="00224459"/>
    <w:rsid w:val="00226504"/>
    <w:rsid w:val="00230483"/>
    <w:rsid w:val="002368D1"/>
    <w:rsid w:val="0023747D"/>
    <w:rsid w:val="002441FB"/>
    <w:rsid w:val="00250FC7"/>
    <w:rsid w:val="00252D07"/>
    <w:rsid w:val="0025364B"/>
    <w:rsid w:val="00253DB0"/>
    <w:rsid w:val="002546D1"/>
    <w:rsid w:val="00254D25"/>
    <w:rsid w:val="00254E9C"/>
    <w:rsid w:val="0026294C"/>
    <w:rsid w:val="00264220"/>
    <w:rsid w:val="00264272"/>
    <w:rsid w:val="00264441"/>
    <w:rsid w:val="00272754"/>
    <w:rsid w:val="00272E14"/>
    <w:rsid w:val="002816C4"/>
    <w:rsid w:val="0028325E"/>
    <w:rsid w:val="002855D6"/>
    <w:rsid w:val="0029085A"/>
    <w:rsid w:val="002908BC"/>
    <w:rsid w:val="002911D9"/>
    <w:rsid w:val="00292C2A"/>
    <w:rsid w:val="002933B5"/>
    <w:rsid w:val="002958D6"/>
    <w:rsid w:val="002A0A42"/>
    <w:rsid w:val="002A0F2F"/>
    <w:rsid w:val="002A13A7"/>
    <w:rsid w:val="002B37F2"/>
    <w:rsid w:val="002B55EA"/>
    <w:rsid w:val="002B730E"/>
    <w:rsid w:val="002C18A9"/>
    <w:rsid w:val="002C2CE8"/>
    <w:rsid w:val="002C48B7"/>
    <w:rsid w:val="002C4F94"/>
    <w:rsid w:val="002D2F49"/>
    <w:rsid w:val="002D6CCE"/>
    <w:rsid w:val="002E1432"/>
    <w:rsid w:val="002E576E"/>
    <w:rsid w:val="002F06C7"/>
    <w:rsid w:val="002F075D"/>
    <w:rsid w:val="002F2B54"/>
    <w:rsid w:val="00300160"/>
    <w:rsid w:val="00301105"/>
    <w:rsid w:val="00302772"/>
    <w:rsid w:val="00303EF4"/>
    <w:rsid w:val="00305A4D"/>
    <w:rsid w:val="00312380"/>
    <w:rsid w:val="00322FB0"/>
    <w:rsid w:val="00324113"/>
    <w:rsid w:val="00324211"/>
    <w:rsid w:val="0032542F"/>
    <w:rsid w:val="003422DC"/>
    <w:rsid w:val="003476C5"/>
    <w:rsid w:val="00356CF6"/>
    <w:rsid w:val="00362DA9"/>
    <w:rsid w:val="00364397"/>
    <w:rsid w:val="00364B11"/>
    <w:rsid w:val="003664F8"/>
    <w:rsid w:val="003761ED"/>
    <w:rsid w:val="00377AB9"/>
    <w:rsid w:val="00377E7D"/>
    <w:rsid w:val="00386980"/>
    <w:rsid w:val="0039004B"/>
    <w:rsid w:val="00390BB7"/>
    <w:rsid w:val="00397006"/>
    <w:rsid w:val="003973F9"/>
    <w:rsid w:val="003A22F6"/>
    <w:rsid w:val="003A2719"/>
    <w:rsid w:val="003A2EAE"/>
    <w:rsid w:val="003A58DF"/>
    <w:rsid w:val="003A7B6A"/>
    <w:rsid w:val="003B22E6"/>
    <w:rsid w:val="003B7CC1"/>
    <w:rsid w:val="003B7CD8"/>
    <w:rsid w:val="003C7DCF"/>
    <w:rsid w:val="003D0E2A"/>
    <w:rsid w:val="003D12F9"/>
    <w:rsid w:val="003D1495"/>
    <w:rsid w:val="003D36E8"/>
    <w:rsid w:val="003E19FA"/>
    <w:rsid w:val="003E2108"/>
    <w:rsid w:val="003E4433"/>
    <w:rsid w:val="003E73A9"/>
    <w:rsid w:val="003E758D"/>
    <w:rsid w:val="003E784F"/>
    <w:rsid w:val="003F3875"/>
    <w:rsid w:val="00400538"/>
    <w:rsid w:val="004037B0"/>
    <w:rsid w:val="00406E2A"/>
    <w:rsid w:val="00411444"/>
    <w:rsid w:val="00411D7F"/>
    <w:rsid w:val="004152D3"/>
    <w:rsid w:val="00417F8D"/>
    <w:rsid w:val="0042545D"/>
    <w:rsid w:val="004330A2"/>
    <w:rsid w:val="004362BA"/>
    <w:rsid w:val="00436DED"/>
    <w:rsid w:val="00442F37"/>
    <w:rsid w:val="00443321"/>
    <w:rsid w:val="004450EA"/>
    <w:rsid w:val="00450B5E"/>
    <w:rsid w:val="0045362C"/>
    <w:rsid w:val="004552E7"/>
    <w:rsid w:val="00460E33"/>
    <w:rsid w:val="00462273"/>
    <w:rsid w:val="004623AD"/>
    <w:rsid w:val="004630EF"/>
    <w:rsid w:val="004649E6"/>
    <w:rsid w:val="00464A4C"/>
    <w:rsid w:val="00466062"/>
    <w:rsid w:val="004665C9"/>
    <w:rsid w:val="0047145A"/>
    <w:rsid w:val="00471C2C"/>
    <w:rsid w:val="004756DA"/>
    <w:rsid w:val="00475AB4"/>
    <w:rsid w:val="00476746"/>
    <w:rsid w:val="0047692A"/>
    <w:rsid w:val="00480D50"/>
    <w:rsid w:val="0048488E"/>
    <w:rsid w:val="004852BF"/>
    <w:rsid w:val="004862E0"/>
    <w:rsid w:val="00496348"/>
    <w:rsid w:val="004A2B79"/>
    <w:rsid w:val="004A45F7"/>
    <w:rsid w:val="004A77E3"/>
    <w:rsid w:val="004B33E9"/>
    <w:rsid w:val="004B3BB5"/>
    <w:rsid w:val="004C3D98"/>
    <w:rsid w:val="004C4794"/>
    <w:rsid w:val="004C5194"/>
    <w:rsid w:val="004C5FF8"/>
    <w:rsid w:val="004C72AD"/>
    <w:rsid w:val="004D020E"/>
    <w:rsid w:val="004D154C"/>
    <w:rsid w:val="004D396F"/>
    <w:rsid w:val="004D5A59"/>
    <w:rsid w:val="004D5F4D"/>
    <w:rsid w:val="004D7205"/>
    <w:rsid w:val="004F2DD8"/>
    <w:rsid w:val="004F3D1B"/>
    <w:rsid w:val="004F43B5"/>
    <w:rsid w:val="00510511"/>
    <w:rsid w:val="00513042"/>
    <w:rsid w:val="00513E47"/>
    <w:rsid w:val="00514BC0"/>
    <w:rsid w:val="00521C8F"/>
    <w:rsid w:val="00522939"/>
    <w:rsid w:val="00522F40"/>
    <w:rsid w:val="005236B3"/>
    <w:rsid w:val="005276EB"/>
    <w:rsid w:val="0053631C"/>
    <w:rsid w:val="00540B26"/>
    <w:rsid w:val="0054227E"/>
    <w:rsid w:val="00542911"/>
    <w:rsid w:val="00543514"/>
    <w:rsid w:val="0054658F"/>
    <w:rsid w:val="00546AFD"/>
    <w:rsid w:val="00555D44"/>
    <w:rsid w:val="00556F2A"/>
    <w:rsid w:val="005643D0"/>
    <w:rsid w:val="00567BC0"/>
    <w:rsid w:val="00567C12"/>
    <w:rsid w:val="0058204C"/>
    <w:rsid w:val="0058671D"/>
    <w:rsid w:val="00587AE1"/>
    <w:rsid w:val="005915FC"/>
    <w:rsid w:val="00594B70"/>
    <w:rsid w:val="00595151"/>
    <w:rsid w:val="005A2ED5"/>
    <w:rsid w:val="005A3C5A"/>
    <w:rsid w:val="005A40EE"/>
    <w:rsid w:val="005A6179"/>
    <w:rsid w:val="005B3AE0"/>
    <w:rsid w:val="005C3CFB"/>
    <w:rsid w:val="005D2851"/>
    <w:rsid w:val="005D3A6A"/>
    <w:rsid w:val="005D455D"/>
    <w:rsid w:val="005D6EDA"/>
    <w:rsid w:val="005E38FE"/>
    <w:rsid w:val="005E52AB"/>
    <w:rsid w:val="005E5FD2"/>
    <w:rsid w:val="005F2136"/>
    <w:rsid w:val="005F3236"/>
    <w:rsid w:val="005F5ACF"/>
    <w:rsid w:val="00600AB4"/>
    <w:rsid w:val="00601A10"/>
    <w:rsid w:val="0060291D"/>
    <w:rsid w:val="00603EAF"/>
    <w:rsid w:val="00604F70"/>
    <w:rsid w:val="00607051"/>
    <w:rsid w:val="00607C58"/>
    <w:rsid w:val="00610472"/>
    <w:rsid w:val="00611078"/>
    <w:rsid w:val="00612A61"/>
    <w:rsid w:val="0061423D"/>
    <w:rsid w:val="00626686"/>
    <w:rsid w:val="0063008B"/>
    <w:rsid w:val="00633677"/>
    <w:rsid w:val="006417C0"/>
    <w:rsid w:val="00642433"/>
    <w:rsid w:val="00642AED"/>
    <w:rsid w:val="006438B4"/>
    <w:rsid w:val="006439E7"/>
    <w:rsid w:val="00644A71"/>
    <w:rsid w:val="00654C86"/>
    <w:rsid w:val="00654F6D"/>
    <w:rsid w:val="0065767F"/>
    <w:rsid w:val="00660B17"/>
    <w:rsid w:val="00663307"/>
    <w:rsid w:val="00671843"/>
    <w:rsid w:val="00671BD5"/>
    <w:rsid w:val="00673990"/>
    <w:rsid w:val="00674B53"/>
    <w:rsid w:val="00675642"/>
    <w:rsid w:val="00680877"/>
    <w:rsid w:val="0068641B"/>
    <w:rsid w:val="00691634"/>
    <w:rsid w:val="00692D12"/>
    <w:rsid w:val="006945D9"/>
    <w:rsid w:val="00694701"/>
    <w:rsid w:val="006977E1"/>
    <w:rsid w:val="006A00C7"/>
    <w:rsid w:val="006A1E55"/>
    <w:rsid w:val="006A2363"/>
    <w:rsid w:val="006A729F"/>
    <w:rsid w:val="006A7563"/>
    <w:rsid w:val="006B0BCC"/>
    <w:rsid w:val="006B3420"/>
    <w:rsid w:val="006B5182"/>
    <w:rsid w:val="006B5ED5"/>
    <w:rsid w:val="006C055B"/>
    <w:rsid w:val="006C71D1"/>
    <w:rsid w:val="006C745F"/>
    <w:rsid w:val="006C7DC6"/>
    <w:rsid w:val="006C7E5D"/>
    <w:rsid w:val="006D0518"/>
    <w:rsid w:val="006D2355"/>
    <w:rsid w:val="006D41BB"/>
    <w:rsid w:val="006D5941"/>
    <w:rsid w:val="006E2575"/>
    <w:rsid w:val="006E5075"/>
    <w:rsid w:val="006E7669"/>
    <w:rsid w:val="006E7D8F"/>
    <w:rsid w:val="006F05D2"/>
    <w:rsid w:val="006F43C5"/>
    <w:rsid w:val="006F55B2"/>
    <w:rsid w:val="006F5EF8"/>
    <w:rsid w:val="006F7F5E"/>
    <w:rsid w:val="00701A29"/>
    <w:rsid w:val="0070285B"/>
    <w:rsid w:val="0070595C"/>
    <w:rsid w:val="00705F64"/>
    <w:rsid w:val="00707FB4"/>
    <w:rsid w:val="007116D3"/>
    <w:rsid w:val="00712D36"/>
    <w:rsid w:val="00715797"/>
    <w:rsid w:val="00720723"/>
    <w:rsid w:val="00720F0B"/>
    <w:rsid w:val="00723106"/>
    <w:rsid w:val="0072332E"/>
    <w:rsid w:val="007249A2"/>
    <w:rsid w:val="00725256"/>
    <w:rsid w:val="007253A8"/>
    <w:rsid w:val="00726097"/>
    <w:rsid w:val="00726EC0"/>
    <w:rsid w:val="00731A80"/>
    <w:rsid w:val="007325FE"/>
    <w:rsid w:val="007328A1"/>
    <w:rsid w:val="00736BA4"/>
    <w:rsid w:val="0073764D"/>
    <w:rsid w:val="0074102B"/>
    <w:rsid w:val="007415F1"/>
    <w:rsid w:val="00742FE1"/>
    <w:rsid w:val="00745336"/>
    <w:rsid w:val="007476E6"/>
    <w:rsid w:val="0075047C"/>
    <w:rsid w:val="00753410"/>
    <w:rsid w:val="007561B4"/>
    <w:rsid w:val="00760AC9"/>
    <w:rsid w:val="00766006"/>
    <w:rsid w:val="0076731C"/>
    <w:rsid w:val="007740F7"/>
    <w:rsid w:val="0077649F"/>
    <w:rsid w:val="0077691C"/>
    <w:rsid w:val="00777D18"/>
    <w:rsid w:val="007817D0"/>
    <w:rsid w:val="007977E9"/>
    <w:rsid w:val="007A1419"/>
    <w:rsid w:val="007A2495"/>
    <w:rsid w:val="007A49E7"/>
    <w:rsid w:val="007A74E7"/>
    <w:rsid w:val="007A77DC"/>
    <w:rsid w:val="007B0DA9"/>
    <w:rsid w:val="007B3E6C"/>
    <w:rsid w:val="007B4BFD"/>
    <w:rsid w:val="007B4DEC"/>
    <w:rsid w:val="007B5B27"/>
    <w:rsid w:val="007B6927"/>
    <w:rsid w:val="007C196E"/>
    <w:rsid w:val="007C2913"/>
    <w:rsid w:val="007C558C"/>
    <w:rsid w:val="007C6226"/>
    <w:rsid w:val="007C712C"/>
    <w:rsid w:val="007D1C6E"/>
    <w:rsid w:val="007D338C"/>
    <w:rsid w:val="007D3800"/>
    <w:rsid w:val="007D6335"/>
    <w:rsid w:val="007E3D01"/>
    <w:rsid w:val="007E4709"/>
    <w:rsid w:val="007E545A"/>
    <w:rsid w:val="007E5E4E"/>
    <w:rsid w:val="007F11FE"/>
    <w:rsid w:val="007F2A69"/>
    <w:rsid w:val="007F520E"/>
    <w:rsid w:val="007F6C1E"/>
    <w:rsid w:val="007F7660"/>
    <w:rsid w:val="00802DA3"/>
    <w:rsid w:val="00802DDA"/>
    <w:rsid w:val="00805CE8"/>
    <w:rsid w:val="00806AA3"/>
    <w:rsid w:val="00811668"/>
    <w:rsid w:val="00814B9A"/>
    <w:rsid w:val="00815337"/>
    <w:rsid w:val="00815E82"/>
    <w:rsid w:val="00816AAA"/>
    <w:rsid w:val="00826124"/>
    <w:rsid w:val="00833047"/>
    <w:rsid w:val="008330FE"/>
    <w:rsid w:val="00835435"/>
    <w:rsid w:val="008355DA"/>
    <w:rsid w:val="008367AF"/>
    <w:rsid w:val="00841224"/>
    <w:rsid w:val="00841F27"/>
    <w:rsid w:val="008426F1"/>
    <w:rsid w:val="00843B67"/>
    <w:rsid w:val="0085482E"/>
    <w:rsid w:val="00861375"/>
    <w:rsid w:val="00862E93"/>
    <w:rsid w:val="00864191"/>
    <w:rsid w:val="0086538D"/>
    <w:rsid w:val="00866C07"/>
    <w:rsid w:val="008738EF"/>
    <w:rsid w:val="00874E66"/>
    <w:rsid w:val="00875E61"/>
    <w:rsid w:val="0087704F"/>
    <w:rsid w:val="0088024F"/>
    <w:rsid w:val="00881365"/>
    <w:rsid w:val="00885FA6"/>
    <w:rsid w:val="0088742A"/>
    <w:rsid w:val="00887E0C"/>
    <w:rsid w:val="008920C4"/>
    <w:rsid w:val="008A4A76"/>
    <w:rsid w:val="008A53F4"/>
    <w:rsid w:val="008B4E43"/>
    <w:rsid w:val="008C061E"/>
    <w:rsid w:val="008C199A"/>
    <w:rsid w:val="008C21C8"/>
    <w:rsid w:val="008C24C1"/>
    <w:rsid w:val="008C2F1D"/>
    <w:rsid w:val="008C3FD0"/>
    <w:rsid w:val="008C4F3D"/>
    <w:rsid w:val="008C4F58"/>
    <w:rsid w:val="008C6CA8"/>
    <w:rsid w:val="008D059B"/>
    <w:rsid w:val="008D2184"/>
    <w:rsid w:val="008D28F7"/>
    <w:rsid w:val="008D3327"/>
    <w:rsid w:val="008D4F70"/>
    <w:rsid w:val="008E0FEF"/>
    <w:rsid w:val="008E17CE"/>
    <w:rsid w:val="008E2C77"/>
    <w:rsid w:val="008E36C1"/>
    <w:rsid w:val="008E3E6A"/>
    <w:rsid w:val="008E6B4D"/>
    <w:rsid w:val="008E7772"/>
    <w:rsid w:val="008F5A0A"/>
    <w:rsid w:val="00900642"/>
    <w:rsid w:val="0090224C"/>
    <w:rsid w:val="009106EA"/>
    <w:rsid w:val="00911CC4"/>
    <w:rsid w:val="009122FE"/>
    <w:rsid w:val="00912D6D"/>
    <w:rsid w:val="00913B96"/>
    <w:rsid w:val="00913CD0"/>
    <w:rsid w:val="00915413"/>
    <w:rsid w:val="00916096"/>
    <w:rsid w:val="00920082"/>
    <w:rsid w:val="00922B1B"/>
    <w:rsid w:val="009270AC"/>
    <w:rsid w:val="00932E1E"/>
    <w:rsid w:val="009366E6"/>
    <w:rsid w:val="009438DF"/>
    <w:rsid w:val="00943A18"/>
    <w:rsid w:val="00943FF9"/>
    <w:rsid w:val="00945045"/>
    <w:rsid w:val="00947B4D"/>
    <w:rsid w:val="00955990"/>
    <w:rsid w:val="0095778B"/>
    <w:rsid w:val="00957998"/>
    <w:rsid w:val="0096018E"/>
    <w:rsid w:val="009605EE"/>
    <w:rsid w:val="0096099E"/>
    <w:rsid w:val="009612A4"/>
    <w:rsid w:val="00962930"/>
    <w:rsid w:val="00962EB2"/>
    <w:rsid w:val="00964F5B"/>
    <w:rsid w:val="00982705"/>
    <w:rsid w:val="009834E0"/>
    <w:rsid w:val="00985233"/>
    <w:rsid w:val="0098700B"/>
    <w:rsid w:val="00992261"/>
    <w:rsid w:val="00992362"/>
    <w:rsid w:val="0099319C"/>
    <w:rsid w:val="009A1545"/>
    <w:rsid w:val="009A20B4"/>
    <w:rsid w:val="009A2763"/>
    <w:rsid w:val="009B1B2E"/>
    <w:rsid w:val="009C0115"/>
    <w:rsid w:val="009C3818"/>
    <w:rsid w:val="009C702E"/>
    <w:rsid w:val="009C71AD"/>
    <w:rsid w:val="009C7DB0"/>
    <w:rsid w:val="009D053D"/>
    <w:rsid w:val="009D4824"/>
    <w:rsid w:val="009E3478"/>
    <w:rsid w:val="009F4C33"/>
    <w:rsid w:val="009F7551"/>
    <w:rsid w:val="00A06249"/>
    <w:rsid w:val="00A07291"/>
    <w:rsid w:val="00A0783B"/>
    <w:rsid w:val="00A0783D"/>
    <w:rsid w:val="00A10393"/>
    <w:rsid w:val="00A10F13"/>
    <w:rsid w:val="00A11A67"/>
    <w:rsid w:val="00A13946"/>
    <w:rsid w:val="00A13949"/>
    <w:rsid w:val="00A15020"/>
    <w:rsid w:val="00A15369"/>
    <w:rsid w:val="00A16947"/>
    <w:rsid w:val="00A17744"/>
    <w:rsid w:val="00A17B8E"/>
    <w:rsid w:val="00A205B5"/>
    <w:rsid w:val="00A21661"/>
    <w:rsid w:val="00A21B28"/>
    <w:rsid w:val="00A23B7C"/>
    <w:rsid w:val="00A26FFB"/>
    <w:rsid w:val="00A30A1D"/>
    <w:rsid w:val="00A31160"/>
    <w:rsid w:val="00A313F2"/>
    <w:rsid w:val="00A316BD"/>
    <w:rsid w:val="00A32431"/>
    <w:rsid w:val="00A34673"/>
    <w:rsid w:val="00A34D6B"/>
    <w:rsid w:val="00A3545B"/>
    <w:rsid w:val="00A35A4F"/>
    <w:rsid w:val="00A35CA1"/>
    <w:rsid w:val="00A403D9"/>
    <w:rsid w:val="00A43408"/>
    <w:rsid w:val="00A47F30"/>
    <w:rsid w:val="00A47F7B"/>
    <w:rsid w:val="00A52FA6"/>
    <w:rsid w:val="00A60A9F"/>
    <w:rsid w:val="00A6332C"/>
    <w:rsid w:val="00A639D0"/>
    <w:rsid w:val="00A65CDA"/>
    <w:rsid w:val="00A74803"/>
    <w:rsid w:val="00A75D88"/>
    <w:rsid w:val="00A77066"/>
    <w:rsid w:val="00A81713"/>
    <w:rsid w:val="00A83E4D"/>
    <w:rsid w:val="00A85297"/>
    <w:rsid w:val="00A86AF6"/>
    <w:rsid w:val="00A86F9B"/>
    <w:rsid w:val="00A86FB5"/>
    <w:rsid w:val="00A9500C"/>
    <w:rsid w:val="00A96AA3"/>
    <w:rsid w:val="00AA120E"/>
    <w:rsid w:val="00AA147F"/>
    <w:rsid w:val="00AA18B2"/>
    <w:rsid w:val="00AA5D47"/>
    <w:rsid w:val="00AB1C13"/>
    <w:rsid w:val="00AC08E7"/>
    <w:rsid w:val="00AC315A"/>
    <w:rsid w:val="00AC704E"/>
    <w:rsid w:val="00AC76E7"/>
    <w:rsid w:val="00AD0958"/>
    <w:rsid w:val="00AD2E8B"/>
    <w:rsid w:val="00AD519C"/>
    <w:rsid w:val="00AD55DE"/>
    <w:rsid w:val="00AE0172"/>
    <w:rsid w:val="00AE6923"/>
    <w:rsid w:val="00AF2D1B"/>
    <w:rsid w:val="00AF5382"/>
    <w:rsid w:val="00B00A3B"/>
    <w:rsid w:val="00B030FD"/>
    <w:rsid w:val="00B0400E"/>
    <w:rsid w:val="00B04AB3"/>
    <w:rsid w:val="00B11767"/>
    <w:rsid w:val="00B17777"/>
    <w:rsid w:val="00B177BC"/>
    <w:rsid w:val="00B205BF"/>
    <w:rsid w:val="00B21D6D"/>
    <w:rsid w:val="00B2250A"/>
    <w:rsid w:val="00B24F9B"/>
    <w:rsid w:val="00B30481"/>
    <w:rsid w:val="00B44A04"/>
    <w:rsid w:val="00B457F4"/>
    <w:rsid w:val="00B502DE"/>
    <w:rsid w:val="00B508F6"/>
    <w:rsid w:val="00B50D51"/>
    <w:rsid w:val="00B54D76"/>
    <w:rsid w:val="00B5661C"/>
    <w:rsid w:val="00B61E3D"/>
    <w:rsid w:val="00B631A8"/>
    <w:rsid w:val="00B63DFF"/>
    <w:rsid w:val="00B65B0E"/>
    <w:rsid w:val="00B66628"/>
    <w:rsid w:val="00B67665"/>
    <w:rsid w:val="00B7104D"/>
    <w:rsid w:val="00B71688"/>
    <w:rsid w:val="00B7179B"/>
    <w:rsid w:val="00B72EE2"/>
    <w:rsid w:val="00B748B7"/>
    <w:rsid w:val="00B77BA2"/>
    <w:rsid w:val="00B81485"/>
    <w:rsid w:val="00B81D81"/>
    <w:rsid w:val="00B83812"/>
    <w:rsid w:val="00B846E3"/>
    <w:rsid w:val="00B87D47"/>
    <w:rsid w:val="00B9072C"/>
    <w:rsid w:val="00B918A9"/>
    <w:rsid w:val="00B92BA0"/>
    <w:rsid w:val="00BA545E"/>
    <w:rsid w:val="00BA5A5B"/>
    <w:rsid w:val="00BB4DB8"/>
    <w:rsid w:val="00BB53CF"/>
    <w:rsid w:val="00BC4D7E"/>
    <w:rsid w:val="00BC67EF"/>
    <w:rsid w:val="00BC72D4"/>
    <w:rsid w:val="00BD00CD"/>
    <w:rsid w:val="00BD1A95"/>
    <w:rsid w:val="00BD2587"/>
    <w:rsid w:val="00BD55FD"/>
    <w:rsid w:val="00BD6B16"/>
    <w:rsid w:val="00BD6D51"/>
    <w:rsid w:val="00BE63FE"/>
    <w:rsid w:val="00BE6D91"/>
    <w:rsid w:val="00BE7F82"/>
    <w:rsid w:val="00BF1A07"/>
    <w:rsid w:val="00BF483C"/>
    <w:rsid w:val="00BF70C1"/>
    <w:rsid w:val="00C01617"/>
    <w:rsid w:val="00C018C8"/>
    <w:rsid w:val="00C03EDF"/>
    <w:rsid w:val="00C064CA"/>
    <w:rsid w:val="00C077B5"/>
    <w:rsid w:val="00C159C3"/>
    <w:rsid w:val="00C17809"/>
    <w:rsid w:val="00C20149"/>
    <w:rsid w:val="00C20805"/>
    <w:rsid w:val="00C31AF1"/>
    <w:rsid w:val="00C32884"/>
    <w:rsid w:val="00C34F75"/>
    <w:rsid w:val="00C40F89"/>
    <w:rsid w:val="00C43DE6"/>
    <w:rsid w:val="00C43F04"/>
    <w:rsid w:val="00C44E2F"/>
    <w:rsid w:val="00C46359"/>
    <w:rsid w:val="00C46E6F"/>
    <w:rsid w:val="00C47C32"/>
    <w:rsid w:val="00C544EC"/>
    <w:rsid w:val="00C56D70"/>
    <w:rsid w:val="00C56DA8"/>
    <w:rsid w:val="00C5712E"/>
    <w:rsid w:val="00C63DB5"/>
    <w:rsid w:val="00C64FFD"/>
    <w:rsid w:val="00C666E8"/>
    <w:rsid w:val="00C67921"/>
    <w:rsid w:val="00C7080C"/>
    <w:rsid w:val="00C72C33"/>
    <w:rsid w:val="00C7515E"/>
    <w:rsid w:val="00C82498"/>
    <w:rsid w:val="00C84165"/>
    <w:rsid w:val="00C85D8D"/>
    <w:rsid w:val="00C90D49"/>
    <w:rsid w:val="00C9230A"/>
    <w:rsid w:val="00CA3399"/>
    <w:rsid w:val="00CA7DD3"/>
    <w:rsid w:val="00CC03DE"/>
    <w:rsid w:val="00CC165F"/>
    <w:rsid w:val="00CD1C40"/>
    <w:rsid w:val="00CD475E"/>
    <w:rsid w:val="00CD563C"/>
    <w:rsid w:val="00CD6912"/>
    <w:rsid w:val="00CE34B3"/>
    <w:rsid w:val="00CE56CD"/>
    <w:rsid w:val="00CE6A7B"/>
    <w:rsid w:val="00CE7156"/>
    <w:rsid w:val="00CE7221"/>
    <w:rsid w:val="00CF138D"/>
    <w:rsid w:val="00CF2CE6"/>
    <w:rsid w:val="00CF4343"/>
    <w:rsid w:val="00D000B4"/>
    <w:rsid w:val="00D04D16"/>
    <w:rsid w:val="00D04E67"/>
    <w:rsid w:val="00D05025"/>
    <w:rsid w:val="00D05B49"/>
    <w:rsid w:val="00D0760B"/>
    <w:rsid w:val="00D11546"/>
    <w:rsid w:val="00D11850"/>
    <w:rsid w:val="00D12811"/>
    <w:rsid w:val="00D13C33"/>
    <w:rsid w:val="00D158FA"/>
    <w:rsid w:val="00D172A1"/>
    <w:rsid w:val="00D23EB0"/>
    <w:rsid w:val="00D24915"/>
    <w:rsid w:val="00D25AD7"/>
    <w:rsid w:val="00D27175"/>
    <w:rsid w:val="00D272E5"/>
    <w:rsid w:val="00D2750E"/>
    <w:rsid w:val="00D31F68"/>
    <w:rsid w:val="00D32331"/>
    <w:rsid w:val="00D3309E"/>
    <w:rsid w:val="00D33CCE"/>
    <w:rsid w:val="00D400BF"/>
    <w:rsid w:val="00D423B0"/>
    <w:rsid w:val="00D444EE"/>
    <w:rsid w:val="00D45188"/>
    <w:rsid w:val="00D45253"/>
    <w:rsid w:val="00D50014"/>
    <w:rsid w:val="00D54303"/>
    <w:rsid w:val="00D54CDD"/>
    <w:rsid w:val="00D5541F"/>
    <w:rsid w:val="00D560EA"/>
    <w:rsid w:val="00D5725E"/>
    <w:rsid w:val="00D64E57"/>
    <w:rsid w:val="00D65160"/>
    <w:rsid w:val="00D76268"/>
    <w:rsid w:val="00D76BBD"/>
    <w:rsid w:val="00D815E4"/>
    <w:rsid w:val="00D82001"/>
    <w:rsid w:val="00D8280E"/>
    <w:rsid w:val="00D82AA4"/>
    <w:rsid w:val="00D845D5"/>
    <w:rsid w:val="00D86085"/>
    <w:rsid w:val="00D8749A"/>
    <w:rsid w:val="00D911F2"/>
    <w:rsid w:val="00D93F71"/>
    <w:rsid w:val="00D97699"/>
    <w:rsid w:val="00DA206F"/>
    <w:rsid w:val="00DB12A9"/>
    <w:rsid w:val="00DB41FF"/>
    <w:rsid w:val="00DB6385"/>
    <w:rsid w:val="00DC1895"/>
    <w:rsid w:val="00DC63A9"/>
    <w:rsid w:val="00DD3C28"/>
    <w:rsid w:val="00DE33DA"/>
    <w:rsid w:val="00DE680C"/>
    <w:rsid w:val="00DE6ABD"/>
    <w:rsid w:val="00DF4F95"/>
    <w:rsid w:val="00DF70EE"/>
    <w:rsid w:val="00DF778B"/>
    <w:rsid w:val="00E0057D"/>
    <w:rsid w:val="00E005BB"/>
    <w:rsid w:val="00E1189A"/>
    <w:rsid w:val="00E1195E"/>
    <w:rsid w:val="00E12D38"/>
    <w:rsid w:val="00E1341A"/>
    <w:rsid w:val="00E15E5B"/>
    <w:rsid w:val="00E1630A"/>
    <w:rsid w:val="00E21479"/>
    <w:rsid w:val="00E23439"/>
    <w:rsid w:val="00E2377E"/>
    <w:rsid w:val="00E25CC2"/>
    <w:rsid w:val="00E305C6"/>
    <w:rsid w:val="00E306A6"/>
    <w:rsid w:val="00E3636F"/>
    <w:rsid w:val="00E431C2"/>
    <w:rsid w:val="00E43B6B"/>
    <w:rsid w:val="00E4519B"/>
    <w:rsid w:val="00E517B1"/>
    <w:rsid w:val="00E52257"/>
    <w:rsid w:val="00E57A0B"/>
    <w:rsid w:val="00E60BCF"/>
    <w:rsid w:val="00E63091"/>
    <w:rsid w:val="00E648EB"/>
    <w:rsid w:val="00E65CED"/>
    <w:rsid w:val="00E7559B"/>
    <w:rsid w:val="00E75C56"/>
    <w:rsid w:val="00E80C9E"/>
    <w:rsid w:val="00E8128E"/>
    <w:rsid w:val="00E8263C"/>
    <w:rsid w:val="00E84B39"/>
    <w:rsid w:val="00E85D28"/>
    <w:rsid w:val="00E91705"/>
    <w:rsid w:val="00E93E64"/>
    <w:rsid w:val="00E9447B"/>
    <w:rsid w:val="00E961FB"/>
    <w:rsid w:val="00E968C6"/>
    <w:rsid w:val="00E96DC9"/>
    <w:rsid w:val="00EA13E5"/>
    <w:rsid w:val="00EA24F5"/>
    <w:rsid w:val="00EA417B"/>
    <w:rsid w:val="00EA4AB4"/>
    <w:rsid w:val="00EA50AC"/>
    <w:rsid w:val="00EB05E5"/>
    <w:rsid w:val="00EB1789"/>
    <w:rsid w:val="00EB2632"/>
    <w:rsid w:val="00EB2714"/>
    <w:rsid w:val="00EB4AF2"/>
    <w:rsid w:val="00EB54E2"/>
    <w:rsid w:val="00EB5951"/>
    <w:rsid w:val="00EC1019"/>
    <w:rsid w:val="00EC6406"/>
    <w:rsid w:val="00EC6601"/>
    <w:rsid w:val="00ED04C8"/>
    <w:rsid w:val="00ED3C5E"/>
    <w:rsid w:val="00ED3F37"/>
    <w:rsid w:val="00ED4512"/>
    <w:rsid w:val="00EE1E63"/>
    <w:rsid w:val="00EE2FCA"/>
    <w:rsid w:val="00EE4177"/>
    <w:rsid w:val="00EE7A2F"/>
    <w:rsid w:val="00EF3481"/>
    <w:rsid w:val="00EF3659"/>
    <w:rsid w:val="00EF3ECB"/>
    <w:rsid w:val="00EF7621"/>
    <w:rsid w:val="00EF7C70"/>
    <w:rsid w:val="00F01246"/>
    <w:rsid w:val="00F02952"/>
    <w:rsid w:val="00F06D4A"/>
    <w:rsid w:val="00F06DCE"/>
    <w:rsid w:val="00F12560"/>
    <w:rsid w:val="00F15791"/>
    <w:rsid w:val="00F20824"/>
    <w:rsid w:val="00F20B55"/>
    <w:rsid w:val="00F21CF4"/>
    <w:rsid w:val="00F2526A"/>
    <w:rsid w:val="00F27407"/>
    <w:rsid w:val="00F34389"/>
    <w:rsid w:val="00F346C1"/>
    <w:rsid w:val="00F368F8"/>
    <w:rsid w:val="00F4017C"/>
    <w:rsid w:val="00F41036"/>
    <w:rsid w:val="00F415FD"/>
    <w:rsid w:val="00F41E96"/>
    <w:rsid w:val="00F4566B"/>
    <w:rsid w:val="00F55B4A"/>
    <w:rsid w:val="00F574F0"/>
    <w:rsid w:val="00F60112"/>
    <w:rsid w:val="00F66CAD"/>
    <w:rsid w:val="00F741AA"/>
    <w:rsid w:val="00F742B7"/>
    <w:rsid w:val="00F767B1"/>
    <w:rsid w:val="00F80FA8"/>
    <w:rsid w:val="00F84492"/>
    <w:rsid w:val="00F85E92"/>
    <w:rsid w:val="00F915A7"/>
    <w:rsid w:val="00F9169F"/>
    <w:rsid w:val="00F9269D"/>
    <w:rsid w:val="00F94C0A"/>
    <w:rsid w:val="00FA1F76"/>
    <w:rsid w:val="00FA4F84"/>
    <w:rsid w:val="00FA5B3B"/>
    <w:rsid w:val="00FA685D"/>
    <w:rsid w:val="00FB2188"/>
    <w:rsid w:val="00FB2C1B"/>
    <w:rsid w:val="00FB6195"/>
    <w:rsid w:val="00FB6A84"/>
    <w:rsid w:val="00FB6B0E"/>
    <w:rsid w:val="00FB7D19"/>
    <w:rsid w:val="00FC0D7E"/>
    <w:rsid w:val="00FC17B8"/>
    <w:rsid w:val="00FC5639"/>
    <w:rsid w:val="00FC5E78"/>
    <w:rsid w:val="00FC7146"/>
    <w:rsid w:val="00FE0F35"/>
    <w:rsid w:val="00FE3B1E"/>
    <w:rsid w:val="00FE43FF"/>
    <w:rsid w:val="00FE545B"/>
    <w:rsid w:val="00FE6D8D"/>
    <w:rsid w:val="00FF2521"/>
    <w:rsid w:val="00FF2658"/>
    <w:rsid w:val="00FF27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1400A2"/>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DC"/>
    <w:pPr>
      <w:widowControl w:val="0"/>
    </w:pPr>
    <w:rPr>
      <w:snapToGrid w:val="0"/>
      <w:kern w:val="28"/>
      <w:sz w:val="22"/>
    </w:rPr>
  </w:style>
  <w:style w:type="paragraph" w:styleId="Heading1">
    <w:name w:val="heading 1"/>
    <w:basedOn w:val="Normal"/>
    <w:next w:val="ParaNum"/>
    <w:link w:val="Heading1Char"/>
    <w:qFormat/>
    <w:rsid w:val="003422DC"/>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422DC"/>
    <w:pPr>
      <w:keepNext/>
      <w:numPr>
        <w:ilvl w:val="1"/>
        <w:numId w:val="14"/>
      </w:numPr>
      <w:spacing w:after="120"/>
      <w:outlineLvl w:val="1"/>
    </w:pPr>
    <w:rPr>
      <w:b/>
    </w:rPr>
  </w:style>
  <w:style w:type="paragraph" w:styleId="Heading3">
    <w:name w:val="heading 3"/>
    <w:basedOn w:val="Normal"/>
    <w:next w:val="ParaNum"/>
    <w:link w:val="Heading3Char"/>
    <w:qFormat/>
    <w:rsid w:val="003422DC"/>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3422DC"/>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3422DC"/>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3422DC"/>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3422DC"/>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3422DC"/>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422DC"/>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22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22DC"/>
  </w:style>
  <w:style w:type="paragraph" w:customStyle="1" w:styleId="ParaNum">
    <w:name w:val="ParaNum"/>
    <w:basedOn w:val="Normal"/>
    <w:link w:val="ParaNumChar"/>
    <w:rsid w:val="003422DC"/>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3422D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422DC"/>
    <w:rPr>
      <w:rFonts w:ascii="Times New Roman" w:hAnsi="Times New Roman"/>
      <w:dstrike w:val="0"/>
      <w:color w:val="auto"/>
      <w:sz w:val="20"/>
      <w:vertAlign w:val="superscript"/>
    </w:rPr>
  </w:style>
  <w:style w:type="paragraph" w:styleId="Header">
    <w:name w:val="header"/>
    <w:basedOn w:val="Normal"/>
    <w:autoRedefine/>
    <w:rsid w:val="003422DC"/>
    <w:pPr>
      <w:tabs>
        <w:tab w:val="center" w:pos="4680"/>
        <w:tab w:val="right" w:pos="9360"/>
      </w:tabs>
    </w:pPr>
    <w:rPr>
      <w:b/>
    </w:rPr>
  </w:style>
  <w:style w:type="paragraph" w:styleId="Footer">
    <w:name w:val="footer"/>
    <w:basedOn w:val="Normal"/>
    <w:link w:val="FooterChar"/>
    <w:uiPriority w:val="99"/>
    <w:rsid w:val="003422DC"/>
    <w:pPr>
      <w:tabs>
        <w:tab w:val="center" w:pos="4320"/>
        <w:tab w:val="right" w:pos="8640"/>
      </w:tabs>
    </w:pPr>
  </w:style>
  <w:style w:type="character" w:styleId="PageNumber">
    <w:name w:val="page number"/>
    <w:basedOn w:val="DefaultParagraphFont"/>
    <w:rsid w:val="003422DC"/>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3422DC"/>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3422DC"/>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3422DC"/>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3422DC"/>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3422DC"/>
    <w:rPr>
      <w:vertAlign w:val="superscript"/>
    </w:rPr>
  </w:style>
  <w:style w:type="paragraph" w:styleId="TOC1">
    <w:name w:val="toc 1"/>
    <w:basedOn w:val="Normal"/>
    <w:next w:val="Normal"/>
    <w:rsid w:val="003422DC"/>
    <w:pPr>
      <w:tabs>
        <w:tab w:val="left" w:pos="360"/>
        <w:tab w:val="right" w:leader="dot" w:pos="9360"/>
      </w:tabs>
      <w:suppressAutoHyphens/>
      <w:ind w:left="360" w:right="720" w:hanging="360"/>
    </w:pPr>
    <w:rPr>
      <w:caps/>
      <w:noProof/>
    </w:rPr>
  </w:style>
  <w:style w:type="paragraph" w:styleId="TOC2">
    <w:name w:val="toc 2"/>
    <w:basedOn w:val="Normal"/>
    <w:next w:val="Normal"/>
    <w:rsid w:val="003422DC"/>
    <w:pPr>
      <w:tabs>
        <w:tab w:val="left" w:pos="720"/>
        <w:tab w:val="right" w:leader="dot" w:pos="9360"/>
      </w:tabs>
      <w:suppressAutoHyphens/>
      <w:ind w:left="720" w:right="720" w:hanging="360"/>
    </w:pPr>
    <w:rPr>
      <w:noProof/>
    </w:rPr>
  </w:style>
  <w:style w:type="paragraph" w:styleId="TOC3">
    <w:name w:val="toc 3"/>
    <w:basedOn w:val="Normal"/>
    <w:next w:val="Normal"/>
    <w:rsid w:val="003422D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422D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422D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422DC"/>
    <w:pPr>
      <w:tabs>
        <w:tab w:val="left" w:pos="2160"/>
        <w:tab w:val="right" w:leader="dot" w:pos="9360"/>
      </w:tabs>
      <w:suppressAutoHyphens/>
      <w:ind w:left="2160" w:hanging="360"/>
    </w:pPr>
    <w:rPr>
      <w:noProof/>
    </w:rPr>
  </w:style>
  <w:style w:type="paragraph" w:styleId="TOC7">
    <w:name w:val="toc 7"/>
    <w:basedOn w:val="Normal"/>
    <w:next w:val="Normal"/>
    <w:autoRedefine/>
    <w:rsid w:val="003422DC"/>
    <w:pPr>
      <w:tabs>
        <w:tab w:val="left" w:pos="2520"/>
        <w:tab w:val="right" w:leader="dot" w:pos="9360"/>
      </w:tabs>
      <w:suppressAutoHyphens/>
      <w:ind w:left="2520" w:hanging="360"/>
    </w:pPr>
    <w:rPr>
      <w:noProof/>
    </w:rPr>
  </w:style>
  <w:style w:type="paragraph" w:styleId="TOC8">
    <w:name w:val="toc 8"/>
    <w:basedOn w:val="Normal"/>
    <w:next w:val="Normal"/>
    <w:autoRedefine/>
    <w:rsid w:val="003422DC"/>
    <w:pPr>
      <w:tabs>
        <w:tab w:val="left" w:pos="2880"/>
        <w:tab w:val="right" w:leader="dot" w:pos="9360"/>
      </w:tabs>
      <w:suppressAutoHyphens/>
      <w:ind w:left="2880" w:hanging="360"/>
    </w:pPr>
    <w:rPr>
      <w:noProof/>
    </w:rPr>
  </w:style>
  <w:style w:type="paragraph" w:styleId="TOC9">
    <w:name w:val="toc 9"/>
    <w:basedOn w:val="Normal"/>
    <w:next w:val="Normal"/>
    <w:autoRedefine/>
    <w:rsid w:val="003422DC"/>
    <w:pPr>
      <w:tabs>
        <w:tab w:val="left" w:pos="3240"/>
        <w:tab w:val="right" w:leader="dot" w:pos="9360"/>
      </w:tabs>
      <w:suppressAutoHyphens/>
      <w:ind w:left="3240" w:hanging="360"/>
    </w:pPr>
    <w:rPr>
      <w:noProof/>
    </w:rPr>
  </w:style>
  <w:style w:type="paragraph" w:styleId="TOAHeading">
    <w:name w:val="toa heading"/>
    <w:basedOn w:val="Normal"/>
    <w:next w:val="Normal"/>
    <w:rsid w:val="003422DC"/>
    <w:pPr>
      <w:tabs>
        <w:tab w:val="right" w:pos="9360"/>
      </w:tabs>
      <w:suppressAutoHyphens/>
    </w:pPr>
  </w:style>
  <w:style w:type="character" w:customStyle="1" w:styleId="EquationCaption">
    <w:name w:val="_Equation Caption"/>
    <w:rsid w:val="003422DC"/>
  </w:style>
  <w:style w:type="paragraph" w:styleId="BlockText">
    <w:name w:val="Block Text"/>
    <w:basedOn w:val="Normal"/>
    <w:rsid w:val="003422DC"/>
    <w:pPr>
      <w:spacing w:after="240"/>
      <w:ind w:left="1440" w:right="1440"/>
    </w:pPr>
  </w:style>
  <w:style w:type="paragraph" w:customStyle="1" w:styleId="Paratitle">
    <w:name w:val="Para title"/>
    <w:basedOn w:val="Normal"/>
    <w:rsid w:val="003422DC"/>
    <w:pPr>
      <w:tabs>
        <w:tab w:val="center" w:pos="9270"/>
      </w:tabs>
      <w:spacing w:after="240"/>
    </w:pPr>
    <w:rPr>
      <w:spacing w:val="-2"/>
    </w:rPr>
  </w:style>
  <w:style w:type="paragraph" w:customStyle="1" w:styleId="TableFormat">
    <w:name w:val="TableFormat"/>
    <w:basedOn w:val="Bullet"/>
    <w:rsid w:val="003422DC"/>
    <w:pPr>
      <w:tabs>
        <w:tab w:val="clear" w:pos="2160"/>
        <w:tab w:val="left" w:pos="5040"/>
      </w:tabs>
      <w:ind w:left="5040" w:hanging="3600"/>
    </w:pPr>
  </w:style>
  <w:style w:type="paragraph" w:customStyle="1" w:styleId="TOCTitle">
    <w:name w:val="TOC Title"/>
    <w:basedOn w:val="Normal"/>
    <w:rsid w:val="003422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22DC"/>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ssit">
    <w:name w:val="ss_it"/>
    <w:basedOn w:val="DefaultParagraphFont"/>
    <w:rsid w:val="00BE63FE"/>
  </w:style>
  <w:style w:type="character" w:customStyle="1" w:styleId="sssh">
    <w:name w:val="ss_sh"/>
    <w:basedOn w:val="DefaultParagraphFont"/>
    <w:rsid w:val="00BE63FE"/>
  </w:style>
  <w:style w:type="character" w:customStyle="1" w:styleId="UnresolvedMention2">
    <w:name w:val="Unresolved Mention2"/>
    <w:basedOn w:val="DefaultParagraphFont"/>
    <w:rsid w:val="001B4EDB"/>
    <w:rPr>
      <w:color w:val="605E5C"/>
      <w:shd w:val="clear" w:color="auto" w:fill="E1DFDD"/>
    </w:rPr>
  </w:style>
  <w:style w:type="character" w:customStyle="1" w:styleId="FootnoteTextChar1CharChar">
    <w:name w:val="Footnote Text Char1 Char Char"/>
    <w:aliases w:val="Footnote Text Char Char Char Char,Footnote Text Char1 Char Char Char Char,Footnote Text Char2 Char,Footnote Text Char2 Char Char Char,Footnote Text Char3 Char Char,Footnote Text Char4 Char1 Char Char Char Char Char1"/>
    <w:locked/>
    <w:rsid w:val="003A22F6"/>
  </w:style>
  <w:style w:type="character" w:styleId="Emphasis">
    <w:name w:val="Emphasis"/>
    <w:basedOn w:val="DefaultParagraphFont"/>
    <w:uiPriority w:val="20"/>
    <w:qFormat/>
    <w:rsid w:val="00D05025"/>
    <w:rPr>
      <w:i/>
      <w:iCs/>
    </w:rPr>
  </w:style>
  <w:style w:type="character" w:customStyle="1" w:styleId="UnresolvedMention">
    <w:name w:val="Unresolved Mention"/>
    <w:basedOn w:val="DefaultParagraphFont"/>
    <w:rsid w:val="00AD2E8B"/>
    <w:rPr>
      <w:color w:val="605E5C"/>
      <w:shd w:val="clear" w:color="auto" w:fill="E1DFDD"/>
    </w:rPr>
  </w:style>
  <w:style w:type="paragraph" w:styleId="Revision">
    <w:name w:val="Revision"/>
    <w:hidden/>
    <w:uiPriority w:val="99"/>
    <w:semiHidden/>
    <w:rsid w:val="00540B2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