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A5D6B" w:rsidRPr="002B56A6" w:rsidP="00A21BAF" w14:paraId="56CDEF69" w14:textId="68BFF57E">
      <w:pPr>
        <w:spacing w:after="0" w:line="240" w:lineRule="auto"/>
        <w:ind w:firstLine="720"/>
        <w:jc w:val="right"/>
        <w:rPr>
          <w:rFonts w:ascii="Times New Roman" w:hAnsi="Times New Roman" w:cs="Times New Roman"/>
          <w:b/>
        </w:rPr>
      </w:pPr>
      <w:r>
        <w:rPr>
          <w:rFonts w:ascii="Times New Roman" w:hAnsi="Times New Roman" w:cs="Times New Roman"/>
          <w:b/>
        </w:rPr>
        <w:t>D</w:t>
      </w:r>
      <w:r w:rsidRPr="009A2144" w:rsidR="000350AD">
        <w:rPr>
          <w:rFonts w:ascii="Times New Roman" w:hAnsi="Times New Roman" w:cs="Times New Roman"/>
          <w:b/>
        </w:rPr>
        <w:t xml:space="preserve">A </w:t>
      </w:r>
      <w:r w:rsidR="00EC1C20">
        <w:rPr>
          <w:rFonts w:ascii="Times New Roman" w:hAnsi="Times New Roman" w:cs="Times New Roman"/>
          <w:b/>
        </w:rPr>
        <w:t>21-574</w:t>
      </w:r>
    </w:p>
    <w:p w:rsidR="00EF0AF7" w:rsidP="00EC4902" w14:paraId="356670ED" w14:textId="77777777">
      <w:pPr>
        <w:spacing w:after="0" w:line="240" w:lineRule="auto"/>
        <w:rPr>
          <w:rFonts w:ascii="Times New Roman" w:hAnsi="Times New Roman" w:cs="Times New Roman"/>
          <w:b/>
          <w:sz w:val="28"/>
          <w:szCs w:val="28"/>
        </w:rPr>
      </w:pPr>
    </w:p>
    <w:p w:rsidR="004A5D6B" w:rsidRPr="00EC4902" w:rsidP="00CB75E7" w14:paraId="36070F83" w14:textId="77777777">
      <w:pPr>
        <w:spacing w:after="0" w:line="240" w:lineRule="auto"/>
        <w:ind w:left="1080"/>
        <w:jc w:val="center"/>
        <w:rPr>
          <w:rFonts w:ascii="Times New Roman" w:hAnsi="Times New Roman" w:cs="Times New Roman"/>
          <w:b/>
          <w:sz w:val="28"/>
          <w:szCs w:val="28"/>
        </w:rPr>
      </w:pPr>
      <w:r w:rsidRPr="005C16B1">
        <w:rPr>
          <w:rFonts w:ascii="Times New Roman" w:hAnsi="Times New Roman" w:cs="Times New Roman"/>
          <w:b/>
          <w:sz w:val="28"/>
          <w:szCs w:val="28"/>
        </w:rPr>
        <w:t>SMALL ENTITY COMPLIANCE GUIDE</w:t>
      </w:r>
    </w:p>
    <w:p w:rsidR="0080650A" w:rsidP="00CB75E7" w14:paraId="47EADF25" w14:textId="77777777">
      <w:pPr>
        <w:spacing w:after="0" w:line="240" w:lineRule="auto"/>
        <w:ind w:left="1080"/>
        <w:jc w:val="center"/>
        <w:rPr>
          <w:rFonts w:ascii="Times New Roman" w:hAnsi="Times New Roman" w:cs="Times New Roman"/>
        </w:rPr>
      </w:pPr>
    </w:p>
    <w:p w:rsidR="008729AB" w:rsidRPr="0080650A" w:rsidP="00CB75E7" w14:paraId="187F5E05" w14:textId="52B63F0F">
      <w:pPr>
        <w:spacing w:after="0" w:line="240" w:lineRule="auto"/>
        <w:ind w:left="1080"/>
        <w:jc w:val="center"/>
        <w:rPr>
          <w:rFonts w:ascii="Times New Roman" w:hAnsi="Times New Roman" w:cs="Times New Roman"/>
          <w:b/>
          <w:sz w:val="24"/>
          <w:szCs w:val="24"/>
        </w:rPr>
      </w:pPr>
      <w:r w:rsidRPr="00201A77">
        <w:rPr>
          <w:rFonts w:ascii="Times New Roman" w:hAnsi="Times New Roman" w:cs="Times New Roman"/>
          <w:b/>
          <w:sz w:val="24"/>
          <w:szCs w:val="24"/>
        </w:rPr>
        <w:t>Human Exposure to Radiofrequency Electromagnetic Fields</w:t>
      </w:r>
    </w:p>
    <w:p w:rsidR="00323474" w:rsidRPr="004239D4" w:rsidP="00CB75E7" w14:paraId="6946958B" w14:textId="77777777">
      <w:pPr>
        <w:spacing w:after="0" w:line="240" w:lineRule="auto"/>
        <w:ind w:left="1080"/>
        <w:jc w:val="center"/>
        <w:rPr>
          <w:rFonts w:ascii="Times New Roman" w:hAnsi="Times New Roman" w:cs="Times New Roman"/>
          <w:b/>
        </w:rPr>
      </w:pPr>
    </w:p>
    <w:p w:rsidR="004A5D6B" w:rsidP="00CB75E7" w14:paraId="53E3EA62" w14:textId="014DAD6A">
      <w:pPr>
        <w:spacing w:after="0" w:line="240" w:lineRule="auto"/>
        <w:ind w:left="1080"/>
        <w:jc w:val="center"/>
        <w:rPr>
          <w:rFonts w:ascii="Times New Roman" w:hAnsi="Times New Roman" w:cs="Times New Roman"/>
          <w:b/>
        </w:rPr>
      </w:pPr>
      <w:r w:rsidRPr="002B56A6">
        <w:rPr>
          <w:rFonts w:ascii="Times New Roman" w:hAnsi="Times New Roman" w:cs="Times New Roman"/>
          <w:b/>
        </w:rPr>
        <w:t xml:space="preserve">FCC </w:t>
      </w:r>
      <w:r w:rsidRPr="002B56A6">
        <w:rPr>
          <w:rFonts w:ascii="Times New Roman" w:hAnsi="Times New Roman" w:cs="Times New Roman"/>
          <w:b/>
          <w:bCs/>
        </w:rPr>
        <w:t>1</w:t>
      </w:r>
      <w:r w:rsidR="00201A77">
        <w:rPr>
          <w:rFonts w:ascii="Times New Roman" w:hAnsi="Times New Roman" w:cs="Times New Roman"/>
          <w:b/>
          <w:bCs/>
        </w:rPr>
        <w:t>9</w:t>
      </w:r>
      <w:r w:rsidRPr="002B56A6">
        <w:rPr>
          <w:rFonts w:ascii="Times New Roman" w:hAnsi="Times New Roman" w:cs="Times New Roman"/>
          <w:b/>
          <w:bCs/>
        </w:rPr>
        <w:t>-</w:t>
      </w:r>
      <w:r w:rsidR="00BA194F">
        <w:rPr>
          <w:rFonts w:ascii="Times New Roman" w:hAnsi="Times New Roman" w:cs="Times New Roman"/>
          <w:b/>
          <w:bCs/>
        </w:rPr>
        <w:t>1</w:t>
      </w:r>
      <w:r w:rsidR="00201A77">
        <w:rPr>
          <w:rFonts w:ascii="Times New Roman" w:hAnsi="Times New Roman" w:cs="Times New Roman"/>
          <w:b/>
          <w:bCs/>
        </w:rPr>
        <w:t>26</w:t>
      </w:r>
      <w:r>
        <w:rPr>
          <w:rFonts w:ascii="Times New Roman" w:hAnsi="Times New Roman" w:cs="Times New Roman"/>
          <w:b/>
        </w:rPr>
        <w:br/>
      </w:r>
      <w:r w:rsidR="00201A77">
        <w:rPr>
          <w:rFonts w:ascii="Times New Roman" w:hAnsi="Times New Roman" w:cs="Times New Roman"/>
          <w:b/>
        </w:rPr>
        <w:t>ET</w:t>
      </w:r>
      <w:r>
        <w:rPr>
          <w:rFonts w:ascii="Times New Roman" w:hAnsi="Times New Roman" w:cs="Times New Roman"/>
          <w:b/>
        </w:rPr>
        <w:t xml:space="preserve"> Docket No. </w:t>
      </w:r>
      <w:r w:rsidR="00201A77">
        <w:rPr>
          <w:rFonts w:ascii="Times New Roman" w:hAnsi="Times New Roman" w:cs="Times New Roman"/>
          <w:b/>
        </w:rPr>
        <w:t>03</w:t>
      </w:r>
      <w:r>
        <w:rPr>
          <w:rFonts w:ascii="Times New Roman" w:hAnsi="Times New Roman" w:cs="Times New Roman"/>
          <w:b/>
        </w:rPr>
        <w:t>-1</w:t>
      </w:r>
      <w:r w:rsidR="00201A77">
        <w:rPr>
          <w:rFonts w:ascii="Times New Roman" w:hAnsi="Times New Roman" w:cs="Times New Roman"/>
          <w:b/>
        </w:rPr>
        <w:t>3</w:t>
      </w:r>
      <w:r>
        <w:rPr>
          <w:rFonts w:ascii="Times New Roman" w:hAnsi="Times New Roman" w:cs="Times New Roman"/>
          <w:b/>
        </w:rPr>
        <w:t>7</w:t>
      </w:r>
    </w:p>
    <w:p w:rsidR="00262E18" w:rsidRPr="002B56A6" w:rsidP="00D4707F" w14:paraId="0BC722EB" w14:textId="77777777">
      <w:pPr>
        <w:tabs>
          <w:tab w:val="center" w:pos="4680"/>
          <w:tab w:val="left" w:pos="7028"/>
        </w:tabs>
        <w:spacing w:line="240" w:lineRule="auto"/>
        <w:ind w:left="1080"/>
        <w:jc w:val="center"/>
        <w:rPr>
          <w:rFonts w:ascii="Times New Roman" w:hAnsi="Times New Roman" w:cs="Times New Roman"/>
          <w:b/>
        </w:rPr>
      </w:pPr>
      <w:r>
        <w:rPr>
          <w:rFonts w:ascii="Times New Roman" w:hAnsi="Times New Roman" w:cs="Times New Roman"/>
          <w:b/>
        </w:rPr>
        <w:t>Released:  December 4, 2019</w:t>
      </w:r>
    </w:p>
    <w:p w:rsidR="004A5D6B" w:rsidRPr="002B56A6" w:rsidP="00A21BAF" w14:paraId="443A27ED" w14:textId="77777777">
      <w:pPr>
        <w:tabs>
          <w:tab w:val="center" w:pos="4680"/>
          <w:tab w:val="left" w:pos="7028"/>
        </w:tabs>
        <w:spacing w:line="240" w:lineRule="auto"/>
        <w:jc w:val="both"/>
        <w:rPr>
          <w:rFonts w:ascii="Times New Roman" w:hAnsi="Times New Roman" w:cs="Times New Roman"/>
          <w:b/>
        </w:rPr>
      </w:pPr>
      <w:r w:rsidRPr="002B56A6">
        <w:rPr>
          <w:rFonts w:ascii="Times New Roman" w:hAnsi="Times New Roman" w:cs="Times New Roman"/>
          <w:b/>
        </w:rPr>
        <w:tab/>
      </w:r>
      <w:r w:rsidRPr="002B56A6">
        <w:rPr>
          <w:rFonts w:ascii="Times New Roman" w:hAnsi="Times New Roman" w:cs="Times New Roman"/>
          <w:b/>
        </w:rPr>
        <w:tab/>
      </w:r>
    </w:p>
    <w:p w:rsidR="00C75F82" w:rsidRPr="00C75F82" w:rsidP="00A21BAF" w14:paraId="061A917B" w14:textId="77777777">
      <w:pPr>
        <w:spacing w:after="0"/>
        <w:ind w:left="1080"/>
        <w:jc w:val="both"/>
        <w:rPr>
          <w:rFonts w:ascii="Times New Roman" w:eastAsia="Calibri" w:hAnsi="Times New Roman" w:cs="Times New Roman"/>
          <w:b/>
        </w:rPr>
      </w:pPr>
      <w:r w:rsidRPr="00C75F82">
        <w:rPr>
          <w:rFonts w:ascii="Times New Roman" w:eastAsia="Calibri" w:hAnsi="Times New Roman" w:cs="Times New Roman"/>
          <w:b/>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revised rules adopted in the above-referenced Federal Communications Commission (FCC or Commission) rulemaking dockets.  This Guide is not intended to replace or supersede these rules, but to facilitate compliance with the rules.  Although we have attempted to cover all parts of the rules that might be especially important to small entities, the coverage may not be exhaustive.  This Guide cannot anticipate all situations in which the rules apply.  Furthermore, the Commission retains the discretion to adopt case-by-case approaches, where appropriate, that may differ from this Guide.  Any decision regarding a particular small entity will be based on the statute and any relevant rules. </w:t>
      </w:r>
    </w:p>
    <w:p w:rsidR="00C75F82" w:rsidRPr="00C75F82" w:rsidP="00A21BAF" w14:paraId="444BE21E" w14:textId="77777777">
      <w:pPr>
        <w:ind w:left="1080" w:hanging="1080"/>
        <w:contextualSpacing/>
        <w:jc w:val="both"/>
        <w:rPr>
          <w:rFonts w:ascii="Times New Roman" w:eastAsia="Calibri" w:hAnsi="Times New Roman" w:cs="Times New Roman"/>
          <w:b/>
        </w:rPr>
      </w:pPr>
    </w:p>
    <w:p w:rsidR="00C75F82" w:rsidRPr="00C75F82" w:rsidP="00A21BAF" w14:paraId="2E2E68D9" w14:textId="53EB2762">
      <w:pPr>
        <w:ind w:left="1080"/>
        <w:contextualSpacing/>
        <w:jc w:val="both"/>
        <w:rPr>
          <w:rFonts w:ascii="Times New Roman" w:eastAsia="Calibri" w:hAnsi="Times New Roman" w:cs="Times New Roman"/>
          <w:b/>
        </w:rPr>
      </w:pPr>
      <w:r w:rsidRPr="00C75F82">
        <w:rPr>
          <w:rFonts w:ascii="Times New Roman" w:eastAsia="Calibri" w:hAnsi="Times New Roman" w:cs="Times New Roman"/>
          <w:b/>
        </w:rPr>
        <w:t xml:space="preserve">In any civil or administrative action against a small entity for a violation of rules, the content of the Small Entity Compliance Guide may be considered as evidence of the reasonableness or appropriateness of proposed fines, </w:t>
      </w:r>
      <w:r w:rsidRPr="00C75F82">
        <w:rPr>
          <w:rFonts w:ascii="Times New Roman" w:eastAsia="Calibri" w:hAnsi="Times New Roman" w:cs="Times New Roman"/>
          <w:b/>
        </w:rPr>
        <w:t>penalties</w:t>
      </w:r>
      <w:r w:rsidRPr="00C75F82">
        <w:rPr>
          <w:rFonts w:ascii="Times New Roman" w:eastAsia="Calibri" w:hAnsi="Times New Roman" w:cs="Times New Roman"/>
          <w:b/>
        </w:rPr>
        <w:t xml:space="preserve"> or damages.  Interested parties are free to file comments regarding this Guide and the appropriateness of its application to a particular situation. The FCC will then consider whether the recommendations or interpretations in the Guide are appropriate in that situation.  The FCC may decide to revise this Guide without public notice to reflect changes in the FCC’s approach to implementing a rule, or it may clarify or update the text of the Guide.  Direct your comments and recommendations, or calls for further assistance, to the FCC’s Consumer Center</w:t>
      </w:r>
      <w:r w:rsidR="00AE31E6">
        <w:rPr>
          <w:rFonts w:ascii="Times New Roman" w:eastAsia="Calibri" w:hAnsi="Times New Roman" w:cs="Times New Roman"/>
          <w:b/>
        </w:rPr>
        <w:t xml:space="preserve"> or the FCC’s RF Safety office</w:t>
      </w:r>
      <w:r w:rsidRPr="00C75F82">
        <w:rPr>
          <w:rFonts w:ascii="Times New Roman" w:eastAsia="Calibri" w:hAnsi="Times New Roman" w:cs="Times New Roman"/>
          <w:b/>
        </w:rPr>
        <w:t>:</w:t>
      </w:r>
    </w:p>
    <w:p w:rsidR="00C75F82" w:rsidRPr="00C75F82" w:rsidP="00A21BAF" w14:paraId="45791F67" w14:textId="77777777">
      <w:pPr>
        <w:ind w:left="1080"/>
        <w:contextualSpacing/>
        <w:jc w:val="both"/>
        <w:rPr>
          <w:rFonts w:ascii="Times New Roman" w:eastAsia="Calibri" w:hAnsi="Times New Roman" w:cs="Times New Roman"/>
          <w:b/>
        </w:rPr>
      </w:pPr>
    </w:p>
    <w:p w:rsidR="00C75F82" w:rsidRPr="00C75F82" w14:paraId="52B692B3" w14:textId="77777777">
      <w:pPr>
        <w:ind w:left="1080"/>
        <w:contextualSpacing/>
        <w:jc w:val="center"/>
        <w:rPr>
          <w:rFonts w:ascii="Times New Roman" w:eastAsia="Calibri" w:hAnsi="Times New Roman" w:cs="Times New Roman"/>
          <w:b/>
        </w:rPr>
      </w:pPr>
      <w:r w:rsidRPr="00C75F82">
        <w:rPr>
          <w:rFonts w:ascii="Times New Roman" w:eastAsia="Calibri" w:hAnsi="Times New Roman" w:cs="Times New Roman"/>
          <w:b/>
        </w:rPr>
        <w:t>1-888-CALL-FCC (1-888-225-5322)</w:t>
      </w:r>
    </w:p>
    <w:p w:rsidR="00C75F82" w:rsidRPr="00C75F82" w14:paraId="4126C687" w14:textId="77777777">
      <w:pPr>
        <w:ind w:left="1080"/>
        <w:contextualSpacing/>
        <w:jc w:val="center"/>
        <w:rPr>
          <w:rFonts w:ascii="Times New Roman" w:eastAsia="Calibri" w:hAnsi="Times New Roman" w:cs="Times New Roman"/>
          <w:b/>
        </w:rPr>
      </w:pPr>
      <w:r w:rsidRPr="00C75F82">
        <w:rPr>
          <w:rFonts w:ascii="Times New Roman" w:eastAsia="Calibri" w:hAnsi="Times New Roman" w:cs="Times New Roman"/>
          <w:b/>
        </w:rPr>
        <w:t>TTY: 1-888-TELL-FCC (1-888-835-5322)</w:t>
      </w:r>
    </w:p>
    <w:p w:rsidR="00C75F82" w:rsidRPr="00C75F82" w14:paraId="079AF94C" w14:textId="77777777">
      <w:pPr>
        <w:ind w:left="1080"/>
        <w:contextualSpacing/>
        <w:jc w:val="center"/>
        <w:rPr>
          <w:rFonts w:ascii="Times New Roman" w:eastAsia="Calibri" w:hAnsi="Times New Roman" w:cs="Times New Roman"/>
          <w:b/>
        </w:rPr>
      </w:pPr>
      <w:r w:rsidRPr="00C75F82">
        <w:rPr>
          <w:rFonts w:ascii="Times New Roman" w:eastAsia="Calibri" w:hAnsi="Times New Roman" w:cs="Times New Roman"/>
          <w:b/>
        </w:rPr>
        <w:t>Videophone: 1-844-4-FCC-ASL (1-844-432-2275)</w:t>
      </w:r>
    </w:p>
    <w:p w:rsidR="00201A77" w:rsidRPr="00201A77" w:rsidP="00201A77" w14:paraId="5203DD44" w14:textId="013D3A3C">
      <w:pPr>
        <w:ind w:left="1080"/>
        <w:contextualSpacing/>
        <w:jc w:val="center"/>
        <w:rPr>
          <w:rFonts w:ascii="Times New Roman" w:eastAsia="Calibri" w:hAnsi="Times New Roman" w:cs="Times New Roman"/>
          <w:b/>
        </w:rPr>
      </w:pPr>
      <w:r w:rsidRPr="00201A77">
        <w:rPr>
          <w:rFonts w:ascii="Times New Roman" w:eastAsia="Calibri" w:hAnsi="Times New Roman" w:cs="Times New Roman"/>
          <w:b/>
        </w:rPr>
        <w:t xml:space="preserve">Fax: </w:t>
      </w:r>
      <w:r w:rsidRPr="00C75F82" w:rsidR="00AE31E6">
        <w:rPr>
          <w:rFonts w:ascii="Times New Roman" w:eastAsia="Calibri" w:hAnsi="Times New Roman" w:cs="Times New Roman"/>
          <w:b/>
        </w:rPr>
        <w:t>1-866-418-0232</w:t>
      </w:r>
    </w:p>
    <w:p w:rsidR="00C75F82" w:rsidRPr="0017724F" w:rsidP="00201A77" w14:paraId="5F5A7A53" w14:textId="7482B84D">
      <w:pPr>
        <w:ind w:left="1080"/>
        <w:contextualSpacing/>
        <w:jc w:val="center"/>
        <w:rPr>
          <w:rFonts w:ascii="Times New Roman" w:eastAsia="Calibri" w:hAnsi="Times New Roman" w:cs="Times New Roman"/>
          <w:b/>
          <w:color w:val="0000FF"/>
        </w:rPr>
        <w:sectPr w:rsidSect="00A21BAF">
          <w:headerReference w:type="default" r:id="rId5"/>
          <w:footerReference w:type="default" r:id="rId6"/>
          <w:pgSz w:w="12240" w:h="15840"/>
          <w:pgMar w:top="1440" w:right="1800" w:bottom="1008" w:left="990" w:header="720" w:footer="187" w:gutter="0"/>
          <w:cols w:space="720"/>
          <w:docGrid w:linePitch="360"/>
        </w:sectPr>
      </w:pPr>
    </w:p>
    <w:p w:rsidR="008F01C6" w:rsidP="008F01C6" w14:paraId="2FD22120" w14:textId="77777777">
      <w:pPr>
        <w:tabs>
          <w:tab w:val="right" w:leader="dot" w:pos="8640"/>
        </w:tabs>
        <w:jc w:val="center"/>
      </w:pPr>
      <w:bookmarkStart w:id="0" w:name="_Hlk40256968"/>
      <w:r>
        <w:t>TABLE OF CONTENTS</w:t>
      </w:r>
    </w:p>
    <w:p w:rsidR="008F01C6" w:rsidP="008F01C6" w14:paraId="2B4D8EAF" w14:textId="77777777">
      <w:pPr>
        <w:tabs>
          <w:tab w:val="right" w:leader="dot" w:pos="8640"/>
        </w:tabs>
      </w:pPr>
      <w:r>
        <w:t>I.       OBJECTIVES OF THE PROCEEDING</w:t>
      </w:r>
      <w:r>
        <w:tab/>
        <w:t>1</w:t>
      </w:r>
    </w:p>
    <w:p w:rsidR="008F01C6" w:rsidP="008F01C6" w14:paraId="5967A30B" w14:textId="77777777">
      <w:pPr>
        <w:tabs>
          <w:tab w:val="right" w:leader="dot" w:pos="8640"/>
        </w:tabs>
      </w:pPr>
      <w:r>
        <w:t>II.      COMPLIANCE REQUIREMENTS</w:t>
      </w:r>
      <w:r>
        <w:tab/>
        <w:t>1</w:t>
      </w:r>
    </w:p>
    <w:p w:rsidR="008F01C6" w:rsidP="008F01C6" w14:paraId="77E6C42B" w14:textId="74F5741C">
      <w:pPr>
        <w:tabs>
          <w:tab w:val="right" w:leader="dot" w:pos="8640"/>
        </w:tabs>
      </w:pPr>
      <w:r>
        <w:t xml:space="preserve">          </w:t>
      </w:r>
      <w:r>
        <w:t>A.      Exemption</w:t>
      </w:r>
      <w:r>
        <w:tab/>
        <w:t>2</w:t>
      </w:r>
    </w:p>
    <w:p w:rsidR="008F01C6" w:rsidP="008F01C6" w14:paraId="6B00AA64" w14:textId="13BE02A9">
      <w:pPr>
        <w:tabs>
          <w:tab w:val="right" w:leader="dot" w:pos="8640"/>
        </w:tabs>
      </w:pPr>
      <w:r>
        <w:t xml:space="preserve">          </w:t>
      </w:r>
      <w:r>
        <w:t>B.      Evaluation</w:t>
      </w:r>
      <w:r>
        <w:tab/>
        <w:t>2</w:t>
      </w:r>
    </w:p>
    <w:p w:rsidR="008F01C6" w:rsidP="008F01C6" w14:paraId="1395B970" w14:textId="7B78D3AD">
      <w:pPr>
        <w:tabs>
          <w:tab w:val="right" w:leader="dot" w:pos="8640"/>
        </w:tabs>
      </w:pPr>
      <w:r>
        <w:t xml:space="preserve">          </w:t>
      </w:r>
      <w:r>
        <w:t>C.      Mitigation</w:t>
      </w:r>
      <w:r>
        <w:tab/>
        <w:t>3</w:t>
      </w:r>
    </w:p>
    <w:p w:rsidR="008F01C6" w:rsidP="008F01C6" w14:paraId="71F7C1F2" w14:textId="77777777">
      <w:pPr>
        <w:tabs>
          <w:tab w:val="right" w:leader="dot" w:pos="8640"/>
        </w:tabs>
      </w:pPr>
      <w:r>
        <w:t>III.     RECORDKEEPING AND REPORTING REQUIREMENTS</w:t>
      </w:r>
      <w:r>
        <w:tab/>
        <w:t>5</w:t>
      </w:r>
    </w:p>
    <w:p w:rsidR="008F01C6" w:rsidP="008F01C6" w14:paraId="48D84CF6" w14:textId="77777777">
      <w:pPr>
        <w:tabs>
          <w:tab w:val="right" w:leader="dot" w:pos="8640"/>
        </w:tabs>
      </w:pPr>
      <w:r>
        <w:t>IV.     IMPLEMENTATION DATE</w:t>
      </w:r>
      <w:r>
        <w:tab/>
        <w:t>6</w:t>
      </w:r>
    </w:p>
    <w:p w:rsidR="008F01C6" w:rsidP="008F01C6" w14:paraId="2D0D5083" w14:textId="77777777">
      <w:pPr>
        <w:tabs>
          <w:tab w:val="right" w:leader="dot" w:pos="8640"/>
        </w:tabs>
      </w:pPr>
      <w:r>
        <w:t>V.      INTERNET LINKS</w:t>
      </w:r>
      <w:r>
        <w:tab/>
        <w:t>6</w:t>
      </w:r>
    </w:p>
    <w:p w:rsidR="008F01C6" w:rsidP="008F01C6" w14:paraId="72D66E94" w14:textId="77777777">
      <w:pPr>
        <w:tabs>
          <w:tab w:val="right" w:leader="dot" w:pos="8640"/>
        </w:tabs>
      </w:pPr>
    </w:p>
    <w:p w:rsidR="00E0032C" w14:paraId="712F4A05" w14:textId="77777777">
      <w:pPr>
        <w:spacing w:after="0" w:line="240" w:lineRule="auto"/>
        <w:sectPr w:rsidSect="00714115">
          <w:headerReference w:type="default" r:id="rId7"/>
          <w:footerReference w:type="default" r:id="rId8"/>
          <w:footerReference w:type="first" r:id="rId9"/>
          <w:pgSz w:w="12240" w:h="15840"/>
          <w:pgMar w:top="1440" w:right="1440" w:bottom="1440" w:left="1440" w:header="720" w:footer="720" w:gutter="0"/>
          <w:pgNumType w:start="1"/>
          <w:cols w:space="720"/>
          <w:docGrid w:linePitch="360"/>
        </w:sectPr>
      </w:pPr>
    </w:p>
    <w:p w:rsidR="00DC0F96" w:rsidRPr="00DC2673" w14:paraId="50A2E027" w14:textId="08F3513C">
      <w:pPr>
        <w:pStyle w:val="Heading1"/>
      </w:pPr>
      <w:bookmarkStart w:id="1" w:name="_Toc55643486"/>
      <w:bookmarkStart w:id="2" w:name="_Toc55643669"/>
      <w:bookmarkStart w:id="3" w:name="_Toc55644678"/>
      <w:bookmarkStart w:id="4" w:name="_Toc55644728"/>
      <w:bookmarkStart w:id="5" w:name="_Toc55645000"/>
      <w:bookmarkStart w:id="6" w:name="_Toc55643487"/>
      <w:bookmarkStart w:id="7" w:name="_Toc55643670"/>
      <w:bookmarkStart w:id="8" w:name="_Toc55644679"/>
      <w:bookmarkStart w:id="9" w:name="_Toc55644729"/>
      <w:bookmarkStart w:id="10" w:name="_Toc55645001"/>
      <w:bookmarkStart w:id="11" w:name="_Toc55643488"/>
      <w:bookmarkStart w:id="12" w:name="_Toc55643671"/>
      <w:bookmarkStart w:id="13" w:name="_Toc55644680"/>
      <w:bookmarkStart w:id="14" w:name="_Toc55644730"/>
      <w:bookmarkStart w:id="15" w:name="_Toc55645002"/>
      <w:bookmarkStart w:id="16" w:name="_Toc55643489"/>
      <w:bookmarkStart w:id="17" w:name="_Toc55643672"/>
      <w:bookmarkStart w:id="18" w:name="_Toc55644681"/>
      <w:bookmarkStart w:id="19" w:name="_Toc55644731"/>
      <w:bookmarkStart w:id="20" w:name="_Toc55645003"/>
      <w:bookmarkStart w:id="21" w:name="_Toc55643490"/>
      <w:bookmarkStart w:id="22" w:name="_Toc55643673"/>
      <w:bookmarkStart w:id="23" w:name="_Toc55644682"/>
      <w:bookmarkStart w:id="24" w:name="_Toc55644732"/>
      <w:bookmarkStart w:id="25" w:name="_Toc55645004"/>
      <w:bookmarkStart w:id="26" w:name="_Toc55643491"/>
      <w:bookmarkStart w:id="27" w:name="_Toc55643674"/>
      <w:bookmarkStart w:id="28" w:name="_Toc55644683"/>
      <w:bookmarkStart w:id="29" w:name="_Toc55644733"/>
      <w:bookmarkStart w:id="30" w:name="_Toc55645005"/>
      <w:bookmarkStart w:id="31" w:name="_Toc55643492"/>
      <w:bookmarkStart w:id="32" w:name="_Toc55643675"/>
      <w:bookmarkStart w:id="33" w:name="_Toc55644684"/>
      <w:bookmarkStart w:id="34" w:name="_Toc55644734"/>
      <w:bookmarkStart w:id="35" w:name="_Toc55645006"/>
      <w:bookmarkStart w:id="36" w:name="_Toc55643493"/>
      <w:bookmarkStart w:id="37" w:name="_Toc55643676"/>
      <w:bookmarkStart w:id="38" w:name="_Toc55644685"/>
      <w:bookmarkStart w:id="39" w:name="_Toc55644735"/>
      <w:bookmarkStart w:id="40" w:name="_Toc55645007"/>
      <w:bookmarkStart w:id="41" w:name="_Toc55643494"/>
      <w:bookmarkStart w:id="42" w:name="_Toc55643677"/>
      <w:bookmarkStart w:id="43" w:name="_Toc55644686"/>
      <w:bookmarkStart w:id="44" w:name="_Toc55644736"/>
      <w:bookmarkStart w:id="45" w:name="_Toc55645008"/>
      <w:bookmarkStart w:id="46" w:name="_Toc55643495"/>
      <w:bookmarkStart w:id="47" w:name="_Toc55643678"/>
      <w:bookmarkStart w:id="48" w:name="_Toc55644687"/>
      <w:bookmarkStart w:id="49" w:name="_Toc55644737"/>
      <w:bookmarkStart w:id="50" w:name="_Toc55645009"/>
      <w:bookmarkStart w:id="51" w:name="_Toc55643496"/>
      <w:bookmarkStart w:id="52" w:name="_Toc55643679"/>
      <w:bookmarkStart w:id="53" w:name="_Toc55644688"/>
      <w:bookmarkStart w:id="54" w:name="_Toc55644738"/>
      <w:bookmarkStart w:id="55" w:name="_Toc55645010"/>
      <w:bookmarkStart w:id="56" w:name="_Toc55643497"/>
      <w:bookmarkStart w:id="57" w:name="_Toc55643680"/>
      <w:bookmarkStart w:id="58" w:name="_Toc55644689"/>
      <w:bookmarkStart w:id="59" w:name="_Toc55644739"/>
      <w:bookmarkStart w:id="60" w:name="_Toc55645011"/>
      <w:bookmarkStart w:id="61" w:name="_Toc55643498"/>
      <w:bookmarkStart w:id="62" w:name="_Toc55643681"/>
      <w:bookmarkStart w:id="63" w:name="_Toc55644690"/>
      <w:bookmarkStart w:id="64" w:name="_Toc55644740"/>
      <w:bookmarkStart w:id="65" w:name="_Toc55645012"/>
      <w:bookmarkStart w:id="66" w:name="_Toc5564501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9B1E11">
        <w:t>O</w:t>
      </w:r>
      <w:r w:rsidRPr="009B1E11">
        <w:t>BJECTIVES</w:t>
      </w:r>
      <w:r w:rsidRPr="007C4DD1">
        <w:t xml:space="preserve"> OF </w:t>
      </w:r>
      <w:r w:rsidRPr="00E0032C">
        <w:t>THE</w:t>
      </w:r>
      <w:r w:rsidRPr="007C4DD1">
        <w:t xml:space="preserve"> PROCEEDING</w:t>
      </w:r>
      <w:bookmarkEnd w:id="66"/>
    </w:p>
    <w:p w:rsidR="000350AD" w:rsidRPr="000350AD" w:rsidP="00DC2673" w14:paraId="29F0C63F" w14:textId="45831DC2">
      <w:pPr>
        <w:spacing w:line="240" w:lineRule="auto"/>
        <w:ind w:firstLine="720"/>
        <w:rPr>
          <w:rFonts w:ascii="Times New Roman" w:eastAsia="Times New Roman" w:hAnsi="Times New Roman" w:cs="Times New Roman"/>
        </w:rPr>
      </w:pPr>
      <w:r w:rsidRPr="000350AD">
        <w:rPr>
          <w:rFonts w:ascii="Times New Roman" w:eastAsia="Times New Roman" w:hAnsi="Times New Roman" w:cs="Times New Roman"/>
        </w:rPr>
        <w:t xml:space="preserve">In the </w:t>
      </w:r>
      <w:r w:rsidR="003106AD">
        <w:rPr>
          <w:rFonts w:ascii="Times New Roman" w:eastAsia="Times New Roman" w:hAnsi="Times New Roman" w:cs="Times New Roman"/>
          <w:i/>
        </w:rPr>
        <w:t>Second</w:t>
      </w:r>
      <w:r w:rsidRPr="000350AD" w:rsidR="003106AD">
        <w:rPr>
          <w:rFonts w:ascii="Times New Roman" w:eastAsia="Times New Roman" w:hAnsi="Times New Roman" w:cs="Times New Roman"/>
          <w:i/>
        </w:rPr>
        <w:t xml:space="preserve"> </w:t>
      </w:r>
      <w:r w:rsidRPr="000350AD">
        <w:rPr>
          <w:rFonts w:ascii="Times New Roman" w:eastAsia="Times New Roman" w:hAnsi="Times New Roman" w:cs="Times New Roman"/>
          <w:i/>
        </w:rPr>
        <w:t>Report and Order</w:t>
      </w:r>
      <w:r w:rsidRPr="000350AD">
        <w:rPr>
          <w:rFonts w:ascii="Times New Roman" w:eastAsia="Times New Roman" w:hAnsi="Times New Roman" w:cs="Times New Roman"/>
        </w:rPr>
        <w:t xml:space="preserve"> (</w:t>
      </w:r>
      <w:r w:rsidRPr="000350AD">
        <w:rPr>
          <w:rFonts w:ascii="Times New Roman" w:eastAsia="Times New Roman" w:hAnsi="Times New Roman" w:cs="Times New Roman"/>
          <w:i/>
        </w:rPr>
        <w:t>Order</w:t>
      </w:r>
      <w:r w:rsidRPr="000350AD">
        <w:rPr>
          <w:rFonts w:ascii="Times New Roman" w:eastAsia="Times New Roman" w:hAnsi="Times New Roman" w:cs="Times New Roman"/>
        </w:rPr>
        <w:t xml:space="preserve">) in </w:t>
      </w:r>
      <w:r w:rsidR="003106AD">
        <w:rPr>
          <w:rFonts w:ascii="Times New Roman" w:eastAsia="Times New Roman" w:hAnsi="Times New Roman" w:cs="Times New Roman"/>
        </w:rPr>
        <w:t xml:space="preserve">FCC 19-126, </w:t>
      </w:r>
      <w:r w:rsidRPr="000350AD">
        <w:rPr>
          <w:rFonts w:ascii="Times New Roman" w:eastAsia="Times New Roman" w:hAnsi="Times New Roman" w:cs="Times New Roman"/>
        </w:rPr>
        <w:t>ET Docket</w:t>
      </w:r>
      <w:r w:rsidR="003106AD">
        <w:rPr>
          <w:rFonts w:ascii="Times New Roman" w:eastAsia="Times New Roman" w:hAnsi="Times New Roman" w:cs="Times New Roman"/>
        </w:rPr>
        <w:t xml:space="preserve"> No.</w:t>
      </w:r>
      <w:r w:rsidRPr="000350AD">
        <w:rPr>
          <w:rFonts w:ascii="Times New Roman" w:eastAsia="Times New Roman" w:hAnsi="Times New Roman" w:cs="Times New Roman"/>
        </w:rPr>
        <w:t xml:space="preserve"> 03-137</w:t>
      </w:r>
      <w:r w:rsidR="003106AD">
        <w:rPr>
          <w:rFonts w:ascii="Times New Roman" w:eastAsia="Times New Roman" w:hAnsi="Times New Roman" w:cs="Times New Roman"/>
        </w:rPr>
        <w:t>,</w:t>
      </w:r>
      <w:r w:rsidRPr="000350AD">
        <w:rPr>
          <w:rFonts w:ascii="Times New Roman" w:eastAsia="Times New Roman" w:hAnsi="Times New Roman" w:cs="Times New Roman"/>
        </w:rPr>
        <w:t xml:space="preserve"> </w:t>
      </w:r>
      <w:r w:rsidR="003106AD">
        <w:rPr>
          <w:rFonts w:ascii="Times New Roman" w:eastAsia="Times New Roman" w:hAnsi="Times New Roman" w:cs="Times New Roman"/>
        </w:rPr>
        <w:t>released</w:t>
      </w:r>
      <w:r w:rsidRPr="000350AD" w:rsidR="003106AD">
        <w:rPr>
          <w:rFonts w:ascii="Times New Roman" w:eastAsia="Times New Roman" w:hAnsi="Times New Roman" w:cs="Times New Roman"/>
        </w:rPr>
        <w:t xml:space="preserve"> </w:t>
      </w:r>
      <w:r w:rsidR="003106AD">
        <w:rPr>
          <w:rFonts w:ascii="Times New Roman" w:eastAsia="Times New Roman" w:hAnsi="Times New Roman" w:cs="Times New Roman"/>
        </w:rPr>
        <w:t>December 4, 2019</w:t>
      </w:r>
      <w:r w:rsidRPr="000350AD">
        <w:rPr>
          <w:rFonts w:ascii="Times New Roman" w:eastAsia="Times New Roman" w:hAnsi="Times New Roman" w:cs="Times New Roman"/>
        </w:rPr>
        <w:t>, the Commission amended Part</w:t>
      </w:r>
      <w:r w:rsidR="00DE0B36">
        <w:rPr>
          <w:rFonts w:ascii="Times New Roman" w:eastAsia="Times New Roman" w:hAnsi="Times New Roman" w:cs="Times New Roman"/>
        </w:rPr>
        <w:t>s</w:t>
      </w:r>
      <w:r w:rsidRPr="000350AD">
        <w:rPr>
          <w:rFonts w:ascii="Times New Roman" w:eastAsia="Times New Roman" w:hAnsi="Times New Roman" w:cs="Times New Roman"/>
        </w:rPr>
        <w:t xml:space="preserve"> </w:t>
      </w:r>
      <w:r w:rsidRPr="00DE0B36" w:rsidR="00DE0B36">
        <w:rPr>
          <w:rFonts w:ascii="Times New Roman" w:eastAsia="Times New Roman" w:hAnsi="Times New Roman" w:cs="Times New Roman"/>
        </w:rPr>
        <w:t>1, 2,</w:t>
      </w:r>
      <w:r w:rsidR="00DE0B36">
        <w:rPr>
          <w:rFonts w:ascii="Times New Roman" w:eastAsia="Times New Roman" w:hAnsi="Times New Roman" w:cs="Times New Roman"/>
        </w:rPr>
        <w:t xml:space="preserve"> </w:t>
      </w:r>
      <w:r w:rsidRPr="00DE0B36" w:rsidR="00DE0B36">
        <w:rPr>
          <w:rFonts w:ascii="Times New Roman" w:eastAsia="Times New Roman" w:hAnsi="Times New Roman" w:cs="Times New Roman"/>
        </w:rPr>
        <w:t>15, 18, 22, 24, 25, 27, 73, 90, 95, 97, and 101</w:t>
      </w:r>
      <w:r w:rsidRPr="000350AD">
        <w:rPr>
          <w:rFonts w:ascii="Times New Roman" w:eastAsia="Times New Roman" w:hAnsi="Times New Roman" w:cs="Times New Roman"/>
        </w:rPr>
        <w:t xml:space="preserve"> of its rules </w:t>
      </w:r>
      <w:r w:rsidR="00DE0B36">
        <w:rPr>
          <w:rFonts w:ascii="Times New Roman" w:eastAsia="Times New Roman" w:hAnsi="Times New Roman" w:cs="Times New Roman"/>
        </w:rPr>
        <w:t>governing compliance with its</w:t>
      </w:r>
      <w:r w:rsidRPr="00DE0B36" w:rsidR="00DE0B36">
        <w:rPr>
          <w:rFonts w:ascii="Times New Roman" w:eastAsia="Times New Roman" w:hAnsi="Times New Roman" w:cs="Times New Roman"/>
        </w:rPr>
        <w:t xml:space="preserve"> </w:t>
      </w:r>
      <w:r w:rsidR="00DE0B36">
        <w:rPr>
          <w:rFonts w:ascii="Times New Roman" w:eastAsia="Times New Roman" w:hAnsi="Times New Roman" w:cs="Times New Roman"/>
        </w:rPr>
        <w:t>radiofrequency (</w:t>
      </w:r>
      <w:r w:rsidRPr="00DE0B36" w:rsidR="00DE0B36">
        <w:rPr>
          <w:rFonts w:ascii="Times New Roman" w:eastAsia="Times New Roman" w:hAnsi="Times New Roman" w:cs="Times New Roman"/>
        </w:rPr>
        <w:t>RF</w:t>
      </w:r>
      <w:r w:rsidR="00DE0B36">
        <w:rPr>
          <w:rFonts w:ascii="Times New Roman" w:eastAsia="Times New Roman" w:hAnsi="Times New Roman" w:cs="Times New Roman"/>
        </w:rPr>
        <w:t>)</w:t>
      </w:r>
      <w:r w:rsidRPr="00DE0B36" w:rsidR="00DE0B36">
        <w:rPr>
          <w:rFonts w:ascii="Times New Roman" w:eastAsia="Times New Roman" w:hAnsi="Times New Roman" w:cs="Times New Roman"/>
        </w:rPr>
        <w:t xml:space="preserve"> exposure limits </w:t>
      </w:r>
      <w:r w:rsidRPr="000350AD">
        <w:rPr>
          <w:rFonts w:ascii="Times New Roman" w:eastAsia="Times New Roman" w:hAnsi="Times New Roman" w:cs="Times New Roman"/>
        </w:rPr>
        <w:t xml:space="preserve">adopted under the National Environmental Policy Act (NEPA).  </w:t>
      </w:r>
      <w:r w:rsidR="00DE0B36">
        <w:rPr>
          <w:rFonts w:ascii="Times New Roman" w:eastAsia="Times New Roman" w:hAnsi="Times New Roman" w:cs="Times New Roman"/>
        </w:rPr>
        <w:t xml:space="preserve">The </w:t>
      </w:r>
      <w:r w:rsidR="00DE0B36">
        <w:rPr>
          <w:rFonts w:ascii="Times New Roman" w:eastAsia="Times New Roman" w:hAnsi="Times New Roman" w:cs="Times New Roman"/>
          <w:i/>
          <w:iCs/>
        </w:rPr>
        <w:t>Order</w:t>
      </w:r>
      <w:r w:rsidR="00DE0B36">
        <w:rPr>
          <w:rFonts w:ascii="Times New Roman" w:eastAsia="Times New Roman" w:hAnsi="Times New Roman" w:cs="Times New Roman"/>
        </w:rPr>
        <w:t xml:space="preserve"> </w:t>
      </w:r>
      <w:r w:rsidR="007D5F51">
        <w:rPr>
          <w:rFonts w:ascii="Times New Roman" w:eastAsia="Times New Roman" w:hAnsi="Times New Roman" w:cs="Times New Roman"/>
        </w:rPr>
        <w:t>simplified</w:t>
      </w:r>
      <w:r w:rsidR="00DE0B36">
        <w:rPr>
          <w:rFonts w:ascii="Times New Roman" w:eastAsia="Times New Roman" w:hAnsi="Times New Roman" w:cs="Times New Roman"/>
        </w:rPr>
        <w:t xml:space="preserve"> the </w:t>
      </w:r>
      <w:r w:rsidR="007D5F51">
        <w:rPr>
          <w:rFonts w:ascii="Times New Roman" w:eastAsia="Times New Roman" w:hAnsi="Times New Roman" w:cs="Times New Roman"/>
        </w:rPr>
        <w:t>regulatory framework</w:t>
      </w:r>
      <w:r w:rsidR="00DE0B36">
        <w:rPr>
          <w:rFonts w:ascii="Times New Roman" w:eastAsia="Times New Roman" w:hAnsi="Times New Roman" w:cs="Times New Roman"/>
        </w:rPr>
        <w:t xml:space="preserve"> for </w:t>
      </w:r>
      <w:r w:rsidRPr="00DE0B36" w:rsidR="00DE0B36">
        <w:rPr>
          <w:rFonts w:ascii="Times New Roman" w:eastAsia="Times New Roman" w:hAnsi="Times New Roman" w:cs="Times New Roman"/>
        </w:rPr>
        <w:t>determining compliance with the Commission's existing RF</w:t>
      </w:r>
      <w:r w:rsidR="00DE0B36">
        <w:rPr>
          <w:rFonts w:ascii="Times New Roman" w:eastAsia="Times New Roman" w:hAnsi="Times New Roman" w:cs="Times New Roman"/>
        </w:rPr>
        <w:t xml:space="preserve"> </w:t>
      </w:r>
      <w:r w:rsidRPr="00DE0B36" w:rsidR="00DE0B36">
        <w:rPr>
          <w:rFonts w:ascii="Times New Roman" w:eastAsia="Times New Roman" w:hAnsi="Times New Roman" w:cs="Times New Roman"/>
        </w:rPr>
        <w:t>exposure limits</w:t>
      </w:r>
      <w:r w:rsidR="007D5F51">
        <w:rPr>
          <w:rFonts w:ascii="Times New Roman" w:eastAsia="Times New Roman" w:hAnsi="Times New Roman" w:cs="Times New Roman"/>
        </w:rPr>
        <w:t xml:space="preserve"> </w:t>
      </w:r>
      <w:r w:rsidRPr="007D5F51" w:rsidR="007D5F51">
        <w:rPr>
          <w:rFonts w:ascii="Times New Roman" w:eastAsia="Times New Roman" w:hAnsi="Times New Roman" w:cs="Times New Roman"/>
        </w:rPr>
        <w:t>by providing more efficient, practical, and consistent RF exposure exemption criteria, evaluation procedures, and mitigation measures</w:t>
      </w:r>
      <w:r w:rsidR="00C731F2">
        <w:rPr>
          <w:rFonts w:ascii="Times New Roman" w:eastAsia="Times New Roman" w:hAnsi="Times New Roman" w:cs="Times New Roman"/>
        </w:rPr>
        <w:t xml:space="preserve">.  These changes </w:t>
      </w:r>
      <w:r w:rsidRPr="007D5F51" w:rsidR="007D5F51">
        <w:rPr>
          <w:rFonts w:ascii="Times New Roman" w:eastAsia="Times New Roman" w:hAnsi="Times New Roman" w:cs="Times New Roman"/>
        </w:rPr>
        <w:t>help ensure compliance with the RF exposure limits</w:t>
      </w:r>
      <w:r w:rsidR="007D5F51">
        <w:rPr>
          <w:rFonts w:ascii="Times New Roman" w:eastAsia="Times New Roman" w:hAnsi="Times New Roman" w:cs="Times New Roman"/>
        </w:rPr>
        <w:t xml:space="preserve"> and reduce the potential burden from misinterpreting the rules.  </w:t>
      </w:r>
      <w:r w:rsidRPr="000350AD">
        <w:rPr>
          <w:rFonts w:ascii="Times New Roman" w:eastAsia="Times New Roman" w:hAnsi="Times New Roman" w:cs="Times New Roman"/>
        </w:rPr>
        <w:t>These changes alone should not significantly affect most small entities</w:t>
      </w:r>
      <w:r w:rsidR="0093392E">
        <w:rPr>
          <w:rFonts w:ascii="Times New Roman" w:eastAsia="Times New Roman" w:hAnsi="Times New Roman" w:cs="Times New Roman"/>
        </w:rPr>
        <w:t xml:space="preserve"> (i.e., small businesses, small organizations, and small governmental jurisdictions)</w:t>
      </w:r>
      <w:r w:rsidRPr="000350AD">
        <w:rPr>
          <w:rFonts w:ascii="Times New Roman" w:eastAsia="Times New Roman" w:hAnsi="Times New Roman" w:cs="Times New Roman"/>
        </w:rPr>
        <w:t xml:space="preserve">.  However, compliance with the exposure limits continues to be a general requirement affecting both manufacturers and operators of RF devices and transmitters alike, and existing reference material on evaluating compliance is a significant body of information.  This material, available on the Commission’s website, is continually being updated as necessary to keep up with changes in technology.  Given that the </w:t>
      </w:r>
      <w:r w:rsidRPr="000350AD">
        <w:rPr>
          <w:rFonts w:ascii="Times New Roman" w:eastAsia="Times New Roman" w:hAnsi="Times New Roman" w:cs="Times New Roman"/>
          <w:i/>
        </w:rPr>
        <w:t>Order</w:t>
      </w:r>
      <w:r w:rsidRPr="000350AD">
        <w:rPr>
          <w:rFonts w:ascii="Times New Roman" w:eastAsia="Times New Roman" w:hAnsi="Times New Roman" w:cs="Times New Roman"/>
        </w:rPr>
        <w:t xml:space="preserve"> only makes adjustments to the rules</w:t>
      </w:r>
      <w:r w:rsidR="00D62F9F">
        <w:rPr>
          <w:rFonts w:ascii="Times New Roman" w:eastAsia="Times New Roman" w:hAnsi="Times New Roman" w:cs="Times New Roman"/>
        </w:rPr>
        <w:t>,</w:t>
      </w:r>
      <w:r w:rsidRPr="000350AD">
        <w:rPr>
          <w:rFonts w:ascii="Times New Roman" w:eastAsia="Times New Roman" w:hAnsi="Times New Roman" w:cs="Times New Roman"/>
        </w:rPr>
        <w:t xml:space="preserve"> and compliance with the exposure limits is an on-going requirement, the purpose of this document is to supplement existing guidance, noting any changes due to the </w:t>
      </w:r>
      <w:r w:rsidRPr="000350AD">
        <w:rPr>
          <w:rFonts w:ascii="Times New Roman" w:eastAsia="Times New Roman" w:hAnsi="Times New Roman" w:cs="Times New Roman"/>
          <w:i/>
        </w:rPr>
        <w:t>Order</w:t>
      </w:r>
      <w:r w:rsidRPr="000350AD">
        <w:rPr>
          <w:rFonts w:ascii="Times New Roman" w:eastAsia="Times New Roman" w:hAnsi="Times New Roman" w:cs="Times New Roman"/>
        </w:rPr>
        <w:t xml:space="preserve"> that affect the steps that small entities are already required to perform to show compliance with the Commission’s RF Safety rules.</w:t>
      </w:r>
    </w:p>
    <w:p w:rsidR="003F5E11" w:rsidRPr="00C86836" w:rsidP="00DC2673" w14:paraId="440B2A9F" w14:textId="44B9E238">
      <w:pPr>
        <w:pStyle w:val="Heading1"/>
      </w:pPr>
      <w:bookmarkStart w:id="67" w:name="_Toc55643500"/>
      <w:bookmarkStart w:id="68" w:name="_Toc55643683"/>
      <w:bookmarkStart w:id="69" w:name="_Toc55644692"/>
      <w:bookmarkStart w:id="70" w:name="_Toc55644742"/>
      <w:bookmarkStart w:id="71" w:name="_Toc55645014"/>
      <w:bookmarkStart w:id="72" w:name="_Toc55645015"/>
      <w:bookmarkEnd w:id="67"/>
      <w:bookmarkEnd w:id="68"/>
      <w:bookmarkEnd w:id="69"/>
      <w:bookmarkEnd w:id="70"/>
      <w:bookmarkEnd w:id="71"/>
      <w:r w:rsidRPr="00C86836">
        <w:t>COMPLIANCE REQUIREMENTS</w:t>
      </w:r>
      <w:bookmarkEnd w:id="72"/>
    </w:p>
    <w:p w:rsidR="00714459" w:rsidP="00DC2673" w14:paraId="5E0C05FA" w14:textId="36ABEF5B">
      <w:pPr>
        <w:spacing w:line="240" w:lineRule="auto"/>
        <w:ind w:firstLine="720"/>
        <w:rPr>
          <w:rFonts w:ascii="Times New Roman" w:eastAsia="Times New Roman" w:hAnsi="Times New Roman" w:cs="Times New Roman"/>
        </w:rPr>
      </w:pPr>
      <w:r>
        <w:rPr>
          <w:rFonts w:ascii="Times New Roman" w:eastAsia="Times New Roman" w:hAnsi="Times New Roman" w:cs="Times New Roman"/>
        </w:rPr>
        <w:t>C</w:t>
      </w:r>
      <w:r w:rsidRPr="009F33A9">
        <w:rPr>
          <w:rFonts w:ascii="Times New Roman" w:eastAsia="Times New Roman" w:hAnsi="Times New Roman" w:cs="Times New Roman"/>
        </w:rPr>
        <w:t xml:space="preserve">ompliance with the </w:t>
      </w:r>
      <w:r>
        <w:rPr>
          <w:rFonts w:ascii="Times New Roman" w:eastAsia="Times New Roman" w:hAnsi="Times New Roman" w:cs="Times New Roman"/>
        </w:rPr>
        <w:t xml:space="preserve">Commission’s </w:t>
      </w:r>
      <w:r w:rsidRPr="009F33A9">
        <w:rPr>
          <w:rFonts w:ascii="Times New Roman" w:eastAsia="Times New Roman" w:hAnsi="Times New Roman" w:cs="Times New Roman"/>
        </w:rPr>
        <w:t>RF exposure limits</w:t>
      </w:r>
      <w:r>
        <w:rPr>
          <w:rFonts w:ascii="Times New Roman" w:eastAsia="Times New Roman" w:hAnsi="Times New Roman" w:cs="Times New Roman"/>
        </w:rPr>
        <w:t xml:space="preserve"> </w:t>
      </w:r>
      <w:r w:rsidRPr="000350AD">
        <w:rPr>
          <w:rFonts w:ascii="Times New Roman" w:eastAsia="Times New Roman" w:hAnsi="Times New Roman" w:cs="Times New Roman"/>
        </w:rPr>
        <w:t>in section 1.1310 of the Commission’s rules, 47 C.F.R. § 1.1310,</w:t>
      </w:r>
      <w:r w:rsidRPr="009F33A9">
        <w:rPr>
          <w:rFonts w:ascii="Times New Roman" w:eastAsia="Times New Roman" w:hAnsi="Times New Roman" w:cs="Times New Roman"/>
        </w:rPr>
        <w:t xml:space="preserve"> is an</w:t>
      </w:r>
      <w:r>
        <w:rPr>
          <w:rFonts w:ascii="Times New Roman" w:eastAsia="Times New Roman" w:hAnsi="Times New Roman" w:cs="Times New Roman"/>
        </w:rPr>
        <w:t xml:space="preserve"> </w:t>
      </w:r>
      <w:r w:rsidRPr="009F33A9">
        <w:rPr>
          <w:rFonts w:ascii="Times New Roman" w:eastAsia="Times New Roman" w:hAnsi="Times New Roman" w:cs="Times New Roman"/>
        </w:rPr>
        <w:t>existing requirement that applies to all licensees, as well as grantees of portable, mobile, and unlicensed</w:t>
      </w:r>
      <w:r>
        <w:rPr>
          <w:rFonts w:ascii="Times New Roman" w:eastAsia="Times New Roman" w:hAnsi="Times New Roman" w:cs="Times New Roman"/>
        </w:rPr>
        <w:t xml:space="preserve"> </w:t>
      </w:r>
      <w:r w:rsidRPr="009F33A9">
        <w:rPr>
          <w:rFonts w:ascii="Times New Roman" w:eastAsia="Times New Roman" w:hAnsi="Times New Roman" w:cs="Times New Roman"/>
        </w:rPr>
        <w:t>device equipment authorizations</w:t>
      </w:r>
      <w:r>
        <w:rPr>
          <w:rFonts w:ascii="Times New Roman" w:eastAsia="Times New Roman" w:hAnsi="Times New Roman" w:cs="Times New Roman"/>
        </w:rPr>
        <w:t xml:space="preserve">.  </w:t>
      </w:r>
      <w:r>
        <w:rPr>
          <w:rFonts w:ascii="TimesNewRomanPSMT" w:hAnsi="TimesNewRomanPSMT" w:cs="TimesNewRomanPSMT"/>
        </w:rPr>
        <w:t xml:space="preserve">Licensees and grantees are always responsible for </w:t>
      </w:r>
      <w:r w:rsidRPr="00DC2673">
        <w:rPr>
          <w:rFonts w:ascii="Times New Roman" w:eastAsia="Times New Roman" w:hAnsi="Times New Roman" w:cs="Times New Roman"/>
        </w:rPr>
        <w:t>the</w:t>
      </w:r>
      <w:r>
        <w:rPr>
          <w:rFonts w:ascii="TimesNewRomanPSMT" w:hAnsi="TimesNewRomanPSMT" w:cs="TimesNewRomanPSMT"/>
        </w:rPr>
        <w:t xml:space="preserve"> compliance of their sites and their equipment in protecting persons from RF exposure </w:t>
      </w:r>
      <w:r>
        <w:rPr>
          <w:rFonts w:ascii="TimesNewRomanPSMT" w:hAnsi="TimesNewRomanPSMT" w:cs="TimesNewRomanPSMT"/>
        </w:rPr>
        <w:t>in excess of</w:t>
      </w:r>
      <w:r>
        <w:rPr>
          <w:rFonts w:ascii="TimesNewRomanPSMT" w:hAnsi="TimesNewRomanPSMT" w:cs="TimesNewRomanPSMT"/>
        </w:rPr>
        <w:t xml:space="preserve"> the limits.  Still, the new rules provide greater clarity and certainty to licensees, equipment manufacturers, and the public.</w:t>
      </w:r>
    </w:p>
    <w:p w:rsidR="002229C4" w:rsidP="00DC2673" w14:paraId="4A53E41A" w14:textId="765A753E">
      <w:pPr>
        <w:spacing w:line="240" w:lineRule="auto"/>
        <w:ind w:firstLine="720"/>
        <w:rPr>
          <w:rFonts w:ascii="Times New Roman" w:eastAsia="Times New Roman" w:hAnsi="Times New Roman" w:cs="Times New Roman"/>
        </w:rPr>
      </w:pPr>
      <w:r w:rsidRPr="000350AD">
        <w:rPr>
          <w:rFonts w:ascii="Times New Roman" w:eastAsia="Times New Roman" w:hAnsi="Times New Roman" w:cs="Times New Roman"/>
        </w:rPr>
        <w:t xml:space="preserve">While the rules state – as a </w:t>
      </w:r>
      <w:r w:rsidR="009A64DC">
        <w:rPr>
          <w:rFonts w:ascii="Times New Roman" w:eastAsia="Times New Roman" w:hAnsi="Times New Roman" w:cs="Times New Roman"/>
        </w:rPr>
        <w:t>NEPA</w:t>
      </w:r>
      <w:r w:rsidRPr="000350AD">
        <w:rPr>
          <w:rFonts w:ascii="Times New Roman" w:eastAsia="Times New Roman" w:hAnsi="Times New Roman" w:cs="Times New Roman"/>
        </w:rPr>
        <w:t xml:space="preserve"> processing requirement – that a formal </w:t>
      </w:r>
      <w:r w:rsidRPr="000350AD">
        <w:rPr>
          <w:rFonts w:ascii="Times New Roman" w:eastAsia="Times New Roman" w:hAnsi="Times New Roman" w:cs="Times New Roman"/>
          <w:i/>
        </w:rPr>
        <w:t>Environmental Assessment</w:t>
      </w:r>
      <w:r w:rsidRPr="000350AD">
        <w:rPr>
          <w:rFonts w:ascii="Times New Roman" w:eastAsia="Times New Roman" w:hAnsi="Times New Roman" w:cs="Times New Roman"/>
        </w:rPr>
        <w:t xml:space="preserve"> must be submitted in the event that the exposure limits are to be exceeded, this wording was not intended to suggest that exposure over these limits could be allowed with the submission of an Environmental Assessment.  In fact, given the potential negative impact on the quality of the human environment of such an allowance,</w:t>
      </w:r>
      <w:r w:rsidRPr="000350AD">
        <w:rPr>
          <w:rFonts w:ascii="Times New Roman" w:eastAsia="Times New Roman" w:hAnsi="Times New Roman" w:cs="Times New Roman"/>
        </w:rPr>
        <w:t xml:space="preserve"> </w:t>
      </w:r>
      <w:r w:rsidRPr="000350AD">
        <w:rPr>
          <w:rFonts w:ascii="Times New Roman" w:eastAsia="Times New Roman" w:hAnsi="Times New Roman" w:cs="Times New Roman"/>
        </w:rPr>
        <w:t xml:space="preserve">the Commission has never accepted an Environmental Assessment for this purpose.  The Commission does, as part of its licensing and equipment authorization processes, accept and publish </w:t>
      </w:r>
      <w:r w:rsidRPr="009A64DC">
        <w:rPr>
          <w:rFonts w:ascii="Times New Roman" w:eastAsia="Times New Roman" w:hAnsi="Times New Roman" w:cs="Times New Roman"/>
        </w:rPr>
        <w:t xml:space="preserve">two methods for determining and achieving compliance with the </w:t>
      </w:r>
      <w:r>
        <w:rPr>
          <w:rFonts w:ascii="Times New Roman" w:eastAsia="Times New Roman" w:hAnsi="Times New Roman" w:cs="Times New Roman"/>
        </w:rPr>
        <w:t>exposure limits</w:t>
      </w:r>
      <w:r w:rsidRPr="009A64DC">
        <w:rPr>
          <w:rFonts w:ascii="Times New Roman" w:eastAsia="Times New Roman" w:hAnsi="Times New Roman" w:cs="Times New Roman"/>
        </w:rPr>
        <w:t xml:space="preserve">: </w:t>
      </w:r>
      <w:r w:rsidRPr="001A74A5">
        <w:rPr>
          <w:rFonts w:ascii="Times New Roman" w:eastAsia="Times New Roman" w:hAnsi="Times New Roman" w:cs="Times New Roman"/>
          <w:i/>
          <w:iCs/>
        </w:rPr>
        <w:t>Exemption</w:t>
      </w:r>
      <w:r>
        <w:rPr>
          <w:rStyle w:val="FootnoteReference"/>
          <w:rFonts w:ascii="Times New Roman" w:eastAsia="Times New Roman" w:hAnsi="Times New Roman" w:cs="Times New Roman"/>
        </w:rPr>
        <w:footnoteReference w:id="3"/>
      </w:r>
      <w:r w:rsidRPr="009A64DC">
        <w:rPr>
          <w:rFonts w:ascii="Times New Roman" w:eastAsia="Times New Roman" w:hAnsi="Times New Roman" w:cs="Times New Roman"/>
        </w:rPr>
        <w:t xml:space="preserve">—consideration of whether a particular device or deployment is so clearly compliant, based on criteria in the Commission's rules, that it qualifies as exempt from the requirement to undertake a more thorough RF exposure analysis—and </w:t>
      </w:r>
      <w:r w:rsidRPr="001A74A5">
        <w:rPr>
          <w:rFonts w:ascii="Times New Roman" w:eastAsia="Times New Roman" w:hAnsi="Times New Roman" w:cs="Times New Roman"/>
          <w:i/>
          <w:iCs/>
        </w:rPr>
        <w:t>evaluation</w:t>
      </w:r>
      <w:r w:rsidRPr="009A64DC">
        <w:rPr>
          <w:rFonts w:ascii="Times New Roman" w:eastAsia="Times New Roman" w:hAnsi="Times New Roman" w:cs="Times New Roman"/>
        </w:rPr>
        <w:t>—a more specific examination of an individual</w:t>
      </w:r>
      <w:r>
        <w:rPr>
          <w:rFonts w:ascii="Times New Roman" w:eastAsia="Times New Roman" w:hAnsi="Times New Roman" w:cs="Times New Roman"/>
        </w:rPr>
        <w:t xml:space="preserve"> </w:t>
      </w:r>
      <w:r w:rsidRPr="009A64DC">
        <w:rPr>
          <w:rFonts w:ascii="Times New Roman" w:eastAsia="Times New Roman" w:hAnsi="Times New Roman" w:cs="Times New Roman"/>
        </w:rPr>
        <w:t xml:space="preserve">site or device, which considers factors beyond those utilized for exemption and may be performed with a variety of computational and/or measurement methodologies. </w:t>
      </w:r>
      <w:r>
        <w:rPr>
          <w:rFonts w:ascii="Times New Roman" w:eastAsia="Times New Roman" w:hAnsi="Times New Roman" w:cs="Times New Roman"/>
        </w:rPr>
        <w:t>The Commission also provides</w:t>
      </w:r>
      <w:r w:rsidRPr="009A64DC">
        <w:rPr>
          <w:rFonts w:ascii="Times New Roman" w:eastAsia="Times New Roman" w:hAnsi="Times New Roman" w:cs="Times New Roman"/>
        </w:rPr>
        <w:t xml:space="preserve"> rules related to </w:t>
      </w:r>
      <w:r w:rsidRPr="001A74A5">
        <w:rPr>
          <w:rFonts w:ascii="Times New Roman" w:eastAsia="Times New Roman" w:hAnsi="Times New Roman" w:cs="Times New Roman"/>
          <w:i/>
          <w:iCs/>
        </w:rPr>
        <w:t>mitigation</w:t>
      </w:r>
      <w:r w:rsidR="001C4A7A">
        <w:rPr>
          <w:rFonts w:ascii="Times New Roman" w:eastAsia="Times New Roman" w:hAnsi="Times New Roman" w:cs="Times New Roman"/>
          <w:i/>
          <w:iCs/>
        </w:rPr>
        <w:t xml:space="preserve"> </w:t>
      </w:r>
      <w:r w:rsidRPr="00AE1764" w:rsidR="00605AD6">
        <w:rPr>
          <w:rFonts w:ascii="Times New Roman" w:eastAsia="Times New Roman" w:hAnsi="Times New Roman" w:cs="Times New Roman"/>
        </w:rPr>
        <w:t xml:space="preserve">in </w:t>
      </w:r>
      <w:r w:rsidRPr="000350AD" w:rsidR="00274AF0">
        <w:rPr>
          <w:rFonts w:ascii="Times New Roman" w:eastAsia="Times New Roman" w:hAnsi="Times New Roman" w:cs="Times New Roman"/>
        </w:rPr>
        <w:t>47 C.F.R. §</w:t>
      </w:r>
      <w:r w:rsidRPr="00AE1764" w:rsidR="00871128">
        <w:rPr>
          <w:rFonts w:ascii="Times New Roman" w:eastAsia="Times New Roman" w:hAnsi="Times New Roman" w:cs="Times New Roman"/>
        </w:rPr>
        <w:t xml:space="preserve"> 1.</w:t>
      </w:r>
      <w:r w:rsidR="00E64B02">
        <w:rPr>
          <w:rFonts w:ascii="Times New Roman" w:eastAsia="Times New Roman" w:hAnsi="Times New Roman" w:cs="Times New Roman"/>
        </w:rPr>
        <w:t>1</w:t>
      </w:r>
      <w:r w:rsidRPr="00AE1764" w:rsidR="00871128">
        <w:rPr>
          <w:rFonts w:ascii="Times New Roman" w:eastAsia="Times New Roman" w:hAnsi="Times New Roman" w:cs="Times New Roman"/>
        </w:rPr>
        <w:t>307</w:t>
      </w:r>
      <w:r w:rsidRPr="009A64DC">
        <w:rPr>
          <w:rFonts w:ascii="Times New Roman" w:eastAsia="Times New Roman" w:hAnsi="Times New Roman" w:cs="Times New Roman"/>
        </w:rPr>
        <w:t>—the restriction from or limitation of RF exposure in controlled areas to keep RF exposure within the Commission's established limits by, for example, using signs or barriers.</w:t>
      </w:r>
    </w:p>
    <w:p w:rsidR="009F33A9" w14:paraId="3CE969E2" w14:textId="74CEE24E">
      <w:pPr>
        <w:spacing w:line="240" w:lineRule="auto"/>
        <w:ind w:firstLine="720"/>
        <w:rPr>
          <w:rFonts w:ascii="Times New Roman" w:eastAsia="Times New Roman" w:hAnsi="Times New Roman" w:cs="Times New Roman"/>
        </w:rPr>
      </w:pPr>
      <w:r>
        <w:rPr>
          <w:rFonts w:ascii="Times New Roman" w:eastAsia="Times New Roman" w:hAnsi="Times New Roman" w:cs="Times New Roman"/>
        </w:rPr>
        <w:t>T</w:t>
      </w:r>
      <w:r w:rsidRPr="000350AD" w:rsidR="000350AD">
        <w:rPr>
          <w:rFonts w:ascii="Times New Roman" w:eastAsia="Times New Roman" w:hAnsi="Times New Roman" w:cs="Times New Roman"/>
        </w:rPr>
        <w:t xml:space="preserve">he </w:t>
      </w:r>
      <w:r w:rsidRPr="000350AD" w:rsidR="000350AD">
        <w:rPr>
          <w:rFonts w:ascii="Times New Roman" w:eastAsia="Times New Roman" w:hAnsi="Times New Roman" w:cs="Times New Roman"/>
          <w:i/>
        </w:rPr>
        <w:t>Order</w:t>
      </w:r>
      <w:r w:rsidRPr="000350AD" w:rsidR="000350AD">
        <w:rPr>
          <w:rFonts w:ascii="Times New Roman" w:eastAsia="Times New Roman" w:hAnsi="Times New Roman" w:cs="Times New Roman"/>
        </w:rPr>
        <w:t xml:space="preserve"> include</w:t>
      </w:r>
      <w:r w:rsidR="007B7E53">
        <w:rPr>
          <w:rFonts w:ascii="Times New Roman" w:eastAsia="Times New Roman" w:hAnsi="Times New Roman" w:cs="Times New Roman"/>
        </w:rPr>
        <w:t>d</w:t>
      </w:r>
      <w:r w:rsidRPr="000350AD" w:rsidR="000350AD">
        <w:rPr>
          <w:rFonts w:ascii="Times New Roman" w:eastAsia="Times New Roman" w:hAnsi="Times New Roman" w:cs="Times New Roman"/>
        </w:rPr>
        <w:t xml:space="preserve"> </w:t>
      </w:r>
      <w:r w:rsidR="00E7149A">
        <w:rPr>
          <w:rFonts w:ascii="Times New Roman" w:eastAsia="Times New Roman" w:hAnsi="Times New Roman" w:cs="Times New Roman"/>
        </w:rPr>
        <w:t>three</w:t>
      </w:r>
      <w:r w:rsidRPr="000350AD" w:rsidR="00E7149A">
        <w:rPr>
          <w:rFonts w:ascii="Times New Roman" w:eastAsia="Times New Roman" w:hAnsi="Times New Roman" w:cs="Times New Roman"/>
        </w:rPr>
        <w:t xml:space="preserve"> </w:t>
      </w:r>
      <w:r w:rsidRPr="000350AD" w:rsidR="000350AD">
        <w:rPr>
          <w:rFonts w:ascii="Times New Roman" w:eastAsia="Times New Roman" w:hAnsi="Times New Roman" w:cs="Times New Roman"/>
        </w:rPr>
        <w:t>major sections: (</w:t>
      </w:r>
      <w:r>
        <w:rPr>
          <w:rFonts w:ascii="Times New Roman" w:eastAsia="Times New Roman" w:hAnsi="Times New Roman" w:cs="Times New Roman"/>
        </w:rPr>
        <w:t>A</w:t>
      </w:r>
      <w:r w:rsidRPr="000350AD" w:rsidR="000350AD">
        <w:rPr>
          <w:rFonts w:ascii="Times New Roman" w:eastAsia="Times New Roman" w:hAnsi="Times New Roman" w:cs="Times New Roman"/>
        </w:rPr>
        <w:t xml:space="preserve">) </w:t>
      </w:r>
      <w:r w:rsidR="00E7149A">
        <w:rPr>
          <w:rFonts w:ascii="Times New Roman" w:eastAsia="Times New Roman" w:hAnsi="Times New Roman" w:cs="Times New Roman"/>
        </w:rPr>
        <w:t>Exemptions from the RF exposure evaluation requirement, (</w:t>
      </w:r>
      <w:r>
        <w:rPr>
          <w:rFonts w:ascii="Times New Roman" w:eastAsia="Times New Roman" w:hAnsi="Times New Roman" w:cs="Times New Roman"/>
        </w:rPr>
        <w:t>B</w:t>
      </w:r>
      <w:r w:rsidR="00E7149A">
        <w:rPr>
          <w:rFonts w:ascii="Times New Roman" w:eastAsia="Times New Roman" w:hAnsi="Times New Roman" w:cs="Times New Roman"/>
        </w:rPr>
        <w:t xml:space="preserve">) </w:t>
      </w:r>
      <w:r w:rsidRPr="00DC2673" w:rsidR="000350AD">
        <w:rPr>
          <w:rFonts w:ascii="TimesNewRomanPSMT" w:hAnsi="TimesNewRomanPSMT" w:cs="TimesNewRomanPSMT"/>
        </w:rPr>
        <w:t>Evaluation</w:t>
      </w:r>
      <w:r w:rsidRPr="000350AD" w:rsidR="000350AD">
        <w:rPr>
          <w:rFonts w:ascii="Times New Roman" w:eastAsia="Times New Roman" w:hAnsi="Times New Roman" w:cs="Times New Roman"/>
        </w:rPr>
        <w:t xml:space="preserve"> of RF </w:t>
      </w:r>
      <w:r w:rsidR="00E7149A">
        <w:rPr>
          <w:rFonts w:ascii="Times New Roman" w:eastAsia="Times New Roman" w:hAnsi="Times New Roman" w:cs="Times New Roman"/>
        </w:rPr>
        <w:t>e</w:t>
      </w:r>
      <w:r w:rsidRPr="000350AD" w:rsidR="000350AD">
        <w:rPr>
          <w:rFonts w:ascii="Times New Roman" w:eastAsia="Times New Roman" w:hAnsi="Times New Roman" w:cs="Times New Roman"/>
        </w:rPr>
        <w:t>xposure</w:t>
      </w:r>
      <w:r w:rsidR="00E7149A">
        <w:rPr>
          <w:rFonts w:ascii="Times New Roman" w:eastAsia="Times New Roman" w:hAnsi="Times New Roman" w:cs="Times New Roman"/>
        </w:rPr>
        <w:t>,</w:t>
      </w:r>
      <w:r w:rsidRPr="000350AD" w:rsidR="000350AD">
        <w:rPr>
          <w:rFonts w:ascii="Times New Roman" w:eastAsia="Times New Roman" w:hAnsi="Times New Roman" w:cs="Times New Roman"/>
        </w:rPr>
        <w:t xml:space="preserve"> and (</w:t>
      </w:r>
      <w:r>
        <w:rPr>
          <w:rFonts w:ascii="Times New Roman" w:eastAsia="Times New Roman" w:hAnsi="Times New Roman" w:cs="Times New Roman"/>
        </w:rPr>
        <w:t>C</w:t>
      </w:r>
      <w:r w:rsidRPr="000350AD" w:rsidR="000350AD">
        <w:rPr>
          <w:rFonts w:ascii="Times New Roman" w:eastAsia="Times New Roman" w:hAnsi="Times New Roman" w:cs="Times New Roman"/>
        </w:rPr>
        <w:t xml:space="preserve">) Mitigation </w:t>
      </w:r>
      <w:r w:rsidR="00E7149A">
        <w:rPr>
          <w:rFonts w:ascii="Times New Roman" w:eastAsia="Times New Roman" w:hAnsi="Times New Roman" w:cs="Times New Roman"/>
        </w:rPr>
        <w:t xml:space="preserve">measures to ensure compliance with </w:t>
      </w:r>
      <w:r w:rsidR="00E7149A">
        <w:rPr>
          <w:rFonts w:ascii="Times New Roman" w:eastAsia="Times New Roman" w:hAnsi="Times New Roman" w:cs="Times New Roman"/>
        </w:rPr>
        <w:t>exposure limits</w:t>
      </w:r>
      <w:r w:rsidRPr="000350AD" w:rsidR="000350AD">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A brief summary</w:t>
      </w:r>
      <w:r>
        <w:rPr>
          <w:rFonts w:ascii="Times New Roman" w:eastAsia="Times New Roman" w:hAnsi="Times New Roman" w:cs="Times New Roman"/>
        </w:rPr>
        <w:t xml:space="preserve"> of these sections is provided below.  For additional information, refer to the Internet Links and references provided in</w:t>
      </w:r>
      <w:r w:rsidR="00370D55">
        <w:rPr>
          <w:rFonts w:ascii="Times New Roman" w:eastAsia="Times New Roman" w:hAnsi="Times New Roman" w:cs="Times New Roman"/>
        </w:rPr>
        <w:t xml:space="preserve"> Section </w:t>
      </w:r>
      <w:r w:rsidR="00370D55">
        <w:rPr>
          <w:rFonts w:ascii="Times New Roman" w:eastAsia="Times New Roman" w:hAnsi="Times New Roman" w:cs="Times New Roman"/>
        </w:rPr>
        <w:fldChar w:fldCharType="begin"/>
      </w:r>
      <w:r w:rsidR="00370D55">
        <w:rPr>
          <w:rFonts w:ascii="Times New Roman" w:eastAsia="Times New Roman" w:hAnsi="Times New Roman" w:cs="Times New Roman"/>
        </w:rPr>
        <w:instrText xml:space="preserve"> REF _Ref55641004 \r \p \h </w:instrText>
      </w:r>
      <w:r w:rsidR="00370D55">
        <w:rPr>
          <w:rFonts w:ascii="Times New Roman" w:eastAsia="Times New Roman" w:hAnsi="Times New Roman" w:cs="Times New Roman"/>
        </w:rPr>
        <w:fldChar w:fldCharType="separate"/>
      </w:r>
      <w:r w:rsidR="00370D55">
        <w:rPr>
          <w:rFonts w:ascii="Times New Roman" w:eastAsia="Times New Roman" w:hAnsi="Times New Roman" w:cs="Times New Roman"/>
        </w:rPr>
        <w:t>V below</w:t>
      </w:r>
      <w:r w:rsidR="00370D55">
        <w:rPr>
          <w:rFonts w:ascii="Times New Roman" w:eastAsia="Times New Roman" w:hAnsi="Times New Roman" w:cs="Times New Roman"/>
        </w:rPr>
        <w:fldChar w:fldCharType="end"/>
      </w:r>
      <w:r>
        <w:rPr>
          <w:rFonts w:ascii="Times New Roman" w:eastAsia="Times New Roman" w:hAnsi="Times New Roman" w:cs="Times New Roman"/>
        </w:rPr>
        <w:t>.</w:t>
      </w:r>
    </w:p>
    <w:p w:rsidR="00C80AB4" w:rsidP="00DC2673" w14:paraId="09631CE7" w14:textId="521987F9">
      <w:pPr>
        <w:spacing w:after="0" w:line="240" w:lineRule="auto"/>
        <w:ind w:firstLine="450"/>
        <w:rPr>
          <w:rFonts w:ascii="Times New Roman" w:eastAsia="Times New Roman" w:hAnsi="Times New Roman" w:cs="Times New Roman"/>
        </w:rPr>
      </w:pPr>
      <w:r>
        <w:rPr>
          <w:rFonts w:ascii="TimesNewRomanPSMT" w:hAnsi="TimesNewRomanPSMT" w:cs="TimesNewRomanPSMT"/>
        </w:rPr>
        <w:t xml:space="preserve">The </w:t>
      </w:r>
      <w:r w:rsidRPr="0017724F">
        <w:rPr>
          <w:rFonts w:ascii="TimesNewRomanPSMT" w:hAnsi="TimesNewRomanPSMT" w:cs="TimesNewRomanPSMT"/>
          <w:i/>
          <w:iCs/>
        </w:rPr>
        <w:t>Order</w:t>
      </w:r>
      <w:r>
        <w:rPr>
          <w:rFonts w:ascii="TimesNewRomanPSMT" w:hAnsi="TimesNewRomanPSMT" w:cs="TimesNewRomanPSMT"/>
        </w:rPr>
        <w:t xml:space="preserve"> also </w:t>
      </w:r>
      <w:r w:rsidRPr="008A202D">
        <w:rPr>
          <w:rFonts w:ascii="TimesNewRomanPSMT" w:hAnsi="TimesNewRomanPSMT" w:cs="TimesNewRomanPSMT"/>
        </w:rPr>
        <w:t xml:space="preserve">clarified </w:t>
      </w:r>
      <w:r>
        <w:rPr>
          <w:rFonts w:ascii="TimesNewRomanPSMT" w:hAnsi="TimesNewRomanPSMT" w:cs="TimesNewRomanPSMT"/>
        </w:rPr>
        <w:t xml:space="preserve">responsibility at multiple transmitter sites.  In general, </w:t>
      </w:r>
      <w:r w:rsidRPr="000350AD">
        <w:rPr>
          <w:rFonts w:ascii="Times New Roman" w:eastAsia="Times New Roman" w:hAnsi="Times New Roman" w:cs="Times New Roman"/>
        </w:rPr>
        <w:t>if the Commission finds that a multiple transmitter site exceeds the applicable RF exposure limit,</w:t>
      </w:r>
      <w:r>
        <w:rPr>
          <w:rFonts w:ascii="Times New Roman" w:eastAsia="Times New Roman" w:hAnsi="Times New Roman" w:cs="Times New Roman"/>
        </w:rPr>
        <w:t xml:space="preserve"> corrective actions are the shared responsibility </w:t>
      </w:r>
      <w:r w:rsidRPr="0071134A">
        <w:rPr>
          <w:rFonts w:ascii="Times New Roman" w:eastAsia="Times New Roman" w:hAnsi="Times New Roman" w:cs="Times New Roman"/>
        </w:rPr>
        <w:t>of all licensees whose RF sources produce, at the area in question, levels that exceed 5% of the applicable exposure limit proportional to power</w:t>
      </w:r>
      <w:r>
        <w:rPr>
          <w:rFonts w:ascii="Times New Roman" w:eastAsia="Times New Roman" w:hAnsi="Times New Roman" w:cs="Times New Roman"/>
        </w:rPr>
        <w:t xml:space="preserve">.  However, </w:t>
      </w:r>
      <w:r w:rsidRPr="008A202D">
        <w:rPr>
          <w:rFonts w:ascii="TimesNewRomanPSMT" w:hAnsi="TimesNewRomanPSMT" w:cs="TimesNewRomanPSMT"/>
        </w:rPr>
        <w:t xml:space="preserve">where it is demonstrated that a new or modified facility has put a previously-compliant site out of compliance, the licensee of that new/modified facility is solely responsible both for any compliance and for any enforcement action that may occur. </w:t>
      </w:r>
      <w:r w:rsidR="00E64B02">
        <w:rPr>
          <w:rFonts w:ascii="TimesNewRomanPSMT" w:hAnsi="TimesNewRomanPSMT" w:cs="TimesNewRomanPSMT"/>
        </w:rPr>
        <w:t xml:space="preserve"> </w:t>
      </w:r>
      <w:r>
        <w:rPr>
          <w:rFonts w:ascii="TimesNewRomanPSMT" w:hAnsi="TimesNewRomanPSMT" w:cs="TimesNewRomanPSMT"/>
        </w:rPr>
        <w:t xml:space="preserve">This </w:t>
      </w:r>
      <w:r w:rsidRPr="008A202D">
        <w:rPr>
          <w:rFonts w:ascii="TimesNewRomanPSMT" w:hAnsi="TimesNewRomanPSMT" w:cs="TimesNewRomanPSMT"/>
        </w:rPr>
        <w:t>does not absolve other license holders of responsibility or place sole responsibility for mitigation on the newcomer to a site who may discover noncompliance by existing site occupants or may contribute further to pre-existing noncompliance.</w:t>
      </w:r>
    </w:p>
    <w:p w:rsidR="000E634A" w:rsidRPr="000350AD" w:rsidP="00DC2673" w14:paraId="79F1588A" w14:textId="55CB5829">
      <w:pPr>
        <w:pStyle w:val="Heading2"/>
      </w:pPr>
      <w:bookmarkStart w:id="73" w:name="_Toc55643685"/>
      <w:bookmarkStart w:id="74" w:name="_Toc55644694"/>
      <w:bookmarkStart w:id="75" w:name="_Toc55644744"/>
      <w:bookmarkStart w:id="76" w:name="_Toc55645016"/>
      <w:bookmarkStart w:id="77" w:name="_Toc55643686"/>
      <w:bookmarkStart w:id="78" w:name="_Toc55644695"/>
      <w:bookmarkStart w:id="79" w:name="_Toc55644745"/>
      <w:bookmarkStart w:id="80" w:name="_Toc55645017"/>
      <w:bookmarkStart w:id="81" w:name="_Toc55643687"/>
      <w:bookmarkStart w:id="82" w:name="_Toc55644696"/>
      <w:bookmarkStart w:id="83" w:name="_Toc55644746"/>
      <w:bookmarkStart w:id="84" w:name="_Toc55645018"/>
      <w:bookmarkStart w:id="85" w:name="_Toc55643688"/>
      <w:bookmarkStart w:id="86" w:name="_Toc55644697"/>
      <w:bookmarkStart w:id="87" w:name="_Toc55644747"/>
      <w:bookmarkStart w:id="88" w:name="_Toc55645019"/>
      <w:bookmarkStart w:id="89" w:name="_Toc55643689"/>
      <w:bookmarkStart w:id="90" w:name="_Toc55644698"/>
      <w:bookmarkStart w:id="91" w:name="_Toc55644748"/>
      <w:bookmarkStart w:id="92" w:name="_Toc55645020"/>
      <w:bookmarkStart w:id="93" w:name="_Ref55642519"/>
      <w:bookmarkStart w:id="94" w:name="_Toc55645021"/>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852418">
        <w:t>Exemption</w:t>
      </w:r>
      <w:bookmarkEnd w:id="93"/>
      <w:bookmarkEnd w:id="94"/>
    </w:p>
    <w:p w:rsidR="00693656" w:rsidP="00DC2673" w14:paraId="3E48A350" w14:textId="12BC3DCB">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If a RF </w:t>
      </w:r>
      <w:r>
        <w:rPr>
          <w:rFonts w:ascii="Times New Roman" w:eastAsia="Times New Roman" w:hAnsi="Times New Roman" w:cs="Times New Roman"/>
        </w:rPr>
        <w:t>source</w:t>
      </w:r>
      <w:r w:rsidRPr="009A64DC">
        <w:rPr>
          <w:rFonts w:ascii="Times New Roman" w:eastAsia="Times New Roman" w:hAnsi="Times New Roman" w:cs="Times New Roman"/>
        </w:rPr>
        <w:t xml:space="preserve"> is clearly compliant</w:t>
      </w:r>
      <w:r>
        <w:rPr>
          <w:rFonts w:ascii="Times New Roman" w:eastAsia="Times New Roman" w:hAnsi="Times New Roman" w:cs="Times New Roman"/>
        </w:rPr>
        <w:t xml:space="preserve"> with the Commission’s exposure limits based on criteria in </w:t>
      </w:r>
      <w:r w:rsidRPr="000350AD" w:rsidR="00274AF0">
        <w:rPr>
          <w:rFonts w:ascii="Times New Roman" w:eastAsia="Times New Roman" w:hAnsi="Times New Roman" w:cs="Times New Roman"/>
        </w:rPr>
        <w:t>47</w:t>
      </w:r>
      <w:r w:rsidR="001379B9">
        <w:rPr>
          <w:rFonts w:ascii="Times New Roman" w:eastAsia="Times New Roman" w:hAnsi="Times New Roman" w:cs="Times New Roman"/>
        </w:rPr>
        <w:t> </w:t>
      </w:r>
      <w:r w:rsidRPr="000350AD" w:rsidR="00274AF0">
        <w:rPr>
          <w:rFonts w:ascii="Times New Roman" w:eastAsia="Times New Roman" w:hAnsi="Times New Roman" w:cs="Times New Roman"/>
        </w:rPr>
        <w:t>C.F.R. §</w:t>
      </w:r>
      <w:r w:rsidR="001379B9">
        <w:rPr>
          <w:rFonts w:ascii="Times New Roman" w:eastAsia="Times New Roman" w:hAnsi="Times New Roman" w:cs="Times New Roman"/>
        </w:rPr>
        <w:t> </w:t>
      </w:r>
      <w:r w:rsidR="00745DC5">
        <w:rPr>
          <w:rFonts w:ascii="Times New Roman" w:eastAsia="Times New Roman" w:hAnsi="Times New Roman" w:cs="Times New Roman"/>
        </w:rPr>
        <w:t>1.</w:t>
      </w:r>
      <w:r w:rsidR="00E64B02">
        <w:rPr>
          <w:rFonts w:ascii="Times New Roman" w:eastAsia="Times New Roman" w:hAnsi="Times New Roman" w:cs="Times New Roman"/>
        </w:rPr>
        <w:t>1</w:t>
      </w:r>
      <w:r w:rsidR="00745DC5">
        <w:rPr>
          <w:rFonts w:ascii="Times New Roman" w:eastAsia="Times New Roman" w:hAnsi="Times New Roman" w:cs="Times New Roman"/>
        </w:rPr>
        <w:t>307</w:t>
      </w:r>
      <w:r w:rsidR="003D4606">
        <w:rPr>
          <w:rFonts w:ascii="Times New Roman" w:eastAsia="Times New Roman" w:hAnsi="Times New Roman" w:cs="Times New Roman"/>
        </w:rPr>
        <w:t>(b)</w:t>
      </w:r>
      <w:r>
        <w:rPr>
          <w:rFonts w:ascii="Times New Roman" w:eastAsia="Times New Roman" w:hAnsi="Times New Roman" w:cs="Times New Roman"/>
        </w:rPr>
        <w:t>, then</w:t>
      </w:r>
      <w:r w:rsidRPr="009A64DC">
        <w:rPr>
          <w:rFonts w:ascii="Times New Roman" w:eastAsia="Times New Roman" w:hAnsi="Times New Roman" w:cs="Times New Roman"/>
        </w:rPr>
        <w:t xml:space="preserve"> it qualifies as exempt from the requirement to undertake a more thorough RF exposure </w:t>
      </w:r>
      <w:r>
        <w:rPr>
          <w:rFonts w:ascii="Times New Roman" w:eastAsia="Times New Roman" w:hAnsi="Times New Roman" w:cs="Times New Roman"/>
        </w:rPr>
        <w:t xml:space="preserve">evaluation.  </w:t>
      </w:r>
      <w:r w:rsidRPr="000350AD" w:rsidR="000E634A">
        <w:rPr>
          <w:rFonts w:ascii="Times New Roman" w:eastAsia="Times New Roman" w:hAnsi="Times New Roman" w:cs="Times New Roman"/>
        </w:rPr>
        <w:t xml:space="preserve">The </w:t>
      </w:r>
      <w:r w:rsidRPr="000350AD" w:rsidR="000E634A">
        <w:rPr>
          <w:rFonts w:ascii="Times New Roman" w:eastAsia="Times New Roman" w:hAnsi="Times New Roman" w:cs="Times New Roman"/>
          <w:i/>
        </w:rPr>
        <w:t>Order</w:t>
      </w:r>
      <w:r w:rsidRPr="000350AD" w:rsidR="000E634A">
        <w:rPr>
          <w:rFonts w:ascii="Times New Roman" w:eastAsia="Times New Roman" w:hAnsi="Times New Roman" w:cs="Times New Roman"/>
        </w:rPr>
        <w:t xml:space="preserve"> </w:t>
      </w:r>
      <w:r>
        <w:rPr>
          <w:rFonts w:ascii="Times New Roman" w:eastAsia="Times New Roman" w:hAnsi="Times New Roman" w:cs="Times New Roman"/>
        </w:rPr>
        <w:t>replaced</w:t>
      </w:r>
      <w:r w:rsidRPr="0017724F">
        <w:rPr>
          <w:rFonts w:ascii="Times New Roman" w:eastAsia="Times New Roman" w:hAnsi="Times New Roman" w:cs="Times New Roman"/>
        </w:rPr>
        <w:t xml:space="preserve"> the various inconsistent</w:t>
      </w:r>
      <w:r>
        <w:rPr>
          <w:rFonts w:ascii="Times New Roman" w:eastAsia="Times New Roman" w:hAnsi="Times New Roman" w:cs="Times New Roman"/>
        </w:rPr>
        <w:t>,</w:t>
      </w:r>
      <w:r w:rsidRPr="0017724F">
        <w:rPr>
          <w:rFonts w:ascii="Times New Roman" w:eastAsia="Times New Roman" w:hAnsi="Times New Roman" w:cs="Times New Roman"/>
        </w:rPr>
        <w:t xml:space="preserve"> service-specific criteria for exempting parties from performing an evaluation </w:t>
      </w:r>
      <w:r>
        <w:rPr>
          <w:rFonts w:ascii="Times New Roman" w:eastAsia="Times New Roman" w:hAnsi="Times New Roman" w:cs="Times New Roman"/>
        </w:rPr>
        <w:t>in favor of</w:t>
      </w:r>
      <w:r w:rsidRPr="0017724F">
        <w:rPr>
          <w:rFonts w:ascii="Times New Roman" w:eastAsia="Times New Roman" w:hAnsi="Times New Roman" w:cs="Times New Roman"/>
        </w:rPr>
        <w:t xml:space="preserve"> </w:t>
      </w:r>
      <w:r w:rsidRPr="00693656">
        <w:rPr>
          <w:rFonts w:ascii="Times New Roman" w:eastAsia="Times New Roman" w:hAnsi="Times New Roman" w:cs="Times New Roman"/>
        </w:rPr>
        <w:t>a</w:t>
      </w:r>
      <w:r w:rsidR="00F24D92">
        <w:rPr>
          <w:rFonts w:ascii="Times New Roman" w:eastAsia="Times New Roman" w:hAnsi="Times New Roman" w:cs="Times New Roman"/>
        </w:rPr>
        <w:t xml:space="preserve"> </w:t>
      </w:r>
      <w:r w:rsidRPr="00693656">
        <w:rPr>
          <w:rFonts w:ascii="Times New Roman" w:eastAsia="Times New Roman" w:hAnsi="Times New Roman" w:cs="Times New Roman"/>
        </w:rPr>
        <w:t>generally</w:t>
      </w:r>
      <w:r>
        <w:rPr>
          <w:rFonts w:ascii="Times New Roman" w:eastAsia="Times New Roman" w:hAnsi="Times New Roman" w:cs="Times New Roman"/>
        </w:rPr>
        <w:t xml:space="preserve"> </w:t>
      </w:r>
      <w:r w:rsidRPr="00693656">
        <w:rPr>
          <w:rFonts w:ascii="Times New Roman" w:eastAsia="Times New Roman" w:hAnsi="Times New Roman" w:cs="Times New Roman"/>
        </w:rPr>
        <w:t>applicable</w:t>
      </w:r>
      <w:r>
        <w:rPr>
          <w:rFonts w:ascii="Times New Roman" w:eastAsia="Times New Roman" w:hAnsi="Times New Roman" w:cs="Times New Roman"/>
        </w:rPr>
        <w:t xml:space="preserve"> </w:t>
      </w:r>
      <w:r w:rsidRPr="00693656">
        <w:rPr>
          <w:rFonts w:ascii="Times New Roman" w:eastAsia="Times New Roman" w:hAnsi="Times New Roman" w:cs="Times New Roman"/>
        </w:rPr>
        <w:t>set of formulas for both single and multiple sources of RF emissions based on power, distance,</w:t>
      </w:r>
      <w:r>
        <w:rPr>
          <w:rFonts w:ascii="Times New Roman" w:eastAsia="Times New Roman" w:hAnsi="Times New Roman" w:cs="Times New Roman"/>
        </w:rPr>
        <w:t xml:space="preserve"> </w:t>
      </w:r>
      <w:r w:rsidRPr="00693656">
        <w:rPr>
          <w:rFonts w:ascii="Times New Roman" w:eastAsia="Times New Roman" w:hAnsi="Times New Roman" w:cs="Times New Roman"/>
        </w:rPr>
        <w:t xml:space="preserve">and frequency of fixed, mobile, and portable </w:t>
      </w:r>
      <w:r>
        <w:rPr>
          <w:rFonts w:ascii="Times New Roman" w:eastAsia="Times New Roman" w:hAnsi="Times New Roman" w:cs="Times New Roman"/>
        </w:rPr>
        <w:t>sources</w:t>
      </w:r>
      <w:r w:rsidRPr="00693656">
        <w:rPr>
          <w:rFonts w:ascii="Times New Roman" w:eastAsia="Times New Roman" w:hAnsi="Times New Roman" w:cs="Times New Roman"/>
        </w:rPr>
        <w:t>.</w:t>
      </w:r>
    </w:p>
    <w:p w:rsidR="00693656" w:rsidP="00DC2673" w14:paraId="73204424" w14:textId="185482BA">
      <w:pPr>
        <w:spacing w:line="240" w:lineRule="auto"/>
        <w:ind w:firstLine="720"/>
        <w:rPr>
          <w:rFonts w:ascii="Times New Roman" w:eastAsia="Times New Roman" w:hAnsi="Times New Roman" w:cs="Times New Roman"/>
        </w:rPr>
      </w:pPr>
      <w:r w:rsidRPr="00693656">
        <w:rPr>
          <w:rFonts w:ascii="Times New Roman" w:eastAsia="Times New Roman" w:hAnsi="Times New Roman" w:cs="Times New Roman"/>
        </w:rPr>
        <w:t xml:space="preserve">The </w:t>
      </w:r>
      <w:r w:rsidRPr="004A4E6F" w:rsidR="00EC368F">
        <w:rPr>
          <w:rFonts w:ascii="Times New Roman" w:eastAsia="Times New Roman" w:hAnsi="Times New Roman" w:cs="Times New Roman"/>
          <w:i/>
          <w:iCs/>
        </w:rPr>
        <w:t>Order</w:t>
      </w:r>
      <w:r w:rsidR="00EC368F">
        <w:rPr>
          <w:rFonts w:ascii="Times New Roman" w:eastAsia="Times New Roman" w:hAnsi="Times New Roman" w:cs="Times New Roman"/>
        </w:rPr>
        <w:t xml:space="preserve"> amended </w:t>
      </w:r>
      <w:r w:rsidRPr="000350AD" w:rsidR="00672D8B">
        <w:rPr>
          <w:rFonts w:ascii="Times New Roman" w:eastAsia="Times New Roman" w:hAnsi="Times New Roman" w:cs="Times New Roman"/>
        </w:rPr>
        <w:t>47 C.F.R. §</w:t>
      </w:r>
      <w:r w:rsidR="001379B9">
        <w:rPr>
          <w:rFonts w:ascii="Times New Roman" w:eastAsia="Times New Roman" w:hAnsi="Times New Roman" w:cs="Times New Roman"/>
        </w:rPr>
        <w:t> </w:t>
      </w:r>
      <w:r w:rsidR="00EC368F">
        <w:rPr>
          <w:rFonts w:ascii="Times New Roman" w:eastAsia="Times New Roman" w:hAnsi="Times New Roman" w:cs="Times New Roman"/>
        </w:rPr>
        <w:t xml:space="preserve">1.1307(b) to </w:t>
      </w:r>
      <w:r w:rsidRPr="004A4E6F">
        <w:rPr>
          <w:rFonts w:ascii="Times New Roman" w:eastAsia="Times New Roman" w:hAnsi="Times New Roman" w:cs="Times New Roman"/>
        </w:rPr>
        <w:t>adopt</w:t>
      </w:r>
      <w:r w:rsidRPr="00693656">
        <w:rPr>
          <w:rFonts w:ascii="Times New Roman" w:eastAsia="Times New Roman" w:hAnsi="Times New Roman" w:cs="Times New Roman"/>
        </w:rPr>
        <w:t xml:space="preserve"> three broad classes of RF exemptions: (1) For extremely low-power devices that transmit at no more than 1 </w:t>
      </w:r>
      <w:r w:rsidRPr="00693656">
        <w:rPr>
          <w:rFonts w:ascii="Times New Roman" w:eastAsia="Times New Roman" w:hAnsi="Times New Roman" w:cs="Times New Roman"/>
        </w:rPr>
        <w:t>mW</w:t>
      </w:r>
      <w:r w:rsidRPr="00693656">
        <w:rPr>
          <w:rFonts w:ascii="Times New Roman" w:eastAsia="Times New Roman" w:hAnsi="Times New Roman" w:cs="Times New Roman"/>
        </w:rPr>
        <w:t>; (2) for somewhat higher-power devices with transmitting antennas that normally operate within 0.5 cm to 40 cm of the human body in the frequency range between 300 MHz and 6 GHz, a formula based primarily on the</w:t>
      </w:r>
      <w:r>
        <w:rPr>
          <w:rFonts w:ascii="Times New Roman" w:eastAsia="Times New Roman" w:hAnsi="Times New Roman" w:cs="Times New Roman"/>
        </w:rPr>
        <w:t xml:space="preserve"> </w:t>
      </w:r>
      <w:r w:rsidRPr="00693656">
        <w:rPr>
          <w:rFonts w:ascii="Times New Roman" w:eastAsia="Times New Roman" w:hAnsi="Times New Roman" w:cs="Times New Roman"/>
        </w:rPr>
        <w:t>localized</w:t>
      </w:r>
      <w:r w:rsidR="00F24D92">
        <w:rPr>
          <w:rFonts w:ascii="Times New Roman" w:eastAsia="Times New Roman" w:hAnsi="Times New Roman" w:cs="Times New Roman"/>
        </w:rPr>
        <w:t xml:space="preserve"> </w:t>
      </w:r>
      <w:r w:rsidRPr="000350AD" w:rsidR="00A523AE">
        <w:rPr>
          <w:rFonts w:ascii="Times New Roman" w:eastAsia="Times New Roman" w:hAnsi="Times New Roman" w:cs="Times New Roman"/>
        </w:rPr>
        <w:t>specific absorption rate</w:t>
      </w:r>
      <w:r w:rsidR="00A523AE">
        <w:rPr>
          <w:rFonts w:ascii="Times New Roman" w:eastAsia="Times New Roman" w:hAnsi="Times New Roman" w:cs="Times New Roman"/>
        </w:rPr>
        <w:t xml:space="preserve"> (</w:t>
      </w:r>
      <w:r w:rsidR="00F24D92">
        <w:rPr>
          <w:rFonts w:ascii="Times New Roman" w:eastAsia="Times New Roman" w:hAnsi="Times New Roman" w:cs="Times New Roman"/>
        </w:rPr>
        <w:t>SAR</w:t>
      </w:r>
      <w:r w:rsidR="00A523AE">
        <w:rPr>
          <w:rFonts w:ascii="Times New Roman" w:eastAsia="Times New Roman" w:hAnsi="Times New Roman" w:cs="Times New Roman"/>
        </w:rPr>
        <w:t>)</w:t>
      </w:r>
      <w:r w:rsidRPr="00693656">
        <w:rPr>
          <w:rFonts w:ascii="Times New Roman" w:eastAsia="Times New Roman" w:hAnsi="Times New Roman" w:cs="Times New Roman"/>
        </w:rPr>
        <w:t xml:space="preserve"> limits; and (3) for all other transmitters, based on a set of formulas for </w:t>
      </w:r>
      <w:r w:rsidR="00A523AE">
        <w:rPr>
          <w:rFonts w:ascii="Times New Roman" w:eastAsia="Times New Roman" w:hAnsi="Times New Roman" w:cs="Times New Roman"/>
        </w:rPr>
        <w:t>maximum permissible exposure (</w:t>
      </w:r>
      <w:r w:rsidR="00F24D92">
        <w:rPr>
          <w:rFonts w:ascii="Times New Roman" w:eastAsia="Times New Roman" w:hAnsi="Times New Roman" w:cs="Times New Roman"/>
        </w:rPr>
        <w:t>MPE</w:t>
      </w:r>
      <w:r w:rsidR="00A523AE">
        <w:rPr>
          <w:rFonts w:ascii="Times New Roman" w:eastAsia="Times New Roman" w:hAnsi="Times New Roman" w:cs="Times New Roman"/>
        </w:rPr>
        <w:t>)</w:t>
      </w:r>
      <w:r w:rsidRPr="00693656">
        <w:rPr>
          <w:rFonts w:ascii="Times New Roman" w:eastAsia="Times New Roman" w:hAnsi="Times New Roman" w:cs="Times New Roman"/>
        </w:rPr>
        <w:t xml:space="preserve"> limits. The new exemption criteria apply to all </w:t>
      </w:r>
      <w:r w:rsidRPr="00DC2673">
        <w:rPr>
          <w:rFonts w:ascii="TimesNewRomanPSMT" w:hAnsi="TimesNewRomanPSMT" w:cs="TimesNewRomanPSMT"/>
        </w:rPr>
        <w:t>Commission</w:t>
      </w:r>
      <w:r w:rsidRPr="00693656">
        <w:rPr>
          <w:rFonts w:ascii="Times New Roman" w:eastAsia="Times New Roman" w:hAnsi="Times New Roman" w:cs="Times New Roman"/>
        </w:rPr>
        <w:t xml:space="preserve"> rules authorizing RF sources.</w:t>
      </w:r>
      <w:r w:rsidR="00E64B02">
        <w:rPr>
          <w:rFonts w:ascii="Times New Roman" w:eastAsia="Times New Roman" w:hAnsi="Times New Roman" w:cs="Times New Roman"/>
        </w:rPr>
        <w:t xml:space="preserve"> </w:t>
      </w:r>
      <w:r w:rsidRPr="00693656">
        <w:rPr>
          <w:rFonts w:ascii="Times New Roman" w:eastAsia="Times New Roman" w:hAnsi="Times New Roman" w:cs="Times New Roman"/>
        </w:rPr>
        <w:t xml:space="preserve"> Under the new rules, every applicant for equipment authorization and every licensee prior to deployment or commencement of operations may determine whether the device or transmitter falls under one of the classes of exemptions. </w:t>
      </w:r>
      <w:r w:rsidR="00AE78E5">
        <w:rPr>
          <w:rFonts w:ascii="Times New Roman" w:eastAsia="Times New Roman" w:hAnsi="Times New Roman" w:cs="Times New Roman"/>
        </w:rPr>
        <w:t xml:space="preserve"> </w:t>
      </w:r>
      <w:r w:rsidRPr="00693656">
        <w:rPr>
          <w:rFonts w:ascii="Times New Roman" w:eastAsia="Times New Roman" w:hAnsi="Times New Roman" w:cs="Times New Roman"/>
        </w:rPr>
        <w:t xml:space="preserve">If the device or transmitter falls under one of these classes of exemption, no additional action is necessary. </w:t>
      </w:r>
      <w:r w:rsidR="00AE78E5">
        <w:rPr>
          <w:rFonts w:ascii="Times New Roman" w:eastAsia="Times New Roman" w:hAnsi="Times New Roman" w:cs="Times New Roman"/>
        </w:rPr>
        <w:t xml:space="preserve"> </w:t>
      </w:r>
      <w:r w:rsidRPr="00693656">
        <w:rPr>
          <w:rFonts w:ascii="Times New Roman" w:eastAsia="Times New Roman" w:hAnsi="Times New Roman" w:cs="Times New Roman"/>
        </w:rPr>
        <w:t>If not, the applicant or licensee will have to perform a</w:t>
      </w:r>
      <w:r>
        <w:rPr>
          <w:rFonts w:ascii="Times New Roman" w:eastAsia="Times New Roman" w:hAnsi="Times New Roman" w:cs="Times New Roman"/>
        </w:rPr>
        <w:t xml:space="preserve">n </w:t>
      </w:r>
      <w:r w:rsidRPr="00693656">
        <w:rPr>
          <w:rFonts w:ascii="Times New Roman" w:eastAsia="Times New Roman" w:hAnsi="Times New Roman" w:cs="Times New Roman"/>
        </w:rPr>
        <w:t>evaluation to determine compliance with the existing RF exposure limits.</w:t>
      </w:r>
    </w:p>
    <w:p w:rsidR="001D1DB1" w:rsidP="00DC2673" w14:paraId="1B23D360" w14:textId="29E24568">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The amended </w:t>
      </w:r>
      <w:r w:rsidRPr="000350AD">
        <w:rPr>
          <w:rFonts w:ascii="Times New Roman" w:eastAsia="Times New Roman" w:hAnsi="Times New Roman" w:cs="Times New Roman"/>
        </w:rPr>
        <w:t>47 C.F.R. §</w:t>
      </w:r>
      <w:r w:rsidR="001379B9">
        <w:rPr>
          <w:rFonts w:ascii="Times New Roman" w:eastAsia="Times New Roman" w:hAnsi="Times New Roman" w:cs="Times New Roman"/>
        </w:rPr>
        <w:t> </w:t>
      </w:r>
      <w:r>
        <w:rPr>
          <w:rFonts w:ascii="Times New Roman" w:eastAsia="Times New Roman" w:hAnsi="Times New Roman" w:cs="Times New Roman"/>
        </w:rPr>
        <w:t>1.1307(b)</w:t>
      </w:r>
      <w:r w:rsidR="001379B9">
        <w:rPr>
          <w:rFonts w:ascii="Times New Roman" w:eastAsia="Times New Roman" w:hAnsi="Times New Roman" w:cs="Times New Roman"/>
        </w:rPr>
        <w:t>(3)(ii)</w:t>
      </w:r>
      <w:r>
        <w:rPr>
          <w:rFonts w:ascii="Times New Roman" w:eastAsia="Times New Roman" w:hAnsi="Times New Roman" w:cs="Times New Roman"/>
        </w:rPr>
        <w:t xml:space="preserve"> includes rules for applying the exemptions to instances of multiple RF sources.</w:t>
      </w:r>
      <w:r w:rsidR="001379B9">
        <w:rPr>
          <w:rFonts w:ascii="Times New Roman" w:eastAsia="Times New Roman" w:hAnsi="Times New Roman" w:cs="Times New Roman"/>
        </w:rPr>
        <w:t xml:space="preserve">  Multiple RF sources with a fixed positional relationship are collectively exempt </w:t>
      </w:r>
      <w:r w:rsidRPr="00637136" w:rsidR="001379B9">
        <w:rPr>
          <w:rFonts w:ascii="Times New Roman" w:eastAsia="Times New Roman" w:hAnsi="Times New Roman" w:cs="Times New Roman"/>
        </w:rPr>
        <w:t>if the sum of the</w:t>
      </w:r>
      <w:r w:rsidR="001379B9">
        <w:rPr>
          <w:rFonts w:ascii="Times New Roman" w:eastAsia="Times New Roman" w:hAnsi="Times New Roman" w:cs="Times New Roman"/>
        </w:rPr>
        <w:t>ir</w:t>
      </w:r>
      <w:r w:rsidRPr="00637136" w:rsidR="001379B9">
        <w:rPr>
          <w:rFonts w:ascii="Times New Roman" w:eastAsia="Times New Roman" w:hAnsi="Times New Roman" w:cs="Times New Roman"/>
        </w:rPr>
        <w:t xml:space="preserve"> fractional contributions to the applicable thresholds is less than or equal to 1</w:t>
      </w:r>
      <w:r w:rsidR="001379B9">
        <w:rPr>
          <w:rFonts w:ascii="Times New Roman" w:eastAsia="Times New Roman" w:hAnsi="Times New Roman" w:cs="Times New Roman"/>
        </w:rPr>
        <w:t xml:space="preserve">, as detailed in the summation formulas of </w:t>
      </w:r>
      <w:r w:rsidRPr="000350AD" w:rsidR="001379B9">
        <w:rPr>
          <w:rFonts w:ascii="Times New Roman" w:eastAsia="Times New Roman" w:hAnsi="Times New Roman" w:cs="Times New Roman"/>
        </w:rPr>
        <w:t>47</w:t>
      </w:r>
      <w:r w:rsidR="001379B9">
        <w:rPr>
          <w:rFonts w:ascii="Times New Roman" w:eastAsia="Times New Roman" w:hAnsi="Times New Roman" w:cs="Times New Roman"/>
        </w:rPr>
        <w:t> </w:t>
      </w:r>
      <w:r w:rsidRPr="000350AD" w:rsidR="001379B9">
        <w:rPr>
          <w:rFonts w:ascii="Times New Roman" w:eastAsia="Times New Roman" w:hAnsi="Times New Roman" w:cs="Times New Roman"/>
        </w:rPr>
        <w:t>C.F.R. §</w:t>
      </w:r>
      <w:r w:rsidR="001379B9">
        <w:rPr>
          <w:rFonts w:ascii="Times New Roman" w:eastAsia="Times New Roman" w:hAnsi="Times New Roman" w:cs="Times New Roman"/>
        </w:rPr>
        <w:t> 1.1307(b)(3)(ii)(B).  The 1</w:t>
      </w:r>
      <w:r w:rsidR="00FE0FB6">
        <w:rPr>
          <w:rFonts w:ascii="Times New Roman" w:eastAsia="Times New Roman" w:hAnsi="Times New Roman" w:cs="Times New Roman"/>
        </w:rPr>
        <w:t xml:space="preserve"> </w:t>
      </w:r>
      <w:r w:rsidR="001379B9">
        <w:rPr>
          <w:rFonts w:ascii="Times New Roman" w:eastAsia="Times New Roman" w:hAnsi="Times New Roman" w:cs="Times New Roman"/>
        </w:rPr>
        <w:t>mW</w:t>
      </w:r>
      <w:r w:rsidR="001379B9">
        <w:rPr>
          <w:rFonts w:ascii="Times New Roman" w:eastAsia="Times New Roman" w:hAnsi="Times New Roman" w:cs="Times New Roman"/>
        </w:rPr>
        <w:t xml:space="preserve"> exemption may be applied if the sum of the transmit powers from multiple RF sources is no more than 1 </w:t>
      </w:r>
      <w:r w:rsidR="001379B9">
        <w:rPr>
          <w:rFonts w:ascii="Times New Roman" w:eastAsia="Times New Roman" w:hAnsi="Times New Roman" w:cs="Times New Roman"/>
        </w:rPr>
        <w:t>mW</w:t>
      </w:r>
      <w:r w:rsidR="001379B9">
        <w:rPr>
          <w:rFonts w:ascii="Times New Roman" w:eastAsia="Times New Roman" w:hAnsi="Times New Roman" w:cs="Times New Roman"/>
        </w:rPr>
        <w:t xml:space="preserve">, or if each source transmits at no more than 1 </w:t>
      </w:r>
      <w:r w:rsidR="001379B9">
        <w:rPr>
          <w:rFonts w:ascii="Times New Roman" w:eastAsia="Times New Roman" w:hAnsi="Times New Roman" w:cs="Times New Roman"/>
        </w:rPr>
        <w:t>mW</w:t>
      </w:r>
      <w:r w:rsidR="001379B9">
        <w:rPr>
          <w:rFonts w:ascii="Times New Roman" w:eastAsia="Times New Roman" w:hAnsi="Times New Roman" w:cs="Times New Roman"/>
        </w:rPr>
        <w:t xml:space="preserve"> and there is at least 2</w:t>
      </w:r>
      <w:r w:rsidR="00FE0FB6">
        <w:rPr>
          <w:rFonts w:ascii="Times New Roman" w:eastAsia="Times New Roman" w:hAnsi="Times New Roman" w:cs="Times New Roman"/>
        </w:rPr>
        <w:t xml:space="preserve"> </w:t>
      </w:r>
      <w:r w:rsidR="001379B9">
        <w:rPr>
          <w:rFonts w:ascii="Times New Roman" w:eastAsia="Times New Roman" w:hAnsi="Times New Roman" w:cs="Times New Roman"/>
        </w:rPr>
        <w:t>cm separation distance between antennas operating at the same time.</w:t>
      </w:r>
      <w:r w:rsidR="00637136">
        <w:rPr>
          <w:rFonts w:ascii="Times New Roman" w:eastAsia="Times New Roman" w:hAnsi="Times New Roman" w:cs="Times New Roman"/>
        </w:rPr>
        <w:t xml:space="preserve">  </w:t>
      </w:r>
      <w:r w:rsidRPr="00637136" w:rsidR="00637136">
        <w:rPr>
          <w:rFonts w:ascii="Times New Roman" w:eastAsia="Times New Roman" w:hAnsi="Times New Roman" w:cs="Times New Roman"/>
        </w:rPr>
        <w:t xml:space="preserve">In determining the availability of an exemption, </w:t>
      </w:r>
      <w:r w:rsidR="00637136">
        <w:rPr>
          <w:rFonts w:ascii="Times New Roman" w:eastAsia="Times New Roman" w:hAnsi="Times New Roman" w:cs="Times New Roman"/>
        </w:rPr>
        <w:t>applicants are not required</w:t>
      </w:r>
      <w:r w:rsidRPr="00637136" w:rsidR="00637136">
        <w:rPr>
          <w:rFonts w:ascii="Times New Roman" w:eastAsia="Times New Roman" w:hAnsi="Times New Roman" w:cs="Times New Roman"/>
        </w:rPr>
        <w:t xml:space="preserve"> to account</w:t>
      </w:r>
      <w:r w:rsidR="00637136">
        <w:rPr>
          <w:rFonts w:ascii="Times New Roman" w:eastAsia="Times New Roman" w:hAnsi="Times New Roman" w:cs="Times New Roman"/>
        </w:rPr>
        <w:t xml:space="preserve"> </w:t>
      </w:r>
      <w:r w:rsidRPr="00637136" w:rsidR="00637136">
        <w:rPr>
          <w:rFonts w:ascii="Times New Roman" w:eastAsia="Times New Roman" w:hAnsi="Times New Roman" w:cs="Times New Roman"/>
        </w:rPr>
        <w:t>for multiple RF sources that have no fixed positional relationship between or among each other, as is</w:t>
      </w:r>
      <w:r w:rsidR="00637136">
        <w:rPr>
          <w:rFonts w:ascii="Times New Roman" w:eastAsia="Times New Roman" w:hAnsi="Times New Roman" w:cs="Times New Roman"/>
        </w:rPr>
        <w:t xml:space="preserve"> </w:t>
      </w:r>
      <w:r w:rsidRPr="00637136" w:rsidR="00637136">
        <w:rPr>
          <w:rFonts w:ascii="Times New Roman" w:eastAsia="Times New Roman" w:hAnsi="Times New Roman" w:cs="Times New Roman"/>
        </w:rPr>
        <w:t>typically the case between a mobile and a broadcast antenna or other fixed source or between two mobile</w:t>
      </w:r>
      <w:r w:rsidR="00637136">
        <w:rPr>
          <w:rFonts w:ascii="Times New Roman" w:eastAsia="Times New Roman" w:hAnsi="Times New Roman" w:cs="Times New Roman"/>
        </w:rPr>
        <w:t xml:space="preserve"> or portable </w:t>
      </w:r>
      <w:r w:rsidRPr="00637136" w:rsidR="00637136">
        <w:rPr>
          <w:rFonts w:ascii="Times New Roman" w:eastAsia="Times New Roman" w:hAnsi="Times New Roman" w:cs="Times New Roman"/>
        </w:rPr>
        <w:t>sources</w:t>
      </w:r>
      <w:r w:rsidR="00637136">
        <w:rPr>
          <w:rFonts w:ascii="Times New Roman" w:eastAsia="Times New Roman" w:hAnsi="Times New Roman" w:cs="Times New Roman"/>
        </w:rPr>
        <w:t>.</w:t>
      </w:r>
    </w:p>
    <w:p w:rsidR="000350AD" w:rsidRPr="000350AD" w:rsidP="00DC2673" w14:paraId="154AA9E5" w14:textId="5151E931">
      <w:pPr>
        <w:pStyle w:val="Heading2"/>
      </w:pPr>
      <w:bookmarkStart w:id="95" w:name="_Toc55643691"/>
      <w:bookmarkStart w:id="96" w:name="_Toc55644700"/>
      <w:bookmarkStart w:id="97" w:name="_Toc55644750"/>
      <w:bookmarkStart w:id="98" w:name="_Toc55645022"/>
      <w:bookmarkStart w:id="99" w:name="_Toc55643692"/>
      <w:bookmarkStart w:id="100" w:name="_Toc55644701"/>
      <w:bookmarkStart w:id="101" w:name="_Toc55644751"/>
      <w:bookmarkStart w:id="102" w:name="_Toc55645023"/>
      <w:bookmarkStart w:id="103" w:name="_Toc55643693"/>
      <w:bookmarkStart w:id="104" w:name="_Toc55644702"/>
      <w:bookmarkStart w:id="105" w:name="_Toc55644752"/>
      <w:bookmarkStart w:id="106" w:name="_Toc55645024"/>
      <w:bookmarkStart w:id="107" w:name="_Toc55643694"/>
      <w:bookmarkStart w:id="108" w:name="_Toc55644703"/>
      <w:bookmarkStart w:id="109" w:name="_Toc55644753"/>
      <w:bookmarkStart w:id="110" w:name="_Toc55645025"/>
      <w:bookmarkStart w:id="111" w:name="_Toc55645026"/>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r w:rsidRPr="009B1E11">
        <w:t>Evaluation</w:t>
      </w:r>
      <w:bookmarkEnd w:id="111"/>
    </w:p>
    <w:p w:rsidR="004D6166" w:rsidP="00DC2673" w14:paraId="643FBC8A" w14:textId="4E6BE8FF">
      <w:pPr>
        <w:spacing w:line="240" w:lineRule="auto"/>
        <w:ind w:firstLine="720"/>
        <w:rPr>
          <w:rFonts w:ascii="Times New Roman" w:eastAsia="Times New Roman" w:hAnsi="Times New Roman" w:cs="Times New Roman"/>
        </w:rPr>
      </w:pPr>
      <w:r w:rsidRPr="00FF0B6F">
        <w:rPr>
          <w:rFonts w:ascii="Times New Roman" w:eastAsia="Times New Roman" w:hAnsi="Times New Roman" w:cs="Times New Roman"/>
        </w:rPr>
        <w:t>Where an exemption cannot be invoked, a</w:t>
      </w:r>
      <w:r>
        <w:rPr>
          <w:rFonts w:ascii="Times New Roman" w:eastAsia="Times New Roman" w:hAnsi="Times New Roman" w:cs="Times New Roman"/>
        </w:rPr>
        <w:t>n</w:t>
      </w:r>
      <w:r w:rsidRPr="00FF0B6F">
        <w:rPr>
          <w:rFonts w:ascii="Times New Roman" w:eastAsia="Times New Roman" w:hAnsi="Times New Roman" w:cs="Times New Roman"/>
        </w:rPr>
        <w:t xml:space="preserve"> evaluation</w:t>
      </w:r>
      <w:r>
        <w:rPr>
          <w:rFonts w:ascii="Times New Roman" w:eastAsia="Times New Roman" w:hAnsi="Times New Roman" w:cs="Times New Roman"/>
        </w:rPr>
        <w:t xml:space="preserve"> shall be performed to demonstrate compliance with the Commission’s RF exposure limits</w:t>
      </w:r>
      <w:r w:rsidR="001B6D15">
        <w:rPr>
          <w:rFonts w:ascii="Times New Roman" w:eastAsia="Times New Roman" w:hAnsi="Times New Roman" w:cs="Times New Roman"/>
        </w:rPr>
        <w:t xml:space="preserve"> </w:t>
      </w:r>
      <w:r w:rsidR="00AB6583">
        <w:rPr>
          <w:rFonts w:ascii="Times New Roman" w:eastAsia="Times New Roman" w:hAnsi="Times New Roman" w:cs="Times New Roman"/>
        </w:rPr>
        <w:t xml:space="preserve">in </w:t>
      </w:r>
      <w:r w:rsidRPr="000350AD" w:rsidR="00672D8B">
        <w:rPr>
          <w:rFonts w:ascii="Times New Roman" w:eastAsia="Times New Roman" w:hAnsi="Times New Roman" w:cs="Times New Roman"/>
        </w:rPr>
        <w:t>47 C.F.R. §</w:t>
      </w:r>
      <w:r w:rsidR="00AB6583">
        <w:rPr>
          <w:rFonts w:ascii="Times New Roman" w:eastAsia="Times New Roman" w:hAnsi="Times New Roman" w:cs="Times New Roman"/>
        </w:rPr>
        <w:t xml:space="preserve"> 1.1310</w:t>
      </w:r>
      <w:r w:rsidRPr="00FF0B6F">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Exposure limits are </w:t>
      </w:r>
      <w:r w:rsidRPr="004D6166">
        <w:rPr>
          <w:rFonts w:ascii="Times New Roman" w:eastAsia="Times New Roman" w:hAnsi="Times New Roman" w:cs="Times New Roman"/>
        </w:rPr>
        <w:t xml:space="preserve">specified for two tiers: (1) exposure occurring in an occupational or “controlled” situation; and (2) exposure of the </w:t>
      </w:r>
      <w:r w:rsidRPr="00C8007D">
        <w:rPr>
          <w:rFonts w:ascii="Times New Roman" w:eastAsia="Times New Roman" w:hAnsi="Times New Roman" w:cs="Times New Roman"/>
        </w:rPr>
        <w:t>general</w:t>
      </w:r>
      <w:r w:rsidRPr="004D6166">
        <w:rPr>
          <w:rFonts w:ascii="Times New Roman" w:eastAsia="Times New Roman" w:hAnsi="Times New Roman" w:cs="Times New Roman"/>
        </w:rPr>
        <w:t xml:space="preserve"> population or in an “uncontrolled” situation</w:t>
      </w:r>
      <w:r>
        <w:rPr>
          <w:rFonts w:ascii="Times New Roman" w:eastAsia="Times New Roman" w:hAnsi="Times New Roman" w:cs="Times New Roman"/>
        </w:rPr>
        <w:t xml:space="preserve">.  </w:t>
      </w:r>
      <w:r w:rsidR="00B63E91">
        <w:rPr>
          <w:rFonts w:ascii="Times New Roman" w:eastAsia="Times New Roman" w:hAnsi="Times New Roman" w:cs="Times New Roman"/>
        </w:rPr>
        <w:t>The occupational limits</w:t>
      </w:r>
      <w:r>
        <w:rPr>
          <w:rFonts w:ascii="Times New Roman" w:eastAsia="Times New Roman" w:hAnsi="Times New Roman" w:cs="Times New Roman"/>
        </w:rPr>
        <w:t xml:space="preserve"> </w:t>
      </w:r>
      <w:r w:rsidRPr="004D6166">
        <w:rPr>
          <w:rFonts w:ascii="Times New Roman" w:eastAsia="Times New Roman" w:hAnsi="Times New Roman" w:cs="Times New Roman"/>
        </w:rPr>
        <w:t>apply</w:t>
      </w:r>
      <w:r w:rsidR="00B63E91">
        <w:rPr>
          <w:rFonts w:ascii="Times New Roman" w:eastAsia="Times New Roman" w:hAnsi="Times New Roman" w:cs="Times New Roman"/>
        </w:rPr>
        <w:t xml:space="preserve"> only</w:t>
      </w:r>
      <w:r w:rsidRPr="004D6166">
        <w:rPr>
          <w:rFonts w:ascii="Times New Roman" w:eastAsia="Times New Roman" w:hAnsi="Times New Roman" w:cs="Times New Roman"/>
        </w:rPr>
        <w:t xml:space="preserve"> </w:t>
      </w:r>
      <w:r w:rsidRPr="004D6166">
        <w:rPr>
          <w:rFonts w:ascii="Times New Roman" w:eastAsia="Times New Roman" w:hAnsi="Times New Roman" w:cs="Times New Roman"/>
        </w:rPr>
        <w:t xml:space="preserve">in situations in which persons are exposed </w:t>
      </w:r>
      <w:r w:rsidRPr="004D6166">
        <w:rPr>
          <w:rFonts w:ascii="Times New Roman" w:eastAsia="Times New Roman" w:hAnsi="Times New Roman" w:cs="Times New Roman"/>
        </w:rPr>
        <w:t>as a consequence of</w:t>
      </w:r>
      <w:r w:rsidRPr="004D6166">
        <w:rPr>
          <w:rFonts w:ascii="Times New Roman" w:eastAsia="Times New Roman" w:hAnsi="Times New Roman" w:cs="Times New Roman"/>
        </w:rPr>
        <w:t xml:space="preserve"> their employment </w:t>
      </w:r>
      <w:r w:rsidR="00B63E91">
        <w:rPr>
          <w:rFonts w:ascii="Times New Roman" w:eastAsia="Times New Roman" w:hAnsi="Times New Roman" w:cs="Times New Roman"/>
        </w:rPr>
        <w:t>and</w:t>
      </w:r>
      <w:r w:rsidRPr="004D6166">
        <w:rPr>
          <w:rFonts w:ascii="Times New Roman" w:eastAsia="Times New Roman" w:hAnsi="Times New Roman" w:cs="Times New Roman"/>
        </w:rPr>
        <w:t xml:space="preserve"> those persons are fully aware of the potential for exposure and can exercise control over their exposure.</w:t>
      </w:r>
    </w:p>
    <w:p w:rsidR="00FF0B6F" w:rsidP="00DC2673" w14:paraId="6B8796BF" w14:textId="1CD66391">
      <w:pPr>
        <w:spacing w:line="240" w:lineRule="auto"/>
        <w:ind w:firstLine="720"/>
        <w:rPr>
          <w:rFonts w:ascii="Times New Roman" w:eastAsia="Times New Roman" w:hAnsi="Times New Roman" w:cs="Times New Roman"/>
        </w:rPr>
      </w:pPr>
      <w:r w:rsidRPr="00FF0B6F">
        <w:rPr>
          <w:rFonts w:ascii="Times New Roman" w:eastAsia="Times New Roman" w:hAnsi="Times New Roman" w:cs="Times New Roman"/>
        </w:rPr>
        <w:t xml:space="preserve">In most cases, evaluation does not require a determination of the precise exposure level, only </w:t>
      </w:r>
      <w:r>
        <w:rPr>
          <w:rFonts w:ascii="Times New Roman" w:eastAsia="Times New Roman" w:hAnsi="Times New Roman" w:cs="Times New Roman"/>
        </w:rPr>
        <w:t>the determination</w:t>
      </w:r>
      <w:r w:rsidRPr="00FF0B6F">
        <w:rPr>
          <w:rFonts w:ascii="Times New Roman" w:eastAsia="Times New Roman" w:hAnsi="Times New Roman" w:cs="Times New Roman"/>
        </w:rPr>
        <w:t xml:space="preserve"> that it </w:t>
      </w:r>
      <w:r>
        <w:rPr>
          <w:rFonts w:ascii="Times New Roman" w:eastAsia="Times New Roman" w:hAnsi="Times New Roman" w:cs="Times New Roman"/>
        </w:rPr>
        <w:t>is</w:t>
      </w:r>
      <w:r w:rsidRPr="00FF0B6F">
        <w:rPr>
          <w:rFonts w:ascii="Times New Roman" w:eastAsia="Times New Roman" w:hAnsi="Times New Roman" w:cs="Times New Roman"/>
        </w:rPr>
        <w:t xml:space="preserve"> less than the Commission's limits.</w:t>
      </w:r>
      <w:r w:rsidR="004D6166">
        <w:rPr>
          <w:rFonts w:ascii="Times New Roman" w:eastAsia="Times New Roman" w:hAnsi="Times New Roman" w:cs="Times New Roman"/>
        </w:rPr>
        <w:t xml:space="preserve"> </w:t>
      </w:r>
      <w:r w:rsidRPr="00FF0B6F">
        <w:rPr>
          <w:rFonts w:ascii="Times New Roman" w:eastAsia="Times New Roman" w:hAnsi="Times New Roman" w:cs="Times New Roman"/>
        </w:rPr>
        <w:t xml:space="preserve"> In other cases, the evaluation may require more precision </w:t>
      </w:r>
      <w:r w:rsidRPr="00DC2673">
        <w:rPr>
          <w:rFonts w:ascii="TimesNewRomanPSMT" w:hAnsi="TimesNewRomanPSMT" w:cs="TimesNewRomanPSMT"/>
        </w:rPr>
        <w:t>regarding</w:t>
      </w:r>
      <w:r w:rsidRPr="00FF0B6F">
        <w:rPr>
          <w:rFonts w:ascii="Times New Roman" w:eastAsia="Times New Roman" w:hAnsi="Times New Roman" w:cs="Times New Roman"/>
        </w:rPr>
        <w:t xml:space="preserve"> transmitter power and antenna distance from human-accessible spaces and, potentially, may be the basis for determining necessary measures to deter humans from entering otherwise accessible locations (i.e., mitigation).</w:t>
      </w:r>
    </w:p>
    <w:p w:rsidR="004A4E6F" w:rsidP="00DC2673" w14:paraId="56D7E654" w14:textId="73D035B3">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Evaluations </w:t>
      </w:r>
      <w:r w:rsidRPr="000350AD" w:rsidR="000350AD">
        <w:rPr>
          <w:rFonts w:ascii="Times New Roman" w:eastAsia="Times New Roman" w:hAnsi="Times New Roman" w:cs="Times New Roman"/>
        </w:rPr>
        <w:t xml:space="preserve">are fundamentally based on </w:t>
      </w:r>
      <w:r w:rsidR="00A22B3E">
        <w:rPr>
          <w:rFonts w:ascii="Times New Roman" w:eastAsia="Times New Roman" w:hAnsi="Times New Roman" w:cs="Times New Roman"/>
        </w:rPr>
        <w:t>SAR</w:t>
      </w:r>
      <w:r w:rsidRPr="000350AD" w:rsidR="000350AD">
        <w:rPr>
          <w:rFonts w:ascii="Times New Roman" w:eastAsia="Times New Roman" w:hAnsi="Times New Roman" w:cs="Times New Roman"/>
        </w:rPr>
        <w:t xml:space="preserve">, which is a measure of power absorbed per mass of tissue (applicable at frequencies </w:t>
      </w:r>
      <w:r>
        <w:rPr>
          <w:rFonts w:ascii="Times New Roman" w:eastAsia="Times New Roman" w:hAnsi="Times New Roman" w:cs="Times New Roman"/>
        </w:rPr>
        <w:t>between 100 kHz and</w:t>
      </w:r>
      <w:r w:rsidRPr="000350AD" w:rsidR="000350AD">
        <w:rPr>
          <w:rFonts w:ascii="Times New Roman" w:eastAsia="Times New Roman" w:hAnsi="Times New Roman" w:cs="Times New Roman"/>
        </w:rPr>
        <w:t xml:space="preserve"> 6 GHz), and on power density (applicable at frequencies greater than 6 GHz).</w:t>
      </w:r>
      <w:r w:rsidR="00B63E91">
        <w:rPr>
          <w:rFonts w:ascii="Times New Roman" w:eastAsia="Times New Roman" w:hAnsi="Times New Roman" w:cs="Times New Roman"/>
        </w:rPr>
        <w:t xml:space="preserve">  </w:t>
      </w:r>
      <w:r w:rsidRPr="00B63E91" w:rsidR="00B63E91">
        <w:rPr>
          <w:rFonts w:ascii="Times New Roman" w:eastAsia="Times New Roman" w:hAnsi="Times New Roman" w:cs="Times New Roman"/>
        </w:rPr>
        <w:t>Exposure may be averaged over a</w:t>
      </w:r>
      <w:r w:rsidR="00B63E91">
        <w:rPr>
          <w:rFonts w:ascii="Times New Roman" w:eastAsia="Times New Roman" w:hAnsi="Times New Roman" w:cs="Times New Roman"/>
        </w:rPr>
        <w:t>pplicable</w:t>
      </w:r>
      <w:r w:rsidRPr="00B63E91" w:rsidR="00B63E91">
        <w:rPr>
          <w:rFonts w:ascii="Times New Roman" w:eastAsia="Times New Roman" w:hAnsi="Times New Roman" w:cs="Times New Roman"/>
        </w:rPr>
        <w:t xml:space="preserve"> time period</w:t>
      </w:r>
      <w:r w:rsidR="00B63E91">
        <w:rPr>
          <w:rFonts w:ascii="Times New Roman" w:eastAsia="Times New Roman" w:hAnsi="Times New Roman" w:cs="Times New Roman"/>
        </w:rPr>
        <w:t xml:space="preserve">s as specified in </w:t>
      </w:r>
      <w:r w:rsidRPr="000350AD" w:rsidR="00B63E91">
        <w:rPr>
          <w:rFonts w:ascii="Times New Roman" w:eastAsia="Times New Roman" w:hAnsi="Times New Roman" w:cs="Times New Roman"/>
        </w:rPr>
        <w:t>47</w:t>
      </w:r>
      <w:r w:rsidR="00B63E91">
        <w:rPr>
          <w:rFonts w:ascii="Times New Roman" w:eastAsia="Times New Roman" w:hAnsi="Times New Roman" w:cs="Times New Roman"/>
        </w:rPr>
        <w:t> </w:t>
      </w:r>
      <w:r w:rsidRPr="000350AD" w:rsidR="00B63E91">
        <w:rPr>
          <w:rFonts w:ascii="Times New Roman" w:eastAsia="Times New Roman" w:hAnsi="Times New Roman" w:cs="Times New Roman"/>
        </w:rPr>
        <w:t>C.F.R. §</w:t>
      </w:r>
      <w:r w:rsidR="00B63E91">
        <w:rPr>
          <w:rFonts w:ascii="Times New Roman" w:eastAsia="Times New Roman" w:hAnsi="Times New Roman" w:cs="Times New Roman"/>
        </w:rPr>
        <w:t> 1.1310.</w:t>
      </w:r>
      <w:r w:rsidR="00A22B3E">
        <w:rPr>
          <w:rFonts w:ascii="Times New Roman" w:eastAsia="Times New Roman" w:hAnsi="Times New Roman" w:cs="Times New Roman"/>
        </w:rPr>
        <w:t xml:space="preserve">  </w:t>
      </w:r>
      <w:r w:rsidRPr="000350AD" w:rsidR="000350AD">
        <w:rPr>
          <w:rFonts w:ascii="Times New Roman" w:eastAsia="Times New Roman" w:hAnsi="Times New Roman" w:cs="Times New Roman"/>
        </w:rPr>
        <w:t xml:space="preserve">In many cases for mobile and fixed transmitters below 6 GHz, a practical determination of compliance with the SAR limits continues to be evaluation based on the MPE limits, which were themselves derived from the SAR limits.  However, where advantageous, a valid SAR determination may be used as an evaluation to show compliance for any transmitter </w:t>
      </w:r>
      <w:r w:rsidR="00405210">
        <w:rPr>
          <w:rFonts w:ascii="Times New Roman" w:eastAsia="Times New Roman" w:hAnsi="Times New Roman" w:cs="Times New Roman"/>
        </w:rPr>
        <w:t>between 100 kHz and</w:t>
      </w:r>
      <w:r w:rsidRPr="000350AD" w:rsidR="00405210">
        <w:rPr>
          <w:rFonts w:ascii="Times New Roman" w:eastAsia="Times New Roman" w:hAnsi="Times New Roman" w:cs="Times New Roman"/>
        </w:rPr>
        <w:t xml:space="preserve"> </w:t>
      </w:r>
      <w:r w:rsidRPr="000350AD" w:rsidR="000350AD">
        <w:rPr>
          <w:rFonts w:ascii="Times New Roman" w:eastAsia="Times New Roman" w:hAnsi="Times New Roman" w:cs="Times New Roman"/>
        </w:rPr>
        <w:t>6 GHz, and so would take precedence over an MPE evaluation.  For portable devices designed to operate at less than 20</w:t>
      </w:r>
      <w:r w:rsidR="00B63E91">
        <w:rPr>
          <w:rFonts w:ascii="Times New Roman" w:eastAsia="Times New Roman" w:hAnsi="Times New Roman" w:cs="Times New Roman"/>
        </w:rPr>
        <w:t> </w:t>
      </w:r>
      <w:r w:rsidRPr="000350AD" w:rsidR="000350AD">
        <w:rPr>
          <w:rFonts w:ascii="Times New Roman" w:eastAsia="Times New Roman" w:hAnsi="Times New Roman" w:cs="Times New Roman"/>
        </w:rPr>
        <w:t xml:space="preserve">cm from the body and at frequencies less than 6 GHz, a SAR evaluation continues to be required unless the </w:t>
      </w:r>
      <w:r w:rsidR="00405210">
        <w:rPr>
          <w:rFonts w:ascii="Times New Roman" w:eastAsia="Times New Roman" w:hAnsi="Times New Roman" w:cs="Times New Roman"/>
        </w:rPr>
        <w:t>device is exempt from evaluation.</w:t>
      </w:r>
      <w:r w:rsidR="00B63E91">
        <w:rPr>
          <w:rFonts w:ascii="Times New Roman" w:eastAsia="Times New Roman" w:hAnsi="Times New Roman" w:cs="Times New Roman"/>
        </w:rPr>
        <w:t xml:space="preserve"> </w:t>
      </w:r>
    </w:p>
    <w:p w:rsidR="000350AD" w:rsidRPr="0071134A" w:rsidP="00DC2673" w14:paraId="55AC046A" w14:textId="15BD5A42">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RF exposure may be evaluated by any valid measurement or calculation technique.  The </w:t>
      </w:r>
      <w:r>
        <w:rPr>
          <w:rFonts w:ascii="Times New Roman" w:eastAsia="Times New Roman" w:hAnsi="Times New Roman" w:cs="Times New Roman"/>
          <w:i/>
          <w:iCs/>
        </w:rPr>
        <w:t>Order</w:t>
      </w:r>
      <w:r>
        <w:rPr>
          <w:rFonts w:ascii="Times New Roman" w:eastAsia="Times New Roman" w:hAnsi="Times New Roman" w:cs="Times New Roman"/>
        </w:rPr>
        <w:t xml:space="preserve"> </w:t>
      </w:r>
      <w:r w:rsidRPr="004A4E6F">
        <w:rPr>
          <w:rFonts w:ascii="Times New Roman" w:eastAsia="Times New Roman" w:hAnsi="Times New Roman" w:cs="Times New Roman"/>
        </w:rPr>
        <w:t xml:space="preserve">removed provisions from </w:t>
      </w:r>
      <w:r w:rsidR="00FE0FB6">
        <w:rPr>
          <w:rFonts w:ascii="Times New Roman" w:eastAsia="Times New Roman" w:hAnsi="Times New Roman" w:cs="Times New Roman"/>
        </w:rPr>
        <w:t>the</w:t>
      </w:r>
      <w:r w:rsidRPr="004A4E6F" w:rsidR="00FE0FB6">
        <w:rPr>
          <w:rFonts w:ascii="Times New Roman" w:eastAsia="Times New Roman" w:hAnsi="Times New Roman" w:cs="Times New Roman"/>
        </w:rPr>
        <w:t xml:space="preserve"> </w:t>
      </w:r>
      <w:r w:rsidRPr="004A4E6F">
        <w:rPr>
          <w:rFonts w:ascii="Times New Roman" w:eastAsia="Times New Roman" w:hAnsi="Times New Roman" w:cs="Times New Roman"/>
        </w:rPr>
        <w:t>rules that specified only one acceptable numerical approach and instead allowed any valid computational method supported by adequate documentation and consistent results.</w:t>
      </w:r>
      <w:r>
        <w:rPr>
          <w:rFonts w:ascii="Times New Roman" w:eastAsia="Times New Roman" w:hAnsi="Times New Roman" w:cs="Times New Roman"/>
        </w:rPr>
        <w:t xml:space="preserve">  The </w:t>
      </w:r>
      <w:r>
        <w:rPr>
          <w:rFonts w:ascii="Times New Roman" w:eastAsia="Times New Roman" w:hAnsi="Times New Roman" w:cs="Times New Roman"/>
          <w:i/>
          <w:iCs/>
        </w:rPr>
        <w:t>Order</w:t>
      </w:r>
      <w:r>
        <w:rPr>
          <w:rFonts w:ascii="Times New Roman" w:eastAsia="Times New Roman" w:hAnsi="Times New Roman" w:cs="Times New Roman"/>
        </w:rPr>
        <w:t xml:space="preserve"> also eliminated a minimum</w:t>
      </w:r>
      <w:r w:rsidRPr="004A4E6F">
        <w:rPr>
          <w:rFonts w:ascii="Times New Roman" w:eastAsia="Times New Roman" w:hAnsi="Times New Roman" w:cs="Times New Roman"/>
        </w:rPr>
        <w:t xml:space="preserve"> measurement distance of 5 cm for devices operating above 6 GHz, since that </w:t>
      </w:r>
      <w:r w:rsidRPr="00DC2673">
        <w:rPr>
          <w:rFonts w:ascii="TimesNewRomanPSMT" w:hAnsi="TimesNewRomanPSMT" w:cs="TimesNewRomanPSMT"/>
        </w:rPr>
        <w:t>requirement</w:t>
      </w:r>
      <w:r w:rsidRPr="004A4E6F">
        <w:rPr>
          <w:rFonts w:ascii="Times New Roman" w:eastAsia="Times New Roman" w:hAnsi="Times New Roman" w:cs="Times New Roman"/>
        </w:rPr>
        <w:t xml:space="preserve"> </w:t>
      </w:r>
      <w:r w:rsidR="00DB16AA">
        <w:rPr>
          <w:rFonts w:ascii="Times New Roman" w:eastAsia="Times New Roman" w:hAnsi="Times New Roman" w:cs="Times New Roman"/>
        </w:rPr>
        <w:t>has</w:t>
      </w:r>
      <w:r w:rsidRPr="004A4E6F">
        <w:rPr>
          <w:rFonts w:ascii="Times New Roman" w:eastAsia="Times New Roman" w:hAnsi="Times New Roman" w:cs="Times New Roman"/>
        </w:rPr>
        <w:t xml:space="preserve"> been rendered obsolete by technological developments and is no longer necessary.</w:t>
      </w:r>
      <w:r w:rsidR="00B756FB">
        <w:rPr>
          <w:rFonts w:ascii="Times New Roman" w:eastAsia="Times New Roman" w:hAnsi="Times New Roman" w:cs="Times New Roman"/>
        </w:rPr>
        <w:t xml:space="preserve">  Finally, the </w:t>
      </w:r>
      <w:r w:rsidR="00B756FB">
        <w:rPr>
          <w:rFonts w:ascii="Times New Roman" w:eastAsia="Times New Roman" w:hAnsi="Times New Roman" w:cs="Times New Roman"/>
          <w:i/>
          <w:iCs/>
        </w:rPr>
        <w:t>Order</w:t>
      </w:r>
      <w:r w:rsidR="00B756FB">
        <w:rPr>
          <w:rFonts w:ascii="Times New Roman" w:eastAsia="Times New Roman" w:hAnsi="Times New Roman" w:cs="Times New Roman"/>
        </w:rPr>
        <w:t xml:space="preserve"> removed </w:t>
      </w:r>
      <w:r w:rsidRPr="00B756FB" w:rsidR="00B756FB">
        <w:rPr>
          <w:rFonts w:ascii="Times New Roman" w:eastAsia="Times New Roman" w:hAnsi="Times New Roman" w:cs="Times New Roman"/>
        </w:rPr>
        <w:t>reference to IEEE Standard C95.3-1991 from</w:t>
      </w:r>
      <w:r w:rsidR="007741A4">
        <w:rPr>
          <w:rFonts w:ascii="Times New Roman" w:eastAsia="Times New Roman" w:hAnsi="Times New Roman" w:cs="Times New Roman"/>
        </w:rPr>
        <w:t xml:space="preserve"> </w:t>
      </w:r>
      <w:r w:rsidRPr="00B756FB" w:rsidR="00B756FB">
        <w:rPr>
          <w:rFonts w:ascii="Times New Roman" w:eastAsia="Times New Roman" w:hAnsi="Times New Roman" w:cs="Times New Roman"/>
        </w:rPr>
        <w:t>its rules as a possible SAR evaluation reference, instead relying on publications in the</w:t>
      </w:r>
      <w:r w:rsidR="00735379">
        <w:rPr>
          <w:rFonts w:ascii="Times New Roman" w:eastAsia="Times New Roman" w:hAnsi="Times New Roman" w:cs="Times New Roman"/>
        </w:rPr>
        <w:t xml:space="preserve"> Commission’s </w:t>
      </w:r>
      <w:r w:rsidRPr="000350AD" w:rsidR="00735379">
        <w:rPr>
          <w:rFonts w:ascii="Times New Roman" w:eastAsia="Times New Roman" w:hAnsi="Times New Roman" w:cs="Times New Roman"/>
        </w:rPr>
        <w:t>Knowledge Database</w:t>
      </w:r>
      <w:r w:rsidRPr="00B756FB" w:rsidR="00B756FB">
        <w:rPr>
          <w:rFonts w:ascii="Times New Roman" w:eastAsia="Times New Roman" w:hAnsi="Times New Roman" w:cs="Times New Roman"/>
        </w:rPr>
        <w:t xml:space="preserve"> </w:t>
      </w:r>
      <w:r w:rsidR="00735379">
        <w:rPr>
          <w:rFonts w:ascii="Times New Roman" w:eastAsia="Times New Roman" w:hAnsi="Times New Roman" w:cs="Times New Roman"/>
        </w:rPr>
        <w:t>(</w:t>
      </w:r>
      <w:r w:rsidRPr="00B756FB" w:rsidR="00B756FB">
        <w:rPr>
          <w:rFonts w:ascii="Times New Roman" w:eastAsia="Times New Roman" w:hAnsi="Times New Roman" w:cs="Times New Roman"/>
        </w:rPr>
        <w:t>KDB</w:t>
      </w:r>
      <w:r w:rsidR="00735379">
        <w:rPr>
          <w:rFonts w:ascii="Times New Roman" w:eastAsia="Times New Roman" w:hAnsi="Times New Roman" w:cs="Times New Roman"/>
        </w:rPr>
        <w:t>)</w:t>
      </w:r>
      <w:r w:rsidRPr="00B756FB" w:rsidR="00B756FB">
        <w:rPr>
          <w:rFonts w:ascii="Times New Roman" w:eastAsia="Times New Roman" w:hAnsi="Times New Roman" w:cs="Times New Roman"/>
        </w:rPr>
        <w:t xml:space="preserve"> for providing guidance on technical evaluation procedures and standards</w:t>
      </w:r>
      <w:r w:rsidR="00561AE9">
        <w:rPr>
          <w:rFonts w:ascii="Times New Roman" w:eastAsia="Times New Roman" w:hAnsi="Times New Roman" w:cs="Times New Roman"/>
        </w:rPr>
        <w:t>.</w:t>
      </w:r>
    </w:p>
    <w:p w:rsidR="000350AD" w:rsidRPr="000350AD" w:rsidP="00DC2673" w14:paraId="43323F42" w14:textId="7A2822E8">
      <w:pPr>
        <w:pStyle w:val="Heading2"/>
      </w:pPr>
      <w:bookmarkStart w:id="112" w:name="_Toc55643696"/>
      <w:bookmarkStart w:id="113" w:name="_Toc55644705"/>
      <w:bookmarkStart w:id="114" w:name="_Toc55644755"/>
      <w:bookmarkStart w:id="115" w:name="_Toc55645027"/>
      <w:bookmarkStart w:id="116" w:name="_Toc55645028"/>
      <w:bookmarkEnd w:id="112"/>
      <w:bookmarkEnd w:id="113"/>
      <w:bookmarkEnd w:id="114"/>
      <w:bookmarkEnd w:id="115"/>
      <w:r w:rsidRPr="000350AD">
        <w:t>Mitigation</w:t>
      </w:r>
      <w:bookmarkEnd w:id="116"/>
    </w:p>
    <w:p w:rsidR="007741A4" w:rsidP="00DC2673" w14:paraId="44C4FBE6" w14:textId="1C3C5452">
      <w:pPr>
        <w:spacing w:line="240" w:lineRule="auto"/>
        <w:ind w:firstLine="720"/>
        <w:rPr>
          <w:rFonts w:ascii="Times New Roman" w:eastAsia="Times New Roman" w:hAnsi="Times New Roman" w:cs="Times New Roman"/>
        </w:rPr>
      </w:pPr>
      <w:r w:rsidRPr="007741A4">
        <w:rPr>
          <w:rFonts w:ascii="Times New Roman" w:eastAsia="Times New Roman" w:hAnsi="Times New Roman" w:cs="Times New Roman"/>
        </w:rPr>
        <w:t>While the purpose of evaluation is to establish whether there is a spatial region or area</w:t>
      </w:r>
      <w:r>
        <w:rPr>
          <w:rFonts w:ascii="Times New Roman" w:eastAsia="Times New Roman" w:hAnsi="Times New Roman" w:cs="Times New Roman"/>
        </w:rPr>
        <w:t xml:space="preserve"> </w:t>
      </w:r>
      <w:r w:rsidRPr="007741A4">
        <w:rPr>
          <w:rFonts w:ascii="Times New Roman" w:eastAsia="Times New Roman" w:hAnsi="Times New Roman" w:cs="Times New Roman"/>
        </w:rPr>
        <w:t>near transmitting antennas where the RF exposure limits are exceeded, the purpose of mitigation is to take</w:t>
      </w:r>
      <w:r>
        <w:rPr>
          <w:rFonts w:ascii="Times New Roman" w:eastAsia="Times New Roman" w:hAnsi="Times New Roman" w:cs="Times New Roman"/>
        </w:rPr>
        <w:t xml:space="preserve"> </w:t>
      </w:r>
      <w:r w:rsidRPr="007741A4">
        <w:rPr>
          <w:rFonts w:ascii="Times New Roman" w:eastAsia="Times New Roman" w:hAnsi="Times New Roman" w:cs="Times New Roman"/>
        </w:rPr>
        <w:t>the appropriate steps to keep persons out of that space.</w:t>
      </w:r>
      <w:r w:rsidR="004670F0">
        <w:rPr>
          <w:rFonts w:ascii="Times New Roman" w:eastAsia="Times New Roman" w:hAnsi="Times New Roman" w:cs="Times New Roman"/>
        </w:rPr>
        <w:t xml:space="preserve">  </w:t>
      </w:r>
      <w:r w:rsidRPr="000350AD" w:rsidR="004670F0">
        <w:rPr>
          <w:rFonts w:ascii="Times New Roman" w:eastAsia="Times New Roman" w:hAnsi="Times New Roman" w:cs="Times New Roman"/>
        </w:rPr>
        <w:t xml:space="preserve">The Commission employs more flexible RF exposure limits in </w:t>
      </w:r>
      <w:r w:rsidRPr="00DC2673" w:rsidR="004670F0">
        <w:rPr>
          <w:rFonts w:ascii="TimesNewRomanPSMT" w:hAnsi="TimesNewRomanPSMT" w:cs="TimesNewRomanPSMT"/>
        </w:rPr>
        <w:t>occupational</w:t>
      </w:r>
      <w:r w:rsidR="00A260E2">
        <w:rPr>
          <w:rFonts w:ascii="Times New Roman" w:eastAsia="Times New Roman" w:hAnsi="Times New Roman" w:cs="Times New Roman"/>
        </w:rPr>
        <w:t>/controlled</w:t>
      </w:r>
      <w:r w:rsidRPr="000350AD" w:rsidR="004670F0">
        <w:rPr>
          <w:rFonts w:ascii="Times New Roman" w:eastAsia="Times New Roman" w:hAnsi="Times New Roman" w:cs="Times New Roman"/>
        </w:rPr>
        <w:t xml:space="preserve"> settings, </w:t>
      </w:r>
      <w:r w:rsidR="004670F0">
        <w:rPr>
          <w:rFonts w:ascii="Times New Roman" w:eastAsia="Times New Roman" w:hAnsi="Times New Roman" w:cs="Times New Roman"/>
        </w:rPr>
        <w:t>and mitigation m</w:t>
      </w:r>
      <w:r w:rsidRPr="004670F0" w:rsidR="004670F0">
        <w:rPr>
          <w:rFonts w:ascii="Times New Roman" w:eastAsia="Times New Roman" w:hAnsi="Times New Roman" w:cs="Times New Roman"/>
        </w:rPr>
        <w:t xml:space="preserve">easures are needed to ensure that exposure </w:t>
      </w:r>
      <w:r w:rsidRPr="004670F0" w:rsidR="004670F0">
        <w:rPr>
          <w:rFonts w:ascii="Times New Roman" w:eastAsia="Times New Roman" w:hAnsi="Times New Roman" w:cs="Times New Roman"/>
        </w:rPr>
        <w:t>in excess of</w:t>
      </w:r>
      <w:r w:rsidR="004670F0">
        <w:rPr>
          <w:rFonts w:ascii="Times New Roman" w:eastAsia="Times New Roman" w:hAnsi="Times New Roman" w:cs="Times New Roman"/>
        </w:rPr>
        <w:t xml:space="preserve"> </w:t>
      </w:r>
      <w:r w:rsidR="00F24D92">
        <w:rPr>
          <w:rFonts w:ascii="Times New Roman" w:eastAsia="Times New Roman" w:hAnsi="Times New Roman" w:cs="Times New Roman"/>
        </w:rPr>
        <w:t>the</w:t>
      </w:r>
      <w:r w:rsidRPr="004670F0" w:rsidR="004670F0">
        <w:rPr>
          <w:rFonts w:ascii="Times New Roman" w:eastAsia="Times New Roman" w:hAnsi="Times New Roman" w:cs="Times New Roman"/>
        </w:rPr>
        <w:t xml:space="preserve"> general population</w:t>
      </w:r>
      <w:r w:rsidR="00A260E2">
        <w:rPr>
          <w:rFonts w:ascii="Times New Roman" w:eastAsia="Times New Roman" w:hAnsi="Times New Roman" w:cs="Times New Roman"/>
        </w:rPr>
        <w:t>/uncontrolled</w:t>
      </w:r>
      <w:r w:rsidRPr="004670F0" w:rsidR="004670F0">
        <w:rPr>
          <w:rFonts w:ascii="Times New Roman" w:eastAsia="Times New Roman" w:hAnsi="Times New Roman" w:cs="Times New Roman"/>
        </w:rPr>
        <w:t xml:space="preserve"> limits is permitted only for those with proper training and capability to limit their</w:t>
      </w:r>
      <w:r w:rsidR="004670F0">
        <w:rPr>
          <w:rFonts w:ascii="Times New Roman" w:eastAsia="Times New Roman" w:hAnsi="Times New Roman" w:cs="Times New Roman"/>
        </w:rPr>
        <w:t xml:space="preserve"> </w:t>
      </w:r>
      <w:r w:rsidRPr="004670F0" w:rsidR="004670F0">
        <w:rPr>
          <w:rFonts w:ascii="Times New Roman" w:eastAsia="Times New Roman" w:hAnsi="Times New Roman" w:cs="Times New Roman"/>
        </w:rPr>
        <w:t xml:space="preserve">exposure. </w:t>
      </w:r>
      <w:r w:rsidR="00580B2D">
        <w:rPr>
          <w:rFonts w:ascii="Times New Roman" w:eastAsia="Times New Roman" w:hAnsi="Times New Roman" w:cs="Times New Roman"/>
        </w:rPr>
        <w:t xml:space="preserve"> </w:t>
      </w:r>
      <w:r w:rsidRPr="004670F0" w:rsidR="004670F0">
        <w:rPr>
          <w:rFonts w:ascii="Times New Roman" w:eastAsia="Times New Roman" w:hAnsi="Times New Roman" w:cs="Times New Roman"/>
        </w:rPr>
        <w:t>Such mitigation measures include labels, signs, markings, barriers, positive</w:t>
      </w:r>
      <w:r w:rsidR="004670F0">
        <w:rPr>
          <w:rFonts w:ascii="Times New Roman" w:eastAsia="Times New Roman" w:hAnsi="Times New Roman" w:cs="Times New Roman"/>
        </w:rPr>
        <w:t xml:space="preserve"> </w:t>
      </w:r>
      <w:r w:rsidRPr="004670F0" w:rsidR="004670F0">
        <w:rPr>
          <w:rFonts w:ascii="Times New Roman" w:eastAsia="Times New Roman" w:hAnsi="Times New Roman" w:cs="Times New Roman"/>
        </w:rPr>
        <w:t>access controls, and occupational training</w:t>
      </w:r>
      <w:r w:rsidR="004670F0">
        <w:rPr>
          <w:rFonts w:ascii="Times New Roman" w:eastAsia="Times New Roman" w:hAnsi="Times New Roman" w:cs="Times New Roman"/>
        </w:rPr>
        <w:t xml:space="preserve">.  </w:t>
      </w:r>
      <w:r w:rsidRPr="004670F0" w:rsidR="004670F0">
        <w:rPr>
          <w:rFonts w:ascii="Times New Roman" w:eastAsia="Times New Roman" w:hAnsi="Times New Roman" w:cs="Times New Roman"/>
        </w:rPr>
        <w:t>Mitigation requirements depend on the physical</w:t>
      </w:r>
      <w:r w:rsidR="004670F0">
        <w:rPr>
          <w:rFonts w:ascii="Times New Roman" w:eastAsia="Times New Roman" w:hAnsi="Times New Roman" w:cs="Times New Roman"/>
        </w:rPr>
        <w:t xml:space="preserve"> </w:t>
      </w:r>
      <w:r w:rsidRPr="004670F0" w:rsidR="004670F0">
        <w:rPr>
          <w:rFonts w:ascii="Times New Roman" w:eastAsia="Times New Roman" w:hAnsi="Times New Roman" w:cs="Times New Roman"/>
        </w:rPr>
        <w:t>characteristics of the area and the level of exposure above the pertinent limits.</w:t>
      </w:r>
      <w:r w:rsidR="00580B2D">
        <w:rPr>
          <w:rFonts w:ascii="Times New Roman" w:eastAsia="Times New Roman" w:hAnsi="Times New Roman" w:cs="Times New Roman"/>
        </w:rPr>
        <w:t xml:space="preserve"> </w:t>
      </w:r>
      <w:r w:rsidRPr="004670F0" w:rsidR="004670F0">
        <w:rPr>
          <w:rFonts w:ascii="Times New Roman" w:eastAsia="Times New Roman" w:hAnsi="Times New Roman" w:cs="Times New Roman"/>
        </w:rPr>
        <w:t xml:space="preserve"> These measures range</w:t>
      </w:r>
      <w:r w:rsidR="004670F0">
        <w:rPr>
          <w:rFonts w:ascii="Times New Roman" w:eastAsia="Times New Roman" w:hAnsi="Times New Roman" w:cs="Times New Roman"/>
        </w:rPr>
        <w:t xml:space="preserve"> </w:t>
      </w:r>
      <w:r w:rsidRPr="004670F0" w:rsidR="004670F0">
        <w:rPr>
          <w:rFonts w:ascii="Times New Roman" w:eastAsia="Times New Roman" w:hAnsi="Times New Roman" w:cs="Times New Roman"/>
        </w:rPr>
        <w:t>from precluding members of the general public from entering areas where exposure exceeds the general</w:t>
      </w:r>
      <w:r w:rsidR="004670F0">
        <w:rPr>
          <w:rFonts w:ascii="Times New Roman" w:eastAsia="Times New Roman" w:hAnsi="Times New Roman" w:cs="Times New Roman"/>
        </w:rPr>
        <w:t xml:space="preserve"> </w:t>
      </w:r>
      <w:r w:rsidRPr="004670F0" w:rsidR="004670F0">
        <w:rPr>
          <w:rFonts w:ascii="Times New Roman" w:eastAsia="Times New Roman" w:hAnsi="Times New Roman" w:cs="Times New Roman"/>
        </w:rPr>
        <w:t>population continuous limit, to measures allowing only trained</w:t>
      </w:r>
      <w:r w:rsidR="004670F0">
        <w:rPr>
          <w:rFonts w:ascii="Times New Roman" w:eastAsia="Times New Roman" w:hAnsi="Times New Roman" w:cs="Times New Roman"/>
        </w:rPr>
        <w:t xml:space="preserve"> </w:t>
      </w:r>
      <w:r w:rsidRPr="004670F0" w:rsidR="004670F0">
        <w:rPr>
          <w:rFonts w:ascii="Times New Roman" w:eastAsia="Times New Roman" w:hAnsi="Times New Roman" w:cs="Times New Roman"/>
        </w:rPr>
        <w:t>workers to enter an area that exceeds the continuous occupational limit briefly, with protective</w:t>
      </w:r>
      <w:r w:rsidR="004670F0">
        <w:rPr>
          <w:rFonts w:ascii="Times New Roman" w:eastAsia="Times New Roman" w:hAnsi="Times New Roman" w:cs="Times New Roman"/>
        </w:rPr>
        <w:t xml:space="preserve"> </w:t>
      </w:r>
      <w:r w:rsidRPr="004670F0" w:rsidR="004670F0">
        <w:rPr>
          <w:rFonts w:ascii="Times New Roman" w:eastAsia="Times New Roman" w:hAnsi="Times New Roman" w:cs="Times New Roman"/>
        </w:rPr>
        <w:t>clothing, or with an exposure monitor so that compliance with the occupational limit with 6-minute time</w:t>
      </w:r>
      <w:r w:rsidR="004670F0">
        <w:rPr>
          <w:rFonts w:ascii="Times New Roman" w:eastAsia="Times New Roman" w:hAnsi="Times New Roman" w:cs="Times New Roman"/>
        </w:rPr>
        <w:t xml:space="preserve"> </w:t>
      </w:r>
      <w:r w:rsidRPr="004670F0" w:rsidR="004670F0">
        <w:rPr>
          <w:rFonts w:ascii="Times New Roman" w:eastAsia="Times New Roman" w:hAnsi="Times New Roman" w:cs="Times New Roman"/>
        </w:rPr>
        <w:t xml:space="preserve">averaging is maintained. </w:t>
      </w:r>
      <w:r w:rsidR="00580B2D">
        <w:rPr>
          <w:rFonts w:ascii="Times New Roman" w:eastAsia="Times New Roman" w:hAnsi="Times New Roman" w:cs="Times New Roman"/>
        </w:rPr>
        <w:t xml:space="preserve"> </w:t>
      </w:r>
      <w:r w:rsidR="00FE0FB6">
        <w:rPr>
          <w:rFonts w:ascii="Times New Roman" w:eastAsia="Times New Roman" w:hAnsi="Times New Roman" w:cs="Times New Roman"/>
        </w:rPr>
        <w:t>These mitigation measures</w:t>
      </w:r>
      <w:r w:rsidRPr="004670F0" w:rsidR="00FE0FB6">
        <w:rPr>
          <w:rFonts w:ascii="Times New Roman" w:eastAsia="Times New Roman" w:hAnsi="Times New Roman" w:cs="Times New Roman"/>
        </w:rPr>
        <w:t xml:space="preserve"> </w:t>
      </w:r>
      <w:r w:rsidR="00FE0FB6">
        <w:rPr>
          <w:rFonts w:ascii="Times New Roman" w:eastAsia="Times New Roman" w:hAnsi="Times New Roman" w:cs="Times New Roman"/>
        </w:rPr>
        <w:t>apply</w:t>
      </w:r>
      <w:r w:rsidRPr="004670F0" w:rsidR="004670F0">
        <w:rPr>
          <w:rFonts w:ascii="Times New Roman" w:eastAsia="Times New Roman" w:hAnsi="Times New Roman" w:cs="Times New Roman"/>
        </w:rPr>
        <w:t xml:space="preserve"> to fixed sites;</w:t>
      </w:r>
      <w:r w:rsidR="004670F0">
        <w:rPr>
          <w:rFonts w:ascii="Times New Roman" w:eastAsia="Times New Roman" w:hAnsi="Times New Roman" w:cs="Times New Roman"/>
        </w:rPr>
        <w:t xml:space="preserve"> </w:t>
      </w:r>
      <w:r w:rsidRPr="004670F0" w:rsidR="004670F0">
        <w:rPr>
          <w:rFonts w:ascii="Times New Roman" w:eastAsia="Times New Roman" w:hAnsi="Times New Roman" w:cs="Times New Roman"/>
        </w:rPr>
        <w:t>mitigation measures for mobile and portable devices are typically based on device features such as</w:t>
      </w:r>
      <w:r w:rsidR="004670F0">
        <w:rPr>
          <w:rFonts w:ascii="Times New Roman" w:eastAsia="Times New Roman" w:hAnsi="Times New Roman" w:cs="Times New Roman"/>
        </w:rPr>
        <w:t xml:space="preserve"> </w:t>
      </w:r>
      <w:r w:rsidRPr="004670F0" w:rsidR="004670F0">
        <w:rPr>
          <w:rFonts w:ascii="Times New Roman" w:eastAsia="Times New Roman" w:hAnsi="Times New Roman" w:cs="Times New Roman"/>
        </w:rPr>
        <w:t>proximity sensors or device-controlled time averaging</w:t>
      </w:r>
      <w:r w:rsidR="004670F0">
        <w:rPr>
          <w:rFonts w:ascii="Times New Roman" w:eastAsia="Times New Roman" w:hAnsi="Times New Roman" w:cs="Times New Roman"/>
        </w:rPr>
        <w:t xml:space="preserve">. </w:t>
      </w:r>
    </w:p>
    <w:p w:rsidR="00C13412" w:rsidP="00DC2673" w14:paraId="3A2E5043" w14:textId="0A0218C7">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i/>
          <w:iCs/>
        </w:rPr>
        <w:t>Order</w:t>
      </w:r>
      <w:r>
        <w:rPr>
          <w:rFonts w:ascii="Times New Roman" w:eastAsia="Times New Roman" w:hAnsi="Times New Roman" w:cs="Times New Roman"/>
        </w:rPr>
        <w:t xml:space="preserve"> established more specific mitigation measures that include </w:t>
      </w:r>
      <w:r w:rsidRPr="007741A4">
        <w:rPr>
          <w:rFonts w:ascii="Times New Roman" w:eastAsia="Times New Roman" w:hAnsi="Times New Roman" w:cs="Times New Roman"/>
        </w:rPr>
        <w:t>access control, signage, and training requirements for transmitter sites where RF exposure limits may be exceeded</w:t>
      </w:r>
      <w:r>
        <w:rPr>
          <w:rFonts w:ascii="Times New Roman" w:eastAsia="Times New Roman" w:hAnsi="Times New Roman" w:cs="Times New Roman"/>
        </w:rPr>
        <w:t xml:space="preserve">.  </w:t>
      </w:r>
      <w:r w:rsidR="00B30246">
        <w:rPr>
          <w:rFonts w:ascii="Times New Roman" w:eastAsia="Times New Roman" w:hAnsi="Times New Roman" w:cs="Times New Roman"/>
        </w:rPr>
        <w:t xml:space="preserve">Four </w:t>
      </w:r>
      <w:r w:rsidRPr="003018D4">
        <w:rPr>
          <w:rFonts w:ascii="Times New Roman" w:eastAsia="Times New Roman" w:hAnsi="Times New Roman" w:cs="Times New Roman"/>
        </w:rPr>
        <w:t xml:space="preserve">categories </w:t>
      </w:r>
      <w:r w:rsidR="00B30246">
        <w:rPr>
          <w:rFonts w:ascii="Times New Roman" w:eastAsia="Times New Roman" w:hAnsi="Times New Roman" w:cs="Times New Roman"/>
        </w:rPr>
        <w:t xml:space="preserve">were adopted </w:t>
      </w:r>
      <w:r w:rsidRPr="003018D4">
        <w:rPr>
          <w:rFonts w:ascii="Times New Roman" w:eastAsia="Times New Roman" w:hAnsi="Times New Roman" w:cs="Times New Roman"/>
        </w:rPr>
        <w:t>for specifying RF safety program actions that reflect potential RF exposure scenarios</w:t>
      </w:r>
      <w:r w:rsidR="00B30246">
        <w:rPr>
          <w:rFonts w:ascii="Times New Roman" w:eastAsia="Times New Roman" w:hAnsi="Times New Roman" w:cs="Times New Roman"/>
        </w:rPr>
        <w:t xml:space="preserve">.  These categories range from Category One, where RF exposure limits for the general population would not be exceeded even with continuous or with source-based time-averaged exposure, to Category Four, where </w:t>
      </w:r>
      <w:r w:rsidRPr="00B30246" w:rsidR="00B30246">
        <w:rPr>
          <w:rFonts w:ascii="Times New Roman" w:eastAsia="Times New Roman" w:hAnsi="Times New Roman" w:cs="Times New Roman"/>
        </w:rPr>
        <w:t xml:space="preserve">the exposure limit for occupational personnel would be exceeded by more than a factor of ten, or </w:t>
      </w:r>
      <w:r w:rsidRPr="00B30246" w:rsidR="00B30246">
        <w:rPr>
          <w:rFonts w:ascii="Times New Roman" w:eastAsia="Times New Roman" w:hAnsi="Times New Roman" w:cs="Times New Roman"/>
        </w:rPr>
        <w:t>where there is a possibility for serious contact injury, such as a severe burn, permanent tissue damage, or shock</w:t>
      </w:r>
      <w:r w:rsidR="00B30246">
        <w:rPr>
          <w:rFonts w:ascii="Times New Roman" w:eastAsia="Times New Roman" w:hAnsi="Times New Roman" w:cs="Times New Roman"/>
        </w:rPr>
        <w:t xml:space="preserve">.  These categories require an increasing level of mitigation measures as specified in </w:t>
      </w:r>
      <w:r w:rsidRPr="000350AD" w:rsidR="00672D8B">
        <w:rPr>
          <w:rFonts w:ascii="Times New Roman" w:eastAsia="Times New Roman" w:hAnsi="Times New Roman" w:cs="Times New Roman"/>
        </w:rPr>
        <w:t>47 C.F.R. §</w:t>
      </w:r>
      <w:r w:rsidR="001379B9">
        <w:rPr>
          <w:rFonts w:ascii="Times New Roman" w:eastAsia="Times New Roman" w:hAnsi="Times New Roman" w:cs="Times New Roman"/>
        </w:rPr>
        <w:t> </w:t>
      </w:r>
      <w:r w:rsidR="00B30246">
        <w:rPr>
          <w:rFonts w:ascii="Times New Roman" w:eastAsia="Times New Roman" w:hAnsi="Times New Roman" w:cs="Times New Roman"/>
        </w:rPr>
        <w:t>1.1307(b)(4)</w:t>
      </w:r>
      <w:r w:rsidR="008A202D">
        <w:rPr>
          <w:rFonts w:ascii="Times New Roman" w:eastAsia="Times New Roman" w:hAnsi="Times New Roman" w:cs="Times New Roman"/>
        </w:rPr>
        <w:t>.  A graphical representation of the exposure categories and associated signage requirements is provided in</w:t>
      </w:r>
      <w:r w:rsidRPr="0071134A" w:rsidR="008A202D">
        <w:rPr>
          <w:rFonts w:ascii="Times New Roman" w:eastAsia="Times New Roman" w:hAnsi="Times New Roman" w:cs="Times New Roman"/>
        </w:rPr>
        <w:t xml:space="preserve"> </w:t>
      </w:r>
      <w:r w:rsidRPr="0071134A" w:rsidR="008A202D">
        <w:rPr>
          <w:rFonts w:ascii="Times New Roman" w:eastAsia="Times New Roman" w:hAnsi="Times New Roman" w:cs="Times New Roman"/>
        </w:rPr>
        <w:fldChar w:fldCharType="begin"/>
      </w:r>
      <w:r w:rsidRPr="00114F1A" w:rsidR="008A202D">
        <w:rPr>
          <w:rFonts w:ascii="Times New Roman" w:eastAsia="Times New Roman" w:hAnsi="Times New Roman" w:cs="Times New Roman"/>
        </w:rPr>
        <w:instrText xml:space="preserve"> REF _Ref40431245 \h </w:instrText>
      </w:r>
      <w:r w:rsidRPr="0017724F" w:rsidR="008A202D">
        <w:rPr>
          <w:rFonts w:ascii="Times New Roman" w:eastAsia="Times New Roman" w:hAnsi="Times New Roman" w:cs="Times New Roman"/>
        </w:rPr>
        <w:instrText xml:space="preserve"> \* MERGEFORMAT </w:instrText>
      </w:r>
      <w:r w:rsidRPr="0071134A" w:rsidR="008A202D">
        <w:rPr>
          <w:rFonts w:ascii="Times New Roman" w:eastAsia="Times New Roman" w:hAnsi="Times New Roman" w:cs="Times New Roman"/>
        </w:rPr>
        <w:fldChar w:fldCharType="separate"/>
      </w:r>
      <w:r w:rsidRPr="0017724F" w:rsidR="008A202D">
        <w:rPr>
          <w:rFonts w:ascii="Times New Roman" w:hAnsi="Times New Roman" w:cs="Times New Roman"/>
        </w:rPr>
        <w:t>Figure</w:t>
      </w:r>
      <w:r w:rsidRPr="0071134A" w:rsidR="008A202D">
        <w:t xml:space="preserve"> </w:t>
      </w:r>
      <w:r w:rsidRPr="0071134A" w:rsidR="008A202D">
        <w:rPr>
          <w:noProof/>
        </w:rPr>
        <w:t>1</w:t>
      </w:r>
      <w:r w:rsidRPr="0071134A" w:rsidR="008A202D">
        <w:rPr>
          <w:rFonts w:ascii="Times New Roman" w:eastAsia="Times New Roman" w:hAnsi="Times New Roman" w:cs="Times New Roman"/>
        </w:rPr>
        <w:fldChar w:fldCharType="end"/>
      </w:r>
      <w:r w:rsidR="00B30246">
        <w:rPr>
          <w:rFonts w:ascii="Times New Roman" w:eastAsia="Times New Roman" w:hAnsi="Times New Roman" w:cs="Times New Roman"/>
        </w:rPr>
        <w:t>.</w:t>
      </w:r>
    </w:p>
    <w:p w:rsidR="00C13412" w:rsidP="003018D4" w14:paraId="66FA0245" w14:textId="77777777">
      <w:pPr>
        <w:autoSpaceDE w:val="0"/>
        <w:autoSpaceDN w:val="0"/>
        <w:adjustRightInd w:val="0"/>
        <w:spacing w:after="0" w:line="240" w:lineRule="auto"/>
        <w:rPr>
          <w:rFonts w:ascii="Times New Roman" w:eastAsia="Times New Roman" w:hAnsi="Times New Roman" w:cs="Times New Roman"/>
        </w:rPr>
      </w:pPr>
    </w:p>
    <w:p w:rsidR="00C13412" w:rsidP="00DB16AA" w14:paraId="2419111C" w14:textId="29886FF5">
      <w:pPr>
        <w:keepNext/>
        <w:autoSpaceDE w:val="0"/>
        <w:autoSpaceDN w:val="0"/>
        <w:adjustRightInd w:val="0"/>
        <w:spacing w:after="0" w:line="240" w:lineRule="auto"/>
        <w:jc w:val="center"/>
      </w:pPr>
      <w:r>
        <w:rPr>
          <w:noProof/>
        </w:rPr>
        <w:drawing>
          <wp:inline distT="0" distB="0" distL="0" distR="0">
            <wp:extent cx="5457825" cy="3724275"/>
            <wp:effectExtent l="0" t="0" r="9525" b="9525"/>
            <wp:docPr id="1" name="Picture 1" descr="Categori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ategories2!"/>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5457825" cy="3724275"/>
                    </a:xfrm>
                    <a:prstGeom prst="rect">
                      <a:avLst/>
                    </a:prstGeom>
                    <a:noFill/>
                    <a:ln>
                      <a:noFill/>
                    </a:ln>
                  </pic:spPr>
                </pic:pic>
              </a:graphicData>
            </a:graphic>
          </wp:inline>
        </w:drawing>
      </w:r>
    </w:p>
    <w:p w:rsidR="00C13412" w:rsidRPr="0071134A" w:rsidP="00DB16AA" w14:paraId="529DD421" w14:textId="2BB3662E">
      <w:pPr>
        <w:pStyle w:val="Caption"/>
        <w:ind w:left="450"/>
        <w:rPr>
          <w:rFonts w:eastAsia="Times New Roman" w:cs="Times New Roman"/>
        </w:rPr>
      </w:pPr>
      <w:bookmarkStart w:id="117" w:name="_Ref40431245"/>
      <w:r w:rsidRPr="0071134A">
        <w:t xml:space="preserve">Figure </w:t>
      </w:r>
      <w:r w:rsidR="00841364">
        <w:fldChar w:fldCharType="begin"/>
      </w:r>
      <w:r w:rsidR="00841364">
        <w:instrText xml:space="preserve"> SEQ Figure \* ARABIC </w:instrText>
      </w:r>
      <w:r w:rsidR="00841364">
        <w:fldChar w:fldCharType="separate"/>
      </w:r>
      <w:r w:rsidRPr="0017724F">
        <w:rPr>
          <w:noProof/>
        </w:rPr>
        <w:t>1</w:t>
      </w:r>
      <w:r w:rsidR="00841364">
        <w:rPr>
          <w:noProof/>
        </w:rPr>
        <w:fldChar w:fldCharType="end"/>
      </w:r>
      <w:bookmarkEnd w:id="117"/>
      <w:r w:rsidRPr="0017724F">
        <w:t>.  Graphical Representation of Exposure Categories and Associated Signage Requirements</w:t>
      </w:r>
      <w:r>
        <w:br/>
      </w:r>
      <w:r>
        <w:br/>
      </w:r>
      <w:r>
        <w:rPr>
          <w:b w:val="0"/>
          <w:bCs/>
        </w:rPr>
        <w:t>NOTE</w:t>
      </w:r>
      <w:r w:rsidRPr="0017724F">
        <w:rPr>
          <w:b w:val="0"/>
          <w:bCs/>
        </w:rPr>
        <w:t xml:space="preserve"> 1</w:t>
      </w:r>
      <w:r>
        <w:rPr>
          <w:b w:val="0"/>
          <w:bCs/>
        </w:rPr>
        <w:t>:</w:t>
      </w:r>
      <w:r w:rsidRPr="0017724F">
        <w:rPr>
          <w:b w:val="0"/>
          <w:bCs/>
        </w:rPr>
        <w:t xml:space="preserve"> Where immediate and serious injury would occur on contact regardless of category, the following sign components are required</w:t>
      </w:r>
      <w:r w:rsidR="008A202D">
        <w:rPr>
          <w:b w:val="0"/>
          <w:bCs/>
        </w:rPr>
        <w:t xml:space="preserve">:  </w:t>
      </w:r>
      <w:r w:rsidRPr="0017724F" w:rsidR="008A202D">
        <w:rPr>
          <w:b w:val="0"/>
          <w:bCs/>
          <w:noProof/>
        </w:rPr>
        <w:drawing>
          <wp:inline distT="0" distB="0" distL="0" distR="0">
            <wp:extent cx="1933575" cy="342900"/>
            <wp:effectExtent l="0" t="0" r="9525" b="0"/>
            <wp:docPr id="3" name="Picture 3" descr="D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Danger!"/>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933575" cy="342900"/>
                    </a:xfrm>
                    <a:prstGeom prst="rect">
                      <a:avLst/>
                    </a:prstGeom>
                    <a:noFill/>
                    <a:ln>
                      <a:noFill/>
                    </a:ln>
                  </pic:spPr>
                </pic:pic>
              </a:graphicData>
            </a:graphic>
          </wp:inline>
        </w:drawing>
      </w:r>
      <w:r w:rsidRPr="0017724F">
        <w:rPr>
          <w:b w:val="0"/>
          <w:bCs/>
        </w:rPr>
        <w:t>.</w:t>
      </w:r>
      <w:r w:rsidR="00DB16AA">
        <w:rPr>
          <w:b w:val="0"/>
          <w:bCs/>
        </w:rPr>
        <w:br/>
      </w:r>
      <w:r w:rsidR="00DB16AA">
        <w:rPr>
          <w:b w:val="0"/>
          <w:bCs/>
        </w:rPr>
        <w:br/>
      </w:r>
      <w:r w:rsidRPr="0017724F">
        <w:rPr>
          <w:b w:val="0"/>
          <w:bCs/>
        </w:rPr>
        <w:t>NOTE 2: Drawn from IEEE Std C95.7-2014 and IEEE Std C95.2-1999</w:t>
      </w:r>
    </w:p>
    <w:p w:rsidR="00B74761" w:rsidP="00DC2673" w14:paraId="14814A04" w14:textId="13BEBED5">
      <w:pPr>
        <w:spacing w:line="240" w:lineRule="auto"/>
        <w:ind w:firstLine="720"/>
        <w:rPr>
          <w:rFonts w:ascii="TimesNewRomanPSMT" w:hAnsi="TimesNewRomanPSMT" w:cs="TimesNewRomanPSMT"/>
        </w:rPr>
      </w:pPr>
      <w:r>
        <w:rPr>
          <w:rFonts w:ascii="Times New Roman" w:eastAsia="Times New Roman" w:hAnsi="Times New Roman" w:cs="Times New Roman"/>
        </w:rPr>
        <w:t xml:space="preserve">The </w:t>
      </w:r>
      <w:r>
        <w:rPr>
          <w:rFonts w:ascii="Times New Roman" w:eastAsia="Times New Roman" w:hAnsi="Times New Roman" w:cs="Times New Roman"/>
          <w:i/>
          <w:iCs/>
        </w:rPr>
        <w:t>Order</w:t>
      </w:r>
      <w:r>
        <w:rPr>
          <w:rFonts w:ascii="Times New Roman" w:eastAsia="Times New Roman" w:hAnsi="Times New Roman" w:cs="Times New Roman"/>
        </w:rPr>
        <w:t xml:space="preserve"> </w:t>
      </w:r>
      <w:r w:rsidR="00A260E2">
        <w:rPr>
          <w:rFonts w:ascii="Times New Roman" w:eastAsia="Times New Roman" w:hAnsi="Times New Roman" w:cs="Times New Roman"/>
        </w:rPr>
        <w:t xml:space="preserve">amended </w:t>
      </w:r>
      <w:r w:rsidRPr="000350AD" w:rsidR="00672D8B">
        <w:rPr>
          <w:rFonts w:ascii="Times New Roman" w:eastAsia="Times New Roman" w:hAnsi="Times New Roman" w:cs="Times New Roman"/>
        </w:rPr>
        <w:t>47 C.F.R. §</w:t>
      </w:r>
      <w:r w:rsidR="00A260E2">
        <w:rPr>
          <w:rFonts w:ascii="Times New Roman" w:eastAsia="Times New Roman" w:hAnsi="Times New Roman" w:cs="Times New Roman"/>
        </w:rPr>
        <w:t xml:space="preserve"> 1.1307(b)</w:t>
      </w:r>
      <w:r>
        <w:rPr>
          <w:rFonts w:ascii="Times New Roman" w:eastAsia="Times New Roman" w:hAnsi="Times New Roman" w:cs="Times New Roman"/>
        </w:rPr>
        <w:t xml:space="preserve"> </w:t>
      </w:r>
      <w:r w:rsidR="00A260E2">
        <w:rPr>
          <w:rFonts w:ascii="Times New Roman" w:eastAsia="Times New Roman" w:hAnsi="Times New Roman" w:cs="Times New Roman"/>
        </w:rPr>
        <w:t>to clarify</w:t>
      </w:r>
      <w:r>
        <w:rPr>
          <w:rFonts w:ascii="Times New Roman" w:eastAsia="Times New Roman" w:hAnsi="Times New Roman" w:cs="Times New Roman"/>
        </w:rPr>
        <w:t xml:space="preserve"> </w:t>
      </w:r>
      <w:r w:rsidR="00A260E2">
        <w:rPr>
          <w:rFonts w:ascii="Times New Roman" w:eastAsia="Times New Roman" w:hAnsi="Times New Roman" w:cs="Times New Roman"/>
        </w:rPr>
        <w:t xml:space="preserve">policy concerning </w:t>
      </w:r>
      <w:r>
        <w:rPr>
          <w:rFonts w:ascii="Times New Roman" w:eastAsia="Times New Roman" w:hAnsi="Times New Roman" w:cs="Times New Roman"/>
        </w:rPr>
        <w:t>transient exposure</w:t>
      </w:r>
      <w:r w:rsidR="003018D4">
        <w:rPr>
          <w:rFonts w:ascii="Times New Roman" w:eastAsia="Times New Roman" w:hAnsi="Times New Roman" w:cs="Times New Roman"/>
        </w:rPr>
        <w:t>.  A</w:t>
      </w:r>
      <w:r>
        <w:rPr>
          <w:rFonts w:ascii="Times New Roman" w:eastAsia="Times New Roman" w:hAnsi="Times New Roman" w:cs="Times New Roman"/>
        </w:rPr>
        <w:t xml:space="preserve"> </w:t>
      </w:r>
      <w:r>
        <w:rPr>
          <w:rFonts w:ascii="Times New Roman" w:eastAsia="Times New Roman" w:hAnsi="Times New Roman" w:cs="Times New Roman"/>
          <w:i/>
          <w:iCs/>
        </w:rPr>
        <w:t>transient individual</w:t>
      </w:r>
      <w:r>
        <w:rPr>
          <w:rFonts w:ascii="Times New Roman" w:eastAsia="Times New Roman" w:hAnsi="Times New Roman" w:cs="Times New Roman"/>
        </w:rPr>
        <w:t xml:space="preserve"> </w:t>
      </w:r>
      <w:r w:rsidR="003018D4">
        <w:rPr>
          <w:rFonts w:ascii="Times New Roman" w:eastAsia="Times New Roman" w:hAnsi="Times New Roman" w:cs="Times New Roman"/>
        </w:rPr>
        <w:t xml:space="preserve">is </w:t>
      </w:r>
      <w:r>
        <w:rPr>
          <w:rFonts w:ascii="TimesNewRomanPSMT" w:hAnsi="TimesNewRomanPSMT" w:cs="TimesNewRomanPSMT"/>
        </w:rPr>
        <w:t>an untrained person in a location where occupational limits apply</w:t>
      </w:r>
      <w:r w:rsidR="003018D4">
        <w:rPr>
          <w:rFonts w:ascii="TimesNewRomanPSMT" w:hAnsi="TimesNewRomanPSMT" w:cs="TimesNewRomanPSMT"/>
        </w:rPr>
        <w:t>, and h</w:t>
      </w:r>
      <w:r>
        <w:rPr>
          <w:rFonts w:ascii="TimesNewRomanPSMT" w:hAnsi="TimesNewRomanPSMT" w:cs="TimesNewRomanPSMT"/>
        </w:rPr>
        <w:t xml:space="preserve">e or she must be made aware of the potential for exposure and be supervised by trained personnel where use of time averaging is </w:t>
      </w:r>
      <w:r w:rsidRPr="00DC2673">
        <w:rPr>
          <w:rFonts w:ascii="Times New Roman" w:eastAsia="Times New Roman" w:hAnsi="Times New Roman" w:cs="Times New Roman"/>
        </w:rPr>
        <w:t>required</w:t>
      </w:r>
      <w:r>
        <w:rPr>
          <w:rFonts w:ascii="TimesNewRomanPSMT" w:hAnsi="TimesNewRomanPSMT" w:cs="TimesNewRomanPSMT"/>
        </w:rPr>
        <w:t xml:space="preserve"> to ensure compliance with the general population exposure limits.</w:t>
      </w:r>
      <w:r w:rsidR="003018D4">
        <w:rPr>
          <w:rFonts w:ascii="TimesNewRomanPSMT" w:hAnsi="TimesNewRomanPSMT" w:cs="TimesNewRomanPSMT"/>
        </w:rPr>
        <w:t xml:space="preserve">  Thus, the </w:t>
      </w:r>
      <w:r w:rsidRPr="003018D4" w:rsidR="003018D4">
        <w:rPr>
          <w:rFonts w:ascii="TimesNewRomanPSMT" w:hAnsi="TimesNewRomanPSMT" w:cs="TimesNewRomanPSMT"/>
        </w:rPr>
        <w:t>occupational exposure limits apply only if a person has been trained and has sufficient information to be fully aware of nearby RF sources and the necessity and means of avoiding overexposure.</w:t>
      </w:r>
    </w:p>
    <w:p w:rsidR="00714459" w:rsidP="00DC2673" w14:paraId="46FCC8DD" w14:textId="2DED7A5B">
      <w:pPr>
        <w:pStyle w:val="Heading1"/>
        <w:rPr>
          <w:rFonts w:eastAsia="Times New Roman"/>
        </w:rPr>
      </w:pPr>
      <w:bookmarkStart w:id="118" w:name="_Ref55644184"/>
      <w:bookmarkStart w:id="119" w:name="_Toc55645029"/>
      <w:r w:rsidRPr="009F086B">
        <w:t>RECORDKEEPING AND REPORTING REQUIREMENTS</w:t>
      </w:r>
      <w:bookmarkEnd w:id="118"/>
      <w:bookmarkEnd w:id="119"/>
    </w:p>
    <w:p w:rsidR="00714459" w:rsidRPr="000350AD" w:rsidP="00DC2673" w14:paraId="60798B85" w14:textId="77777777">
      <w:pPr>
        <w:spacing w:line="240" w:lineRule="auto"/>
        <w:ind w:firstLine="720"/>
        <w:rPr>
          <w:rFonts w:ascii="Times New Roman" w:eastAsia="Times New Roman" w:hAnsi="Times New Roman" w:cs="Times New Roman"/>
        </w:rPr>
      </w:pPr>
      <w:r w:rsidRPr="000350AD">
        <w:rPr>
          <w:rFonts w:ascii="Times New Roman" w:eastAsia="Times New Roman" w:hAnsi="Times New Roman" w:cs="Times New Roman"/>
        </w:rPr>
        <w:t xml:space="preserve">The Commission maintains two regulatory approval tracks that apply to RF transmitters and are relevant to RF exposure compliance: (1) licensing and (2) equipment authorization.  A license is an authorization to operate one or more transmitters in a specific frequency range and geographic area (or at a specific site) according to the Commission’s rules for a particular service.  A license does not generally specify </w:t>
      </w:r>
      <w:r w:rsidRPr="000350AD">
        <w:rPr>
          <w:rFonts w:ascii="Times New Roman" w:eastAsia="Times New Roman" w:hAnsi="Times New Roman" w:cs="Times New Roman"/>
        </w:rPr>
        <w:t>all of</w:t>
      </w:r>
      <w:r w:rsidRPr="000350AD">
        <w:rPr>
          <w:rFonts w:ascii="Times New Roman" w:eastAsia="Times New Roman" w:hAnsi="Times New Roman" w:cs="Times New Roman"/>
        </w:rPr>
        <w:t xml:space="preserve"> the equipment to be used by a licensee.  In contrast, the </w:t>
      </w:r>
      <w:r>
        <w:rPr>
          <w:rFonts w:ascii="Times New Roman" w:eastAsia="Times New Roman" w:hAnsi="Times New Roman" w:cs="Times New Roman"/>
        </w:rPr>
        <w:t>equipment authorization</w:t>
      </w:r>
      <w:r w:rsidRPr="000350AD">
        <w:rPr>
          <w:rFonts w:ascii="Times New Roman" w:eastAsia="Times New Roman" w:hAnsi="Times New Roman" w:cs="Times New Roman"/>
        </w:rPr>
        <w:t xml:space="preserve"> program </w:t>
      </w:r>
      <w:r w:rsidRPr="000350AD">
        <w:rPr>
          <w:rFonts w:ascii="Times New Roman" w:eastAsia="Times New Roman" w:hAnsi="Times New Roman" w:cs="Times New Roman"/>
        </w:rPr>
        <w:t xml:space="preserve">requires certification of specific transmitting devices and associated equipment for use in particular services.  Some services are licensed by rule, where the licensees do not require individualized licenses.  In such services, the </w:t>
      </w:r>
      <w:r w:rsidRPr="00DC2673">
        <w:rPr>
          <w:rFonts w:ascii="TimesNewRomanPSMT" w:hAnsi="TimesNewRomanPSMT" w:cs="TimesNewRomanPSMT"/>
        </w:rPr>
        <w:t>transmitters</w:t>
      </w:r>
      <w:r w:rsidRPr="000350AD">
        <w:rPr>
          <w:rFonts w:ascii="Times New Roman" w:eastAsia="Times New Roman" w:hAnsi="Times New Roman" w:cs="Times New Roman"/>
        </w:rPr>
        <w:t xml:space="preserve"> used by these licensees are only subject to equipment certification.  The Commission also allows some devices to be operated on an unlicensed basis, and those devices are also subject only to equipment certification.  (In contrast to services licensed by rule, however, the operators of devices used in unlicensed services are not classified as licensees.)</w:t>
      </w:r>
    </w:p>
    <w:p w:rsidR="00714459" w:rsidP="00DC2673" w14:paraId="0858E5ED" w14:textId="083D18DF">
      <w:pPr>
        <w:spacing w:line="240" w:lineRule="auto"/>
        <w:ind w:firstLine="720"/>
        <w:rPr>
          <w:rFonts w:ascii="Times New Roman" w:eastAsia="Times New Roman" w:hAnsi="Times New Roman" w:cs="Times New Roman"/>
        </w:rPr>
      </w:pPr>
      <w:r w:rsidRPr="000350AD">
        <w:rPr>
          <w:rFonts w:ascii="Times New Roman" w:eastAsia="Times New Roman" w:hAnsi="Times New Roman" w:cs="Times New Roman"/>
        </w:rPr>
        <w:t>The Commission’s Bureaus and Offices administer licensing through various computer system</w:t>
      </w:r>
      <w:r w:rsidR="00FE0FB6">
        <w:rPr>
          <w:rFonts w:ascii="Times New Roman" w:eastAsia="Times New Roman" w:hAnsi="Times New Roman" w:cs="Times New Roman"/>
        </w:rPr>
        <w:t>s</w:t>
      </w:r>
      <w:r w:rsidRPr="000350AD">
        <w:rPr>
          <w:rFonts w:ascii="Times New Roman" w:eastAsia="Times New Roman" w:hAnsi="Times New Roman" w:cs="Times New Roman"/>
        </w:rPr>
        <w:t xml:space="preserve"> and databases.  Those systems</w:t>
      </w:r>
      <w:r>
        <w:rPr>
          <w:rFonts w:ascii="Times New Roman" w:eastAsia="Times New Roman" w:hAnsi="Times New Roman" w:cs="Times New Roman"/>
        </w:rPr>
        <w:t>,</w:t>
      </w:r>
      <w:r w:rsidRPr="000350AD">
        <w:rPr>
          <w:rFonts w:ascii="Times New Roman" w:eastAsia="Times New Roman" w:hAnsi="Times New Roman" w:cs="Times New Roman"/>
        </w:rPr>
        <w:t xml:space="preserve"> which provide information about RF transmitters</w:t>
      </w:r>
      <w:r>
        <w:rPr>
          <w:rFonts w:ascii="Times New Roman" w:eastAsia="Times New Roman" w:hAnsi="Times New Roman" w:cs="Times New Roman"/>
        </w:rPr>
        <w:t>,</w:t>
      </w:r>
      <w:r w:rsidRPr="000350AD">
        <w:rPr>
          <w:rFonts w:ascii="Times New Roman" w:eastAsia="Times New Roman" w:hAnsi="Times New Roman" w:cs="Times New Roman"/>
        </w:rPr>
        <w:t xml:space="preserve"> can be searched at:</w:t>
      </w:r>
      <w:r>
        <w:rPr>
          <w:rFonts w:ascii="Times New Roman" w:eastAsia="Times New Roman" w:hAnsi="Times New Roman" w:cs="Times New Roman"/>
        </w:rPr>
        <w:t xml:space="preserve"> </w:t>
      </w:r>
      <w:hyperlink r:id="rId12" w:history="1">
        <w:r w:rsidRPr="0017724F">
          <w:rPr>
            <w:rStyle w:val="Hyperlink"/>
            <w:rFonts w:ascii="Times New Roman" w:eastAsia="Times New Roman" w:hAnsi="Times New Roman" w:cs="Times New Roman"/>
            <w:color w:val="0000FF"/>
          </w:rPr>
          <w:t>https://www.fcc.gov/licensing-databases/search-fcc-databases</w:t>
        </w:r>
      </w:hyperlink>
      <w:r>
        <w:rPr>
          <w:rFonts w:ascii="Times New Roman" w:eastAsia="Times New Roman" w:hAnsi="Times New Roman" w:cs="Times New Roman"/>
        </w:rPr>
        <w:t>.</w:t>
      </w:r>
      <w:r w:rsidRPr="000350AD">
        <w:rPr>
          <w:rFonts w:ascii="Times New Roman" w:eastAsia="Times New Roman" w:hAnsi="Times New Roman" w:cs="Times New Roman"/>
        </w:rPr>
        <w:t xml:space="preserve">  The </w:t>
      </w:r>
      <w:r>
        <w:rPr>
          <w:rFonts w:ascii="Times New Roman" w:eastAsia="Times New Roman" w:hAnsi="Times New Roman" w:cs="Times New Roman"/>
        </w:rPr>
        <w:t>equipment authorization</w:t>
      </w:r>
      <w:r w:rsidRPr="000350AD">
        <w:rPr>
          <w:rFonts w:ascii="Times New Roman" w:eastAsia="Times New Roman" w:hAnsi="Times New Roman" w:cs="Times New Roman"/>
        </w:rPr>
        <w:t xml:space="preserve"> system, administered by the FCC Office of Engineering and Technology’s Laboratory, offers information about RF equipment and devices, and can be accessed at:</w:t>
      </w:r>
      <w:r>
        <w:rPr>
          <w:rFonts w:ascii="Times New Roman" w:eastAsia="Times New Roman" w:hAnsi="Times New Roman" w:cs="Times New Roman"/>
        </w:rPr>
        <w:t xml:space="preserve"> </w:t>
      </w:r>
      <w:hyperlink r:id="rId13" w:history="1">
        <w:r w:rsidRPr="0017724F">
          <w:rPr>
            <w:rStyle w:val="Hyperlink"/>
            <w:rFonts w:ascii="Times New Roman" w:eastAsia="Times New Roman" w:hAnsi="Times New Roman" w:cs="Times New Roman"/>
            <w:color w:val="0000FF"/>
          </w:rPr>
          <w:t>https://www.fcc.gov/oet/ea/fccid</w:t>
        </w:r>
      </w:hyperlink>
      <w:r w:rsidRPr="000350AD">
        <w:rPr>
          <w:rFonts w:ascii="Times New Roman" w:eastAsia="Times New Roman" w:hAnsi="Times New Roman" w:cs="Times New Roman"/>
        </w:rPr>
        <w:t xml:space="preserve">.  Within the </w:t>
      </w:r>
      <w:r>
        <w:rPr>
          <w:rFonts w:ascii="Times New Roman" w:eastAsia="Times New Roman" w:hAnsi="Times New Roman" w:cs="Times New Roman"/>
        </w:rPr>
        <w:t xml:space="preserve">equipment </w:t>
      </w:r>
      <w:r w:rsidRPr="00C8007D">
        <w:rPr>
          <w:rFonts w:ascii="Times New Roman" w:eastAsia="Times New Roman" w:hAnsi="Times New Roman" w:cs="Times New Roman"/>
        </w:rPr>
        <w:t>authorization</w:t>
      </w:r>
      <w:r w:rsidRPr="000350AD">
        <w:rPr>
          <w:rFonts w:ascii="Times New Roman" w:eastAsia="Times New Roman" w:hAnsi="Times New Roman" w:cs="Times New Roman"/>
        </w:rPr>
        <w:t xml:space="preserve"> system, the Knowledge Database (KDB) offers guidance on many topics, including RF exposure compliance.  Major documents in the KDB can be found at: </w:t>
      </w:r>
      <w:hyperlink r:id="rId14" w:history="1">
        <w:r w:rsidRPr="000350AD">
          <w:rPr>
            <w:rFonts w:ascii="Times New Roman" w:eastAsia="Times New Roman" w:hAnsi="Times New Roman" w:cs="Times New Roman"/>
            <w:color w:val="0000FF"/>
            <w:u w:val="single"/>
          </w:rPr>
          <w:t>https://apps.fcc.gov/oetcf/kdb/reports/GuidedPublicationList.cfm</w:t>
        </w:r>
      </w:hyperlink>
      <w:r w:rsidRPr="000350AD">
        <w:rPr>
          <w:rFonts w:ascii="Times New Roman" w:eastAsia="Times New Roman" w:hAnsi="Times New Roman" w:cs="Times New Roman"/>
        </w:rPr>
        <w:t>.</w:t>
      </w:r>
    </w:p>
    <w:p w:rsidR="00714459" w:rsidRPr="000350AD" w:rsidP="00DC2673" w14:paraId="2C20F2EC" w14:textId="5E2768F4">
      <w:pPr>
        <w:spacing w:line="240" w:lineRule="auto"/>
        <w:ind w:firstLine="720"/>
        <w:rPr>
          <w:rFonts w:ascii="Times New Roman" w:eastAsia="Times New Roman" w:hAnsi="Times New Roman" w:cs="Times New Roman"/>
        </w:rPr>
      </w:pPr>
      <w:r w:rsidRPr="000350AD">
        <w:rPr>
          <w:rFonts w:ascii="Times New Roman" w:eastAsia="Times New Roman" w:hAnsi="Times New Roman" w:cs="Times New Roman"/>
        </w:rPr>
        <w:t xml:space="preserve">Generally, application forms for licenses and grants of equipment authorization for RF transmitters contain a set of certifications where the applicant attests to a set of facts.  </w:t>
      </w:r>
      <w:r w:rsidR="000E5172">
        <w:rPr>
          <w:rFonts w:ascii="Times New Roman" w:eastAsia="Times New Roman" w:hAnsi="Times New Roman" w:cs="Times New Roman"/>
        </w:rPr>
        <w:t>T</w:t>
      </w:r>
      <w:r w:rsidRPr="00FE0FB6" w:rsidR="00FE0FB6">
        <w:rPr>
          <w:rFonts w:ascii="Times New Roman" w:eastAsia="Times New Roman" w:hAnsi="Times New Roman" w:cs="Times New Roman"/>
        </w:rPr>
        <w:t>he application forms</w:t>
      </w:r>
      <w:r w:rsidRPr="000350AD">
        <w:rPr>
          <w:rFonts w:ascii="Times New Roman" w:eastAsia="Times New Roman" w:hAnsi="Times New Roman" w:cs="Times New Roman"/>
        </w:rPr>
        <w:t xml:space="preserve"> typically require</w:t>
      </w:r>
      <w:r w:rsidRPr="00FE0FB6" w:rsidR="00FE0FB6">
        <w:rPr>
          <w:rFonts w:ascii="Times New Roman" w:eastAsia="Times New Roman" w:hAnsi="Times New Roman" w:cs="Times New Roman"/>
        </w:rPr>
        <w:t xml:space="preserve"> </w:t>
      </w:r>
      <w:r w:rsidR="00FE0FB6">
        <w:rPr>
          <w:rFonts w:ascii="Times New Roman" w:eastAsia="Times New Roman" w:hAnsi="Times New Roman" w:cs="Times New Roman"/>
        </w:rPr>
        <w:t>an applicant</w:t>
      </w:r>
      <w:r w:rsidRPr="000350AD">
        <w:rPr>
          <w:rFonts w:ascii="Times New Roman" w:eastAsia="Times New Roman" w:hAnsi="Times New Roman" w:cs="Times New Roman"/>
        </w:rPr>
        <w:t xml:space="preserve"> to certify compliance with the exposure limits.  In many cases, this certification is the only routine requirement to demonstrate compliance with the exposure limits.  However, the Commission may at any time request technical information to support a determination of exposure levels for any transmitter, device, or site.  These requests are not uncommon during the Commission’s standard application and renewal processes in situations where the </w:t>
      </w:r>
      <w:r w:rsidR="00FE0FB6">
        <w:rPr>
          <w:rFonts w:ascii="Times New Roman" w:eastAsia="Times New Roman" w:hAnsi="Times New Roman" w:cs="Times New Roman"/>
        </w:rPr>
        <w:t xml:space="preserve">transmitter is capable of operating close to the </w:t>
      </w:r>
      <w:r w:rsidRPr="000350AD">
        <w:rPr>
          <w:rFonts w:ascii="Times New Roman" w:eastAsia="Times New Roman" w:hAnsi="Times New Roman" w:cs="Times New Roman"/>
        </w:rPr>
        <w:t xml:space="preserve">exposure limits.  For broadcast sites, application forms include worksheets that the applicant may use to determine compliance and support a certification of compliance without a requirement to submit the worksheet itself.  In cases where the worksheet </w:t>
      </w:r>
      <w:r w:rsidRPr="00DC2673">
        <w:rPr>
          <w:rFonts w:ascii="TimesNewRomanPSMT" w:hAnsi="TimesNewRomanPSMT" w:cs="TimesNewRomanPSMT"/>
        </w:rPr>
        <w:t>cannot</w:t>
      </w:r>
      <w:r w:rsidRPr="000350AD">
        <w:rPr>
          <w:rFonts w:ascii="Times New Roman" w:eastAsia="Times New Roman" w:hAnsi="Times New Roman" w:cs="Times New Roman"/>
        </w:rPr>
        <w:t xml:space="preserve"> be used to show compliance, an exhibit showing compliance with the exposure limits is typically required to be filed with the application.  Such exhibits do not have a standard format but previously</w:t>
      </w:r>
      <w:r>
        <w:rPr>
          <w:rFonts w:ascii="Times New Roman" w:eastAsia="Times New Roman" w:hAnsi="Times New Roman" w:cs="Times New Roman"/>
        </w:rPr>
        <w:t xml:space="preserve"> </w:t>
      </w:r>
      <w:r w:rsidRPr="000350AD">
        <w:rPr>
          <w:rFonts w:ascii="Times New Roman" w:eastAsia="Times New Roman" w:hAnsi="Times New Roman" w:cs="Times New Roman"/>
        </w:rPr>
        <w:t xml:space="preserve">filed exhibits can be readily accessed at the Commission’s </w:t>
      </w:r>
      <w:r w:rsidRPr="00FE0FB6" w:rsidR="00FE0FB6">
        <w:rPr>
          <w:rFonts w:ascii="Times New Roman" w:eastAsia="Times New Roman" w:hAnsi="Times New Roman" w:cs="Times New Roman"/>
        </w:rPr>
        <w:t>licensing databases</w:t>
      </w:r>
      <w:r w:rsidRPr="000350AD">
        <w:rPr>
          <w:rFonts w:ascii="Times New Roman" w:eastAsia="Times New Roman" w:hAnsi="Times New Roman" w:cs="Times New Roman"/>
        </w:rPr>
        <w:t xml:space="preserve"> (URL listed above).   Similarly, applications for equipment authorization for various portable and mobile transmitters require submission of RF </w:t>
      </w:r>
      <w:r>
        <w:rPr>
          <w:rFonts w:ascii="Times New Roman" w:eastAsia="Times New Roman" w:hAnsi="Times New Roman" w:cs="Times New Roman"/>
        </w:rPr>
        <w:t xml:space="preserve">exemption or </w:t>
      </w:r>
      <w:r w:rsidRPr="000350AD">
        <w:rPr>
          <w:rFonts w:ascii="Times New Roman" w:eastAsia="Times New Roman" w:hAnsi="Times New Roman" w:cs="Times New Roman"/>
        </w:rPr>
        <w:t>evaluation</w:t>
      </w:r>
      <w:r>
        <w:rPr>
          <w:rFonts w:ascii="Times New Roman" w:eastAsia="Times New Roman" w:hAnsi="Times New Roman" w:cs="Times New Roman"/>
        </w:rPr>
        <w:t xml:space="preserve"> analysis</w:t>
      </w:r>
      <w:r w:rsidRPr="000350AD">
        <w:rPr>
          <w:rFonts w:ascii="Times New Roman" w:eastAsia="Times New Roman" w:hAnsi="Times New Roman" w:cs="Times New Roman"/>
        </w:rPr>
        <w:t xml:space="preserve"> that show</w:t>
      </w:r>
      <w:r>
        <w:rPr>
          <w:rFonts w:ascii="Times New Roman" w:eastAsia="Times New Roman" w:hAnsi="Times New Roman" w:cs="Times New Roman"/>
        </w:rPr>
        <w:t>s</w:t>
      </w:r>
      <w:r w:rsidRPr="000350AD">
        <w:rPr>
          <w:rFonts w:ascii="Times New Roman" w:eastAsia="Times New Roman" w:hAnsi="Times New Roman" w:cs="Times New Roman"/>
        </w:rPr>
        <w:t xml:space="preserve"> compliance with the exposure limits.  </w:t>
      </w:r>
    </w:p>
    <w:p w:rsidR="00714459" w:rsidRPr="000350AD" w:rsidP="00DC2673" w14:paraId="2944E27E" w14:textId="423B0F60">
      <w:pPr>
        <w:spacing w:line="240" w:lineRule="auto"/>
        <w:ind w:firstLine="720"/>
        <w:rPr>
          <w:rFonts w:ascii="Times New Roman" w:eastAsia="Times New Roman" w:hAnsi="Times New Roman" w:cs="Times New Roman"/>
        </w:rPr>
      </w:pPr>
      <w:r>
        <w:rPr>
          <w:rFonts w:ascii="Times New Roman" w:eastAsia="Times New Roman" w:hAnsi="Times New Roman" w:cs="Times New Roman"/>
        </w:rPr>
        <w:t>T</w:t>
      </w:r>
      <w:r w:rsidRPr="000350AD">
        <w:rPr>
          <w:rFonts w:ascii="Times New Roman" w:eastAsia="Times New Roman" w:hAnsi="Times New Roman" w:cs="Times New Roman"/>
        </w:rPr>
        <w:t xml:space="preserve">he terms “portable,” “mobile,” and “fixed” </w:t>
      </w:r>
      <w:r w:rsidRPr="000350AD">
        <w:rPr>
          <w:rFonts w:ascii="Times New Roman" w:eastAsia="Times New Roman" w:hAnsi="Times New Roman" w:cs="Times New Roman"/>
        </w:rPr>
        <w:t>in regard to</w:t>
      </w:r>
      <w:r w:rsidRPr="000350AD">
        <w:rPr>
          <w:rFonts w:ascii="Times New Roman" w:eastAsia="Times New Roman" w:hAnsi="Times New Roman" w:cs="Times New Roman"/>
        </w:rPr>
        <w:t xml:space="preserve"> transmitters have particular meanings with respect to implementation of the RF exposure limits (see 47 C.F.R. §§ 2.1091 and 2.1093).  Devices </w:t>
      </w:r>
      <w:r>
        <w:rPr>
          <w:rFonts w:ascii="Times New Roman" w:eastAsia="Times New Roman" w:hAnsi="Times New Roman" w:cs="Times New Roman"/>
        </w:rPr>
        <w:t>that</w:t>
      </w:r>
      <w:r w:rsidRPr="000350AD">
        <w:rPr>
          <w:rFonts w:ascii="Times New Roman" w:eastAsia="Times New Roman" w:hAnsi="Times New Roman" w:cs="Times New Roman"/>
        </w:rPr>
        <w:t xml:space="preserve"> by design are intended to be used with the </w:t>
      </w:r>
      <w:r>
        <w:rPr>
          <w:rFonts w:ascii="Times New Roman" w:eastAsia="Times New Roman" w:hAnsi="Times New Roman" w:cs="Times New Roman"/>
        </w:rPr>
        <w:t>radiating structure(s)</w:t>
      </w:r>
      <w:r w:rsidRPr="000350AD">
        <w:rPr>
          <w:rFonts w:ascii="Times New Roman" w:eastAsia="Times New Roman" w:hAnsi="Times New Roman" w:cs="Times New Roman"/>
        </w:rPr>
        <w:t xml:space="preserve"> within 20 centimeters (approximately 8 inches) of the body are classified as portable, and when </w:t>
      </w:r>
      <w:r>
        <w:rPr>
          <w:rFonts w:ascii="Times New Roman" w:eastAsia="Times New Roman" w:hAnsi="Times New Roman" w:cs="Times New Roman"/>
        </w:rPr>
        <w:t>not exempt from evaluation</w:t>
      </w:r>
      <w:r w:rsidRPr="000350AD">
        <w:rPr>
          <w:rFonts w:ascii="Times New Roman" w:eastAsia="Times New Roman" w:hAnsi="Times New Roman" w:cs="Times New Roman"/>
        </w:rPr>
        <w:t xml:space="preserve"> are required to be tested for compliance with applicable SAR</w:t>
      </w:r>
      <w:r>
        <w:rPr>
          <w:rFonts w:ascii="Times New Roman" w:eastAsia="Times New Roman" w:hAnsi="Times New Roman" w:cs="Times New Roman"/>
        </w:rPr>
        <w:t xml:space="preserve"> or MPE</w:t>
      </w:r>
      <w:r w:rsidRPr="000350AD">
        <w:rPr>
          <w:rFonts w:ascii="Times New Roman" w:eastAsia="Times New Roman" w:hAnsi="Times New Roman" w:cs="Times New Roman"/>
        </w:rPr>
        <w:t xml:space="preserve"> limits under specified conditions</w:t>
      </w:r>
      <w:r>
        <w:rPr>
          <w:rFonts w:ascii="Times New Roman" w:eastAsia="Times New Roman" w:hAnsi="Times New Roman" w:cs="Times New Roman"/>
        </w:rPr>
        <w:t xml:space="preserve"> (see </w:t>
      </w:r>
      <w:r w:rsidRPr="000350AD">
        <w:rPr>
          <w:rFonts w:ascii="Times New Roman" w:eastAsia="Times New Roman" w:hAnsi="Times New Roman" w:cs="Times New Roman"/>
        </w:rPr>
        <w:t>47 C.F.R. §§ 1.1310</w:t>
      </w:r>
      <w:r>
        <w:rPr>
          <w:rFonts w:ascii="Times New Roman" w:eastAsia="Times New Roman" w:hAnsi="Times New Roman" w:cs="Times New Roman"/>
        </w:rPr>
        <w:t xml:space="preserve"> and 2.1093)</w:t>
      </w:r>
      <w:r w:rsidRPr="000350AD">
        <w:rPr>
          <w:rFonts w:ascii="Times New Roman" w:eastAsia="Times New Roman" w:hAnsi="Times New Roman" w:cs="Times New Roman"/>
        </w:rPr>
        <w:t xml:space="preserve">.  Testing considerations and test reduction procedures can be found in KDB 447498 and other published RF exposure KDB procedures, </w:t>
      </w:r>
      <w:r w:rsidRPr="00DC2673">
        <w:rPr>
          <w:rFonts w:ascii="TimesNewRomanPSMT" w:hAnsi="TimesNewRomanPSMT" w:cs="TimesNewRomanPSMT"/>
        </w:rPr>
        <w:t>available</w:t>
      </w:r>
      <w:r>
        <w:rPr>
          <w:rFonts w:ascii="Times New Roman" w:eastAsia="Times New Roman" w:hAnsi="Times New Roman" w:cs="Times New Roman"/>
        </w:rPr>
        <w:t xml:space="preserve"> at</w:t>
      </w:r>
      <w:r w:rsidRPr="000350AD">
        <w:rPr>
          <w:rFonts w:ascii="Times New Roman" w:eastAsia="Times New Roman" w:hAnsi="Times New Roman" w:cs="Times New Roman"/>
        </w:rPr>
        <w:t xml:space="preserve"> the link above for the KDB system.  All other devices and transmitters that are normally operated with the antenna or radiating structure more than 20 centimeters from the body are classified as either mobile or fixed (depending on whether they are rendered physically immobile when installed) and for these transmitters compliance is generally measured against the </w:t>
      </w:r>
      <w:r>
        <w:rPr>
          <w:rFonts w:ascii="Times New Roman" w:eastAsia="Times New Roman" w:hAnsi="Times New Roman" w:cs="Times New Roman"/>
        </w:rPr>
        <w:t>MPE</w:t>
      </w:r>
      <w:r w:rsidRPr="000350AD">
        <w:rPr>
          <w:rFonts w:ascii="Times New Roman" w:eastAsia="Times New Roman" w:hAnsi="Times New Roman" w:cs="Times New Roman"/>
        </w:rPr>
        <w:t xml:space="preserve"> field strength or power density limits in 47 C.F.R. § 1.1310.  </w:t>
      </w:r>
    </w:p>
    <w:p w:rsidR="00714459" w:rsidP="00DC2673" w14:paraId="5740A87B" w14:textId="51D0A162">
      <w:pPr>
        <w:spacing w:line="240" w:lineRule="auto"/>
        <w:ind w:firstLine="720"/>
        <w:rPr>
          <w:rFonts w:ascii="Times New Roman" w:eastAsia="Times New Roman" w:hAnsi="Times New Roman" w:cs="Times New Roman"/>
        </w:rPr>
      </w:pPr>
      <w:r>
        <w:rPr>
          <w:rFonts w:ascii="Times New Roman" w:eastAsia="Times New Roman" w:hAnsi="Times New Roman" w:cs="Times New Roman"/>
        </w:rPr>
        <w:t>M</w:t>
      </w:r>
      <w:r w:rsidRPr="000350AD">
        <w:rPr>
          <w:rFonts w:ascii="Times New Roman" w:eastAsia="Times New Roman" w:hAnsi="Times New Roman" w:cs="Times New Roman"/>
        </w:rPr>
        <w:t xml:space="preserve">embers of the </w:t>
      </w:r>
      <w:r w:rsidRPr="000350AD">
        <w:rPr>
          <w:rFonts w:ascii="Times New Roman" w:eastAsia="Times New Roman" w:hAnsi="Times New Roman" w:cs="Times New Roman"/>
        </w:rPr>
        <w:t>general public</w:t>
      </w:r>
      <w:r w:rsidRPr="000350AD">
        <w:rPr>
          <w:rFonts w:ascii="Times New Roman" w:eastAsia="Times New Roman" w:hAnsi="Times New Roman" w:cs="Times New Roman"/>
        </w:rPr>
        <w:t xml:space="preserve"> and small entities that operate or provide space for transmitters but are not required to submit applications to the Commission have a role to play in ensuring compliance with the exposure limits.  These entities should be informed about practices that may result in exposure over the limits.  For example, a Wi-Fi access point or utility “Smart Meter” may be authorized for use only at distances greater than 20 centimeters (approximately 8 inches) from all persons and this requirement needs to be </w:t>
      </w:r>
      <w:r w:rsidRPr="00DC2673">
        <w:rPr>
          <w:rFonts w:ascii="TimesNewRomanPSMT" w:hAnsi="TimesNewRomanPSMT" w:cs="TimesNewRomanPSMT"/>
        </w:rPr>
        <w:t>effectively</w:t>
      </w:r>
      <w:r w:rsidRPr="000350AD">
        <w:rPr>
          <w:rFonts w:ascii="Times New Roman" w:eastAsia="Times New Roman" w:hAnsi="Times New Roman" w:cs="Times New Roman"/>
        </w:rPr>
        <w:t xml:space="preserve"> communicated to both the installer and consumer.  Similarly, owners of buildings and towers that host transmitting antennas are encouraged to cooperate with the efforts of licensees to</w:t>
      </w:r>
      <w:r>
        <w:rPr>
          <w:rFonts w:ascii="Times New Roman" w:eastAsia="Times New Roman" w:hAnsi="Times New Roman" w:cs="Times New Roman"/>
        </w:rPr>
        <w:t xml:space="preserve"> </w:t>
      </w:r>
      <w:r w:rsidRPr="000350AD">
        <w:rPr>
          <w:rFonts w:ascii="Times New Roman" w:eastAsia="Times New Roman" w:hAnsi="Times New Roman" w:cs="Times New Roman"/>
        </w:rPr>
        <w:t xml:space="preserve">limit access to areas exceeding the Commission’s </w:t>
      </w:r>
      <w:r w:rsidR="00FE0FB6">
        <w:rPr>
          <w:rFonts w:ascii="Times New Roman" w:eastAsia="Times New Roman" w:hAnsi="Times New Roman" w:cs="Times New Roman"/>
        </w:rPr>
        <w:t xml:space="preserve">RF </w:t>
      </w:r>
      <w:r w:rsidRPr="000350AD">
        <w:rPr>
          <w:rFonts w:ascii="Times New Roman" w:eastAsia="Times New Roman" w:hAnsi="Times New Roman" w:cs="Times New Roman"/>
        </w:rPr>
        <w:t>exposure limits.</w:t>
      </w:r>
    </w:p>
    <w:p w:rsidR="00CF705E" w14:paraId="5DC08732" w14:textId="477135F4">
      <w:pPr>
        <w:pStyle w:val="Heading1"/>
      </w:pPr>
      <w:bookmarkStart w:id="120" w:name="_Toc55644708"/>
      <w:bookmarkStart w:id="121" w:name="_Toc55644758"/>
      <w:bookmarkStart w:id="122" w:name="_Toc55645030"/>
      <w:bookmarkStart w:id="123" w:name="_Toc55644709"/>
      <w:bookmarkStart w:id="124" w:name="_Toc55644759"/>
      <w:bookmarkStart w:id="125" w:name="_Toc55645031"/>
      <w:bookmarkStart w:id="126" w:name="_Toc55644710"/>
      <w:bookmarkStart w:id="127" w:name="_Toc55644760"/>
      <w:bookmarkStart w:id="128" w:name="_Toc55645032"/>
      <w:bookmarkStart w:id="129" w:name="_Toc55644711"/>
      <w:bookmarkStart w:id="130" w:name="_Toc55644761"/>
      <w:bookmarkStart w:id="131" w:name="_Toc55645033"/>
      <w:bookmarkStart w:id="132" w:name="_Toc55645034"/>
      <w:bookmarkEnd w:id="120"/>
      <w:bookmarkEnd w:id="121"/>
      <w:bookmarkEnd w:id="122"/>
      <w:bookmarkEnd w:id="123"/>
      <w:bookmarkEnd w:id="124"/>
      <w:bookmarkEnd w:id="125"/>
      <w:bookmarkEnd w:id="126"/>
      <w:bookmarkEnd w:id="127"/>
      <w:bookmarkEnd w:id="128"/>
      <w:bookmarkEnd w:id="129"/>
      <w:bookmarkEnd w:id="130"/>
      <w:bookmarkEnd w:id="131"/>
      <w:bookmarkEnd w:id="0"/>
      <w:r w:rsidRPr="00ED5E05">
        <w:t>IMPLEMENTATION</w:t>
      </w:r>
      <w:r w:rsidRPr="000C6587">
        <w:t xml:space="preserve"> DATE</w:t>
      </w:r>
      <w:bookmarkEnd w:id="132"/>
    </w:p>
    <w:p w:rsidR="00CF705E" w:rsidP="00641934" w14:paraId="3E0F7463" w14:textId="08EAA0E5">
      <w:pPr>
        <w:spacing w:line="240" w:lineRule="auto"/>
        <w:ind w:firstLine="720"/>
        <w:rPr>
          <w:rFonts w:ascii="Times New Roman" w:eastAsia="Calibri" w:hAnsi="Times New Roman" w:cs="Times New Roman"/>
          <w:i/>
          <w:iCs/>
        </w:rPr>
      </w:pPr>
      <w:r>
        <w:rPr>
          <w:rFonts w:ascii="Times New Roman" w:eastAsia="Calibri" w:hAnsi="Times New Roman" w:cs="Times New Roman"/>
        </w:rPr>
        <w:t xml:space="preserve">All rule changes </w:t>
      </w:r>
      <w:r w:rsidR="00FE0FB6">
        <w:rPr>
          <w:rFonts w:ascii="Times New Roman" w:eastAsia="Calibri" w:hAnsi="Times New Roman" w:cs="Times New Roman"/>
        </w:rPr>
        <w:t xml:space="preserve">in </w:t>
      </w:r>
      <w:r>
        <w:rPr>
          <w:rFonts w:ascii="Times New Roman" w:eastAsia="Calibri" w:hAnsi="Times New Roman" w:cs="Times New Roman"/>
        </w:rPr>
        <w:t xml:space="preserve">the </w:t>
      </w:r>
      <w:r>
        <w:rPr>
          <w:rFonts w:ascii="Times New Roman" w:eastAsia="Calibri" w:hAnsi="Times New Roman" w:cs="Times New Roman"/>
          <w:i/>
          <w:iCs/>
        </w:rPr>
        <w:t>Order</w:t>
      </w:r>
      <w:r>
        <w:rPr>
          <w:rFonts w:ascii="Times New Roman" w:eastAsia="Calibri" w:hAnsi="Times New Roman" w:cs="Times New Roman"/>
        </w:rPr>
        <w:t xml:space="preserve"> </w:t>
      </w:r>
      <w:r w:rsidR="00873EBB">
        <w:rPr>
          <w:rFonts w:ascii="Times New Roman" w:eastAsia="Calibri" w:hAnsi="Times New Roman" w:cs="Times New Roman"/>
        </w:rPr>
        <w:t>are</w:t>
      </w:r>
      <w:r>
        <w:rPr>
          <w:rFonts w:ascii="Times New Roman" w:eastAsia="Calibri" w:hAnsi="Times New Roman" w:cs="Times New Roman"/>
        </w:rPr>
        <w:t xml:space="preserve"> effective as of May 3, 2021.</w:t>
      </w:r>
      <w:r>
        <w:rPr>
          <w:rFonts w:ascii="Times New Roman" w:eastAsia="Calibri" w:hAnsi="Times New Roman" w:cs="Times New Roman"/>
          <w:vertAlign w:val="superscript"/>
        </w:rPr>
        <w:footnoteReference w:id="4"/>
      </w:r>
      <w:r>
        <w:rPr>
          <w:rFonts w:ascii="Times New Roman" w:eastAsia="Calibri" w:hAnsi="Times New Roman" w:cs="Times New Roman"/>
        </w:rPr>
        <w:t xml:space="preserve">  </w:t>
      </w:r>
      <w:r w:rsidR="001A32A0">
        <w:rPr>
          <w:rFonts w:ascii="Times New Roman" w:eastAsia="Calibri" w:hAnsi="Times New Roman" w:cs="Times New Roman"/>
        </w:rPr>
        <w:t>A</w:t>
      </w:r>
      <w:r w:rsidRPr="00A523AE">
        <w:rPr>
          <w:rFonts w:ascii="Times New Roman" w:eastAsia="Calibri" w:hAnsi="Times New Roman" w:cs="Times New Roman"/>
        </w:rPr>
        <w:t xml:space="preserve"> two-yea</w:t>
      </w:r>
      <w:r>
        <w:rPr>
          <w:rFonts w:ascii="Times New Roman" w:eastAsia="Calibri" w:hAnsi="Times New Roman" w:cs="Times New Roman"/>
        </w:rPr>
        <w:t xml:space="preserve">r </w:t>
      </w:r>
      <w:r w:rsidRPr="00A523AE">
        <w:rPr>
          <w:rFonts w:ascii="Times New Roman" w:eastAsia="Calibri" w:hAnsi="Times New Roman" w:cs="Times New Roman"/>
        </w:rPr>
        <w:t xml:space="preserve">period for </w:t>
      </w:r>
      <w:r w:rsidRPr="00C61250" w:rsidR="001A32A0">
        <w:rPr>
          <w:rFonts w:ascii="Times New Roman" w:eastAsia="Calibri" w:hAnsi="Times New Roman" w:cs="Times New Roman"/>
        </w:rPr>
        <w:t xml:space="preserve">licensees and operators of existing facilities and operations </w:t>
      </w:r>
      <w:r w:rsidRPr="00A523AE">
        <w:rPr>
          <w:rFonts w:ascii="Times New Roman" w:eastAsia="Calibri" w:hAnsi="Times New Roman" w:cs="Times New Roman"/>
        </w:rPr>
        <w:t xml:space="preserve">to </w:t>
      </w:r>
      <w:r w:rsidR="00C61250">
        <w:rPr>
          <w:rFonts w:ascii="Times New Roman" w:eastAsia="Calibri" w:hAnsi="Times New Roman" w:cs="Times New Roman"/>
        </w:rPr>
        <w:t xml:space="preserve">verify and </w:t>
      </w:r>
      <w:r w:rsidRPr="00A523AE">
        <w:rPr>
          <w:rFonts w:ascii="Times New Roman" w:eastAsia="Calibri" w:hAnsi="Times New Roman" w:cs="Times New Roman"/>
        </w:rPr>
        <w:t xml:space="preserve">ensure compliance with the new rules </w:t>
      </w:r>
      <w:r w:rsidR="00C61250">
        <w:rPr>
          <w:rFonts w:ascii="Times New Roman" w:eastAsia="Calibri" w:hAnsi="Times New Roman" w:cs="Times New Roman"/>
        </w:rPr>
        <w:t>a</w:t>
      </w:r>
      <w:r w:rsidRPr="00A523AE">
        <w:rPr>
          <w:rFonts w:ascii="Times New Roman" w:eastAsia="Calibri" w:hAnsi="Times New Roman" w:cs="Times New Roman"/>
        </w:rPr>
        <w:t>lso beg</w:t>
      </w:r>
      <w:r w:rsidR="00590C90">
        <w:rPr>
          <w:rFonts w:ascii="Times New Roman" w:eastAsia="Calibri" w:hAnsi="Times New Roman" w:cs="Times New Roman"/>
        </w:rPr>
        <w:t>an</w:t>
      </w:r>
      <w:r w:rsidRPr="00A523AE">
        <w:rPr>
          <w:rFonts w:ascii="Times New Roman" w:eastAsia="Calibri" w:hAnsi="Times New Roman" w:cs="Times New Roman"/>
        </w:rPr>
        <w:t xml:space="preserve"> on that</w:t>
      </w:r>
      <w:r w:rsidR="00C61250">
        <w:rPr>
          <w:rFonts w:ascii="Times New Roman" w:eastAsia="Calibri" w:hAnsi="Times New Roman" w:cs="Times New Roman"/>
        </w:rPr>
        <w:t xml:space="preserve"> </w:t>
      </w:r>
      <w:r w:rsidRPr="00A523AE">
        <w:rPr>
          <w:rFonts w:ascii="Times New Roman" w:eastAsia="Calibri" w:hAnsi="Times New Roman" w:cs="Times New Roman"/>
        </w:rPr>
        <w:t>date.</w:t>
      </w:r>
      <w:r w:rsidR="00C61250">
        <w:rPr>
          <w:rFonts w:ascii="Times New Roman" w:eastAsia="Calibri" w:hAnsi="Times New Roman" w:cs="Times New Roman"/>
        </w:rPr>
        <w:t xml:space="preserve">  </w:t>
      </w:r>
      <w:r w:rsidRPr="00C61250" w:rsidR="00C61250">
        <w:rPr>
          <w:rFonts w:ascii="Times New Roman" w:eastAsia="Calibri" w:hAnsi="Times New Roman" w:cs="Times New Roman"/>
        </w:rPr>
        <w:t>As of May 3, 2021, all new facilities and operations (e.g., broadcast</w:t>
      </w:r>
      <w:r w:rsidR="00C61250">
        <w:rPr>
          <w:rFonts w:ascii="Times New Roman" w:eastAsia="Calibri" w:hAnsi="Times New Roman" w:cs="Times New Roman"/>
        </w:rPr>
        <w:t xml:space="preserve"> </w:t>
      </w:r>
      <w:r w:rsidRPr="00C61250" w:rsidR="00C61250">
        <w:rPr>
          <w:rFonts w:ascii="Times New Roman" w:eastAsia="Calibri" w:hAnsi="Times New Roman" w:cs="Times New Roman"/>
        </w:rPr>
        <w:t>facilities, wireless base stations)</w:t>
      </w:r>
      <w:r w:rsidR="00BD7B1A">
        <w:rPr>
          <w:rFonts w:ascii="Times New Roman" w:eastAsia="Calibri" w:hAnsi="Times New Roman" w:cs="Times New Roman"/>
        </w:rPr>
        <w:t xml:space="preserve">, </w:t>
      </w:r>
      <w:r w:rsidR="00590C90">
        <w:rPr>
          <w:rFonts w:ascii="Times New Roman" w:eastAsia="Calibri" w:hAnsi="Times New Roman" w:cs="Times New Roman"/>
        </w:rPr>
        <w:t>including</w:t>
      </w:r>
      <w:r w:rsidR="00641934">
        <w:rPr>
          <w:rFonts w:ascii="Times New Roman" w:eastAsia="Calibri" w:hAnsi="Times New Roman" w:cs="Times New Roman"/>
        </w:rPr>
        <w:t xml:space="preserve"> </w:t>
      </w:r>
      <w:r w:rsidRPr="00641934" w:rsidR="00641934">
        <w:rPr>
          <w:rFonts w:ascii="Times New Roman" w:eastAsia="Calibri" w:hAnsi="Times New Roman" w:cs="Times New Roman"/>
        </w:rPr>
        <w:t>facilities</w:t>
      </w:r>
      <w:r w:rsidR="00641934">
        <w:rPr>
          <w:rFonts w:ascii="Times New Roman" w:eastAsia="Calibri" w:hAnsi="Times New Roman" w:cs="Times New Roman"/>
        </w:rPr>
        <w:t xml:space="preserve"> </w:t>
      </w:r>
      <w:r w:rsidRPr="00641934" w:rsidR="00641934">
        <w:rPr>
          <w:rFonts w:ascii="Times New Roman" w:eastAsia="Calibri" w:hAnsi="Times New Roman" w:cs="Times New Roman"/>
        </w:rPr>
        <w:t>deployed and operating under existing license authorization or rule part (such as a geographic area license</w:t>
      </w:r>
      <w:r w:rsidR="00641934">
        <w:rPr>
          <w:rFonts w:ascii="Times New Roman" w:eastAsia="Calibri" w:hAnsi="Times New Roman" w:cs="Times New Roman"/>
        </w:rPr>
        <w:t xml:space="preserve"> </w:t>
      </w:r>
      <w:r w:rsidRPr="00641934" w:rsidR="00641934">
        <w:rPr>
          <w:rFonts w:ascii="Times New Roman" w:eastAsia="Calibri" w:hAnsi="Times New Roman" w:cs="Times New Roman"/>
        </w:rPr>
        <w:t>or unlicensed or licensed by rule)</w:t>
      </w:r>
      <w:r w:rsidR="00873EBB">
        <w:rPr>
          <w:rFonts w:ascii="Times New Roman" w:eastAsia="Calibri" w:hAnsi="Times New Roman" w:cs="Times New Roman"/>
        </w:rPr>
        <w:t xml:space="preserve"> </w:t>
      </w:r>
      <w:r w:rsidRPr="00641934" w:rsidR="00641934">
        <w:rPr>
          <w:rFonts w:ascii="Times New Roman" w:eastAsia="Calibri" w:hAnsi="Times New Roman" w:cs="Times New Roman"/>
        </w:rPr>
        <w:t>whose construction and operation is completed on o</w:t>
      </w:r>
      <w:r w:rsidR="00873EBB">
        <w:rPr>
          <w:rFonts w:ascii="Times New Roman" w:eastAsia="Calibri" w:hAnsi="Times New Roman" w:cs="Times New Roman"/>
        </w:rPr>
        <w:t xml:space="preserve">r after that date, </w:t>
      </w:r>
      <w:r w:rsidR="00BD7B1A">
        <w:rPr>
          <w:rFonts w:ascii="Times New Roman" w:eastAsia="Calibri" w:hAnsi="Times New Roman" w:cs="Times New Roman"/>
        </w:rPr>
        <w:t>must comply</w:t>
      </w:r>
      <w:r w:rsidRPr="00C61250" w:rsidR="00C61250">
        <w:rPr>
          <w:rFonts w:ascii="Times New Roman" w:eastAsia="Calibri" w:hAnsi="Times New Roman" w:cs="Times New Roman"/>
        </w:rPr>
        <w:t xml:space="preserve"> with the new rules</w:t>
      </w:r>
      <w:r w:rsidR="00C61250">
        <w:rPr>
          <w:rFonts w:ascii="Times New Roman" w:eastAsia="Calibri" w:hAnsi="Times New Roman" w:cs="Times New Roman"/>
        </w:rPr>
        <w:t xml:space="preserve">.  </w:t>
      </w:r>
      <w:r w:rsidRPr="00C61250" w:rsidR="00C61250">
        <w:rPr>
          <w:rFonts w:ascii="Times New Roman" w:eastAsia="Calibri" w:hAnsi="Times New Roman" w:cs="Times New Roman"/>
        </w:rPr>
        <w:t>In addition, any facility or operation that is modified in a way that</w:t>
      </w:r>
      <w:r w:rsidR="00C61250">
        <w:rPr>
          <w:rFonts w:ascii="Times New Roman" w:eastAsia="Calibri" w:hAnsi="Times New Roman" w:cs="Times New Roman"/>
        </w:rPr>
        <w:t xml:space="preserve"> </w:t>
      </w:r>
      <w:r w:rsidRPr="00C61250" w:rsidR="00C61250">
        <w:rPr>
          <w:rFonts w:ascii="Times New Roman" w:eastAsia="Calibri" w:hAnsi="Times New Roman" w:cs="Times New Roman"/>
        </w:rPr>
        <w:t>could affect RF exposure also must comply with the new rules no later than</w:t>
      </w:r>
      <w:r w:rsidR="00C61250">
        <w:rPr>
          <w:rFonts w:ascii="Times New Roman" w:eastAsia="Calibri" w:hAnsi="Times New Roman" w:cs="Times New Roman"/>
        </w:rPr>
        <w:t xml:space="preserve"> </w:t>
      </w:r>
      <w:r w:rsidRPr="00C61250" w:rsidR="00C61250">
        <w:rPr>
          <w:rFonts w:ascii="Times New Roman" w:eastAsia="Calibri" w:hAnsi="Times New Roman" w:cs="Times New Roman"/>
        </w:rPr>
        <w:t>the time at which it is modified.</w:t>
      </w:r>
      <w:r w:rsidR="00C61250">
        <w:rPr>
          <w:rFonts w:ascii="Times New Roman" w:eastAsia="Calibri" w:hAnsi="Times New Roman" w:cs="Times New Roman"/>
        </w:rPr>
        <w:t xml:space="preserve">  </w:t>
      </w:r>
      <w:r w:rsidRPr="00C61250" w:rsidR="00C61250">
        <w:rPr>
          <w:rFonts w:ascii="Times New Roman" w:eastAsia="Calibri" w:hAnsi="Times New Roman" w:cs="Times New Roman"/>
        </w:rPr>
        <w:t xml:space="preserve">All other licensees and operators of existing facilities and operations will have </w:t>
      </w:r>
      <w:r w:rsidR="00BD7B1A">
        <w:rPr>
          <w:rFonts w:ascii="Times New Roman" w:eastAsia="Calibri" w:hAnsi="Times New Roman" w:cs="Times New Roman"/>
        </w:rPr>
        <w:t>until</w:t>
      </w:r>
      <w:r w:rsidR="00C61250">
        <w:rPr>
          <w:rFonts w:ascii="Times New Roman" w:eastAsia="Calibri" w:hAnsi="Times New Roman" w:cs="Times New Roman"/>
        </w:rPr>
        <w:t xml:space="preserve"> </w:t>
      </w:r>
      <w:r w:rsidRPr="00C61250" w:rsidR="00C61250">
        <w:rPr>
          <w:rFonts w:ascii="Times New Roman" w:eastAsia="Calibri" w:hAnsi="Times New Roman" w:cs="Times New Roman"/>
        </w:rPr>
        <w:t>May 3, 202</w:t>
      </w:r>
      <w:r w:rsidR="00BD7B1A">
        <w:rPr>
          <w:rFonts w:ascii="Times New Roman" w:eastAsia="Calibri" w:hAnsi="Times New Roman" w:cs="Times New Roman"/>
        </w:rPr>
        <w:t>3</w:t>
      </w:r>
      <w:r w:rsidRPr="00C61250" w:rsidR="00C61250">
        <w:rPr>
          <w:rFonts w:ascii="Times New Roman" w:eastAsia="Calibri" w:hAnsi="Times New Roman" w:cs="Times New Roman"/>
        </w:rPr>
        <w:t xml:space="preserve"> to ensure that they </w:t>
      </w:r>
      <w:r w:rsidRPr="00C61250" w:rsidR="00C61250">
        <w:rPr>
          <w:rFonts w:ascii="Times New Roman" w:eastAsia="Calibri" w:hAnsi="Times New Roman" w:cs="Times New Roman"/>
        </w:rPr>
        <w:t>are in compliance with</w:t>
      </w:r>
      <w:r w:rsidRPr="00C61250" w:rsidR="00C61250">
        <w:rPr>
          <w:rFonts w:ascii="Times New Roman" w:eastAsia="Calibri" w:hAnsi="Times New Roman" w:cs="Times New Roman"/>
        </w:rPr>
        <w:t xml:space="preserve"> the new rules.</w:t>
      </w:r>
      <w:r w:rsidR="00C61250">
        <w:rPr>
          <w:rFonts w:ascii="Times New Roman" w:eastAsia="Calibri" w:hAnsi="Times New Roman" w:cs="Times New Roman"/>
        </w:rPr>
        <w:t xml:space="preserve">  </w:t>
      </w:r>
      <w:r w:rsidRPr="00C61250" w:rsidR="00C61250">
        <w:rPr>
          <w:rFonts w:ascii="Times New Roman" w:eastAsia="Calibri" w:hAnsi="Times New Roman" w:cs="Times New Roman"/>
        </w:rPr>
        <w:t>Parties</w:t>
      </w:r>
      <w:r w:rsidR="00C61250">
        <w:rPr>
          <w:rFonts w:ascii="Times New Roman" w:eastAsia="Calibri" w:hAnsi="Times New Roman" w:cs="Times New Roman"/>
        </w:rPr>
        <w:t xml:space="preserve"> with equipment authorizations </w:t>
      </w:r>
      <w:r w:rsidRPr="00C61250" w:rsidR="00C61250">
        <w:rPr>
          <w:rFonts w:ascii="Times New Roman" w:eastAsia="Calibri" w:hAnsi="Times New Roman" w:cs="Times New Roman"/>
        </w:rPr>
        <w:t xml:space="preserve">may continue to rely upon their compliance with the rules as they existed prior to the </w:t>
      </w:r>
      <w:r w:rsidR="008747A4">
        <w:rPr>
          <w:rFonts w:ascii="Times New Roman" w:eastAsia="Calibri" w:hAnsi="Times New Roman" w:cs="Times New Roman"/>
        </w:rPr>
        <w:t xml:space="preserve">implementation of the </w:t>
      </w:r>
      <w:r w:rsidRPr="00C61250" w:rsidR="00C61250">
        <w:rPr>
          <w:rFonts w:ascii="Times New Roman" w:eastAsia="Calibri" w:hAnsi="Times New Roman" w:cs="Times New Roman"/>
          <w:i/>
          <w:iCs/>
        </w:rPr>
        <w:t>Order</w:t>
      </w:r>
      <w:r w:rsidRPr="00C61250" w:rsidR="00C61250">
        <w:rPr>
          <w:rFonts w:ascii="Times New Roman" w:eastAsia="Calibri" w:hAnsi="Times New Roman" w:cs="Times New Roman"/>
        </w:rPr>
        <w:t xml:space="preserve"> as long as certified equipment is not modified in a way that could affect RF exposure; a two-year</w:t>
      </w:r>
      <w:r w:rsidR="00C61250">
        <w:rPr>
          <w:rFonts w:ascii="Times New Roman" w:eastAsia="Calibri" w:hAnsi="Times New Roman" w:cs="Times New Roman"/>
        </w:rPr>
        <w:t xml:space="preserve"> </w:t>
      </w:r>
      <w:r w:rsidRPr="00C61250" w:rsidR="00C61250">
        <w:rPr>
          <w:rFonts w:ascii="Times New Roman" w:eastAsia="Calibri" w:hAnsi="Times New Roman" w:cs="Times New Roman"/>
        </w:rPr>
        <w:t xml:space="preserve">review period is not needed for such equipment. </w:t>
      </w:r>
      <w:r w:rsidR="00C61250">
        <w:rPr>
          <w:rFonts w:ascii="Times New Roman" w:eastAsia="Calibri" w:hAnsi="Times New Roman" w:cs="Times New Roman"/>
        </w:rPr>
        <w:t xml:space="preserve"> </w:t>
      </w:r>
      <w:r w:rsidRPr="00C61250" w:rsidR="00C61250">
        <w:rPr>
          <w:rFonts w:ascii="Times New Roman" w:eastAsia="Calibri" w:hAnsi="Times New Roman" w:cs="Times New Roman"/>
        </w:rPr>
        <w:t>Certification applications for new and modified</w:t>
      </w:r>
      <w:r w:rsidR="00C61250">
        <w:rPr>
          <w:rFonts w:ascii="Times New Roman" w:eastAsia="Calibri" w:hAnsi="Times New Roman" w:cs="Times New Roman"/>
        </w:rPr>
        <w:t xml:space="preserve"> </w:t>
      </w:r>
      <w:r w:rsidRPr="00C61250" w:rsidR="00C61250">
        <w:rPr>
          <w:rFonts w:ascii="Times New Roman" w:eastAsia="Calibri" w:hAnsi="Times New Roman" w:cs="Times New Roman"/>
        </w:rPr>
        <w:t xml:space="preserve">equipment must </w:t>
      </w:r>
      <w:r w:rsidR="001A32A0">
        <w:rPr>
          <w:rFonts w:ascii="Times New Roman" w:eastAsia="Calibri" w:hAnsi="Times New Roman" w:cs="Times New Roman"/>
        </w:rPr>
        <w:t>comply with</w:t>
      </w:r>
      <w:r w:rsidRPr="00C61250" w:rsidR="00C61250">
        <w:rPr>
          <w:rFonts w:ascii="Times New Roman" w:eastAsia="Calibri" w:hAnsi="Times New Roman" w:cs="Times New Roman"/>
        </w:rPr>
        <w:t xml:space="preserve"> the equipment authorization procedures</w:t>
      </w:r>
      <w:r w:rsidR="001A32A0">
        <w:rPr>
          <w:rFonts w:ascii="Times New Roman" w:eastAsia="Calibri" w:hAnsi="Times New Roman" w:cs="Times New Roman"/>
        </w:rPr>
        <w:t xml:space="preserve"> </w:t>
      </w:r>
      <w:r w:rsidR="00EB01F5">
        <w:rPr>
          <w:rFonts w:ascii="Times New Roman" w:eastAsia="Calibri" w:hAnsi="Times New Roman" w:cs="Times New Roman"/>
        </w:rPr>
        <w:t xml:space="preserve">and associated guidance </w:t>
      </w:r>
      <w:r w:rsidR="001A32A0">
        <w:rPr>
          <w:rFonts w:ascii="Times New Roman" w:eastAsia="Calibri" w:hAnsi="Times New Roman" w:cs="Times New Roman"/>
        </w:rPr>
        <w:t>in effect at the time the application is made to the Commission</w:t>
      </w:r>
      <w:r w:rsidRPr="00C61250" w:rsidR="00C61250">
        <w:rPr>
          <w:rFonts w:ascii="Times New Roman" w:eastAsia="Calibri" w:hAnsi="Times New Roman" w:cs="Times New Roman"/>
        </w:rPr>
        <w:t>.</w:t>
      </w:r>
      <w:r w:rsidR="00C61250">
        <w:rPr>
          <w:rFonts w:ascii="Times New Roman" w:eastAsia="Calibri" w:hAnsi="Times New Roman" w:cs="Times New Roman"/>
        </w:rPr>
        <w:t xml:space="preserve">  Further clarification of the rule implementation date and two-year review period can be found in </w:t>
      </w:r>
      <w:r w:rsidRPr="00C61250" w:rsidR="00C61250">
        <w:rPr>
          <w:rFonts w:ascii="Times New Roman" w:eastAsia="Calibri" w:hAnsi="Times New Roman" w:cs="Times New Roman"/>
          <w:i/>
          <w:iCs/>
        </w:rPr>
        <w:t>Public Notice</w:t>
      </w:r>
      <w:r w:rsidR="00C61250">
        <w:rPr>
          <w:rFonts w:ascii="Times New Roman" w:eastAsia="Calibri" w:hAnsi="Times New Roman" w:cs="Times New Roman"/>
        </w:rPr>
        <w:t xml:space="preserve"> DA 21-363.</w:t>
      </w:r>
      <w:r>
        <w:rPr>
          <w:rStyle w:val="FootnoteReference"/>
          <w:rFonts w:ascii="Times New Roman" w:eastAsia="Calibri" w:hAnsi="Times New Roman" w:cs="Times New Roman"/>
        </w:rPr>
        <w:footnoteReference w:id="5"/>
      </w:r>
    </w:p>
    <w:p w:rsidR="00CF705E" w:rsidRPr="00160604" w14:paraId="71F0D107" w14:textId="7E8935FA">
      <w:pPr>
        <w:pStyle w:val="Heading1"/>
      </w:pPr>
      <w:bookmarkStart w:id="133" w:name="_Ref55641004"/>
      <w:bookmarkStart w:id="134" w:name="_Toc55645035"/>
      <w:r w:rsidRPr="00BA3DAB">
        <w:t>INTERNET LINKS</w:t>
      </w:r>
      <w:bookmarkEnd w:id="133"/>
      <w:bookmarkEnd w:id="134"/>
    </w:p>
    <w:p w:rsidR="00CF705E" w:rsidP="00DC2673" w14:paraId="1007F81C" w14:textId="77777777">
      <w:pPr>
        <w:spacing w:line="240" w:lineRule="auto"/>
        <w:ind w:firstLine="720"/>
        <w:rPr>
          <w:rFonts w:ascii="Times New Roman" w:eastAsia="Times New Roman" w:hAnsi="Times New Roman" w:cs="Times New Roman"/>
        </w:rPr>
      </w:pPr>
      <w:r w:rsidRPr="000350AD">
        <w:rPr>
          <w:rFonts w:ascii="Times New Roman" w:eastAsia="Times New Roman" w:hAnsi="Times New Roman" w:cs="Times New Roman"/>
        </w:rPr>
        <w:t xml:space="preserve">A copy of the </w:t>
      </w:r>
      <w:r w:rsidRPr="00DC2673">
        <w:rPr>
          <w:rFonts w:ascii="Times New Roman" w:eastAsia="Times New Roman" w:hAnsi="Times New Roman" w:cs="Times New Roman"/>
        </w:rPr>
        <w:t>Order</w:t>
      </w:r>
      <w:r w:rsidRPr="000350AD">
        <w:rPr>
          <w:rFonts w:ascii="Times New Roman" w:eastAsia="Times New Roman" w:hAnsi="Times New Roman" w:cs="Times New Roman"/>
        </w:rPr>
        <w:t xml:space="preserve"> is available at:</w:t>
      </w:r>
      <w:r>
        <w:rPr>
          <w:rFonts w:ascii="Times New Roman" w:eastAsia="Times New Roman" w:hAnsi="Times New Roman" w:cs="Times New Roman"/>
        </w:rPr>
        <w:br/>
      </w:r>
      <w:hyperlink r:id="rId15" w:history="1">
        <w:r w:rsidRPr="00D07D87">
          <w:rPr>
            <w:rStyle w:val="Hyperlink"/>
            <w:rFonts w:ascii="Times New Roman" w:eastAsia="Times New Roman" w:hAnsi="Times New Roman" w:cs="Times New Roman"/>
            <w:color w:val="0000FF"/>
          </w:rPr>
          <w:t>https://www.fcc.gov/document/fcc-maintains-current-rf-exposure-safety-standards</w:t>
        </w:r>
      </w:hyperlink>
      <w:r w:rsidRPr="000350AD">
        <w:rPr>
          <w:rFonts w:ascii="Times New Roman" w:eastAsia="Times New Roman" w:hAnsi="Times New Roman" w:cs="Times New Roman"/>
        </w:rPr>
        <w:t>.</w:t>
      </w:r>
    </w:p>
    <w:p w:rsidR="00CF705E" w:rsidP="00DC2673" w14:paraId="46E6C903" w14:textId="7345B900">
      <w:pPr>
        <w:spacing w:line="240" w:lineRule="auto"/>
        <w:ind w:firstLine="720"/>
      </w:pPr>
      <w:r w:rsidRPr="00C86836">
        <w:rPr>
          <w:rFonts w:ascii="Times New Roman" w:hAnsi="Times New Roman" w:cs="Times New Roman"/>
        </w:rPr>
        <w:t xml:space="preserve">A copy of </w:t>
      </w:r>
      <w:r w:rsidRPr="00DC2673">
        <w:rPr>
          <w:rFonts w:ascii="TimesNewRomanPSMT" w:hAnsi="TimesNewRomanPSMT" w:cs="TimesNewRomanPSMT"/>
        </w:rPr>
        <w:t>the</w:t>
      </w:r>
      <w:r w:rsidRPr="00C86836">
        <w:rPr>
          <w:rFonts w:ascii="Times New Roman" w:hAnsi="Times New Roman" w:cs="Times New Roman"/>
        </w:rPr>
        <w:t xml:space="preserve"> </w:t>
      </w:r>
      <w:r w:rsidRPr="00DC2673">
        <w:rPr>
          <w:rFonts w:ascii="Times New Roman" w:eastAsia="Times New Roman" w:hAnsi="Times New Roman" w:cs="Times New Roman"/>
        </w:rPr>
        <w:t>Federal</w:t>
      </w:r>
      <w:r w:rsidRPr="00C86836">
        <w:rPr>
          <w:rFonts w:ascii="Times New Roman" w:hAnsi="Times New Roman" w:cs="Times New Roman"/>
        </w:rPr>
        <w:t xml:space="preserve"> Register Summary of the </w:t>
      </w:r>
      <w:r w:rsidRPr="00C86836">
        <w:rPr>
          <w:rFonts w:ascii="Times New Roman" w:hAnsi="Times New Roman" w:cs="Times New Roman"/>
          <w:i/>
        </w:rPr>
        <w:t>Order</w:t>
      </w:r>
      <w:r w:rsidRPr="00C86836">
        <w:rPr>
          <w:rFonts w:ascii="Times New Roman" w:hAnsi="Times New Roman" w:cs="Times New Roman"/>
        </w:rPr>
        <w:t xml:space="preserve"> is available at:</w:t>
      </w:r>
      <w:r>
        <w:rPr>
          <w:rFonts w:ascii="Times New Roman" w:hAnsi="Times New Roman" w:cs="Times New Roman"/>
        </w:rPr>
        <w:t xml:space="preserve"> </w:t>
      </w:r>
      <w:hyperlink r:id="rId16" w:history="1">
        <w:r w:rsidRPr="00DC2673">
          <w:rPr>
            <w:rStyle w:val="Hyperlink"/>
            <w:rFonts w:ascii="Times New Roman" w:eastAsia="Times New Roman" w:hAnsi="Times New Roman" w:cs="Times New Roman"/>
            <w:color w:val="0000FF"/>
          </w:rPr>
          <w:t>https://www.govinfo.gov/content/pkg/FR-2020-04-01/pdf/2020-02745.pdf</w:t>
        </w:r>
      </w:hyperlink>
      <w:r w:rsidRPr="00DC2673">
        <w:t>.</w:t>
      </w:r>
    </w:p>
    <w:p w:rsidR="00CF705E" w:rsidP="00DC2673" w14:paraId="083A572E" w14:textId="107AA201">
      <w:pPr>
        <w:spacing w:line="240" w:lineRule="auto"/>
        <w:ind w:firstLine="720"/>
      </w:pPr>
      <w:r w:rsidRPr="00C86836">
        <w:rPr>
          <w:rFonts w:ascii="Times New Roman" w:hAnsi="Times New Roman" w:cs="Times New Roman"/>
        </w:rPr>
        <w:t xml:space="preserve">A copy of </w:t>
      </w:r>
      <w:r w:rsidRPr="00DC2673">
        <w:rPr>
          <w:rFonts w:ascii="TimesNewRomanPSMT" w:hAnsi="TimesNewRomanPSMT" w:cs="TimesNewRomanPSMT"/>
        </w:rPr>
        <w:t>the</w:t>
      </w:r>
      <w:r w:rsidRPr="00C86836">
        <w:rPr>
          <w:rFonts w:ascii="Times New Roman" w:hAnsi="Times New Roman" w:cs="Times New Roman"/>
        </w:rPr>
        <w:t xml:space="preserve"> </w:t>
      </w:r>
      <w:r w:rsidRPr="00DC2673">
        <w:rPr>
          <w:rFonts w:ascii="Times New Roman" w:eastAsia="Times New Roman" w:hAnsi="Times New Roman" w:cs="Times New Roman"/>
        </w:rPr>
        <w:t>Federal</w:t>
      </w:r>
      <w:r w:rsidRPr="00C86836">
        <w:rPr>
          <w:rFonts w:ascii="Times New Roman" w:hAnsi="Times New Roman" w:cs="Times New Roman"/>
        </w:rPr>
        <w:t xml:space="preserve"> Register </w:t>
      </w:r>
      <w:r>
        <w:rPr>
          <w:rFonts w:ascii="Times New Roman" w:hAnsi="Times New Roman" w:cs="Times New Roman"/>
        </w:rPr>
        <w:t>correction with delay of effective date</w:t>
      </w:r>
      <w:r w:rsidRPr="00C86836">
        <w:rPr>
          <w:rFonts w:ascii="Times New Roman" w:hAnsi="Times New Roman" w:cs="Times New Roman"/>
        </w:rPr>
        <w:t xml:space="preserve"> is available at:</w:t>
      </w:r>
      <w:r>
        <w:rPr>
          <w:rFonts w:ascii="Times New Roman" w:hAnsi="Times New Roman" w:cs="Times New Roman"/>
        </w:rPr>
        <w:t xml:space="preserve"> </w:t>
      </w:r>
      <w:hyperlink r:id="rId17" w:history="1">
        <w:r w:rsidRPr="00DC2673" w:rsidR="002254F6">
          <w:rPr>
            <w:rStyle w:val="Hyperlink"/>
            <w:rFonts w:ascii="Times New Roman" w:eastAsia="Times New Roman" w:hAnsi="Times New Roman" w:cs="Times New Roman"/>
            <w:color w:val="0000FF"/>
          </w:rPr>
          <w:t>https://www.govinfo.gov/content/pkg/FR-2020-06-02/pdf/2020-11969.pdf</w:t>
        </w:r>
      </w:hyperlink>
      <w:r w:rsidRPr="00DA7770">
        <w:t>.</w:t>
      </w:r>
    </w:p>
    <w:p w:rsidR="002254F6" w:rsidRPr="002254F6" w:rsidP="00DC2673" w14:paraId="01DEF351" w14:textId="399B4C04">
      <w:pPr>
        <w:spacing w:line="240" w:lineRule="auto"/>
        <w:ind w:firstLine="720"/>
      </w:pPr>
      <w:r>
        <w:rPr>
          <w:rFonts w:ascii="Times New Roman" w:eastAsia="Calibri" w:hAnsi="Times New Roman" w:cs="Times New Roman"/>
        </w:rPr>
        <w:t xml:space="preserve">Further </w:t>
      </w:r>
      <w:r w:rsidRPr="00DC2673">
        <w:rPr>
          <w:rFonts w:ascii="Times New Roman" w:eastAsia="Times New Roman" w:hAnsi="Times New Roman" w:cs="Times New Roman"/>
        </w:rPr>
        <w:t>clarification</w:t>
      </w:r>
      <w:r w:rsidRPr="008F782A">
        <w:rPr>
          <w:rFonts w:ascii="Times New Roman" w:eastAsia="Calibri" w:hAnsi="Times New Roman" w:cs="Times New Roman"/>
        </w:rPr>
        <w:t xml:space="preserve"> of</w:t>
      </w:r>
      <w:r>
        <w:rPr>
          <w:rFonts w:ascii="Times New Roman" w:eastAsia="Calibri" w:hAnsi="Times New Roman" w:cs="Times New Roman"/>
        </w:rPr>
        <w:t xml:space="preserve"> the</w:t>
      </w:r>
      <w:r w:rsidRPr="008F782A">
        <w:rPr>
          <w:rFonts w:ascii="Times New Roman" w:eastAsia="Calibri" w:hAnsi="Times New Roman" w:cs="Times New Roman"/>
        </w:rPr>
        <w:t xml:space="preserve"> rule impl</w:t>
      </w:r>
      <w:r>
        <w:rPr>
          <w:rFonts w:ascii="Times New Roman" w:eastAsia="Calibri" w:hAnsi="Times New Roman" w:cs="Times New Roman"/>
        </w:rPr>
        <w:t>eme</w:t>
      </w:r>
      <w:r w:rsidRPr="008F782A">
        <w:rPr>
          <w:rFonts w:ascii="Times New Roman" w:eastAsia="Calibri" w:hAnsi="Times New Roman" w:cs="Times New Roman"/>
        </w:rPr>
        <w:t>ntation date and</w:t>
      </w:r>
      <w:r>
        <w:rPr>
          <w:rFonts w:ascii="Times New Roman" w:eastAsia="Calibri" w:hAnsi="Times New Roman" w:cs="Times New Roman"/>
        </w:rPr>
        <w:t xml:space="preserve"> </w:t>
      </w:r>
      <w:r w:rsidR="00FC6701">
        <w:rPr>
          <w:rFonts w:ascii="Times New Roman" w:eastAsia="Calibri" w:hAnsi="Times New Roman" w:cs="Times New Roman"/>
        </w:rPr>
        <w:t>two-year review</w:t>
      </w:r>
      <w:r w:rsidRPr="008F782A" w:rsidR="00FC6701">
        <w:rPr>
          <w:rFonts w:ascii="Times New Roman" w:eastAsia="Calibri" w:hAnsi="Times New Roman" w:cs="Times New Roman"/>
        </w:rPr>
        <w:t xml:space="preserve"> </w:t>
      </w:r>
      <w:r w:rsidRPr="008F782A">
        <w:rPr>
          <w:rFonts w:ascii="Times New Roman" w:eastAsia="Calibri" w:hAnsi="Times New Roman" w:cs="Times New Roman"/>
        </w:rPr>
        <w:t xml:space="preserve">period can be found in </w:t>
      </w:r>
      <w:r w:rsidRPr="008F782A">
        <w:rPr>
          <w:rFonts w:ascii="Times New Roman" w:eastAsia="Calibri" w:hAnsi="Times New Roman" w:cs="Times New Roman"/>
          <w:i/>
          <w:iCs/>
        </w:rPr>
        <w:t>Public Notice</w:t>
      </w:r>
      <w:r w:rsidR="00FC6701">
        <w:rPr>
          <w:rFonts w:ascii="Times New Roman" w:eastAsia="Calibri" w:hAnsi="Times New Roman" w:cs="Times New Roman"/>
        </w:rPr>
        <w:t xml:space="preserve"> DA 21-363</w:t>
      </w:r>
      <w:r>
        <w:rPr>
          <w:rFonts w:ascii="Times New Roman" w:eastAsia="Calibri" w:hAnsi="Times New Roman" w:cs="Times New Roman"/>
        </w:rPr>
        <w:t xml:space="preserve">, available at: </w:t>
      </w:r>
      <w:r w:rsidR="00DA4D32">
        <w:rPr>
          <w:rFonts w:ascii="Times New Roman" w:eastAsia="Calibri" w:hAnsi="Times New Roman" w:cs="Times New Roman"/>
        </w:rPr>
        <w:br/>
      </w:r>
      <w:hyperlink r:id="rId18" w:history="1">
        <w:r w:rsidRPr="00DA4D32" w:rsidR="00DA4D32">
          <w:rPr>
            <w:rStyle w:val="Hyperlink"/>
            <w:rFonts w:ascii="Times New Roman" w:eastAsia="Times New Roman" w:hAnsi="Times New Roman" w:cs="Times New Roman"/>
            <w:color w:val="0000FF"/>
          </w:rPr>
          <w:t>https://docs.fcc.gov/public/attachments/DA-21-363A1.pdf</w:t>
        </w:r>
      </w:hyperlink>
      <w:r w:rsidR="00FC6701">
        <w:rPr>
          <w:rFonts w:ascii="Times New Roman" w:eastAsia="Calibri" w:hAnsi="Times New Roman" w:cs="Times New Roman"/>
        </w:rPr>
        <w:t>.</w:t>
      </w:r>
    </w:p>
    <w:p w:rsidR="00C0416E" w:rsidRPr="0044757B" w:rsidP="0044757B" w14:paraId="2586B65C" w14:textId="7242BD8E">
      <w:r>
        <w:rPr>
          <w:rFonts w:ascii="Times New Roman" w:eastAsia="Times New Roman" w:hAnsi="Times New Roman" w:cs="Times New Roman"/>
        </w:rPr>
        <w:t>G</w:t>
      </w:r>
      <w:r w:rsidRPr="000350AD">
        <w:rPr>
          <w:rFonts w:ascii="Times New Roman" w:eastAsia="Times New Roman" w:hAnsi="Times New Roman" w:cs="Times New Roman"/>
        </w:rPr>
        <w:t xml:space="preserve">eneral methods for the determination of compliance with the exposure limits for environmental RF sources </w:t>
      </w:r>
      <w:r>
        <w:rPr>
          <w:rFonts w:ascii="Times New Roman" w:eastAsia="Times New Roman" w:hAnsi="Times New Roman" w:cs="Times New Roman"/>
        </w:rPr>
        <w:t xml:space="preserve">are </w:t>
      </w:r>
      <w:r w:rsidRPr="00DC2673">
        <w:rPr>
          <w:rFonts w:ascii="TimesNewRomanPSMT" w:hAnsi="TimesNewRomanPSMT" w:cs="TimesNewRomanPSMT"/>
        </w:rPr>
        <w:t>available</w:t>
      </w:r>
      <w:r>
        <w:rPr>
          <w:rFonts w:ascii="Times New Roman" w:eastAsia="Times New Roman" w:hAnsi="Times New Roman" w:cs="Times New Roman"/>
        </w:rPr>
        <w:t xml:space="preserve"> in</w:t>
      </w:r>
      <w:r w:rsidRPr="000350AD">
        <w:rPr>
          <w:rFonts w:ascii="Times New Roman" w:eastAsia="Times New Roman" w:hAnsi="Times New Roman" w:cs="Times New Roman"/>
        </w:rPr>
        <w:t xml:space="preserve"> Office of Engineering and Technology (OET) Bulletin 65: </w:t>
      </w:r>
      <w:hyperlink r:id="rId19" w:history="1">
        <w:r w:rsidR="0044757B">
          <w:rPr>
            <w:rStyle w:val="Hyperlink"/>
          </w:rPr>
          <w:t>https://transition.fcc.gov/bureaus/oet/info/documents/bulletins/oet65/oet65.pdf</w:t>
        </w:r>
      </w:hyperlink>
      <w:r w:rsidRPr="000350AD">
        <w:rPr>
          <w:rFonts w:ascii="Times New Roman" w:eastAsia="Times New Roman" w:hAnsi="Times New Roman" w:cs="Times New Roman"/>
        </w:rPr>
        <w:t xml:space="preserve">.  </w:t>
      </w:r>
    </w:p>
    <w:p w:rsidR="00C0416E" w:rsidP="00DC2673" w14:paraId="52E934E7" w14:textId="473FE139">
      <w:pPr>
        <w:spacing w:line="240" w:lineRule="auto"/>
        <w:ind w:firstLine="720"/>
        <w:rPr>
          <w:rFonts w:ascii="Times New Roman" w:eastAsia="Times New Roman" w:hAnsi="Times New Roman" w:cs="Times New Roman"/>
        </w:rPr>
      </w:pPr>
      <w:r w:rsidRPr="000350AD">
        <w:rPr>
          <w:rFonts w:ascii="Times New Roman" w:eastAsia="Times New Roman" w:hAnsi="Times New Roman" w:cs="Times New Roman"/>
        </w:rPr>
        <w:t xml:space="preserve">Several other related documents and general information are available at: </w:t>
      </w:r>
      <w:hyperlink r:id="rId20" w:history="1">
        <w:r w:rsidRPr="004D1997" w:rsidR="00DA4D32">
          <w:rPr>
            <w:rStyle w:val="Hyperlink"/>
            <w:rFonts w:ascii="Times New Roman" w:eastAsia="Times New Roman" w:hAnsi="Times New Roman" w:cs="Times New Roman"/>
            <w:color w:val="0000FF"/>
          </w:rPr>
          <w:t>http://www.fcc.gov/rfsafety</w:t>
        </w:r>
      </w:hyperlink>
      <w:r w:rsidRPr="000350AD">
        <w:rPr>
          <w:rFonts w:ascii="Times New Roman" w:eastAsia="Times New Roman" w:hAnsi="Times New Roman" w:cs="Times New Roman"/>
        </w:rPr>
        <w:t xml:space="preserve">.  </w:t>
      </w:r>
    </w:p>
    <w:p w:rsidR="00CF705E" w:rsidRPr="002B56A6" w:rsidP="00DC2673" w14:paraId="5E6A3F86" w14:textId="5CB3F992">
      <w:pPr>
        <w:spacing w:after="240" w:line="240" w:lineRule="auto"/>
        <w:ind w:firstLine="720"/>
        <w:rPr>
          <w:rFonts w:ascii="Times New Roman" w:hAnsi="Times New Roman" w:cs="Times New Roman"/>
        </w:rPr>
      </w:pPr>
      <w:r w:rsidRPr="000350AD">
        <w:rPr>
          <w:rFonts w:ascii="Times New Roman" w:eastAsia="Times New Roman" w:hAnsi="Times New Roman" w:cs="Times New Roman"/>
        </w:rPr>
        <w:t>For guidance on compliance for mobile and portable devices see the links</w:t>
      </w:r>
      <w:r w:rsidR="00A760A6">
        <w:rPr>
          <w:rFonts w:ascii="Times New Roman" w:eastAsia="Times New Roman" w:hAnsi="Times New Roman" w:cs="Times New Roman"/>
        </w:rPr>
        <w:t xml:space="preserve"> in Section </w:t>
      </w:r>
      <w:r w:rsidR="00A760A6">
        <w:rPr>
          <w:rFonts w:ascii="Times New Roman" w:eastAsia="Times New Roman" w:hAnsi="Times New Roman" w:cs="Times New Roman"/>
        </w:rPr>
        <w:fldChar w:fldCharType="begin"/>
      </w:r>
      <w:r w:rsidR="00A760A6">
        <w:rPr>
          <w:rFonts w:ascii="Times New Roman" w:eastAsia="Times New Roman" w:hAnsi="Times New Roman" w:cs="Times New Roman"/>
        </w:rPr>
        <w:instrText xml:space="preserve"> REF _Ref55644184 \r \p \h </w:instrText>
      </w:r>
      <w:r w:rsidR="00A760A6">
        <w:rPr>
          <w:rFonts w:ascii="Times New Roman" w:eastAsia="Times New Roman" w:hAnsi="Times New Roman" w:cs="Times New Roman"/>
        </w:rPr>
        <w:fldChar w:fldCharType="separate"/>
      </w:r>
      <w:r w:rsidR="00A760A6">
        <w:rPr>
          <w:rFonts w:ascii="Times New Roman" w:eastAsia="Times New Roman" w:hAnsi="Times New Roman" w:cs="Times New Roman"/>
        </w:rPr>
        <w:t>III above</w:t>
      </w:r>
      <w:r w:rsidR="00A760A6">
        <w:rPr>
          <w:rFonts w:ascii="Times New Roman" w:eastAsia="Times New Roman" w:hAnsi="Times New Roman" w:cs="Times New Roman"/>
        </w:rPr>
        <w:fldChar w:fldCharType="end"/>
      </w:r>
      <w:r w:rsidR="00A760A6">
        <w:rPr>
          <w:rFonts w:ascii="Times New Roman" w:eastAsia="Times New Roman" w:hAnsi="Times New Roman" w:cs="Times New Roman"/>
        </w:rPr>
        <w:t xml:space="preserve"> </w:t>
      </w:r>
      <w:r w:rsidRPr="000350AD">
        <w:rPr>
          <w:rFonts w:ascii="Times New Roman" w:eastAsia="Times New Roman" w:hAnsi="Times New Roman" w:cs="Times New Roman"/>
        </w:rPr>
        <w:t xml:space="preserve">for </w:t>
      </w:r>
      <w:r>
        <w:rPr>
          <w:rFonts w:ascii="Times New Roman" w:eastAsia="Times New Roman" w:hAnsi="Times New Roman" w:cs="Times New Roman"/>
        </w:rPr>
        <w:t>appropriate</w:t>
      </w:r>
      <w:r w:rsidRPr="000350AD">
        <w:rPr>
          <w:rFonts w:ascii="Times New Roman" w:eastAsia="Times New Roman" w:hAnsi="Times New Roman" w:cs="Times New Roman"/>
        </w:rPr>
        <w:t xml:space="preserve"> KDB.</w:t>
      </w:r>
      <w:r>
        <w:rPr>
          <w:rFonts w:ascii="Times New Roman" w:eastAsia="Times New Roman" w:hAnsi="Times New Roman" w:cs="Times New Roman"/>
        </w:rPr>
        <w:t xml:space="preserve">  For further information and/or assistance email: RFSafety@FCC.gov.</w:t>
      </w:r>
    </w:p>
    <w:sectPr w:rsidSect="00714115">
      <w:headerReference w:type="default" r:id="rId21"/>
      <w:footerReference w:type="default" r:id="rId22"/>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6062" w:rsidRPr="00511023" w14:paraId="10957836" w14:textId="77777777">
    <w:pPr>
      <w:pStyle w:val="Footer"/>
      <w:jc w:val="center"/>
      <w:rPr>
        <w:rFonts w:ascii="Times New Roman" w:hAnsi="Times New Roman" w:cs="Times New Roman"/>
      </w:rPr>
    </w:pPr>
  </w:p>
  <w:p w:rsidR="008B6062" w14:paraId="513179D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032C" w14:paraId="5511BFBF" w14:textId="282816F5">
    <w:pPr>
      <w:pStyle w:val="Footer"/>
      <w:jc w:val="center"/>
    </w:pPr>
  </w:p>
  <w:p w:rsidR="008B6062" w14:paraId="0E062D5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6062" w14:paraId="52D89E7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032C" w14:paraId="2912F59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00514" w:rsidP="004A5D6B" w14:paraId="0DC75BD3" w14:textId="77777777">
      <w:pPr>
        <w:spacing w:after="0" w:line="240" w:lineRule="auto"/>
      </w:pPr>
      <w:r>
        <w:separator/>
      </w:r>
    </w:p>
  </w:footnote>
  <w:footnote w:type="continuationSeparator" w:id="1">
    <w:p w:rsidR="00100514" w:rsidP="004A5D6B" w14:paraId="73633CC7" w14:textId="77777777">
      <w:pPr>
        <w:spacing w:after="0" w:line="240" w:lineRule="auto"/>
      </w:pPr>
      <w:r>
        <w:continuationSeparator/>
      </w:r>
    </w:p>
  </w:footnote>
  <w:footnote w:type="continuationNotice" w:id="2">
    <w:p w:rsidR="00100514" w14:paraId="73B74F66" w14:textId="77777777">
      <w:pPr>
        <w:spacing w:after="0" w:line="240" w:lineRule="auto"/>
      </w:pPr>
    </w:p>
  </w:footnote>
  <w:footnote w:id="3">
    <w:p w:rsidR="008B6062" w:rsidRPr="0017724F" w:rsidP="00DF4EAA" w14:paraId="2577DB1B" w14:textId="20A3B956">
      <w:pPr>
        <w:pStyle w:val="FootnoteText"/>
        <w:rPr>
          <w:rFonts w:ascii="Times New Roman" w:hAnsi="Times New Roman" w:cs="Times New Roman"/>
        </w:rPr>
      </w:pPr>
      <w:r w:rsidRPr="0017724F">
        <w:rPr>
          <w:rStyle w:val="FootnoteReference"/>
          <w:rFonts w:ascii="Times New Roman" w:hAnsi="Times New Roman" w:cs="Times New Roman"/>
        </w:rPr>
        <w:footnoteRef/>
      </w:r>
      <w:r w:rsidRPr="0017724F">
        <w:rPr>
          <w:rFonts w:ascii="Times New Roman" w:hAnsi="Times New Roman" w:cs="Times New Roman"/>
        </w:rPr>
        <w:t xml:space="preserve"> </w:t>
      </w:r>
      <w:r>
        <w:rPr>
          <w:rFonts w:ascii="Times New Roman" w:hAnsi="Times New Roman" w:cs="Times New Roman"/>
        </w:rPr>
        <w:t>T</w:t>
      </w:r>
      <w:r w:rsidRPr="0017724F">
        <w:rPr>
          <w:rFonts w:ascii="Times New Roman" w:hAnsi="Times New Roman" w:cs="Times New Roman"/>
        </w:rPr>
        <w:t>o avoid confusion in the NEPA context, we use the term “exemption” (rather than “exclusion” or “categorical exclusion”) to refer to an exemption from the obligation to perform an RF exposure evaluation.</w:t>
      </w:r>
      <w:r>
        <w:rPr>
          <w:rFonts w:ascii="Times New Roman" w:hAnsi="Times New Roman" w:cs="Times New Roman"/>
        </w:rPr>
        <w:t xml:space="preserve">  </w:t>
      </w:r>
      <w:r w:rsidRPr="00DF4EAA">
        <w:rPr>
          <w:rFonts w:ascii="Times New Roman" w:hAnsi="Times New Roman" w:cs="Times New Roman"/>
        </w:rPr>
        <w:t>By</w:t>
      </w:r>
      <w:r>
        <w:rPr>
          <w:rFonts w:ascii="Times New Roman" w:hAnsi="Times New Roman" w:cs="Times New Roman"/>
        </w:rPr>
        <w:t xml:space="preserve"> </w:t>
      </w:r>
      <w:r w:rsidRPr="00DF4EAA">
        <w:rPr>
          <w:rFonts w:ascii="Times New Roman" w:hAnsi="Times New Roman" w:cs="Times New Roman"/>
        </w:rPr>
        <w:t>contrast, under NEPA and the Commission’s environmental rules, the term “categorical exclusion” refers to an</w:t>
      </w:r>
      <w:r>
        <w:rPr>
          <w:rFonts w:ascii="Times New Roman" w:hAnsi="Times New Roman" w:cs="Times New Roman"/>
        </w:rPr>
        <w:t xml:space="preserve"> </w:t>
      </w:r>
      <w:r w:rsidRPr="00DF4EAA">
        <w:rPr>
          <w:rFonts w:ascii="Times New Roman" w:hAnsi="Times New Roman" w:cs="Times New Roman"/>
        </w:rPr>
        <w:t>exclusion of categories of actions from obligations to prepare an environmental assessment or other environmental</w:t>
      </w:r>
      <w:r>
        <w:rPr>
          <w:rFonts w:ascii="Times New Roman" w:hAnsi="Times New Roman" w:cs="Times New Roman"/>
        </w:rPr>
        <w:t xml:space="preserve"> </w:t>
      </w:r>
      <w:r w:rsidRPr="00DF4EAA">
        <w:rPr>
          <w:rFonts w:ascii="Times New Roman" w:hAnsi="Times New Roman" w:cs="Times New Roman"/>
        </w:rPr>
        <w:t>evaluation</w:t>
      </w:r>
      <w:r>
        <w:rPr>
          <w:rFonts w:ascii="Times New Roman" w:hAnsi="Times New Roman" w:cs="Times New Roman"/>
        </w:rPr>
        <w:t>.</w:t>
      </w:r>
    </w:p>
  </w:footnote>
  <w:footnote w:id="4">
    <w:p w:rsidR="00C61250" w:rsidRPr="00CA0D5B" w:rsidP="00C61250" w14:paraId="1CA6F06D" w14:textId="719C7D7C">
      <w:pPr>
        <w:pStyle w:val="FootnoteText"/>
        <w:rPr>
          <w:rFonts w:ascii="Times New Roman" w:hAnsi="Times New Roman" w:cs="Times New Roman"/>
        </w:rPr>
      </w:pPr>
      <w:r w:rsidRPr="00CA0D5B">
        <w:rPr>
          <w:rStyle w:val="FootnoteReference"/>
          <w:rFonts w:ascii="Times New Roman" w:hAnsi="Times New Roman" w:cs="Times New Roman"/>
        </w:rPr>
        <w:footnoteRef/>
      </w:r>
      <w:r w:rsidRPr="00CA0D5B">
        <w:rPr>
          <w:rFonts w:ascii="Times New Roman" w:hAnsi="Times New Roman" w:cs="Times New Roman"/>
        </w:rPr>
        <w:t xml:space="preserve"> Consistent with 85 FR 18131, </w:t>
      </w:r>
      <w:r>
        <w:rPr>
          <w:rFonts w:ascii="Times New Roman" w:hAnsi="Times New Roman" w:cs="Times New Roman"/>
        </w:rPr>
        <w:t>select</w:t>
      </w:r>
      <w:r w:rsidRPr="00CA0D5B">
        <w:rPr>
          <w:rFonts w:ascii="Times New Roman" w:hAnsi="Times New Roman" w:cs="Times New Roman"/>
        </w:rPr>
        <w:t xml:space="preserve"> rule changes published in the </w:t>
      </w:r>
      <w:r w:rsidRPr="00D204F0">
        <w:rPr>
          <w:rFonts w:ascii="Times New Roman" w:hAnsi="Times New Roman" w:cs="Times New Roman"/>
          <w:i/>
          <w:iCs/>
        </w:rPr>
        <w:t>Order</w:t>
      </w:r>
      <w:r w:rsidRPr="00CA0D5B">
        <w:rPr>
          <w:rFonts w:ascii="Times New Roman" w:hAnsi="Times New Roman" w:cs="Times New Roman"/>
        </w:rPr>
        <w:t>, including changes to 47 CFR</w:t>
      </w:r>
      <w:r>
        <w:rPr>
          <w:rFonts w:ascii="Times New Roman" w:hAnsi="Times New Roman" w:cs="Times New Roman"/>
        </w:rPr>
        <w:t xml:space="preserve"> </w:t>
      </w:r>
      <w:r w:rsidRPr="000350AD">
        <w:rPr>
          <w:rFonts w:ascii="Times New Roman" w:eastAsia="Times New Roman" w:hAnsi="Times New Roman" w:cs="Times New Roman"/>
        </w:rPr>
        <w:t>§</w:t>
      </w:r>
      <w:r w:rsidRPr="00CA0D5B">
        <w:rPr>
          <w:rFonts w:ascii="Times New Roman" w:hAnsi="Times New Roman" w:cs="Times New Roman"/>
        </w:rPr>
        <w:t xml:space="preserve"> 1.1310 and conforming edits to 47 CFR</w:t>
      </w:r>
      <w:r>
        <w:rPr>
          <w:rFonts w:ascii="Times New Roman" w:hAnsi="Times New Roman" w:cs="Times New Roman"/>
        </w:rPr>
        <w:t xml:space="preserve"> </w:t>
      </w:r>
      <w:r w:rsidRPr="000350AD">
        <w:rPr>
          <w:rFonts w:ascii="Times New Roman" w:eastAsia="Times New Roman" w:hAnsi="Times New Roman" w:cs="Times New Roman"/>
        </w:rPr>
        <w:t>§§</w:t>
      </w:r>
      <w:r w:rsidRPr="00CA0D5B">
        <w:rPr>
          <w:rFonts w:ascii="Times New Roman" w:hAnsi="Times New Roman" w:cs="Times New Roman"/>
        </w:rPr>
        <w:t xml:space="preserve"> 1.4000</w:t>
      </w:r>
      <w:r>
        <w:rPr>
          <w:rFonts w:ascii="Times New Roman" w:hAnsi="Times New Roman" w:cs="Times New Roman"/>
        </w:rPr>
        <w:t xml:space="preserve"> and</w:t>
      </w:r>
      <w:r w:rsidRPr="00CA0D5B">
        <w:rPr>
          <w:rFonts w:ascii="Times New Roman" w:hAnsi="Times New Roman" w:cs="Times New Roman"/>
        </w:rPr>
        <w:t xml:space="preserve"> 2.1033, and Parts 15, 18, 22, 24, 25, 27, 73, 90, 95, 97, 101, went into effect on June 1, 2020.</w:t>
      </w:r>
    </w:p>
  </w:footnote>
  <w:footnote w:id="5">
    <w:p w:rsidR="00D204F0" w:rsidRPr="00D204F0" w:rsidP="00D204F0" w14:paraId="21D7F2C4" w14:textId="219D0195">
      <w:pPr>
        <w:pStyle w:val="FootnoteText"/>
        <w:rPr>
          <w:rFonts w:ascii="Times New Roman" w:hAnsi="Times New Roman" w:cs="Times New Roman"/>
        </w:rPr>
      </w:pPr>
      <w:r>
        <w:rPr>
          <w:rStyle w:val="FootnoteReference"/>
        </w:rPr>
        <w:footnoteRef/>
      </w:r>
      <w:r>
        <w:t xml:space="preserve"> </w:t>
      </w:r>
      <w:r w:rsidRPr="004D1997">
        <w:rPr>
          <w:rFonts w:ascii="Times New Roman" w:hAnsi="Times New Roman" w:cs="Times New Roman"/>
          <w:i/>
          <w:iCs/>
        </w:rPr>
        <w:t>Office of Engineering and Technology Announces May 3, 2021 as the Effective Date for RF Exposure Rule Changes and Beginning of the Two-Year Review Period for Existing Parties</w:t>
      </w:r>
      <w:r>
        <w:rPr>
          <w:rFonts w:ascii="Times New Roman" w:hAnsi="Times New Roman" w:cs="Times New Roman"/>
        </w:rPr>
        <w:t>, Public Notice DA 21-363, Released April 2,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6062" w:rsidRPr="00EF0AF7" w:rsidP="00A21BAF" w14:paraId="5A98BEED" w14:textId="77777777">
    <w:pPr>
      <w:pStyle w:val="Header"/>
      <w:tabs>
        <w:tab w:val="left" w:pos="2340"/>
      </w:tabs>
      <w:spacing w:before="360" w:line="228" w:lineRule="auto"/>
      <w:ind w:firstLine="2160"/>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position:absolute;visibility:visible;z-index:-251658240" o:oleicon="f" o:allowincell="f" wrapcoords="-251 0 -251 21349 21600 21349 21600 0 -251 0" filled="t" fillcolor="#3cc">
          <v:imagedata r:id="rId1" o:title="" gain="69719f"/>
          <w10:wrap type="through"/>
        </v:shape>
        <o:OLEObject Type="Embed" ProgID="Word.Picture.8" ShapeID="_x0000_s2049" DrawAspect="Content" ObjectID="_1682508462" r:id="rId2"/>
      </w:pict>
    </w:r>
    <w:r w:rsidRPr="00EF0AF7">
      <w:rPr>
        <w:rFonts w:ascii="CG Times (W1)" w:hAnsi="CG Times (W1)"/>
        <w:sz w:val="28"/>
      </w:rPr>
      <w:t>Federal Communications Commission</w:t>
    </w:r>
  </w:p>
  <w:p w:rsidR="008B6062" w:rsidRPr="00EF0AF7" w:rsidP="00A21BAF" w14:paraId="30E1673C" w14:textId="77777777">
    <w:pPr>
      <w:tabs>
        <w:tab w:val="left" w:pos="3420"/>
        <w:tab w:val="left" w:pos="3600"/>
      </w:tabs>
      <w:rPr>
        <w:rFonts w:ascii="CG Times (W1)" w:hAnsi="CG Times (W1)"/>
        <w:sz w:val="28"/>
      </w:rPr>
    </w:pPr>
    <w:r>
      <w:rPr>
        <w:rFonts w:ascii="CG Times (W1)" w:hAnsi="CG Times (W1)"/>
        <w:sz w:val="28"/>
      </w:rPr>
      <w:tab/>
    </w:r>
    <w:r>
      <w:rPr>
        <w:rFonts w:ascii="CG Times (W1)" w:hAnsi="CG Times (W1)"/>
        <w:sz w:val="28"/>
      </w:rPr>
      <w:tab/>
    </w:r>
    <w:r w:rsidRPr="00EF0AF7">
      <w:rPr>
        <w:rFonts w:ascii="CG Times (W1)" w:hAnsi="CG Times (W1)"/>
        <w:sz w:val="28"/>
      </w:rPr>
      <w:t>Washington, D.C. 20554</w:t>
    </w:r>
  </w:p>
  <w:p w:rsidR="008B6062" w:rsidRPr="007608D9" w:rsidP="00A21BAF" w14:paraId="52423A2B" w14:textId="4E0CFCC7">
    <w:pPr>
      <w:tabs>
        <w:tab w:val="left" w:pos="3780"/>
      </w:tabs>
      <w:rPr>
        <w:rFonts w:ascii="Times New Roman" w:hAnsi="Times New Roman" w:cs="Times New Roman"/>
        <w:sz w:val="24"/>
        <w:szCs w:val="24"/>
      </w:rPr>
    </w:pPr>
    <w:r w:rsidRPr="00EF0AF7">
      <w:rPr>
        <w:rFonts w:ascii="CG Times (W1)" w:hAnsi="CG Times (W1)"/>
        <w:sz w:val="24"/>
        <w:szCs w:val="24"/>
      </w:rPr>
      <w:tab/>
    </w:r>
    <w:r w:rsidRPr="00EF0AF7">
      <w:rPr>
        <w:rFonts w:ascii="CG Times (W1)" w:hAnsi="CG Times (W1)"/>
        <w:sz w:val="24"/>
        <w:szCs w:val="24"/>
      </w:rPr>
      <w:tab/>
    </w:r>
    <w:r w:rsidR="00D4707F">
      <w:rPr>
        <w:rFonts w:ascii="Times New Roman" w:hAnsi="Times New Roman" w:cs="Times New Roman"/>
        <w:sz w:val="24"/>
        <w:szCs w:val="24"/>
      </w:rPr>
      <w:t>May</w:t>
    </w:r>
    <w:r w:rsidR="00DC2673">
      <w:rPr>
        <w:rFonts w:ascii="Times New Roman" w:hAnsi="Times New Roman" w:cs="Times New Roman"/>
        <w:sz w:val="24"/>
        <w:szCs w:val="24"/>
      </w:rPr>
      <w:t xml:space="preserve"> </w:t>
    </w:r>
    <w:r w:rsidR="00FE1750">
      <w:rPr>
        <w:rFonts w:ascii="Times New Roman" w:hAnsi="Times New Roman" w:cs="Times New Roman"/>
        <w:sz w:val="24"/>
        <w:szCs w:val="24"/>
      </w:rPr>
      <w:t>14</w:t>
    </w:r>
    <w:r>
      <w:rPr>
        <w:rFonts w:ascii="Times New Roman" w:hAnsi="Times New Roman" w:cs="Times New Roman"/>
        <w:sz w:val="24"/>
        <w:szCs w:val="24"/>
      </w:rPr>
      <w:t>, 202</w:t>
    </w:r>
    <w:r w:rsidR="00DC2673">
      <w:rPr>
        <w:rFonts w:ascii="Times New Roman" w:hAnsi="Times New Roman" w:cs="Times New Roman"/>
        <w:sz w:val="24"/>
        <w:szCs w:val="24"/>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6062" w14:paraId="3C173AC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0032C" w14:paraId="4296920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CB2E05"/>
    <w:multiLevelType w:val="hybridMultilevel"/>
    <w:tmpl w:val="957C6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B956CB"/>
    <w:multiLevelType w:val="hybridMultilevel"/>
    <w:tmpl w:val="217CEF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DC0A97"/>
    <w:multiLevelType w:val="hybridMultilevel"/>
    <w:tmpl w:val="2340CC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D620D52"/>
    <w:multiLevelType w:val="hybridMultilevel"/>
    <w:tmpl w:val="7A64D86C"/>
    <w:lvl w:ilvl="0">
      <w:start w:val="1"/>
      <w:numFmt w:val="decimal"/>
      <w:lvlText w:val="%1."/>
      <w:lvlJc w:val="left"/>
      <w:pPr>
        <w:ind w:left="1080" w:hanging="360"/>
      </w:pPr>
      <w:rPr>
        <w:rFonts w:hint="default"/>
        <w:b/>
      </w:rPr>
    </w:lvl>
    <w:lvl w:ilvl="1">
      <w:start w:val="1"/>
      <w:numFmt w:val="bullet"/>
      <w:lvlText w:val=""/>
      <w:lvlJc w:val="left"/>
      <w:pPr>
        <w:ind w:left="1800" w:hanging="360"/>
      </w:pPr>
      <w:rPr>
        <w:rFonts w:ascii="Symbol" w:hAnsi="Symbol" w:hint="default"/>
      </w:rPr>
    </w:lvl>
    <w:lvl w:ilvl="2">
      <w:start w:val="1"/>
      <w:numFmt w:val="bullet"/>
      <w:lvlText w:val="o"/>
      <w:lvlJc w:val="left"/>
      <w:pPr>
        <w:ind w:left="2520" w:hanging="180"/>
      </w:pPr>
      <w:rPr>
        <w:rFonts w:ascii="Courier New" w:hAnsi="Courier New" w:cs="Courier New" w:hint="default"/>
      </w:rPr>
    </w:lvl>
    <w:lvl w:ilvl="3">
      <w:start w:val="1"/>
      <w:numFmt w:val="bullet"/>
      <w:lvlText w:val=""/>
      <w:lvlJc w:val="left"/>
      <w:pPr>
        <w:ind w:left="3240" w:hanging="360"/>
      </w:pPr>
      <w:rPr>
        <w:rFonts w:ascii="Wingdings" w:hAnsi="Wingdings"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DD97854"/>
    <w:multiLevelType w:val="hybridMultilevel"/>
    <w:tmpl w:val="6A98BE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10A5E15"/>
    <w:multiLevelType w:val="hybridMultilevel"/>
    <w:tmpl w:val="4D60CD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o"/>
      <w:lvlJc w:val="left"/>
      <w:pPr>
        <w:ind w:left="2610" w:hanging="360"/>
      </w:pPr>
      <w:rPr>
        <w:rFonts w:ascii="Courier New" w:hAnsi="Courier New" w:cs="Courier New"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88B46FD"/>
    <w:multiLevelType w:val="hybridMultilevel"/>
    <w:tmpl w:val="6C265CCA"/>
    <w:lvl w:ilvl="0">
      <w:start w:val="1"/>
      <w:numFmt w:val="upperLetter"/>
      <w:pStyle w:val="Heading2"/>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2FA7F0E"/>
    <w:multiLevelType w:val="hybridMultilevel"/>
    <w:tmpl w:val="2E6A11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8421E2B"/>
    <w:multiLevelType w:val="hybridMultilevel"/>
    <w:tmpl w:val="338835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D497FFD"/>
    <w:multiLevelType w:val="hybridMultilevel"/>
    <w:tmpl w:val="A3FCAA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5554A53"/>
    <w:multiLevelType w:val="hybridMultilevel"/>
    <w:tmpl w:val="82206CDC"/>
    <w:lvl w:ilvl="0">
      <w:start w:val="1"/>
      <w:numFmt w:val="upperRoman"/>
      <w:lvlText w:val="%1."/>
      <w:lvlJc w:val="left"/>
      <w:pPr>
        <w:ind w:left="1080" w:hanging="720"/>
      </w:pPr>
      <w:rPr>
        <w:rFonts w:hint="default"/>
        <w:b/>
        <w:u w:val="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B8A4F26"/>
    <w:multiLevelType w:val="hybridMultilevel"/>
    <w:tmpl w:val="A08CBA50"/>
    <w:lvl w:ilvl="0">
      <w:start w:val="1"/>
      <w:numFmt w:val="upperLetter"/>
      <w:lvlText w:val="%1."/>
      <w:lvlJc w:val="left"/>
      <w:pPr>
        <w:ind w:left="810" w:hanging="360"/>
      </w:pPr>
      <w:rPr>
        <w:rFonts w:eastAsiaTheme="minorHAnsi" w:hint="default"/>
        <w:color w:val="auto"/>
        <w:u w:val="none"/>
      </w:rPr>
    </w:lvl>
    <w:lvl w:ilvl="1">
      <w:start w:val="1"/>
      <w:numFmt w:val="decimal"/>
      <w:lvlText w:val="%2."/>
      <w:lvlJc w:val="left"/>
      <w:pPr>
        <w:ind w:left="1530" w:hanging="360"/>
      </w:pPr>
      <w:rPr>
        <w:rFonts w:ascii="Times New Roman" w:hAnsi="Times New Roman" w:eastAsiaTheme="minorHAnsi" w:cs="Times New Roman"/>
      </w:r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2">
    <w:nsid w:val="3D7D2B90"/>
    <w:multiLevelType w:val="hybridMultilevel"/>
    <w:tmpl w:val="F776F3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53E11F7"/>
    <w:multiLevelType w:val="hybridMultilevel"/>
    <w:tmpl w:val="AB4CF1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4704310A"/>
    <w:multiLevelType w:val="hybridMultilevel"/>
    <w:tmpl w:val="191495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8385AC0"/>
    <w:multiLevelType w:val="hybridMultilevel"/>
    <w:tmpl w:val="A090589A"/>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6">
    <w:nsid w:val="4AC703BD"/>
    <w:multiLevelType w:val="hybridMultilevel"/>
    <w:tmpl w:val="C660F554"/>
    <w:lvl w:ilvl="0">
      <w:start w:val="1"/>
      <w:numFmt w:val="upperRoman"/>
      <w:lvlText w:val="%1."/>
      <w:lvlJc w:val="left"/>
      <w:pPr>
        <w:ind w:left="720" w:hanging="765"/>
      </w:pPr>
      <w:rPr>
        <w:rFonts w:hint="default"/>
        <w:b/>
      </w:rPr>
    </w:lvl>
    <w:lvl w:ilvl="1" w:tentative="1">
      <w:start w:val="1"/>
      <w:numFmt w:val="lowerLetter"/>
      <w:lvlText w:val="%2."/>
      <w:lvlJc w:val="left"/>
      <w:pPr>
        <w:ind w:left="1035" w:hanging="360"/>
      </w:pPr>
    </w:lvl>
    <w:lvl w:ilvl="2" w:tentative="1">
      <w:start w:val="1"/>
      <w:numFmt w:val="lowerRoman"/>
      <w:lvlText w:val="%3."/>
      <w:lvlJc w:val="right"/>
      <w:pPr>
        <w:ind w:left="1755" w:hanging="180"/>
      </w:pPr>
    </w:lvl>
    <w:lvl w:ilvl="3" w:tentative="1">
      <w:start w:val="1"/>
      <w:numFmt w:val="decimal"/>
      <w:lvlText w:val="%4."/>
      <w:lvlJc w:val="left"/>
      <w:pPr>
        <w:ind w:left="2475" w:hanging="360"/>
      </w:pPr>
    </w:lvl>
    <w:lvl w:ilvl="4" w:tentative="1">
      <w:start w:val="1"/>
      <w:numFmt w:val="lowerLetter"/>
      <w:lvlText w:val="%5."/>
      <w:lvlJc w:val="left"/>
      <w:pPr>
        <w:ind w:left="3195" w:hanging="360"/>
      </w:pPr>
    </w:lvl>
    <w:lvl w:ilvl="5" w:tentative="1">
      <w:start w:val="1"/>
      <w:numFmt w:val="lowerRoman"/>
      <w:lvlText w:val="%6."/>
      <w:lvlJc w:val="right"/>
      <w:pPr>
        <w:ind w:left="3915" w:hanging="180"/>
      </w:pPr>
    </w:lvl>
    <w:lvl w:ilvl="6" w:tentative="1">
      <w:start w:val="1"/>
      <w:numFmt w:val="decimal"/>
      <w:lvlText w:val="%7."/>
      <w:lvlJc w:val="left"/>
      <w:pPr>
        <w:ind w:left="4635" w:hanging="360"/>
      </w:pPr>
    </w:lvl>
    <w:lvl w:ilvl="7" w:tentative="1">
      <w:start w:val="1"/>
      <w:numFmt w:val="lowerLetter"/>
      <w:lvlText w:val="%8."/>
      <w:lvlJc w:val="left"/>
      <w:pPr>
        <w:ind w:left="5355" w:hanging="360"/>
      </w:pPr>
    </w:lvl>
    <w:lvl w:ilvl="8" w:tentative="1">
      <w:start w:val="1"/>
      <w:numFmt w:val="lowerRoman"/>
      <w:lvlText w:val="%9."/>
      <w:lvlJc w:val="right"/>
      <w:pPr>
        <w:ind w:left="6075" w:hanging="180"/>
      </w:pPr>
    </w:lvl>
  </w:abstractNum>
  <w:abstractNum w:abstractNumId="17">
    <w:nsid w:val="4D2671B4"/>
    <w:multiLevelType w:val="hybridMultilevel"/>
    <w:tmpl w:val="B5984090"/>
    <w:lvl w:ilvl="0">
      <w:start w:val="1"/>
      <w:numFmt w:val="upperRoman"/>
      <w:pStyle w:val="Heading1"/>
      <w:lvlText w:val="%1."/>
      <w:lvlJc w:val="right"/>
      <w:pPr>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E81734E"/>
    <w:multiLevelType w:val="hybridMultilevel"/>
    <w:tmpl w:val="8A16D5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F9E1E65"/>
    <w:multiLevelType w:val="hybridMultilevel"/>
    <w:tmpl w:val="452E6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2FB373F"/>
    <w:multiLevelType w:val="hybridMultilevel"/>
    <w:tmpl w:val="010A5248"/>
    <w:lvl w:ilvl="0">
      <w:start w:val="1"/>
      <w:numFmt w:val="decimal"/>
      <w:pStyle w:val="Heading3"/>
      <w:lvlText w:val="%1."/>
      <w:lvlJc w:val="left"/>
      <w:pPr>
        <w:ind w:left="1080" w:hanging="360"/>
      </w:pPr>
      <w:rPr>
        <w:rFonts w:hint="default"/>
        <w:b/>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5BB62750"/>
    <w:multiLevelType w:val="hybridMultilevel"/>
    <w:tmpl w:val="A6C08D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3">
    <w:nsid w:val="61B94D5F"/>
    <w:multiLevelType w:val="multilevel"/>
    <w:tmpl w:val="816EB7AC"/>
    <w:lvl w:ilvl="0">
      <w:start w:val="1"/>
      <w:numFmt w:val="bullet"/>
      <w:lvlText w:val=""/>
      <w:lvlJc w:val="left"/>
      <w:pPr>
        <w:ind w:left="1080" w:hanging="360"/>
      </w:pPr>
      <w:rPr>
        <w:rFonts w:ascii="Symbol" w:hAnsi="Symbol" w:hint="default"/>
      </w:rPr>
    </w:lvl>
    <w:lvl w:ilvl="1">
      <w:start w:val="1"/>
      <w:numFmt w:val="upperLetter"/>
      <w:lvlText w:val="%2"/>
      <w:lvlJc w:val="left"/>
      <w:pPr>
        <w:ind w:left="1800" w:hanging="360"/>
      </w:pPr>
      <w:rPr>
        <w:rFonts w:hint="default"/>
      </w:rPr>
    </w:lvl>
    <w:lvl w:ilvl="2">
      <w:start w:val="1"/>
      <w:numFmt w:val="lowerRoman"/>
      <w:lvlText w:val="%3"/>
      <w:lvlJc w:val="left"/>
      <w:pPr>
        <w:ind w:left="2520" w:hanging="360"/>
      </w:pPr>
      <w:rPr>
        <w:rFonts w:hint="default"/>
      </w:rPr>
    </w:lvl>
    <w:lvl w:ilvl="3">
      <w:start w:val="1"/>
      <w:numFmt w:val="lowerLetter"/>
      <w:lvlText w:val="%4"/>
      <w:lvlJc w:val="left"/>
      <w:pPr>
        <w:ind w:left="3240" w:hanging="360"/>
      </w:pPr>
      <w:rPr>
        <w:rFonts w:hint="default"/>
      </w:rPr>
    </w:lvl>
    <w:lvl w:ilvl="4">
      <w:start w:val="1"/>
      <w:numFmt w:val="bullet"/>
      <w:lvlText w:val=""/>
      <w:lvlJc w:val="left"/>
      <w:pPr>
        <w:ind w:left="3960" w:hanging="360"/>
      </w:pPr>
      <w:rPr>
        <w:rFonts w:ascii="Symbol" w:hAnsi="Symbol" w:hint="default"/>
      </w:rPr>
    </w:lvl>
    <w:lvl w:ilvl="5">
      <w:start w:val="1"/>
      <w:numFmt w:val="bullet"/>
      <w:lvlText w:val="o"/>
      <w:lvlJc w:val="left"/>
      <w:pPr>
        <w:ind w:left="4680" w:hanging="360"/>
      </w:pPr>
      <w:rPr>
        <w:rFonts w:ascii="Courier New" w:hAnsi="Courier New" w:hint="default"/>
      </w:rPr>
    </w:lvl>
    <w:lvl w:ilvl="6">
      <w:start w:val="1"/>
      <w:numFmt w:val="bullet"/>
      <w:lvlText w:val=""/>
      <w:lvlJc w:val="left"/>
      <w:pPr>
        <w:ind w:left="5400" w:hanging="360"/>
      </w:pPr>
      <w:rPr>
        <w:rFonts w:ascii="Wingdings" w:hAnsi="Wingdings" w:hint="default"/>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Wingdings" w:hAnsi="Wingdings" w:hint="default"/>
      </w:rPr>
    </w:lvl>
  </w:abstractNum>
  <w:abstractNum w:abstractNumId="24">
    <w:nsid w:val="64BD7BC4"/>
    <w:multiLevelType w:val="hybridMultilevel"/>
    <w:tmpl w:val="786E7BC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A616AED"/>
    <w:multiLevelType w:val="hybridMultilevel"/>
    <w:tmpl w:val="8550EC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121513B"/>
    <w:multiLevelType w:val="hybridMultilevel"/>
    <w:tmpl w:val="CD889066"/>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7">
    <w:nsid w:val="73543700"/>
    <w:multiLevelType w:val="hybridMultilevel"/>
    <w:tmpl w:val="54BADC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84952F3"/>
    <w:multiLevelType w:val="hybridMultilevel"/>
    <w:tmpl w:val="E35E174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nsid w:val="79A9264E"/>
    <w:multiLevelType w:val="hybridMultilevel"/>
    <w:tmpl w:val="750A623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6"/>
  </w:num>
  <w:num w:numId="5">
    <w:abstractNumId w:val="20"/>
  </w:num>
  <w:num w:numId="6">
    <w:abstractNumId w:val="15"/>
  </w:num>
  <w:num w:numId="7">
    <w:abstractNumId w:val="3"/>
  </w:num>
  <w:num w:numId="8">
    <w:abstractNumId w:val="5"/>
  </w:num>
  <w:num w:numId="9">
    <w:abstractNumId w:val="22"/>
  </w:num>
  <w:num w:numId="10">
    <w:abstractNumId w:val="19"/>
  </w:num>
  <w:num w:numId="11">
    <w:abstractNumId w:val="8"/>
  </w:num>
  <w:num w:numId="12">
    <w:abstractNumId w:val="23"/>
  </w:num>
  <w:num w:numId="13">
    <w:abstractNumId w:val="11"/>
  </w:num>
  <w:num w:numId="14">
    <w:abstractNumId w:val="25"/>
  </w:num>
  <w:num w:numId="15">
    <w:abstractNumId w:val="21"/>
  </w:num>
  <w:num w:numId="16">
    <w:abstractNumId w:val="24"/>
  </w:num>
  <w:num w:numId="17">
    <w:abstractNumId w:val="28"/>
  </w:num>
  <w:num w:numId="18">
    <w:abstractNumId w:val="4"/>
  </w:num>
  <w:num w:numId="19">
    <w:abstractNumId w:val="1"/>
  </w:num>
  <w:num w:numId="20">
    <w:abstractNumId w:val="6"/>
  </w:num>
  <w:num w:numId="21">
    <w:abstractNumId w:val="6"/>
  </w:num>
  <w:num w:numId="22">
    <w:abstractNumId w:val="20"/>
  </w:num>
  <w:num w:numId="23">
    <w:abstractNumId w:val="20"/>
  </w:num>
  <w:num w:numId="24">
    <w:abstractNumId w:val="18"/>
  </w:num>
  <w:num w:numId="25">
    <w:abstractNumId w:val="9"/>
  </w:num>
  <w:num w:numId="26">
    <w:abstractNumId w:val="7"/>
  </w:num>
  <w:num w:numId="27">
    <w:abstractNumId w:val="26"/>
  </w:num>
  <w:num w:numId="28">
    <w:abstractNumId w:val="2"/>
  </w:num>
  <w:num w:numId="29">
    <w:abstractNumId w:val="0"/>
  </w:num>
  <w:num w:numId="30">
    <w:abstractNumId w:val="13"/>
  </w:num>
  <w:num w:numId="31">
    <w:abstractNumId w:val="27"/>
  </w:num>
  <w:num w:numId="32">
    <w:abstractNumId w:val="14"/>
  </w:num>
  <w:num w:numId="33">
    <w:abstractNumId w:val="22"/>
    <w:lvlOverride w:ilvl="0">
      <w:startOverride w:val="1"/>
    </w:lvlOverride>
  </w:num>
  <w:num w:numId="34">
    <w:abstractNumId w:val="29"/>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585"/>
    <w:rsid w:val="00000FC2"/>
    <w:rsid w:val="0000174B"/>
    <w:rsid w:val="00007FAA"/>
    <w:rsid w:val="0001069B"/>
    <w:rsid w:val="000134F1"/>
    <w:rsid w:val="00022581"/>
    <w:rsid w:val="000350AD"/>
    <w:rsid w:val="000456D7"/>
    <w:rsid w:val="00051BF7"/>
    <w:rsid w:val="00056216"/>
    <w:rsid w:val="00057FC3"/>
    <w:rsid w:val="00060DC1"/>
    <w:rsid w:val="00073AF0"/>
    <w:rsid w:val="00082622"/>
    <w:rsid w:val="00082791"/>
    <w:rsid w:val="00084E55"/>
    <w:rsid w:val="00085187"/>
    <w:rsid w:val="00087DD1"/>
    <w:rsid w:val="00090D0E"/>
    <w:rsid w:val="00091D49"/>
    <w:rsid w:val="00091D6B"/>
    <w:rsid w:val="0009594E"/>
    <w:rsid w:val="000A4C0E"/>
    <w:rsid w:val="000B4476"/>
    <w:rsid w:val="000C0562"/>
    <w:rsid w:val="000C6587"/>
    <w:rsid w:val="000C7889"/>
    <w:rsid w:val="000D3E82"/>
    <w:rsid w:val="000D4F72"/>
    <w:rsid w:val="000E0946"/>
    <w:rsid w:val="000E5172"/>
    <w:rsid w:val="000E598A"/>
    <w:rsid w:val="000E5C8D"/>
    <w:rsid w:val="000E634A"/>
    <w:rsid w:val="00100514"/>
    <w:rsid w:val="00107EDF"/>
    <w:rsid w:val="00114F1A"/>
    <w:rsid w:val="00117109"/>
    <w:rsid w:val="0011721C"/>
    <w:rsid w:val="00124DAD"/>
    <w:rsid w:val="001379B9"/>
    <w:rsid w:val="00141E55"/>
    <w:rsid w:val="00153ACB"/>
    <w:rsid w:val="001563B0"/>
    <w:rsid w:val="00156DD9"/>
    <w:rsid w:val="00160604"/>
    <w:rsid w:val="001726CB"/>
    <w:rsid w:val="0017724F"/>
    <w:rsid w:val="001A32A0"/>
    <w:rsid w:val="001A4206"/>
    <w:rsid w:val="001A4B04"/>
    <w:rsid w:val="001A74A5"/>
    <w:rsid w:val="001B6D15"/>
    <w:rsid w:val="001C4A7A"/>
    <w:rsid w:val="001C4E4E"/>
    <w:rsid w:val="001D0DCD"/>
    <w:rsid w:val="001D1DB1"/>
    <w:rsid w:val="001D5585"/>
    <w:rsid w:val="001E43CF"/>
    <w:rsid w:val="001E4D3A"/>
    <w:rsid w:val="001F529C"/>
    <w:rsid w:val="001F6DA7"/>
    <w:rsid w:val="00201A77"/>
    <w:rsid w:val="002132A2"/>
    <w:rsid w:val="002229C4"/>
    <w:rsid w:val="00223260"/>
    <w:rsid w:val="002254F6"/>
    <w:rsid w:val="002255E2"/>
    <w:rsid w:val="002258A8"/>
    <w:rsid w:val="00230B08"/>
    <w:rsid w:val="00237771"/>
    <w:rsid w:val="00250E4F"/>
    <w:rsid w:val="002574D5"/>
    <w:rsid w:val="00262E18"/>
    <w:rsid w:val="00271744"/>
    <w:rsid w:val="002735BD"/>
    <w:rsid w:val="00274AF0"/>
    <w:rsid w:val="0027592D"/>
    <w:rsid w:val="00277F88"/>
    <w:rsid w:val="002904B7"/>
    <w:rsid w:val="00291F81"/>
    <w:rsid w:val="002936B8"/>
    <w:rsid w:val="0029758B"/>
    <w:rsid w:val="00297A4C"/>
    <w:rsid w:val="002B4DF4"/>
    <w:rsid w:val="002B56A6"/>
    <w:rsid w:val="002C43D6"/>
    <w:rsid w:val="002C7690"/>
    <w:rsid w:val="002D5E93"/>
    <w:rsid w:val="002D789C"/>
    <w:rsid w:val="003018D4"/>
    <w:rsid w:val="00307100"/>
    <w:rsid w:val="003106AD"/>
    <w:rsid w:val="003144FF"/>
    <w:rsid w:val="003178AB"/>
    <w:rsid w:val="00323474"/>
    <w:rsid w:val="00327F92"/>
    <w:rsid w:val="00331BDE"/>
    <w:rsid w:val="0033248C"/>
    <w:rsid w:val="003341A0"/>
    <w:rsid w:val="003436D5"/>
    <w:rsid w:val="00357A02"/>
    <w:rsid w:val="00370D55"/>
    <w:rsid w:val="00397C3D"/>
    <w:rsid w:val="003A0710"/>
    <w:rsid w:val="003A637D"/>
    <w:rsid w:val="003D227E"/>
    <w:rsid w:val="003D4606"/>
    <w:rsid w:val="003E000C"/>
    <w:rsid w:val="003E54EA"/>
    <w:rsid w:val="003F3F80"/>
    <w:rsid w:val="003F44F3"/>
    <w:rsid w:val="003F5E11"/>
    <w:rsid w:val="00403067"/>
    <w:rsid w:val="004046B2"/>
    <w:rsid w:val="00405210"/>
    <w:rsid w:val="00405D53"/>
    <w:rsid w:val="004239D4"/>
    <w:rsid w:val="004359DC"/>
    <w:rsid w:val="004417A0"/>
    <w:rsid w:val="0044757B"/>
    <w:rsid w:val="004670F0"/>
    <w:rsid w:val="004708F2"/>
    <w:rsid w:val="004746D1"/>
    <w:rsid w:val="00483D62"/>
    <w:rsid w:val="004930CD"/>
    <w:rsid w:val="0049320D"/>
    <w:rsid w:val="00496422"/>
    <w:rsid w:val="004A4DAE"/>
    <w:rsid w:val="004A4E6F"/>
    <w:rsid w:val="004A5D6B"/>
    <w:rsid w:val="004B1934"/>
    <w:rsid w:val="004B2223"/>
    <w:rsid w:val="004B61BA"/>
    <w:rsid w:val="004C5F53"/>
    <w:rsid w:val="004D0181"/>
    <w:rsid w:val="004D1997"/>
    <w:rsid w:val="004D19FD"/>
    <w:rsid w:val="004D6166"/>
    <w:rsid w:val="004D6789"/>
    <w:rsid w:val="004E3CAA"/>
    <w:rsid w:val="004F165A"/>
    <w:rsid w:val="004F6E8C"/>
    <w:rsid w:val="004F72B8"/>
    <w:rsid w:val="005040DE"/>
    <w:rsid w:val="00511023"/>
    <w:rsid w:val="00520AE8"/>
    <w:rsid w:val="005413CE"/>
    <w:rsid w:val="00543C21"/>
    <w:rsid w:val="00545080"/>
    <w:rsid w:val="00545380"/>
    <w:rsid w:val="005466A3"/>
    <w:rsid w:val="00561AE9"/>
    <w:rsid w:val="00562166"/>
    <w:rsid w:val="00580B2D"/>
    <w:rsid w:val="00582B20"/>
    <w:rsid w:val="00585BCE"/>
    <w:rsid w:val="00590C90"/>
    <w:rsid w:val="00594D81"/>
    <w:rsid w:val="0059707E"/>
    <w:rsid w:val="0059789C"/>
    <w:rsid w:val="005A7DCC"/>
    <w:rsid w:val="005B6EFE"/>
    <w:rsid w:val="005C0469"/>
    <w:rsid w:val="005C16B1"/>
    <w:rsid w:val="005C1AAA"/>
    <w:rsid w:val="005D1CB7"/>
    <w:rsid w:val="005D6085"/>
    <w:rsid w:val="005E337A"/>
    <w:rsid w:val="00603FE5"/>
    <w:rsid w:val="00605AD6"/>
    <w:rsid w:val="006146C6"/>
    <w:rsid w:val="00616C4E"/>
    <w:rsid w:val="00622137"/>
    <w:rsid w:val="0062683B"/>
    <w:rsid w:val="00627C43"/>
    <w:rsid w:val="00637136"/>
    <w:rsid w:val="00641934"/>
    <w:rsid w:val="00645768"/>
    <w:rsid w:val="00654FB4"/>
    <w:rsid w:val="006673F1"/>
    <w:rsid w:val="006678D7"/>
    <w:rsid w:val="00672D8B"/>
    <w:rsid w:val="006773B6"/>
    <w:rsid w:val="00693656"/>
    <w:rsid w:val="006A187D"/>
    <w:rsid w:val="006A1D46"/>
    <w:rsid w:val="006A4800"/>
    <w:rsid w:val="006C0181"/>
    <w:rsid w:val="006D6486"/>
    <w:rsid w:val="006D7BDA"/>
    <w:rsid w:val="006E2C99"/>
    <w:rsid w:val="006F13CA"/>
    <w:rsid w:val="006F6B60"/>
    <w:rsid w:val="0070618A"/>
    <w:rsid w:val="00706486"/>
    <w:rsid w:val="0071134A"/>
    <w:rsid w:val="00714115"/>
    <w:rsid w:val="00714459"/>
    <w:rsid w:val="00717924"/>
    <w:rsid w:val="00724227"/>
    <w:rsid w:val="00732DF6"/>
    <w:rsid w:val="00735379"/>
    <w:rsid w:val="00744F1E"/>
    <w:rsid w:val="00745DC5"/>
    <w:rsid w:val="007539F3"/>
    <w:rsid w:val="00760072"/>
    <w:rsid w:val="007608D9"/>
    <w:rsid w:val="007741A4"/>
    <w:rsid w:val="0077621D"/>
    <w:rsid w:val="00776D56"/>
    <w:rsid w:val="00777AA2"/>
    <w:rsid w:val="00786F95"/>
    <w:rsid w:val="00787BAF"/>
    <w:rsid w:val="007926C8"/>
    <w:rsid w:val="007A0213"/>
    <w:rsid w:val="007B7E53"/>
    <w:rsid w:val="007C1C5A"/>
    <w:rsid w:val="007C2137"/>
    <w:rsid w:val="007C4DD1"/>
    <w:rsid w:val="007C52B8"/>
    <w:rsid w:val="007D5F51"/>
    <w:rsid w:val="007E0662"/>
    <w:rsid w:val="007F2B43"/>
    <w:rsid w:val="007F54D8"/>
    <w:rsid w:val="007F74A2"/>
    <w:rsid w:val="0080650A"/>
    <w:rsid w:val="00807890"/>
    <w:rsid w:val="00812DA2"/>
    <w:rsid w:val="00814AD0"/>
    <w:rsid w:val="00814BA0"/>
    <w:rsid w:val="00823110"/>
    <w:rsid w:val="00840276"/>
    <w:rsid w:val="00841364"/>
    <w:rsid w:val="00845A1A"/>
    <w:rsid w:val="00852418"/>
    <w:rsid w:val="00854DA3"/>
    <w:rsid w:val="008563C3"/>
    <w:rsid w:val="00857843"/>
    <w:rsid w:val="00871128"/>
    <w:rsid w:val="008729AB"/>
    <w:rsid w:val="00873EBB"/>
    <w:rsid w:val="008747A4"/>
    <w:rsid w:val="0087538D"/>
    <w:rsid w:val="0089766D"/>
    <w:rsid w:val="008A202D"/>
    <w:rsid w:val="008A6381"/>
    <w:rsid w:val="008B0154"/>
    <w:rsid w:val="008B6062"/>
    <w:rsid w:val="008C1538"/>
    <w:rsid w:val="008C1C45"/>
    <w:rsid w:val="008C627B"/>
    <w:rsid w:val="008D25F7"/>
    <w:rsid w:val="008E0609"/>
    <w:rsid w:val="008E1A8C"/>
    <w:rsid w:val="008F01C6"/>
    <w:rsid w:val="008F2E3C"/>
    <w:rsid w:val="008F782A"/>
    <w:rsid w:val="0090035F"/>
    <w:rsid w:val="00910FE5"/>
    <w:rsid w:val="00931400"/>
    <w:rsid w:val="0093392E"/>
    <w:rsid w:val="00935BE4"/>
    <w:rsid w:val="00940B72"/>
    <w:rsid w:val="0094499E"/>
    <w:rsid w:val="0094783D"/>
    <w:rsid w:val="009561EB"/>
    <w:rsid w:val="00962D97"/>
    <w:rsid w:val="00967191"/>
    <w:rsid w:val="00967615"/>
    <w:rsid w:val="0097371A"/>
    <w:rsid w:val="009752AF"/>
    <w:rsid w:val="00995638"/>
    <w:rsid w:val="009A2144"/>
    <w:rsid w:val="009A64DC"/>
    <w:rsid w:val="009B1E11"/>
    <w:rsid w:val="009B21D0"/>
    <w:rsid w:val="009C1F52"/>
    <w:rsid w:val="009C4EA5"/>
    <w:rsid w:val="009C6756"/>
    <w:rsid w:val="009C7525"/>
    <w:rsid w:val="009D2B92"/>
    <w:rsid w:val="009D499E"/>
    <w:rsid w:val="009D665B"/>
    <w:rsid w:val="009F086B"/>
    <w:rsid w:val="009F33A9"/>
    <w:rsid w:val="009F7BFB"/>
    <w:rsid w:val="00A02904"/>
    <w:rsid w:val="00A071DD"/>
    <w:rsid w:val="00A143FD"/>
    <w:rsid w:val="00A21BAF"/>
    <w:rsid w:val="00A22B3E"/>
    <w:rsid w:val="00A260E2"/>
    <w:rsid w:val="00A31D31"/>
    <w:rsid w:val="00A358FB"/>
    <w:rsid w:val="00A41036"/>
    <w:rsid w:val="00A51920"/>
    <w:rsid w:val="00A523AE"/>
    <w:rsid w:val="00A525FE"/>
    <w:rsid w:val="00A62360"/>
    <w:rsid w:val="00A6490E"/>
    <w:rsid w:val="00A66166"/>
    <w:rsid w:val="00A760A6"/>
    <w:rsid w:val="00A9437D"/>
    <w:rsid w:val="00AA1BE6"/>
    <w:rsid w:val="00AA2B7F"/>
    <w:rsid w:val="00AA4636"/>
    <w:rsid w:val="00AB6583"/>
    <w:rsid w:val="00AB6DF2"/>
    <w:rsid w:val="00AC104C"/>
    <w:rsid w:val="00AC298C"/>
    <w:rsid w:val="00AE1764"/>
    <w:rsid w:val="00AE299E"/>
    <w:rsid w:val="00AE31E6"/>
    <w:rsid w:val="00AE452D"/>
    <w:rsid w:val="00AE78E5"/>
    <w:rsid w:val="00AF70E3"/>
    <w:rsid w:val="00B037F2"/>
    <w:rsid w:val="00B11B82"/>
    <w:rsid w:val="00B14450"/>
    <w:rsid w:val="00B16481"/>
    <w:rsid w:val="00B26891"/>
    <w:rsid w:val="00B30246"/>
    <w:rsid w:val="00B3341A"/>
    <w:rsid w:val="00B42171"/>
    <w:rsid w:val="00B63E91"/>
    <w:rsid w:val="00B74761"/>
    <w:rsid w:val="00B756FB"/>
    <w:rsid w:val="00B92B70"/>
    <w:rsid w:val="00B93E6A"/>
    <w:rsid w:val="00BA194F"/>
    <w:rsid w:val="00BA3DAB"/>
    <w:rsid w:val="00BB04FE"/>
    <w:rsid w:val="00BB6F5F"/>
    <w:rsid w:val="00BD6280"/>
    <w:rsid w:val="00BD7B1A"/>
    <w:rsid w:val="00BE3165"/>
    <w:rsid w:val="00BE3E28"/>
    <w:rsid w:val="00BE5ACF"/>
    <w:rsid w:val="00BE73E9"/>
    <w:rsid w:val="00C017E3"/>
    <w:rsid w:val="00C02A62"/>
    <w:rsid w:val="00C0416E"/>
    <w:rsid w:val="00C125BE"/>
    <w:rsid w:val="00C13412"/>
    <w:rsid w:val="00C437F7"/>
    <w:rsid w:val="00C501BD"/>
    <w:rsid w:val="00C61250"/>
    <w:rsid w:val="00C731F2"/>
    <w:rsid w:val="00C75F82"/>
    <w:rsid w:val="00C7740B"/>
    <w:rsid w:val="00C77D2F"/>
    <w:rsid w:val="00C8007D"/>
    <w:rsid w:val="00C80AB4"/>
    <w:rsid w:val="00C85CAD"/>
    <w:rsid w:val="00C86836"/>
    <w:rsid w:val="00C9452C"/>
    <w:rsid w:val="00C95490"/>
    <w:rsid w:val="00CA0D5B"/>
    <w:rsid w:val="00CB6685"/>
    <w:rsid w:val="00CB75E7"/>
    <w:rsid w:val="00CD3DA2"/>
    <w:rsid w:val="00CD62C4"/>
    <w:rsid w:val="00CF15D6"/>
    <w:rsid w:val="00CF705E"/>
    <w:rsid w:val="00D02BDF"/>
    <w:rsid w:val="00D07D87"/>
    <w:rsid w:val="00D11200"/>
    <w:rsid w:val="00D1568A"/>
    <w:rsid w:val="00D204F0"/>
    <w:rsid w:val="00D22F32"/>
    <w:rsid w:val="00D303DE"/>
    <w:rsid w:val="00D32EF3"/>
    <w:rsid w:val="00D33087"/>
    <w:rsid w:val="00D37AE5"/>
    <w:rsid w:val="00D403F9"/>
    <w:rsid w:val="00D4707F"/>
    <w:rsid w:val="00D62F9F"/>
    <w:rsid w:val="00D67A33"/>
    <w:rsid w:val="00D706FC"/>
    <w:rsid w:val="00D731FE"/>
    <w:rsid w:val="00D8042B"/>
    <w:rsid w:val="00D92735"/>
    <w:rsid w:val="00D927AC"/>
    <w:rsid w:val="00D92CF7"/>
    <w:rsid w:val="00DA4D32"/>
    <w:rsid w:val="00DA4F18"/>
    <w:rsid w:val="00DA5BAB"/>
    <w:rsid w:val="00DA7770"/>
    <w:rsid w:val="00DB16AA"/>
    <w:rsid w:val="00DB54F0"/>
    <w:rsid w:val="00DC0F96"/>
    <w:rsid w:val="00DC2673"/>
    <w:rsid w:val="00DC419A"/>
    <w:rsid w:val="00DE0B36"/>
    <w:rsid w:val="00DE237C"/>
    <w:rsid w:val="00DF4EAA"/>
    <w:rsid w:val="00E0032C"/>
    <w:rsid w:val="00E3184B"/>
    <w:rsid w:val="00E3416B"/>
    <w:rsid w:val="00E46283"/>
    <w:rsid w:val="00E5426F"/>
    <w:rsid w:val="00E57BA9"/>
    <w:rsid w:val="00E57FF2"/>
    <w:rsid w:val="00E618DB"/>
    <w:rsid w:val="00E64B02"/>
    <w:rsid w:val="00E67B83"/>
    <w:rsid w:val="00E7149A"/>
    <w:rsid w:val="00E906BA"/>
    <w:rsid w:val="00EB01F5"/>
    <w:rsid w:val="00EB242E"/>
    <w:rsid w:val="00EB5756"/>
    <w:rsid w:val="00EC1C20"/>
    <w:rsid w:val="00EC368F"/>
    <w:rsid w:val="00EC4902"/>
    <w:rsid w:val="00ED1FA2"/>
    <w:rsid w:val="00ED5E05"/>
    <w:rsid w:val="00EE6E55"/>
    <w:rsid w:val="00EF0AF7"/>
    <w:rsid w:val="00F145B0"/>
    <w:rsid w:val="00F209B7"/>
    <w:rsid w:val="00F24D92"/>
    <w:rsid w:val="00F265C9"/>
    <w:rsid w:val="00F30CD3"/>
    <w:rsid w:val="00F509C5"/>
    <w:rsid w:val="00F679C6"/>
    <w:rsid w:val="00F75F63"/>
    <w:rsid w:val="00F84D23"/>
    <w:rsid w:val="00F937EB"/>
    <w:rsid w:val="00F94A10"/>
    <w:rsid w:val="00F94BBC"/>
    <w:rsid w:val="00FA2186"/>
    <w:rsid w:val="00FA4075"/>
    <w:rsid w:val="00FB40F6"/>
    <w:rsid w:val="00FB4EC8"/>
    <w:rsid w:val="00FB5A56"/>
    <w:rsid w:val="00FC6701"/>
    <w:rsid w:val="00FD0A0A"/>
    <w:rsid w:val="00FD1FE6"/>
    <w:rsid w:val="00FD4775"/>
    <w:rsid w:val="00FD70F5"/>
    <w:rsid w:val="00FE0FB6"/>
    <w:rsid w:val="00FE1750"/>
    <w:rsid w:val="00FF0B6F"/>
    <w:rsid w:val="00FF378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E8A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D6B"/>
  </w:style>
  <w:style w:type="paragraph" w:styleId="Heading1">
    <w:name w:val="heading 1"/>
    <w:basedOn w:val="ListParagraph"/>
    <w:next w:val="Normal"/>
    <w:link w:val="Heading1Char"/>
    <w:uiPriority w:val="9"/>
    <w:qFormat/>
    <w:rsid w:val="00E0032C"/>
    <w:pPr>
      <w:keepNext/>
      <w:numPr>
        <w:numId w:val="35"/>
      </w:numPr>
      <w:tabs>
        <w:tab w:val="left" w:pos="720"/>
      </w:tabs>
      <w:spacing w:before="240" w:after="240"/>
      <w:ind w:hanging="360"/>
      <w:outlineLvl w:val="0"/>
    </w:pPr>
    <w:rPr>
      <w:rFonts w:ascii="Times New Roman" w:hAnsi="Times New Roman" w:cs="Times New Roman"/>
      <w:b/>
    </w:rPr>
  </w:style>
  <w:style w:type="paragraph" w:styleId="Heading2">
    <w:name w:val="heading 2"/>
    <w:basedOn w:val="ListParagraph"/>
    <w:next w:val="Normal"/>
    <w:link w:val="Heading2Char"/>
    <w:uiPriority w:val="9"/>
    <w:unhideWhenUsed/>
    <w:qFormat/>
    <w:rsid w:val="00E0032C"/>
    <w:pPr>
      <w:keepNext/>
      <w:numPr>
        <w:numId w:val="4"/>
      </w:numPr>
      <w:spacing w:before="240" w:after="240"/>
      <w:outlineLvl w:val="1"/>
    </w:pPr>
    <w:rPr>
      <w:rFonts w:ascii="Times New Roman" w:hAnsi="Times New Roman" w:cs="Times New Roman"/>
      <w:b/>
    </w:rPr>
  </w:style>
  <w:style w:type="paragraph" w:styleId="Heading3">
    <w:name w:val="heading 3"/>
    <w:basedOn w:val="ListParagraph"/>
    <w:next w:val="Normal"/>
    <w:link w:val="Heading3Char"/>
    <w:uiPriority w:val="9"/>
    <w:unhideWhenUsed/>
    <w:qFormat/>
    <w:rsid w:val="006473FA"/>
    <w:pPr>
      <w:numPr>
        <w:numId w:val="5"/>
      </w:numPr>
      <w:outlineLvl w:val="2"/>
    </w:pPr>
    <w:rPr>
      <w:rFonts w:ascii="Times New Roman" w:hAnsi="Times New Roman" w:cs="Times New Roman"/>
      <w:b/>
    </w:rPr>
  </w:style>
  <w:style w:type="paragraph" w:styleId="Heading4">
    <w:name w:val="heading 4"/>
    <w:basedOn w:val="Normal"/>
    <w:next w:val="Normal"/>
    <w:link w:val="Heading4Char"/>
    <w:uiPriority w:val="9"/>
    <w:semiHidden/>
    <w:unhideWhenUsed/>
    <w:qFormat/>
    <w:rsid w:val="00201A7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D6B"/>
  </w:style>
  <w:style w:type="paragraph" w:styleId="Footer">
    <w:name w:val="footer"/>
    <w:basedOn w:val="Normal"/>
    <w:link w:val="FooterChar"/>
    <w:uiPriority w:val="99"/>
    <w:unhideWhenUsed/>
    <w:rsid w:val="004A5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D6B"/>
  </w:style>
  <w:style w:type="character" w:customStyle="1" w:styleId="Heading1Char">
    <w:name w:val="Heading 1 Char"/>
    <w:basedOn w:val="DefaultParagraphFont"/>
    <w:link w:val="Heading1"/>
    <w:uiPriority w:val="9"/>
    <w:rsid w:val="00E0032C"/>
    <w:rPr>
      <w:rFonts w:ascii="Times New Roman" w:hAnsi="Times New Roman" w:cs="Times New Roman"/>
      <w:b/>
    </w:rPr>
  </w:style>
  <w:style w:type="paragraph" w:styleId="TOCHeading">
    <w:name w:val="TOC Heading"/>
    <w:basedOn w:val="Heading1"/>
    <w:next w:val="Normal"/>
    <w:uiPriority w:val="39"/>
    <w:unhideWhenUsed/>
    <w:qFormat/>
    <w:rsid w:val="007C4DD1"/>
    <w:pPr>
      <w:numPr>
        <w:numId w:val="0"/>
      </w:numPr>
      <w:jc w:val="center"/>
      <w:outlineLvl w:val="9"/>
    </w:pPr>
    <w:rPr>
      <w:rFonts w:ascii="Times New Roman Bold" w:hAnsi="Times New Roman Bold"/>
      <w:caps/>
    </w:rPr>
  </w:style>
  <w:style w:type="paragraph" w:styleId="TOC1">
    <w:name w:val="toc 1"/>
    <w:basedOn w:val="Normal"/>
    <w:next w:val="Normal"/>
    <w:autoRedefine/>
    <w:uiPriority w:val="39"/>
    <w:unhideWhenUsed/>
    <w:rsid w:val="00E0032C"/>
    <w:pPr>
      <w:tabs>
        <w:tab w:val="left" w:pos="720"/>
        <w:tab w:val="right" w:leader="dot" w:pos="9350"/>
      </w:tabs>
      <w:spacing w:line="240" w:lineRule="auto"/>
    </w:pPr>
    <w:rPr>
      <w:rFonts w:ascii="Times New Roman" w:hAnsi="Times New Roman" w:eastAsiaTheme="minorEastAsia" w:cs="Times New Roman"/>
      <w:b/>
      <w:noProof/>
    </w:rPr>
  </w:style>
  <w:style w:type="paragraph" w:styleId="ListParagraph">
    <w:name w:val="List Paragraph"/>
    <w:basedOn w:val="Normal"/>
    <w:uiPriority w:val="34"/>
    <w:qFormat/>
    <w:rsid w:val="004A5D6B"/>
    <w:pPr>
      <w:ind w:left="720"/>
      <w:contextualSpacing/>
    </w:pPr>
  </w:style>
  <w:style w:type="character" w:styleId="Hyperlink">
    <w:name w:val="Hyperlink"/>
    <w:basedOn w:val="DefaultParagraphFont"/>
    <w:uiPriority w:val="99"/>
    <w:unhideWhenUsed/>
    <w:rsid w:val="004A5D6B"/>
    <w:rPr>
      <w:color w:val="0563C1" w:themeColor="hyperlink"/>
      <w:u w:val="single"/>
    </w:rPr>
  </w:style>
  <w:style w:type="paragraph" w:styleId="FootnoteText">
    <w:name w:val="footnote text"/>
    <w:aliases w:val="ALTS FOOTNOT,ALTS FOOTNOTE,Footnote Text Char Char Char Char,Footnote Text Char1,Footnote Text Char1 Char Char,Footnote Text Char1 Char Char Char Char Char Char,Footnote Text Char1 Char2 Char Char Char,Footnote Text Char2 Char,Styl,f,fn"/>
    <w:basedOn w:val="Normal"/>
    <w:link w:val="FootnoteTextChar"/>
    <w:unhideWhenUsed/>
    <w:qFormat/>
    <w:rsid w:val="00DD43D2"/>
    <w:pPr>
      <w:spacing w:after="0" w:line="240" w:lineRule="auto"/>
    </w:pPr>
    <w:rPr>
      <w:sz w:val="20"/>
      <w:szCs w:val="20"/>
    </w:rPr>
  </w:style>
  <w:style w:type="character" w:customStyle="1" w:styleId="FootnoteTextChar">
    <w:name w:val="Footnote Text Char"/>
    <w:aliases w:val="ALTS FOOTNOT Char,ALTS FOOTNOTE Char,Footnote Text Char Char Char Char Char,Footnote Text Char1 Char,Footnote Text Char1 Char Char Char,Footnote Text Char1 Char Char Char Char Char Char Char,Footnote Text Char2 Char Char,Styl Char"/>
    <w:basedOn w:val="DefaultParagraphFont"/>
    <w:link w:val="FootnoteText"/>
    <w:rsid w:val="00DD43D2"/>
    <w:rPr>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basedOn w:val="DefaultParagraphFont"/>
    <w:unhideWhenUsed/>
    <w:rsid w:val="00DD43D2"/>
    <w:rPr>
      <w:vertAlign w:val="superscript"/>
    </w:rPr>
  </w:style>
  <w:style w:type="character" w:customStyle="1" w:styleId="Heading2Char">
    <w:name w:val="Heading 2 Char"/>
    <w:basedOn w:val="DefaultParagraphFont"/>
    <w:link w:val="Heading2"/>
    <w:uiPriority w:val="9"/>
    <w:rsid w:val="00E0032C"/>
    <w:rPr>
      <w:rFonts w:ascii="Times New Roman" w:hAnsi="Times New Roman" w:cs="Times New Roman"/>
      <w:b/>
    </w:rPr>
  </w:style>
  <w:style w:type="paragraph" w:styleId="TOC2">
    <w:name w:val="toc 2"/>
    <w:basedOn w:val="Normal"/>
    <w:next w:val="Normal"/>
    <w:autoRedefine/>
    <w:uiPriority w:val="39"/>
    <w:unhideWhenUsed/>
    <w:rsid w:val="00E0032C"/>
    <w:pPr>
      <w:tabs>
        <w:tab w:val="left" w:pos="720"/>
        <w:tab w:val="left" w:pos="1170"/>
        <w:tab w:val="right" w:leader="dot" w:pos="9360"/>
      </w:tabs>
      <w:spacing w:line="240" w:lineRule="auto"/>
      <w:ind w:left="720"/>
    </w:pPr>
    <w:rPr>
      <w:rFonts w:ascii="Times New Roman" w:hAnsi="Times New Roman"/>
      <w:b/>
    </w:rPr>
  </w:style>
  <w:style w:type="character" w:customStyle="1" w:styleId="Heading3Char">
    <w:name w:val="Heading 3 Char"/>
    <w:basedOn w:val="DefaultParagraphFont"/>
    <w:link w:val="Heading3"/>
    <w:uiPriority w:val="9"/>
    <w:rsid w:val="006473FA"/>
    <w:rPr>
      <w:rFonts w:ascii="Times New Roman" w:hAnsi="Times New Roman" w:cs="Times New Roman"/>
      <w:b/>
    </w:rPr>
  </w:style>
  <w:style w:type="paragraph" w:styleId="TOC3">
    <w:name w:val="toc 3"/>
    <w:basedOn w:val="Normal"/>
    <w:next w:val="Normal"/>
    <w:autoRedefine/>
    <w:uiPriority w:val="39"/>
    <w:unhideWhenUsed/>
    <w:rsid w:val="006473FA"/>
    <w:pPr>
      <w:spacing w:after="100"/>
      <w:ind w:left="440"/>
    </w:pPr>
  </w:style>
  <w:style w:type="character" w:customStyle="1" w:styleId="UnresolvedMention1">
    <w:name w:val="Unresolved Mention1"/>
    <w:basedOn w:val="DefaultParagraphFont"/>
    <w:uiPriority w:val="99"/>
    <w:semiHidden/>
    <w:unhideWhenUsed/>
    <w:rsid w:val="001563B0"/>
    <w:rPr>
      <w:color w:val="808080"/>
      <w:shd w:val="clear" w:color="auto" w:fill="E6E6E6"/>
    </w:rPr>
  </w:style>
  <w:style w:type="paragraph" w:customStyle="1" w:styleId="ParaNum">
    <w:name w:val="ParaNum"/>
    <w:basedOn w:val="Normal"/>
    <w:link w:val="ParaNumChar"/>
    <w:rsid w:val="00931400"/>
    <w:pPr>
      <w:widowControl w:val="0"/>
      <w:numPr>
        <w:numId w:val="9"/>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basedOn w:val="DefaultParagraphFont"/>
    <w:link w:val="ParaNum"/>
    <w:rsid w:val="00931400"/>
    <w:rPr>
      <w:rFonts w:ascii="Times New Roman" w:eastAsia="Times New Roman" w:hAnsi="Times New Roman" w:cs="Times New Roman"/>
      <w:snapToGrid w:val="0"/>
      <w:kern w:val="28"/>
      <w:szCs w:val="20"/>
    </w:rPr>
  </w:style>
  <w:style w:type="character" w:styleId="FollowedHyperlink">
    <w:name w:val="FollowedHyperlink"/>
    <w:basedOn w:val="DefaultParagraphFont"/>
    <w:uiPriority w:val="99"/>
    <w:semiHidden/>
    <w:unhideWhenUsed/>
    <w:rsid w:val="00B82B88"/>
    <w:rPr>
      <w:color w:val="954F72" w:themeColor="followedHyperlink"/>
      <w:u w:val="single"/>
    </w:rPr>
  </w:style>
  <w:style w:type="paragraph" w:styleId="BalloonText">
    <w:name w:val="Balloon Text"/>
    <w:basedOn w:val="Normal"/>
    <w:link w:val="BalloonTextChar"/>
    <w:uiPriority w:val="99"/>
    <w:semiHidden/>
    <w:unhideWhenUsed/>
    <w:rsid w:val="00B82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B88"/>
    <w:rPr>
      <w:rFonts w:ascii="Segoe UI" w:hAnsi="Segoe UI" w:cs="Segoe UI"/>
      <w:sz w:val="18"/>
      <w:szCs w:val="18"/>
    </w:rPr>
  </w:style>
  <w:style w:type="character" w:styleId="CommentReference">
    <w:name w:val="annotation reference"/>
    <w:uiPriority w:val="99"/>
    <w:semiHidden/>
    <w:unhideWhenUsed/>
    <w:rsid w:val="00BE4762"/>
    <w:rPr>
      <w:sz w:val="16"/>
      <w:szCs w:val="16"/>
    </w:rPr>
  </w:style>
  <w:style w:type="paragraph" w:styleId="CommentText">
    <w:name w:val="annotation text"/>
    <w:basedOn w:val="Normal"/>
    <w:link w:val="CommentTextChar"/>
    <w:uiPriority w:val="99"/>
    <w:unhideWhenUsed/>
    <w:rsid w:val="00BE4762"/>
    <w:rPr>
      <w:sz w:val="20"/>
    </w:rPr>
  </w:style>
  <w:style w:type="character" w:customStyle="1" w:styleId="CommentTextChar">
    <w:name w:val="Comment Text Char"/>
    <w:basedOn w:val="DefaultParagraphFont"/>
    <w:link w:val="CommentText"/>
    <w:uiPriority w:val="99"/>
    <w:rsid w:val="00BE4762"/>
    <w:rPr>
      <w:sz w:val="20"/>
    </w:rPr>
  </w:style>
  <w:style w:type="paragraph" w:styleId="CommentSubject">
    <w:name w:val="annotation subject"/>
    <w:basedOn w:val="CommentText"/>
    <w:next w:val="CommentText"/>
    <w:link w:val="CommentSubjectChar"/>
    <w:uiPriority w:val="99"/>
    <w:semiHidden/>
    <w:unhideWhenUsed/>
    <w:rsid w:val="00717793"/>
    <w:pPr>
      <w:spacing w:line="240" w:lineRule="auto"/>
    </w:pPr>
    <w:rPr>
      <w:b/>
      <w:bCs/>
      <w:szCs w:val="20"/>
    </w:rPr>
  </w:style>
  <w:style w:type="character" w:customStyle="1" w:styleId="CommentSubjectChar">
    <w:name w:val="Comment Subject Char"/>
    <w:basedOn w:val="CommentTextChar"/>
    <w:link w:val="CommentSubject"/>
    <w:uiPriority w:val="99"/>
    <w:semiHidden/>
    <w:rsid w:val="00717793"/>
    <w:rPr>
      <w:b/>
      <w:bCs/>
      <w:sz w:val="20"/>
      <w:szCs w:val="20"/>
    </w:rPr>
  </w:style>
  <w:style w:type="paragraph" w:styleId="Revision">
    <w:name w:val="Revision"/>
    <w:hidden/>
    <w:uiPriority w:val="99"/>
    <w:semiHidden/>
    <w:rsid w:val="00C22713"/>
    <w:pPr>
      <w:spacing w:after="0" w:line="240" w:lineRule="auto"/>
    </w:pPr>
  </w:style>
  <w:style w:type="character" w:customStyle="1" w:styleId="UnresolvedMention2">
    <w:name w:val="Unresolved Mention2"/>
    <w:basedOn w:val="DefaultParagraphFont"/>
    <w:uiPriority w:val="99"/>
    <w:semiHidden/>
    <w:unhideWhenUsed/>
    <w:rsid w:val="008E0313"/>
    <w:rPr>
      <w:color w:val="808080"/>
      <w:shd w:val="clear" w:color="auto" w:fill="E6E6E6"/>
    </w:rPr>
  </w:style>
  <w:style w:type="character" w:customStyle="1" w:styleId="UnresolvedMention3">
    <w:name w:val="Unresolved Mention3"/>
    <w:basedOn w:val="DefaultParagraphFont"/>
    <w:uiPriority w:val="99"/>
    <w:rsid w:val="000A4C0E"/>
    <w:rPr>
      <w:color w:val="605E5C"/>
      <w:shd w:val="clear" w:color="auto" w:fill="E1DFDD"/>
    </w:rPr>
  </w:style>
  <w:style w:type="character" w:customStyle="1" w:styleId="UnresolvedMention">
    <w:name w:val="Unresolved Mention"/>
    <w:basedOn w:val="DefaultParagraphFont"/>
    <w:uiPriority w:val="99"/>
    <w:rsid w:val="00201A77"/>
    <w:rPr>
      <w:color w:val="605E5C"/>
      <w:shd w:val="clear" w:color="auto" w:fill="E1DFDD"/>
    </w:rPr>
  </w:style>
  <w:style w:type="character" w:customStyle="1" w:styleId="Heading4Char">
    <w:name w:val="Heading 4 Char"/>
    <w:basedOn w:val="DefaultParagraphFont"/>
    <w:link w:val="Heading4"/>
    <w:uiPriority w:val="9"/>
    <w:semiHidden/>
    <w:rsid w:val="00201A77"/>
    <w:rPr>
      <w:rFonts w:asciiTheme="majorHAnsi" w:eastAsiaTheme="majorEastAsia" w:hAnsiTheme="majorHAnsi" w:cstheme="majorBidi"/>
      <w:i/>
      <w:iCs/>
      <w:color w:val="2F5496" w:themeColor="accent1" w:themeShade="BF"/>
    </w:rPr>
  </w:style>
  <w:style w:type="paragraph" w:styleId="Caption">
    <w:name w:val="caption"/>
    <w:basedOn w:val="Normal"/>
    <w:next w:val="Normal"/>
    <w:uiPriority w:val="35"/>
    <w:unhideWhenUsed/>
    <w:qFormat/>
    <w:rsid w:val="00C13412"/>
    <w:pPr>
      <w:spacing w:after="200" w:line="240" w:lineRule="auto"/>
    </w:pPr>
    <w:rPr>
      <w:rFonts w:ascii="Times New Roman" w:hAnsi="Times New Roman"/>
      <w:b/>
      <w:iCs/>
      <w:sz w:val="20"/>
      <w:szCs w:val="18"/>
    </w:rPr>
  </w:style>
  <w:style w:type="character" w:customStyle="1" w:styleId="ALTSFOOTNOTECharChar">
    <w:name w:val="ALTS FOOTNOTE Char Char"/>
    <w:aliases w:val="Footnote Text Char Char Char,Footnote Text Char Char3 Char Char Char Char Char,Footnote Text Char1 Char1 Char Char,Footnote Text Char3 Char1 Char Char Char Char,f Char1,fn Char2"/>
    <w:basedOn w:val="DefaultParagraphFont"/>
    <w:uiPriority w:val="99"/>
    <w:semiHidden/>
    <w:rsid w:val="004708F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hyperlink" Target="https://www.fcc.gov/licensing-databases/search-fcc-databases" TargetMode="External" /><Relationship Id="rId13" Type="http://schemas.openxmlformats.org/officeDocument/2006/relationships/hyperlink" Target="https://www.fcc.gov/oet/ea/fccid" TargetMode="External" /><Relationship Id="rId14" Type="http://schemas.openxmlformats.org/officeDocument/2006/relationships/hyperlink" Target="https://apps.fcc.gov/oetcf/kdb/reports/GuidedPublicationList.cfm" TargetMode="External" /><Relationship Id="rId15" Type="http://schemas.openxmlformats.org/officeDocument/2006/relationships/hyperlink" Target="https://www.fcc.gov/document/fcc-maintains-current-rf-exposure-safety-standards" TargetMode="External" /><Relationship Id="rId16" Type="http://schemas.openxmlformats.org/officeDocument/2006/relationships/hyperlink" Target="https://www.govinfo.gov/content/pkg/FR-2020-04-01/pdf/2020-02745.pdf" TargetMode="External" /><Relationship Id="rId17" Type="http://schemas.openxmlformats.org/officeDocument/2006/relationships/hyperlink" Target="https://www.govinfo.gov/content/pkg/FR-2020-06-02/pdf/2020-11969.pdf" TargetMode="External" /><Relationship Id="rId18" Type="http://schemas.openxmlformats.org/officeDocument/2006/relationships/hyperlink" Target="https://docs.fcc.gov/public/attachments/DA-21-363A1.pdf" TargetMode="External" /><Relationship Id="rId19" Type="http://schemas.openxmlformats.org/officeDocument/2006/relationships/hyperlink" Target="https://transition.fcc.gov/bureaus/oet/info/documents/bulletins/oet65/oet65.pdf" TargetMode="External" /><Relationship Id="rId2" Type="http://schemas.openxmlformats.org/officeDocument/2006/relationships/settings" Target="settings.xml" /><Relationship Id="rId20" Type="http://schemas.openxmlformats.org/officeDocument/2006/relationships/hyperlink" Target="http://www.fcc.gov/rfsafety" TargetMode="External" /><Relationship Id="rId21" Type="http://schemas.openxmlformats.org/officeDocument/2006/relationships/header" Target="header3.xml" /><Relationship Id="rId22" Type="http://schemas.openxmlformats.org/officeDocument/2006/relationships/footer" Target="footer4.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footer" Target="footer3.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