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55656" w14:paraId="2D4C816B" w14:textId="4AF53397">
      <w:pPr>
        <w:pStyle w:val="Header"/>
        <w:tabs>
          <w:tab w:val="clear" w:pos="4320"/>
          <w:tab w:val="clear" w:pos="8640"/>
        </w:tabs>
        <w:sectPr>
          <w:footerReference w:type="even" r:id="rId5"/>
          <w:footerReference w:type="default" r:id="rId6"/>
          <w:headerReference w:type="first" r:id="rId7"/>
          <w:pgSz w:w="12240" w:h="15840" w:code="1"/>
          <w:pgMar w:top="720" w:right="720" w:bottom="1440" w:left="720" w:header="720" w:footer="1440" w:gutter="0"/>
          <w:cols w:space="720"/>
          <w:titlePg/>
        </w:sectPr>
      </w:pPr>
      <w:r>
        <w:t xml:space="preserve"> </w:t>
      </w:r>
      <w:r w:rsidR="00DE7953">
        <w:t xml:space="preserve"> </w:t>
      </w:r>
    </w:p>
    <w:p w:rsidR="00155656" w:rsidP="003846F8" w14:paraId="6B0DB31F" w14:textId="0A77BA4A">
      <w:pPr>
        <w:ind w:left="7920"/>
        <w:jc w:val="center"/>
        <w:rPr>
          <w:b/>
          <w:szCs w:val="22"/>
        </w:rPr>
      </w:pPr>
      <w:r>
        <w:rPr>
          <w:b/>
          <w:szCs w:val="22"/>
        </w:rPr>
        <w:t xml:space="preserve">  </w:t>
      </w:r>
      <w:bookmarkStart w:id="1" w:name="_Hlk71886342"/>
      <w:r w:rsidR="006B2463">
        <w:rPr>
          <w:b/>
          <w:szCs w:val="22"/>
        </w:rPr>
        <w:t xml:space="preserve">DA </w:t>
      </w:r>
      <w:r w:rsidR="00632B5A">
        <w:rPr>
          <w:b/>
          <w:szCs w:val="22"/>
        </w:rPr>
        <w:t>2</w:t>
      </w:r>
      <w:r w:rsidR="00293A99">
        <w:rPr>
          <w:b/>
          <w:szCs w:val="22"/>
        </w:rPr>
        <w:t>1</w:t>
      </w:r>
      <w:r w:rsidR="001F342B">
        <w:rPr>
          <w:b/>
          <w:szCs w:val="22"/>
        </w:rPr>
        <w:t>-</w:t>
      </w:r>
      <w:r w:rsidR="00F33A80">
        <w:rPr>
          <w:b/>
          <w:szCs w:val="22"/>
        </w:rPr>
        <w:t>575</w:t>
      </w:r>
    </w:p>
    <w:p w:rsidR="00155656" w14:paraId="079D9085" w14:textId="007CF599">
      <w:pPr>
        <w:spacing w:before="60"/>
        <w:jc w:val="right"/>
        <w:rPr>
          <w:b/>
          <w:szCs w:val="22"/>
        </w:rPr>
      </w:pPr>
      <w:r>
        <w:rPr>
          <w:b/>
          <w:szCs w:val="22"/>
        </w:rPr>
        <w:t xml:space="preserve">  </w:t>
      </w:r>
      <w:r w:rsidR="00983CD6">
        <w:rPr>
          <w:b/>
          <w:szCs w:val="22"/>
        </w:rPr>
        <w:t xml:space="preserve">May </w:t>
      </w:r>
      <w:r w:rsidR="00C60A4F">
        <w:rPr>
          <w:b/>
          <w:szCs w:val="22"/>
        </w:rPr>
        <w:t>14</w:t>
      </w:r>
      <w:r w:rsidR="00377E84">
        <w:rPr>
          <w:b/>
          <w:szCs w:val="22"/>
        </w:rPr>
        <w:t>, 20</w:t>
      </w:r>
      <w:r w:rsidR="00632B5A">
        <w:rPr>
          <w:b/>
          <w:szCs w:val="22"/>
        </w:rPr>
        <w:t>2</w:t>
      </w:r>
      <w:r w:rsidR="00EB32A2">
        <w:rPr>
          <w:b/>
          <w:szCs w:val="22"/>
        </w:rPr>
        <w:t>1</w:t>
      </w:r>
    </w:p>
    <w:p w:rsidR="00155656" w14:paraId="42BDF34A" w14:textId="248D540F">
      <w:pPr>
        <w:tabs>
          <w:tab w:val="left" w:pos="5900"/>
        </w:tabs>
        <w:rPr>
          <w:szCs w:val="22"/>
        </w:rPr>
      </w:pPr>
    </w:p>
    <w:p w:rsidR="00983CD6" w:rsidP="00983CD6" w14:paraId="61C6A2C1" w14:textId="77777777">
      <w:pPr>
        <w:autoSpaceDE w:val="0"/>
        <w:autoSpaceDN w:val="0"/>
        <w:adjustRightInd w:val="0"/>
        <w:jc w:val="center"/>
        <w:rPr>
          <w:b/>
          <w:bCs/>
          <w:szCs w:val="22"/>
        </w:rPr>
      </w:pPr>
      <w:bookmarkStart w:id="2" w:name="_Hlk519509475"/>
      <w:bookmarkStart w:id="3" w:name="_Hlk502044717"/>
      <w:bookmarkStart w:id="4" w:name="_Hlk516578398"/>
      <w:r w:rsidRPr="009F1D82">
        <w:rPr>
          <w:b/>
          <w:bCs/>
          <w:szCs w:val="22"/>
        </w:rPr>
        <w:t>APPLICATION</w:t>
      </w:r>
      <w:r>
        <w:rPr>
          <w:b/>
          <w:bCs/>
          <w:szCs w:val="22"/>
        </w:rPr>
        <w:t>S</w:t>
      </w:r>
      <w:r w:rsidRPr="009F1D82">
        <w:rPr>
          <w:b/>
          <w:bCs/>
          <w:szCs w:val="22"/>
        </w:rPr>
        <w:t xml:space="preserve"> FILED FOR THE TRANSFER OF </w:t>
      </w:r>
      <w:r>
        <w:rPr>
          <w:b/>
          <w:bCs/>
          <w:szCs w:val="22"/>
        </w:rPr>
        <w:t xml:space="preserve">CONTROL </w:t>
      </w:r>
      <w:r w:rsidRPr="009F1D82">
        <w:rPr>
          <w:b/>
          <w:bCs/>
          <w:szCs w:val="22"/>
        </w:rPr>
        <w:t>OF</w:t>
      </w:r>
    </w:p>
    <w:p w:rsidR="00983CD6" w:rsidP="00983CD6" w14:paraId="1C5EAA85" w14:textId="77777777">
      <w:pPr>
        <w:autoSpaceDE w:val="0"/>
        <w:autoSpaceDN w:val="0"/>
        <w:adjustRightInd w:val="0"/>
        <w:jc w:val="center"/>
        <w:rPr>
          <w:b/>
          <w:bCs/>
          <w:szCs w:val="22"/>
        </w:rPr>
      </w:pPr>
      <w:r>
        <w:rPr>
          <w:b/>
          <w:bCs/>
          <w:szCs w:val="22"/>
        </w:rPr>
        <w:t>ONVOY HOLDINGS INC. TO SINCH US HOLDING INC.</w:t>
      </w:r>
    </w:p>
    <w:bookmarkEnd w:id="2"/>
    <w:bookmarkEnd w:id="3"/>
    <w:bookmarkEnd w:id="4"/>
    <w:p w:rsidR="00983CD6" w:rsidP="00983CD6" w14:paraId="76C07313" w14:textId="77777777">
      <w:pPr>
        <w:autoSpaceDE w:val="0"/>
        <w:autoSpaceDN w:val="0"/>
        <w:adjustRightInd w:val="0"/>
        <w:rPr>
          <w:b/>
          <w:bCs/>
          <w:szCs w:val="22"/>
        </w:rPr>
      </w:pPr>
    </w:p>
    <w:p w:rsidR="00983CD6" w:rsidRPr="006B29E2" w:rsidP="00983CD6" w14:paraId="500B9A09" w14:textId="77777777">
      <w:pPr>
        <w:autoSpaceDE w:val="0"/>
        <w:autoSpaceDN w:val="0"/>
        <w:adjustRightInd w:val="0"/>
        <w:jc w:val="center"/>
        <w:rPr>
          <w:b/>
          <w:szCs w:val="22"/>
        </w:rPr>
      </w:pPr>
      <w:r w:rsidRPr="006B29E2">
        <w:rPr>
          <w:b/>
          <w:szCs w:val="22"/>
        </w:rPr>
        <w:t>PLEADING CYCLE ESTABLISHED</w:t>
      </w:r>
    </w:p>
    <w:p w:rsidR="00983CD6" w:rsidRPr="006B29E2" w:rsidP="00983CD6" w14:paraId="6821281B" w14:textId="77777777">
      <w:pPr>
        <w:jc w:val="center"/>
        <w:rPr>
          <w:b/>
          <w:szCs w:val="22"/>
        </w:rPr>
      </w:pPr>
    </w:p>
    <w:p w:rsidR="00983CD6" w:rsidP="00983CD6" w14:paraId="5B0C6FAB" w14:textId="77777777">
      <w:pPr>
        <w:jc w:val="center"/>
        <w:rPr>
          <w:b/>
          <w:szCs w:val="22"/>
        </w:rPr>
      </w:pPr>
      <w:r>
        <w:rPr>
          <w:b/>
          <w:szCs w:val="22"/>
        </w:rPr>
        <w:t xml:space="preserve"> </w:t>
      </w:r>
      <w:r w:rsidRPr="00377CC1">
        <w:rPr>
          <w:b/>
          <w:szCs w:val="22"/>
        </w:rPr>
        <w:t xml:space="preserve">WC Docket No. </w:t>
      </w:r>
      <w:r w:rsidRPr="00EA59F0">
        <w:rPr>
          <w:b/>
          <w:szCs w:val="22"/>
        </w:rPr>
        <w:t>21-131</w:t>
      </w:r>
    </w:p>
    <w:p w:rsidR="00983CD6" w:rsidRPr="006B29E2" w:rsidP="00983CD6" w14:paraId="0724E77D" w14:textId="77777777">
      <w:pPr>
        <w:jc w:val="center"/>
        <w:rPr>
          <w:szCs w:val="22"/>
        </w:rPr>
      </w:pPr>
    </w:p>
    <w:p w:rsidR="00983CD6" w:rsidRPr="006B29E2" w:rsidP="00983CD6" w14:paraId="2DD15D42" w14:textId="1DEA514B">
      <w:pPr>
        <w:pStyle w:val="NoSpacing"/>
        <w:rPr>
          <w:b/>
          <w:szCs w:val="22"/>
        </w:rPr>
      </w:pPr>
      <w:r>
        <w:rPr>
          <w:b/>
          <w:szCs w:val="22"/>
        </w:rPr>
        <w:t xml:space="preserve">Comments/Petitions Due:  </w:t>
      </w:r>
      <w:r w:rsidRPr="00C60A4F" w:rsidR="00C60A4F">
        <w:rPr>
          <w:b/>
          <w:szCs w:val="22"/>
        </w:rPr>
        <w:t>June 14</w:t>
      </w:r>
      <w:r w:rsidRPr="00C60A4F">
        <w:rPr>
          <w:b/>
          <w:szCs w:val="22"/>
        </w:rPr>
        <w:t>, 2021</w:t>
      </w:r>
    </w:p>
    <w:p w:rsidR="00983CD6" w:rsidRPr="006B29E2" w:rsidP="00983CD6" w14:paraId="53F38551" w14:textId="027BC70A">
      <w:pPr>
        <w:pStyle w:val="NoSpacing"/>
        <w:rPr>
          <w:b/>
          <w:szCs w:val="22"/>
        </w:rPr>
      </w:pPr>
      <w:r w:rsidRPr="006B29E2">
        <w:rPr>
          <w:b/>
          <w:szCs w:val="22"/>
        </w:rPr>
        <w:t>Reply Comments</w:t>
      </w:r>
      <w:r>
        <w:rPr>
          <w:b/>
          <w:szCs w:val="22"/>
        </w:rPr>
        <w:t>/Oppositions to Petitions Due</w:t>
      </w:r>
      <w:r w:rsidRPr="00C60A4F">
        <w:rPr>
          <w:b/>
          <w:szCs w:val="22"/>
        </w:rPr>
        <w:t xml:space="preserve">:  </w:t>
      </w:r>
      <w:r w:rsidRPr="00C60A4F" w:rsidR="00C60A4F">
        <w:rPr>
          <w:b/>
          <w:szCs w:val="22"/>
        </w:rPr>
        <w:t>June 29</w:t>
      </w:r>
      <w:r w:rsidRPr="00C60A4F">
        <w:rPr>
          <w:b/>
          <w:szCs w:val="22"/>
        </w:rPr>
        <w:t>, 2021</w:t>
      </w:r>
    </w:p>
    <w:bookmarkEnd w:id="1"/>
    <w:p w:rsidR="00983CD6" w:rsidRPr="006B29E2" w:rsidP="00983CD6" w14:paraId="404E542F" w14:textId="77777777">
      <w:pPr>
        <w:autoSpaceDE w:val="0"/>
        <w:autoSpaceDN w:val="0"/>
        <w:adjustRightInd w:val="0"/>
        <w:rPr>
          <w:rFonts w:ascii="TimesNewRomanPSMT" w:hAnsi="TimesNewRomanPSMT" w:cs="TimesNewRomanPSMT"/>
          <w:szCs w:val="22"/>
        </w:rPr>
      </w:pPr>
    </w:p>
    <w:p w:rsidR="00983CD6" w:rsidP="00983CD6" w14:paraId="18006E29" w14:textId="07C47BB0">
      <w:pPr>
        <w:autoSpaceDE w:val="0"/>
        <w:autoSpaceDN w:val="0"/>
        <w:adjustRightInd w:val="0"/>
        <w:ind w:firstLine="720"/>
        <w:rPr>
          <w:szCs w:val="22"/>
        </w:rPr>
      </w:pPr>
      <w:r w:rsidRPr="00025BB7">
        <w:rPr>
          <w:szCs w:val="22"/>
        </w:rPr>
        <w:t>By this Public Notice, the Wireline Competition Bureau, International Bureau, and Wireless Telecommunications Bureau (</w:t>
      </w:r>
      <w:r>
        <w:rPr>
          <w:szCs w:val="22"/>
        </w:rPr>
        <w:t xml:space="preserve">together, </w:t>
      </w:r>
      <w:r w:rsidRPr="00025BB7">
        <w:rPr>
          <w:szCs w:val="22"/>
        </w:rPr>
        <w:t>Bureaus) seek comment from interested parties on applications filed by</w:t>
      </w:r>
      <w:r w:rsidRPr="00025BB7">
        <w:rPr>
          <w:color w:val="231F20"/>
          <w:szCs w:val="22"/>
        </w:rPr>
        <w:t xml:space="preserve"> </w:t>
      </w:r>
      <w:r w:rsidRPr="00025BB7">
        <w:rPr>
          <w:rFonts w:ascii="TimesNewRomanPSMT" w:hAnsi="TimesNewRomanPSMT" w:cs="TimesNewRomanPSMT"/>
          <w:szCs w:val="22"/>
        </w:rPr>
        <w:t>GTCR Onvoy Holdings, LLC (GTCR Holdings)</w:t>
      </w:r>
      <w:r>
        <w:rPr>
          <w:rFonts w:ascii="TimesNewRomanPSMT" w:hAnsi="TimesNewRomanPSMT" w:cs="TimesNewRomanPSMT"/>
          <w:szCs w:val="22"/>
        </w:rPr>
        <w:t xml:space="preserve">, </w:t>
      </w:r>
      <w:r w:rsidRPr="00025BB7">
        <w:rPr>
          <w:rFonts w:ascii="TimesNewRomanPSMT" w:hAnsi="TimesNewRomanPSMT" w:cs="TimesNewRomanPSMT"/>
          <w:szCs w:val="22"/>
        </w:rPr>
        <w:t xml:space="preserve">Sinch US Holding Inc. (Sinch US), </w:t>
      </w:r>
      <w:r>
        <w:rPr>
          <w:rFonts w:ascii="TimesNewRomanPSMT" w:hAnsi="TimesNewRomanPSMT" w:cs="TimesNewRomanPSMT"/>
          <w:szCs w:val="22"/>
        </w:rPr>
        <w:t xml:space="preserve">and </w:t>
      </w:r>
      <w:r w:rsidRPr="00025BB7">
        <w:rPr>
          <w:rFonts w:ascii="TimesNewRomanPSMT" w:hAnsi="TimesNewRomanPSMT" w:cs="TimesNewRomanPSMT"/>
          <w:szCs w:val="22"/>
        </w:rPr>
        <w:t>Onvoy, LLC (Onvoy), Minnesota Independent Equal Access Corporation (MIEAC), Voyant Communications, LLC (Voyant), Broadvox-CLEC, LLC (Broadvox), ANPI, LLC (ANPI), ANPI Business, LLC (ANPI Business), Inteliquent, Inc. (Inteliquent), and Layered Communications, LLC (Layered) (</w:t>
      </w:r>
      <w:r>
        <w:rPr>
          <w:rFonts w:ascii="TimesNewRomanPSMT" w:hAnsi="TimesNewRomanPSMT" w:cs="TimesNewRomanPSMT"/>
          <w:szCs w:val="22"/>
        </w:rPr>
        <w:t xml:space="preserve">Layered, together with Onvoy, MIEAC, Voyant, Broadvox, ANPI, ANPI Business, and Inteliquent, Authority Holders) and </w:t>
      </w:r>
      <w:r w:rsidRPr="0006074B">
        <w:rPr>
          <w:color w:val="000000"/>
          <w:szCs w:val="22"/>
        </w:rPr>
        <w:t>Onvoy Spectrum, LLC</w:t>
      </w:r>
      <w:r>
        <w:rPr>
          <w:color w:val="000000"/>
          <w:szCs w:val="22"/>
        </w:rPr>
        <w:t xml:space="preserve"> (Onvoy Spectrum</w:t>
      </w:r>
      <w:r>
        <w:rPr>
          <w:rFonts w:ascii="TimesNewRomanPSMT" w:hAnsi="TimesNewRomanPSMT" w:cs="TimesNewRomanPSMT"/>
          <w:szCs w:val="22"/>
        </w:rPr>
        <w:t xml:space="preserve">, and </w:t>
      </w:r>
      <w:r w:rsidRPr="00025BB7">
        <w:rPr>
          <w:rFonts w:ascii="TimesNewRomanPSMT" w:hAnsi="TimesNewRomanPSMT" w:cs="TimesNewRomanPSMT"/>
          <w:szCs w:val="22"/>
        </w:rPr>
        <w:t>collectively</w:t>
      </w:r>
      <w:r>
        <w:rPr>
          <w:rFonts w:ascii="TimesNewRomanPSMT" w:hAnsi="TimesNewRomanPSMT" w:cs="TimesNewRomanPSMT"/>
          <w:szCs w:val="22"/>
        </w:rPr>
        <w:t xml:space="preserve"> with Authority Holders, GTCR Holdings, and Sinch US</w:t>
      </w:r>
      <w:r w:rsidRPr="00025BB7">
        <w:rPr>
          <w:rFonts w:ascii="TimesNewRomanPSMT" w:hAnsi="TimesNewRomanPSMT" w:cs="TimesNewRomanPSMT"/>
          <w:szCs w:val="22"/>
        </w:rPr>
        <w:t>, Applicants)</w:t>
      </w:r>
      <w:r>
        <w:rPr>
          <w:rFonts w:ascii="TimesNewRomanPSMT" w:hAnsi="TimesNewRomanPSMT" w:cs="TimesNewRomanPSMT"/>
          <w:szCs w:val="22"/>
        </w:rPr>
        <w:t xml:space="preserve"> </w:t>
      </w:r>
      <w:r>
        <w:rPr>
          <w:color w:val="231F20"/>
          <w:szCs w:val="22"/>
        </w:rPr>
        <w:t xml:space="preserve">for the transfer of control of Authority Holders and </w:t>
      </w:r>
      <w:r w:rsidRPr="0006074B">
        <w:rPr>
          <w:color w:val="000000"/>
          <w:szCs w:val="22"/>
        </w:rPr>
        <w:t>Onvoy Spectrum</w:t>
      </w:r>
      <w:r>
        <w:rPr>
          <w:color w:val="231F20"/>
          <w:szCs w:val="22"/>
        </w:rPr>
        <w:t xml:space="preserve"> from GTCR Holdings to Sinch US, </w:t>
      </w:r>
      <w:r w:rsidRPr="007656E1">
        <w:rPr>
          <w:snapToGrid w:val="0"/>
          <w:kern w:val="28"/>
          <w:szCs w:val="22"/>
        </w:rPr>
        <w:t>pursuant to sections 214 and 310(d) of the Communications Act of 1934, as amended (Act),</w:t>
      </w:r>
      <w:r>
        <w:rPr>
          <w:rStyle w:val="FootnoteReference"/>
          <w:snapToGrid w:val="0"/>
          <w:kern w:val="28"/>
          <w:szCs w:val="22"/>
        </w:rPr>
        <w:footnoteReference w:id="3"/>
      </w:r>
      <w:r w:rsidRPr="007656E1">
        <w:rPr>
          <w:snapToGrid w:val="0"/>
          <w:kern w:val="28"/>
          <w:szCs w:val="22"/>
        </w:rPr>
        <w:t xml:space="preserve"> and sections </w:t>
      </w:r>
      <w:r>
        <w:rPr>
          <w:snapToGrid w:val="0"/>
          <w:kern w:val="28"/>
          <w:szCs w:val="22"/>
        </w:rPr>
        <w:t xml:space="preserve">1.948, </w:t>
      </w:r>
      <w:r w:rsidRPr="007656E1">
        <w:rPr>
          <w:snapToGrid w:val="0"/>
          <w:kern w:val="28"/>
          <w:szCs w:val="22"/>
        </w:rPr>
        <w:t>63.03-04, 63.18, and 63.24 of the Commission’s rules</w:t>
      </w:r>
      <w:r>
        <w:rPr>
          <w:snapToGrid w:val="0"/>
          <w:kern w:val="28"/>
          <w:szCs w:val="22"/>
        </w:rPr>
        <w:t>.</w:t>
      </w:r>
      <w:r>
        <w:rPr>
          <w:snapToGrid w:val="0"/>
          <w:kern w:val="28"/>
          <w:szCs w:val="22"/>
          <w:vertAlign w:val="superscript"/>
        </w:rPr>
        <w:footnoteReference w:id="4"/>
      </w:r>
      <w:r>
        <w:rPr>
          <w:snapToGrid w:val="0"/>
          <w:color w:val="000000"/>
          <w:kern w:val="28"/>
          <w:szCs w:val="22"/>
        </w:rPr>
        <w:t xml:space="preserve"> </w:t>
      </w:r>
      <w:r>
        <w:rPr>
          <w:szCs w:val="22"/>
        </w:rPr>
        <w:t xml:space="preserve"> Sinch US and Onvoy Spectrum also filed a </w:t>
      </w:r>
      <w:r w:rsidRPr="00EC6A48">
        <w:rPr>
          <w:szCs w:val="22"/>
        </w:rPr>
        <w:t xml:space="preserve">petition for declaratory ruling to permit foreign investment </w:t>
      </w:r>
      <w:r>
        <w:rPr>
          <w:szCs w:val="22"/>
        </w:rPr>
        <w:t xml:space="preserve">above </w:t>
      </w:r>
      <w:r w:rsidRPr="00EC6A48">
        <w:rPr>
          <w:szCs w:val="22"/>
        </w:rPr>
        <w:t>the 25</w:t>
      </w:r>
      <w:r>
        <w:rPr>
          <w:szCs w:val="22"/>
        </w:rPr>
        <w:t>%</w:t>
      </w:r>
      <w:r w:rsidRPr="00EC6A48">
        <w:rPr>
          <w:szCs w:val="22"/>
        </w:rPr>
        <w:t xml:space="preserve"> benchmark</w:t>
      </w:r>
      <w:r>
        <w:rPr>
          <w:szCs w:val="22"/>
        </w:rPr>
        <w:t>s</w:t>
      </w:r>
      <w:r w:rsidRPr="00EC6A48">
        <w:rPr>
          <w:szCs w:val="22"/>
        </w:rPr>
        <w:t xml:space="preserve"> in section 310(b)(4) of the Act </w:t>
      </w:r>
      <w:r w:rsidRPr="00EC6A48">
        <w:rPr>
          <w:color w:val="000000"/>
          <w:szCs w:val="22"/>
        </w:rPr>
        <w:t>and section 1.5000(a)(1) of the Commission’s rules.</w:t>
      </w:r>
      <w:r>
        <w:rPr>
          <w:rStyle w:val="FootnoteReference"/>
          <w:color w:val="000000"/>
          <w:szCs w:val="22"/>
        </w:rPr>
        <w:footnoteReference w:id="5"/>
      </w:r>
      <w:r>
        <w:rPr>
          <w:szCs w:val="22"/>
        </w:rPr>
        <w:t xml:space="preserve"> </w:t>
      </w:r>
    </w:p>
    <w:p w:rsidR="00983CD6" w:rsidRPr="00025BB7" w:rsidP="00983CD6" w14:paraId="638EE1A0" w14:textId="77777777">
      <w:pPr>
        <w:autoSpaceDE w:val="0"/>
        <w:autoSpaceDN w:val="0"/>
        <w:adjustRightInd w:val="0"/>
        <w:ind w:firstLine="720"/>
        <w:rPr>
          <w:color w:val="231F20"/>
          <w:szCs w:val="22"/>
        </w:rPr>
      </w:pPr>
    </w:p>
    <w:p w:rsidR="00983CD6" w:rsidP="00983CD6" w14:paraId="7B72A2F2" w14:textId="77777777">
      <w:pPr>
        <w:autoSpaceDE w:val="0"/>
        <w:autoSpaceDN w:val="0"/>
        <w:adjustRightInd w:val="0"/>
        <w:rPr>
          <w:rFonts w:ascii="TimesNewRomanPSMT" w:hAnsi="TimesNewRomanPSMT" w:cs="TimesNewRomanPSMT"/>
          <w:b/>
          <w:bCs/>
          <w:szCs w:val="22"/>
        </w:rPr>
      </w:pPr>
      <w:r>
        <w:rPr>
          <w:color w:val="231F20"/>
          <w:szCs w:val="22"/>
        </w:rPr>
        <w:tab/>
      </w:r>
      <w:r w:rsidRPr="0000609F">
        <w:rPr>
          <w:color w:val="231F20"/>
          <w:szCs w:val="22"/>
        </w:rPr>
        <w:t xml:space="preserve">GTCR Holdings, a Delaware limited liability company, </w:t>
      </w:r>
      <w:r w:rsidRPr="0000609F">
        <w:rPr>
          <w:rFonts w:ascii="TimesNewRomanPSMT" w:hAnsi="TimesNewRomanPSMT" w:cs="TimesNewRomanPSMT"/>
          <w:szCs w:val="22"/>
        </w:rPr>
        <w:t>is an investment vehicle created to aggregate the ownership of various investment funds managed by GTCR LLC</w:t>
      </w:r>
      <w:r>
        <w:rPr>
          <w:rFonts w:ascii="TimesNewRomanPSMT" w:hAnsi="TimesNewRomanPSMT" w:cs="TimesNewRomanPSMT"/>
          <w:szCs w:val="22"/>
        </w:rPr>
        <w:t>, a U.S.-based entity</w:t>
      </w:r>
      <w:r w:rsidRPr="0000609F">
        <w:rPr>
          <w:rFonts w:ascii="TimesNewRomanPSMT" w:hAnsi="TimesNewRomanPSMT" w:cs="TimesNewRomanPSMT"/>
          <w:szCs w:val="22"/>
        </w:rPr>
        <w:t>.</w:t>
      </w:r>
      <w:r>
        <w:rPr>
          <w:rStyle w:val="FootnoteReference"/>
          <w:rFonts w:ascii="TimesNewRomanPSMT" w:hAnsi="TimesNewRomanPSMT" w:cs="TimesNewRomanPSMT"/>
          <w:szCs w:val="22"/>
        </w:rPr>
        <w:footnoteReference w:id="6"/>
      </w:r>
      <w:r w:rsidRPr="0000609F">
        <w:rPr>
          <w:rFonts w:ascii="TimesNewRomanPSMT" w:hAnsi="TimesNewRomanPSMT" w:cs="TimesNewRomanPSMT"/>
          <w:szCs w:val="22"/>
        </w:rPr>
        <w:t xml:space="preserve">  GTCR Holdings owns 100</w:t>
      </w:r>
      <w:r>
        <w:rPr>
          <w:rFonts w:ascii="TimesNewRomanPSMT" w:hAnsi="TimesNewRomanPSMT" w:cs="TimesNewRomanPSMT"/>
          <w:szCs w:val="22"/>
        </w:rPr>
        <w:t>%</w:t>
      </w:r>
      <w:r w:rsidRPr="0000609F">
        <w:rPr>
          <w:rFonts w:ascii="TimesNewRomanPSMT" w:hAnsi="TimesNewRomanPSMT" w:cs="TimesNewRomanPSMT"/>
          <w:szCs w:val="22"/>
        </w:rPr>
        <w:t xml:space="preserve"> of </w:t>
      </w:r>
      <w:r>
        <w:rPr>
          <w:rFonts w:ascii="TimesNewRomanPSMT" w:hAnsi="TimesNewRomanPSMT" w:cs="TimesNewRomanPSMT"/>
          <w:szCs w:val="22"/>
        </w:rPr>
        <w:t>Onvoy Holdings Inc. (Onvoy Holdings), a Delaware entity that in turn owns 100% of Authority Holders.</w:t>
      </w:r>
      <w:r>
        <w:rPr>
          <w:rStyle w:val="FootnoteReference"/>
          <w:rFonts w:ascii="TimesNewRomanPSMT" w:hAnsi="TimesNewRomanPSMT" w:cs="TimesNewRomanPSMT"/>
          <w:szCs w:val="22"/>
        </w:rPr>
        <w:footnoteReference w:id="7"/>
      </w:r>
      <w:r>
        <w:rPr>
          <w:rFonts w:ascii="TimesNewRomanPSMT" w:hAnsi="TimesNewRomanPSMT" w:cs="TimesNewRomanPSMT"/>
          <w:szCs w:val="22"/>
        </w:rPr>
        <w:t xml:space="preserve">  Authority Holders are all U.S.-based entities that operate a carrier network providing competitive wholesale services in all 50 states, the District of Columbia, Puerto Rico, and the U.S. Virgin Islands.</w:t>
      </w:r>
      <w:r>
        <w:rPr>
          <w:rStyle w:val="FootnoteReference"/>
          <w:rFonts w:ascii="TimesNewRomanPSMT" w:hAnsi="TimesNewRomanPSMT" w:cs="TimesNewRomanPSMT"/>
          <w:szCs w:val="22"/>
        </w:rPr>
        <w:footnoteReference w:id="8"/>
      </w:r>
      <w:r>
        <w:rPr>
          <w:rFonts w:ascii="TimesNewRomanPSMT" w:hAnsi="TimesNewRomanPSMT" w:cs="TimesNewRomanPSMT"/>
          <w:szCs w:val="22"/>
        </w:rPr>
        <w:t xml:space="preserve">  Specifically, Onvoy provides wholesale local exchange carrier (LEC) and long distance services in all 50 states except Alaska; MIEAC provides centralized equal access services in Minnesota and North Dakota; Voyant provides telecommunications services in Colorado, Idaho, Indiana, Michigan, Minnesota, Ohio, Tennessee, and Washington; Broadvox provides telecommunications services on a wholesale basis to Onvoy; ANPI provides wholesale interexchange services throughout the United States and is authorized as a competitive LEC in several states; ANPI Business</w:t>
      </w:r>
      <w:r w:rsidRPr="006E719B">
        <w:rPr>
          <w:rFonts w:ascii="TimesNewRomanPSMT" w:hAnsi="TimesNewRomanPSMT" w:cs="TimesNewRomanPSMT"/>
          <w:szCs w:val="22"/>
        </w:rPr>
        <w:t xml:space="preserve"> </w:t>
      </w:r>
      <w:r>
        <w:rPr>
          <w:rFonts w:ascii="TimesNewRomanPSMT" w:hAnsi="TimesNewRomanPSMT" w:cs="TimesNewRomanPSMT"/>
          <w:szCs w:val="22"/>
        </w:rPr>
        <w:t>provides wholesale interexchange services throughout the United States and is authorized as a competitive LEC in several states; Inteliquent provides wholesale competitive access, interexchange, and other services in the District of Columbia, Puerto Rico, and in every state except Alaska; and Layered provides telecommunications services primarily to other providers in California and New York</w:t>
      </w:r>
      <w:r w:rsidRPr="0000609F">
        <w:rPr>
          <w:rFonts w:ascii="TimesNewRomanPSMT" w:hAnsi="TimesNewRomanPSMT" w:cs="TimesNewRomanPSMT"/>
          <w:szCs w:val="22"/>
        </w:rPr>
        <w:t>.</w:t>
      </w:r>
      <w:r>
        <w:rPr>
          <w:rStyle w:val="FootnoteReference"/>
          <w:rFonts w:ascii="TimesNewRomanPSMT" w:hAnsi="TimesNewRomanPSMT" w:cs="TimesNewRomanPSMT"/>
          <w:szCs w:val="22"/>
        </w:rPr>
        <w:footnoteReference w:id="9"/>
      </w:r>
      <w:r>
        <w:rPr>
          <w:rFonts w:ascii="TimesNewRomanPSMT" w:hAnsi="TimesNewRomanPSMT" w:cs="TimesNewRomanPSMT"/>
          <w:szCs w:val="22"/>
        </w:rPr>
        <w:t xml:space="preserve"> </w:t>
      </w:r>
    </w:p>
    <w:p w:rsidR="00983CD6" w:rsidRPr="00895DE3" w:rsidP="00983CD6" w14:paraId="77E2065C" w14:textId="77777777">
      <w:pPr>
        <w:autoSpaceDE w:val="0"/>
        <w:autoSpaceDN w:val="0"/>
        <w:adjustRightInd w:val="0"/>
        <w:rPr>
          <w:rFonts w:ascii="TimesNewRomanPSMT" w:hAnsi="TimesNewRomanPSMT" w:cs="TimesNewRomanPSMT"/>
          <w:b/>
          <w:bCs/>
          <w:szCs w:val="22"/>
        </w:rPr>
      </w:pPr>
    </w:p>
    <w:p w:rsidR="00983CD6" w:rsidRPr="00323F64" w:rsidP="00983CD6" w14:paraId="351AFFB8" w14:textId="0CBF38F6">
      <w:pPr>
        <w:autoSpaceDE w:val="0"/>
        <w:autoSpaceDN w:val="0"/>
        <w:adjustRightInd w:val="0"/>
        <w:rPr>
          <w:rFonts w:ascii="TimesNewRomanPSMT" w:hAnsi="TimesNewRomanPSMT" w:cs="TimesNewRomanPSMT"/>
          <w:szCs w:val="22"/>
        </w:rPr>
      </w:pPr>
      <w:r>
        <w:rPr>
          <w:rFonts w:ascii="TimesNewRomanPSMT" w:hAnsi="TimesNewRomanPSMT" w:cs="TimesNewRomanPSMT"/>
          <w:sz w:val="24"/>
          <w:szCs w:val="24"/>
        </w:rPr>
        <w:tab/>
      </w:r>
      <w:r w:rsidRPr="00323F64">
        <w:rPr>
          <w:rFonts w:ascii="TimesNewRomanPSMT" w:hAnsi="TimesNewRomanPSMT" w:cs="TimesNewRomanPSMT"/>
          <w:szCs w:val="22"/>
        </w:rPr>
        <w:t xml:space="preserve">Sinch US, a Delaware corporation, is a wholly-owned direct subsidiary of Sinch Holding AB (Sinch Holding), </w:t>
      </w:r>
      <w:r>
        <w:rPr>
          <w:rFonts w:ascii="TimesNewRomanPSMT" w:hAnsi="TimesNewRomanPSMT" w:cs="TimesNewRomanPSMT"/>
          <w:szCs w:val="22"/>
        </w:rPr>
        <w:t xml:space="preserve">a Swedish corporation, </w:t>
      </w:r>
      <w:r w:rsidRPr="00323F64">
        <w:rPr>
          <w:rFonts w:ascii="TimesNewRomanPSMT" w:hAnsi="TimesNewRomanPSMT" w:cs="TimesNewRomanPSMT"/>
          <w:szCs w:val="22"/>
        </w:rPr>
        <w:t>which is in turn a wholly-owned direct subsidiary of Sinch AB (publ) (Sinch)</w:t>
      </w:r>
      <w:r>
        <w:rPr>
          <w:rFonts w:ascii="TimesNewRomanPSMT" w:hAnsi="TimesNewRomanPSMT" w:cs="TimesNewRomanPSMT"/>
          <w:szCs w:val="22"/>
        </w:rPr>
        <w:t>, a publicly-traded Swedish communications company</w:t>
      </w:r>
      <w:r w:rsidRPr="00323F64">
        <w:rPr>
          <w:rFonts w:ascii="TimesNewRomanPSMT" w:hAnsi="TimesNewRomanPSMT" w:cs="TimesNewRomanPSMT"/>
          <w:szCs w:val="22"/>
        </w:rPr>
        <w:t>.</w:t>
      </w:r>
      <w:r>
        <w:rPr>
          <w:rStyle w:val="FootnoteReference"/>
          <w:rFonts w:ascii="TimesNewRomanPSMT" w:hAnsi="TimesNewRomanPSMT" w:cs="TimesNewRomanPSMT"/>
          <w:szCs w:val="22"/>
        </w:rPr>
        <w:footnoteReference w:id="10"/>
      </w:r>
      <w:r w:rsidRPr="00323F64">
        <w:rPr>
          <w:rFonts w:ascii="TimesNewRomanPSMT" w:hAnsi="TimesNewRomanPSMT" w:cs="TimesNewRomanPSMT"/>
          <w:szCs w:val="22"/>
        </w:rPr>
        <w:t xml:space="preserve">  </w:t>
      </w:r>
      <w:r>
        <w:rPr>
          <w:rFonts w:ascii="TimesNewRomanPSMT" w:hAnsi="TimesNewRomanPSMT" w:cs="TimesNewRomanPSMT"/>
          <w:szCs w:val="22"/>
        </w:rPr>
        <w:t>According to Applicants, a</w:t>
      </w:r>
      <w:r w:rsidRPr="00323F64">
        <w:rPr>
          <w:rFonts w:ascii="TimesNewRomanPSMT" w:hAnsi="TimesNewRomanPSMT" w:cs="TimesNewRomanPSMT"/>
          <w:szCs w:val="22"/>
        </w:rPr>
        <w:t>s of February 28, 2021, Sinch has one shareholder with a 10</w:t>
      </w:r>
      <w:r>
        <w:rPr>
          <w:rFonts w:ascii="TimesNewRomanPSMT" w:hAnsi="TimesNewRomanPSMT" w:cs="TimesNewRomanPSMT"/>
          <w:szCs w:val="22"/>
        </w:rPr>
        <w:t xml:space="preserve">% or </w:t>
      </w:r>
      <w:r w:rsidRPr="00323F64">
        <w:rPr>
          <w:rFonts w:ascii="TimesNewRomanPSMT" w:hAnsi="TimesNewRomanPSMT" w:cs="TimesNewRomanPSMT"/>
          <w:szCs w:val="22"/>
        </w:rPr>
        <w:t>greater interest</w:t>
      </w:r>
      <w:r>
        <w:rPr>
          <w:rFonts w:ascii="TimesNewRomanPSMT" w:hAnsi="TimesNewRomanPSMT" w:cs="TimesNewRomanPSMT"/>
          <w:szCs w:val="22"/>
        </w:rPr>
        <w:t xml:space="preserve">, </w:t>
      </w:r>
      <w:r w:rsidRPr="00323F64">
        <w:rPr>
          <w:rFonts w:ascii="TimesNewRomanPSMT" w:hAnsi="TimesNewRomanPSMT" w:cs="TimesNewRomanPSMT"/>
          <w:szCs w:val="22"/>
        </w:rPr>
        <w:t>Neqst D2 AB, a Swedish investment firm</w:t>
      </w:r>
      <w:r>
        <w:rPr>
          <w:rFonts w:ascii="TimesNewRomanPSMT" w:hAnsi="TimesNewRomanPSMT" w:cs="TimesNewRomanPSMT"/>
          <w:szCs w:val="22"/>
        </w:rPr>
        <w:t xml:space="preserve"> that </w:t>
      </w:r>
      <w:r w:rsidRPr="00323F64">
        <w:rPr>
          <w:rFonts w:ascii="TimesNewRomanPSMT" w:hAnsi="TimesNewRomanPSMT" w:cs="TimesNewRomanPSMT"/>
          <w:szCs w:val="22"/>
        </w:rPr>
        <w:t>owns 16.5</w:t>
      </w:r>
      <w:r>
        <w:rPr>
          <w:rFonts w:ascii="TimesNewRomanPSMT" w:hAnsi="TimesNewRomanPSMT" w:cs="TimesNewRomanPSMT"/>
          <w:szCs w:val="22"/>
        </w:rPr>
        <w:t>%</w:t>
      </w:r>
      <w:r w:rsidRPr="00323F64">
        <w:rPr>
          <w:rFonts w:ascii="TimesNewRomanPSMT" w:hAnsi="TimesNewRomanPSMT" w:cs="TimesNewRomanPSMT"/>
          <w:szCs w:val="22"/>
        </w:rPr>
        <w:t xml:space="preserve"> of the outstanding shares in Sinch.</w:t>
      </w:r>
      <w:r>
        <w:rPr>
          <w:rStyle w:val="FootnoteReference"/>
          <w:rFonts w:ascii="TimesNewRomanPSMT" w:hAnsi="TimesNewRomanPSMT" w:cs="TimesNewRomanPSMT"/>
          <w:szCs w:val="22"/>
        </w:rPr>
        <w:footnoteReference w:id="11"/>
      </w:r>
      <w:r w:rsidRPr="00323F64">
        <w:rPr>
          <w:rFonts w:ascii="TimesNewRomanPSMT" w:hAnsi="TimesNewRomanPSMT" w:cs="TimesNewRomanPSMT"/>
          <w:szCs w:val="22"/>
        </w:rPr>
        <w:t xml:space="preserve">  </w:t>
      </w:r>
      <w:r>
        <w:rPr>
          <w:rFonts w:ascii="TimesNewRomanPSMT" w:hAnsi="TimesNewRomanPSMT" w:cs="TimesNewRomanPSMT"/>
          <w:szCs w:val="22"/>
        </w:rPr>
        <w:t>Neqst D2 AB is indirectly owned by Jonas Frederiksson and Erik Fr</w:t>
      </w:r>
      <w:r w:rsidRPr="00752296">
        <w:rPr>
          <w:bCs/>
          <w:color w:val="000000"/>
          <w:szCs w:val="22"/>
        </w:rPr>
        <w:t>ö</w:t>
      </w:r>
      <w:r>
        <w:rPr>
          <w:rFonts w:ascii="TimesNewRomanPSMT" w:hAnsi="TimesNewRomanPSMT" w:cs="TimesNewRomanPSMT"/>
          <w:szCs w:val="22"/>
        </w:rPr>
        <w:t>berg , both Swedish citizens, through several intervening Swedish entities.</w:t>
      </w:r>
      <w:r>
        <w:rPr>
          <w:rStyle w:val="FootnoteReference"/>
          <w:rFonts w:ascii="TimesNewRomanPSMT" w:hAnsi="TimesNewRomanPSMT" w:cs="TimesNewRomanPSMT"/>
          <w:szCs w:val="22"/>
        </w:rPr>
        <w:footnoteReference w:id="12"/>
      </w:r>
      <w:r>
        <w:rPr>
          <w:rFonts w:ascii="TimesNewRomanPSMT" w:hAnsi="TimesNewRomanPSMT" w:cs="TimesNewRomanPSMT"/>
          <w:szCs w:val="22"/>
        </w:rPr>
        <w:t xml:space="preserve">  </w:t>
      </w:r>
      <w:r w:rsidRPr="00323F64">
        <w:rPr>
          <w:rFonts w:ascii="TimesNewRomanPSMT" w:hAnsi="TimesNewRomanPSMT" w:cs="TimesNewRomanPSMT"/>
          <w:szCs w:val="22"/>
        </w:rPr>
        <w:t xml:space="preserve">The remaining </w:t>
      </w:r>
      <w:r>
        <w:rPr>
          <w:rFonts w:ascii="TimesNewRomanPSMT" w:hAnsi="TimesNewRomanPSMT" w:cs="TimesNewRomanPSMT"/>
          <w:szCs w:val="22"/>
        </w:rPr>
        <w:t>83.5% equity and voting interest</w:t>
      </w:r>
      <w:r w:rsidR="00D801BA">
        <w:rPr>
          <w:rFonts w:ascii="TimesNewRomanPSMT" w:hAnsi="TimesNewRomanPSMT" w:cs="TimesNewRomanPSMT"/>
          <w:szCs w:val="22"/>
        </w:rPr>
        <w:t>s</w:t>
      </w:r>
      <w:r>
        <w:rPr>
          <w:rFonts w:ascii="TimesNewRomanPSMT" w:hAnsi="TimesNewRomanPSMT" w:cs="TimesNewRomanPSMT"/>
          <w:szCs w:val="22"/>
        </w:rPr>
        <w:t xml:space="preserve"> in Sinch</w:t>
      </w:r>
      <w:r w:rsidRPr="00323F64">
        <w:rPr>
          <w:rFonts w:ascii="TimesNewRomanPSMT" w:hAnsi="TimesNewRomanPSMT" w:cs="TimesNewRomanPSMT"/>
          <w:szCs w:val="22"/>
        </w:rPr>
        <w:t xml:space="preserve"> are</w:t>
      </w:r>
      <w:r>
        <w:rPr>
          <w:rFonts w:ascii="TimesNewRomanPSMT" w:hAnsi="TimesNewRomanPSMT" w:cs="TimesNewRomanPSMT"/>
          <w:szCs w:val="22"/>
        </w:rPr>
        <w:t xml:space="preserve"> collectively</w:t>
      </w:r>
      <w:r w:rsidRPr="00323F64">
        <w:rPr>
          <w:rFonts w:ascii="TimesNewRomanPSMT" w:hAnsi="TimesNewRomanPSMT" w:cs="TimesNewRomanPSMT"/>
          <w:szCs w:val="22"/>
        </w:rPr>
        <w:t xml:space="preserve"> held by </w:t>
      </w:r>
      <w:r>
        <w:rPr>
          <w:rFonts w:ascii="TimesNewRomanPSMT" w:hAnsi="TimesNewRomanPSMT" w:cs="TimesNewRomanPSMT"/>
          <w:szCs w:val="22"/>
        </w:rPr>
        <w:t xml:space="preserve">public </w:t>
      </w:r>
      <w:r>
        <w:rPr>
          <w:rFonts w:ascii="TimesNewRomanPSMT" w:hAnsi="TimesNewRomanPSMT" w:cs="TimesNewRomanPSMT"/>
          <w:szCs w:val="22"/>
        </w:rPr>
        <w:t xml:space="preserve">shareholders </w:t>
      </w:r>
      <w:r w:rsidRPr="00323F64">
        <w:rPr>
          <w:rFonts w:ascii="TimesNewRomanPSMT" w:hAnsi="TimesNewRomanPSMT" w:cs="TimesNewRomanPSMT"/>
          <w:szCs w:val="22"/>
        </w:rPr>
        <w:t>with respective ownership interests under 10</w:t>
      </w:r>
      <w:r>
        <w:rPr>
          <w:rFonts w:ascii="TimesNewRomanPSMT" w:hAnsi="TimesNewRomanPSMT" w:cs="TimesNewRomanPSMT"/>
          <w:szCs w:val="22"/>
        </w:rPr>
        <w:t>% in Sinch</w:t>
      </w:r>
      <w:r w:rsidRPr="00323F64">
        <w:rPr>
          <w:rFonts w:ascii="TimesNewRomanPSMT" w:hAnsi="TimesNewRomanPSMT" w:cs="TimesNewRomanPSMT"/>
          <w:szCs w:val="22"/>
        </w:rPr>
        <w:t>.</w:t>
      </w:r>
      <w:r>
        <w:rPr>
          <w:rStyle w:val="FootnoteReference"/>
          <w:rFonts w:ascii="TimesNewRomanPSMT" w:hAnsi="TimesNewRomanPSMT" w:cs="TimesNewRomanPSMT"/>
          <w:szCs w:val="22"/>
        </w:rPr>
        <w:footnoteReference w:id="13"/>
      </w:r>
      <w:r w:rsidRPr="00323F64">
        <w:rPr>
          <w:rFonts w:ascii="TimesNewRomanPSMT" w:hAnsi="TimesNewRomanPSMT" w:cs="TimesNewRomanPSMT"/>
          <w:szCs w:val="22"/>
        </w:rPr>
        <w:t xml:space="preserve"> </w:t>
      </w:r>
      <w:r>
        <w:rPr>
          <w:rFonts w:ascii="TimesNewRomanPSMT" w:hAnsi="TimesNewRomanPSMT" w:cs="TimesNewRomanPSMT"/>
          <w:szCs w:val="22"/>
        </w:rPr>
        <w:t xml:space="preserve"> Applicants state that Sinch does not control and is not affiliated with any U.S. telecommunications providers.</w:t>
      </w:r>
      <w:r>
        <w:rPr>
          <w:rStyle w:val="FootnoteReference"/>
          <w:rFonts w:ascii="TimesNewRomanPSMT" w:hAnsi="TimesNewRomanPSMT" w:cs="TimesNewRomanPSMT"/>
          <w:szCs w:val="22"/>
        </w:rPr>
        <w:footnoteReference w:id="14"/>
      </w:r>
      <w:r>
        <w:rPr>
          <w:rFonts w:ascii="TimesNewRomanPSMT" w:hAnsi="TimesNewRomanPSMT" w:cs="TimesNewRomanPSMT"/>
          <w:szCs w:val="22"/>
        </w:rPr>
        <w:t xml:space="preserve">  </w:t>
      </w:r>
    </w:p>
    <w:p w:rsidR="00983CD6" w:rsidRPr="00F13659" w:rsidP="00983CD6" w14:paraId="67D0F8E7" w14:textId="77777777">
      <w:pPr>
        <w:autoSpaceDE w:val="0"/>
        <w:autoSpaceDN w:val="0"/>
        <w:adjustRightInd w:val="0"/>
        <w:rPr>
          <w:szCs w:val="22"/>
        </w:rPr>
      </w:pPr>
    </w:p>
    <w:p w:rsidR="00983CD6" w:rsidRPr="00F13659" w:rsidP="00983CD6" w14:paraId="56E9A58F" w14:textId="77777777">
      <w:pPr>
        <w:autoSpaceDE w:val="0"/>
        <w:autoSpaceDN w:val="0"/>
        <w:adjustRightInd w:val="0"/>
        <w:rPr>
          <w:rFonts w:ascii="TimesNewRomanPSMT" w:hAnsi="TimesNewRomanPSMT" w:cs="TimesNewRomanPSMT"/>
          <w:szCs w:val="22"/>
        </w:rPr>
      </w:pPr>
      <w:r w:rsidRPr="00F13659">
        <w:rPr>
          <w:szCs w:val="22"/>
        </w:rPr>
        <w:tab/>
        <w:t xml:space="preserve"> </w:t>
      </w:r>
      <w:r w:rsidRPr="00F13659">
        <w:rPr>
          <w:rFonts w:ascii="TimesNewRomanPSMT" w:hAnsi="TimesNewRomanPSMT" w:cs="TimesNewRomanPSMT"/>
          <w:szCs w:val="22"/>
        </w:rPr>
        <w:t>Pursuant to the terms of the Stock Purchase Agreement</w:t>
      </w:r>
      <w:r>
        <w:rPr>
          <w:rFonts w:ascii="TimesNewRomanPSMT" w:hAnsi="TimesNewRomanPSMT" w:cs="TimesNewRomanPSMT"/>
          <w:szCs w:val="22"/>
        </w:rPr>
        <w:t xml:space="preserve"> </w:t>
      </w:r>
      <w:r w:rsidRPr="00F13659">
        <w:rPr>
          <w:rFonts w:ascii="TimesNewRomanPSMT" w:hAnsi="TimesNewRomanPSMT" w:cs="TimesNewRomanPSMT"/>
          <w:szCs w:val="22"/>
        </w:rPr>
        <w:t>dated February 16, 2021, Sinch US will purchase all of the outstanding shares of Onvoy</w:t>
      </w:r>
      <w:r>
        <w:rPr>
          <w:rFonts w:ascii="TimesNewRomanPSMT" w:hAnsi="TimesNewRomanPSMT" w:cs="TimesNewRomanPSMT"/>
          <w:szCs w:val="22"/>
        </w:rPr>
        <w:t xml:space="preserve"> Holdings</w:t>
      </w:r>
      <w:r w:rsidRPr="00F13659">
        <w:rPr>
          <w:rFonts w:ascii="TimesNewRomanPSMT" w:hAnsi="TimesNewRomanPSMT" w:cs="TimesNewRomanPSMT"/>
          <w:szCs w:val="22"/>
        </w:rPr>
        <w:t xml:space="preserve">, as a result of which </w:t>
      </w:r>
      <w:r>
        <w:rPr>
          <w:rFonts w:ascii="TimesNewRomanPSMT" w:hAnsi="TimesNewRomanPSMT" w:cs="TimesNewRomanPSMT"/>
          <w:szCs w:val="22"/>
        </w:rPr>
        <w:t>Authority Holders</w:t>
      </w:r>
      <w:r w:rsidRPr="00F13659">
        <w:rPr>
          <w:rFonts w:ascii="TimesNewRomanPSMT" w:hAnsi="TimesNewRomanPSMT" w:cs="TimesNewRomanPSMT"/>
          <w:szCs w:val="22"/>
        </w:rPr>
        <w:t xml:space="preserve"> will no longer be indirectly owned and controlled by GTCR Holdings</w:t>
      </w:r>
      <w:r>
        <w:rPr>
          <w:rFonts w:ascii="TimesNewRomanPSMT" w:hAnsi="TimesNewRomanPSMT" w:cs="TimesNewRomanPSMT"/>
          <w:szCs w:val="22"/>
        </w:rPr>
        <w:t xml:space="preserve"> (Proposed Transaction)</w:t>
      </w:r>
      <w:r w:rsidRPr="00F13659">
        <w:rPr>
          <w:rFonts w:ascii="TimesNewRomanPSMT" w:hAnsi="TimesNewRomanPSMT" w:cs="TimesNewRomanPSMT"/>
          <w:szCs w:val="22"/>
        </w:rPr>
        <w:t>.</w:t>
      </w:r>
      <w:r>
        <w:rPr>
          <w:rStyle w:val="FootnoteReference"/>
          <w:rFonts w:ascii="TimesNewRomanPSMT" w:hAnsi="TimesNewRomanPSMT" w:cs="TimesNewRomanPSMT"/>
          <w:szCs w:val="22"/>
        </w:rPr>
        <w:footnoteReference w:id="15"/>
      </w:r>
      <w:r w:rsidRPr="00F13659">
        <w:rPr>
          <w:rFonts w:ascii="TimesNewRomanPSMT" w:hAnsi="TimesNewRomanPSMT" w:cs="TimesNewRomanPSMT"/>
          <w:szCs w:val="22"/>
        </w:rPr>
        <w:t xml:space="preserve">  </w:t>
      </w:r>
      <w:r>
        <w:rPr>
          <w:rFonts w:ascii="TimesNewRomanPSMT" w:hAnsi="TimesNewRomanPSMT" w:cs="TimesNewRomanPSMT"/>
          <w:szCs w:val="22"/>
        </w:rPr>
        <w:t>The Authority Holders</w:t>
      </w:r>
      <w:r w:rsidRPr="00F13659">
        <w:rPr>
          <w:rFonts w:ascii="TimesNewRomanPSMT" w:hAnsi="TimesNewRomanPSMT" w:cs="TimesNewRomanPSMT"/>
          <w:szCs w:val="22"/>
        </w:rPr>
        <w:t xml:space="preserve"> will continue to be 100</w:t>
      </w:r>
      <w:r>
        <w:rPr>
          <w:rFonts w:ascii="TimesNewRomanPSMT" w:hAnsi="TimesNewRomanPSMT" w:cs="TimesNewRomanPSMT"/>
          <w:szCs w:val="22"/>
        </w:rPr>
        <w:t>%</w:t>
      </w:r>
      <w:r w:rsidRPr="00F13659">
        <w:rPr>
          <w:rFonts w:ascii="TimesNewRomanPSMT" w:hAnsi="TimesNewRomanPSMT" w:cs="TimesNewRomanPSMT"/>
          <w:szCs w:val="22"/>
        </w:rPr>
        <w:t xml:space="preserve"> indirectly owned and controlled by Onvoy Holdings, which will in turn be indirectly owned and controlled by Sinch.</w:t>
      </w:r>
      <w:r>
        <w:rPr>
          <w:rStyle w:val="FootnoteReference"/>
          <w:rFonts w:ascii="TimesNewRomanPSMT" w:hAnsi="TimesNewRomanPSMT" w:cs="TimesNewRomanPSMT"/>
          <w:szCs w:val="22"/>
        </w:rPr>
        <w:footnoteReference w:id="16"/>
      </w:r>
    </w:p>
    <w:p w:rsidR="00983CD6" w:rsidRPr="00F13659" w:rsidP="00983CD6" w14:paraId="5C815183" w14:textId="77777777">
      <w:pPr>
        <w:autoSpaceDE w:val="0"/>
        <w:autoSpaceDN w:val="0"/>
        <w:adjustRightInd w:val="0"/>
        <w:rPr>
          <w:rFonts w:ascii="TimesNewRomanPSMT" w:hAnsi="TimesNewRomanPSMT" w:cs="TimesNewRomanPSMT"/>
          <w:szCs w:val="22"/>
        </w:rPr>
      </w:pPr>
    </w:p>
    <w:p w:rsidR="00983CD6" w:rsidRPr="00F13659" w:rsidP="00983CD6" w14:paraId="68210460" w14:textId="514567C5">
      <w:pPr>
        <w:autoSpaceDE w:val="0"/>
        <w:autoSpaceDN w:val="0"/>
        <w:adjustRightInd w:val="0"/>
        <w:rPr>
          <w:rFonts w:ascii="TimesNewRomanPSMT" w:hAnsi="TimesNewRomanPSMT" w:cs="TimesNewRomanPSMT"/>
          <w:szCs w:val="22"/>
        </w:rPr>
      </w:pPr>
      <w:r w:rsidRPr="00F13659">
        <w:rPr>
          <w:rFonts w:ascii="TimesNewRomanPSMT" w:hAnsi="TimesNewRomanPSMT" w:cs="TimesNewRomanPSMT"/>
          <w:szCs w:val="22"/>
        </w:rPr>
        <w:tab/>
      </w:r>
      <w:r w:rsidRPr="00F13659">
        <w:rPr>
          <w:szCs w:val="22"/>
        </w:rPr>
        <w:t xml:space="preserve">Applicants assert that a grant of the </w:t>
      </w:r>
      <w:r>
        <w:rPr>
          <w:szCs w:val="22"/>
        </w:rPr>
        <w:t>A</w:t>
      </w:r>
      <w:r w:rsidRPr="00F13659">
        <w:rPr>
          <w:szCs w:val="22"/>
        </w:rPr>
        <w:t>pplication</w:t>
      </w:r>
      <w:r>
        <w:rPr>
          <w:szCs w:val="22"/>
        </w:rPr>
        <w:t>s</w:t>
      </w:r>
      <w:r w:rsidRPr="00F13659">
        <w:rPr>
          <w:szCs w:val="22"/>
        </w:rPr>
        <w:t xml:space="preserve"> w</w:t>
      </w:r>
      <w:r>
        <w:rPr>
          <w:szCs w:val="22"/>
        </w:rPr>
        <w:t>ould</w:t>
      </w:r>
      <w:r w:rsidRPr="00F13659">
        <w:rPr>
          <w:szCs w:val="22"/>
        </w:rPr>
        <w:t xml:space="preserve"> serve the public interest, convenience, and necessity</w:t>
      </w:r>
      <w:r>
        <w:rPr>
          <w:szCs w:val="22"/>
        </w:rPr>
        <w:t>.  They state that Sinch’s financial resources and management experience would allow the Authority Holders to expand and improve their service offerings while providing existing services to their customers at the same rates, terms, and conditions.</w:t>
      </w:r>
      <w:r>
        <w:rPr>
          <w:rStyle w:val="FootnoteReference"/>
          <w:szCs w:val="22"/>
        </w:rPr>
        <w:footnoteReference w:id="17"/>
      </w:r>
      <w:r>
        <w:rPr>
          <w:szCs w:val="22"/>
        </w:rPr>
        <w:t xml:space="preserve">  They also state that the </w:t>
      </w:r>
      <w:r w:rsidR="00D801BA">
        <w:rPr>
          <w:szCs w:val="22"/>
        </w:rPr>
        <w:t>P</w:t>
      </w:r>
      <w:r>
        <w:rPr>
          <w:szCs w:val="22"/>
        </w:rPr>
        <w:t xml:space="preserve">roposed </w:t>
      </w:r>
      <w:r w:rsidR="00D801BA">
        <w:rPr>
          <w:szCs w:val="22"/>
        </w:rPr>
        <w:t>T</w:t>
      </w:r>
      <w:r>
        <w:rPr>
          <w:szCs w:val="22"/>
        </w:rPr>
        <w:t>ransaction would not adversely affect competition in any domestic or international market.</w:t>
      </w:r>
      <w:r>
        <w:rPr>
          <w:rStyle w:val="FootnoteReference"/>
          <w:szCs w:val="22"/>
        </w:rPr>
        <w:footnoteReference w:id="18"/>
      </w:r>
      <w:r>
        <w:rPr>
          <w:szCs w:val="22"/>
        </w:rPr>
        <w:t xml:space="preserve">  </w:t>
      </w:r>
    </w:p>
    <w:p w:rsidR="00983CD6" w:rsidRPr="00E651E5" w:rsidP="00983CD6" w14:paraId="55B1C565" w14:textId="77777777">
      <w:pPr>
        <w:autoSpaceDE w:val="0"/>
        <w:autoSpaceDN w:val="0"/>
        <w:adjustRightInd w:val="0"/>
        <w:rPr>
          <w:szCs w:val="22"/>
        </w:rPr>
      </w:pPr>
    </w:p>
    <w:p w:rsidR="00983CD6" w:rsidRPr="002336DD" w:rsidP="00983CD6" w14:paraId="1FEE8A76" w14:textId="77777777">
      <w:pPr>
        <w:autoSpaceDE w:val="0"/>
        <w:autoSpaceDN w:val="0"/>
        <w:adjustRightInd w:val="0"/>
        <w:rPr>
          <w:b/>
          <w:bCs/>
          <w:szCs w:val="22"/>
          <w:u w:val="single"/>
        </w:rPr>
      </w:pPr>
      <w:r w:rsidRPr="002336DD">
        <w:rPr>
          <w:b/>
          <w:bCs/>
          <w:szCs w:val="22"/>
          <w:u w:val="single"/>
        </w:rPr>
        <w:t>Petition for Declaratory Ruling Under Section 310(b)(4)</w:t>
      </w:r>
    </w:p>
    <w:p w:rsidR="00983CD6" w:rsidP="00983CD6" w14:paraId="1D429162" w14:textId="77777777">
      <w:pPr>
        <w:autoSpaceDE w:val="0"/>
        <w:autoSpaceDN w:val="0"/>
        <w:adjustRightInd w:val="0"/>
        <w:rPr>
          <w:b/>
          <w:color w:val="000000"/>
          <w:szCs w:val="22"/>
          <w:u w:val="single"/>
        </w:rPr>
      </w:pPr>
    </w:p>
    <w:p w:rsidR="00983CD6" w:rsidP="00983CD6" w14:paraId="1DD01F24" w14:textId="77777777">
      <w:pPr>
        <w:autoSpaceDE w:val="0"/>
        <w:autoSpaceDN w:val="0"/>
        <w:adjustRightInd w:val="0"/>
        <w:ind w:firstLine="720"/>
        <w:rPr>
          <w:color w:val="000000"/>
          <w:szCs w:val="22"/>
        </w:rPr>
      </w:pPr>
      <w:r>
        <w:rPr>
          <w:color w:val="000000"/>
          <w:szCs w:val="22"/>
        </w:rPr>
        <w:t>Onvoy Spectrum holds two common carrier wireless licenses and thus</w:t>
      </w:r>
      <w:r>
        <w:rPr>
          <w:szCs w:val="22"/>
        </w:rPr>
        <w:t xml:space="preserve"> Sinch US and Onvoy Spectrum (together, Petitioners) have filed a </w:t>
      </w:r>
      <w:r w:rsidRPr="00EC6A48">
        <w:rPr>
          <w:szCs w:val="22"/>
        </w:rPr>
        <w:t>petition for declaratory ruling</w:t>
      </w:r>
      <w:r>
        <w:rPr>
          <w:szCs w:val="22"/>
        </w:rPr>
        <w:t xml:space="preserve"> (Petition), pursuant to section 310(b)(4) of the Act and section 1.5000(a)(1) of the Commission’s rules,</w:t>
      </w:r>
      <w:r>
        <w:rPr>
          <w:rStyle w:val="FootnoteReference"/>
          <w:szCs w:val="22"/>
        </w:rPr>
        <w:footnoteReference w:id="19"/>
      </w:r>
      <w:r w:rsidRPr="00EC6A48">
        <w:rPr>
          <w:szCs w:val="22"/>
        </w:rPr>
        <w:t xml:space="preserve"> to permit foreign </w:t>
      </w:r>
      <w:r>
        <w:rPr>
          <w:szCs w:val="22"/>
        </w:rPr>
        <w:t>ownership</w:t>
      </w:r>
      <w:r w:rsidRPr="00EC6A48">
        <w:rPr>
          <w:szCs w:val="22"/>
        </w:rPr>
        <w:t xml:space="preserve"> </w:t>
      </w:r>
      <w:r>
        <w:rPr>
          <w:szCs w:val="22"/>
        </w:rPr>
        <w:t>in the proposed controlling U.S. parent, Onvoy, to exceed</w:t>
      </w:r>
      <w:r w:rsidRPr="00EC6A48">
        <w:rPr>
          <w:szCs w:val="22"/>
        </w:rPr>
        <w:t xml:space="preserve"> the 25</w:t>
      </w:r>
      <w:r>
        <w:rPr>
          <w:szCs w:val="22"/>
        </w:rPr>
        <w:t>%</w:t>
      </w:r>
      <w:r w:rsidRPr="00EC6A48">
        <w:rPr>
          <w:szCs w:val="22"/>
        </w:rPr>
        <w:t xml:space="preserve"> benchmark</w:t>
      </w:r>
      <w:r>
        <w:rPr>
          <w:szCs w:val="22"/>
        </w:rPr>
        <w:t>s specified</w:t>
      </w:r>
      <w:r w:rsidRPr="00EC6A48">
        <w:rPr>
          <w:szCs w:val="22"/>
        </w:rPr>
        <w:t xml:space="preserve"> in section 310(b)(4) of the Act </w:t>
      </w:r>
      <w:r w:rsidRPr="00EC6A48">
        <w:rPr>
          <w:color w:val="000000"/>
          <w:szCs w:val="22"/>
        </w:rPr>
        <w:t>and section 1.5000(a)(1) of the Commission’s rules.</w:t>
      </w:r>
      <w:r>
        <w:rPr>
          <w:color w:val="000000"/>
          <w:szCs w:val="22"/>
        </w:rPr>
        <w:t xml:space="preserve">  Onvoy Spectrum currently holds two common carrier wireless licenses.  Petitioners assert that the proposed foreign ownership of Onvoy would serve the public interest.</w:t>
      </w:r>
      <w:r>
        <w:rPr>
          <w:rStyle w:val="FootnoteReference"/>
          <w:color w:val="000000"/>
          <w:szCs w:val="22"/>
        </w:rPr>
        <w:footnoteReference w:id="20"/>
      </w:r>
    </w:p>
    <w:p w:rsidR="00983CD6" w:rsidP="00983CD6" w14:paraId="544766F1" w14:textId="77777777">
      <w:pPr>
        <w:autoSpaceDE w:val="0"/>
        <w:autoSpaceDN w:val="0"/>
        <w:adjustRightInd w:val="0"/>
        <w:ind w:firstLine="720"/>
        <w:rPr>
          <w:color w:val="000000"/>
          <w:szCs w:val="22"/>
        </w:rPr>
      </w:pPr>
    </w:p>
    <w:p w:rsidR="00983CD6" w:rsidRPr="00DD7827" w:rsidP="00983CD6" w14:paraId="52451499" w14:textId="77777777">
      <w:pPr>
        <w:autoSpaceDE w:val="0"/>
        <w:autoSpaceDN w:val="0"/>
        <w:adjustRightInd w:val="0"/>
        <w:ind w:firstLine="720"/>
        <w:rPr>
          <w:bCs/>
          <w:color w:val="000000"/>
          <w:szCs w:val="22"/>
        </w:rPr>
      </w:pPr>
      <w:r w:rsidRPr="002461B0">
        <w:rPr>
          <w:bCs/>
          <w:color w:val="000000"/>
          <w:szCs w:val="22"/>
        </w:rPr>
        <w:t xml:space="preserve">According to the Petition, upon completion of the proposed transaction, </w:t>
      </w:r>
      <w:r>
        <w:rPr>
          <w:bCs/>
          <w:color w:val="000000"/>
          <w:szCs w:val="22"/>
        </w:rPr>
        <w:t>Onvoy</w:t>
      </w:r>
      <w:r w:rsidRPr="00DD7827">
        <w:rPr>
          <w:bCs/>
          <w:color w:val="000000"/>
          <w:szCs w:val="22"/>
        </w:rPr>
        <w:t xml:space="preserve"> would have aggregate indirect foreign equity and voting interests of 100%.</w:t>
      </w:r>
      <w:r>
        <w:rPr>
          <w:rStyle w:val="FootnoteReference"/>
          <w:bCs/>
          <w:color w:val="000000"/>
          <w:szCs w:val="22"/>
        </w:rPr>
        <w:footnoteReference w:id="21"/>
      </w:r>
      <w:r w:rsidRPr="0089372B">
        <w:rPr>
          <w:bCs/>
          <w:color w:val="000000"/>
          <w:szCs w:val="22"/>
        </w:rPr>
        <w:t xml:space="preserve">  Pursuant to section 1.5001(i) </w:t>
      </w:r>
      <w:r>
        <w:rPr>
          <w:bCs/>
          <w:color w:val="000000"/>
          <w:szCs w:val="22"/>
        </w:rPr>
        <w:t>of</w:t>
      </w:r>
      <w:r w:rsidRPr="0089372B">
        <w:rPr>
          <w:bCs/>
          <w:color w:val="000000"/>
          <w:szCs w:val="22"/>
        </w:rPr>
        <w:t xml:space="preserve"> the rules, Petitions request that the Commission specifically approve the direct and/or indirect foreign equity and/or voting interests that would be held in the controlling U.S. parent, </w:t>
      </w:r>
      <w:r>
        <w:rPr>
          <w:bCs/>
          <w:color w:val="000000"/>
          <w:szCs w:val="22"/>
        </w:rPr>
        <w:t>Onvoy</w:t>
      </w:r>
      <w:r w:rsidRPr="0089372B">
        <w:rPr>
          <w:bCs/>
          <w:color w:val="000000"/>
          <w:szCs w:val="22"/>
        </w:rPr>
        <w:t xml:space="preserve">, upon completion of the proposed transaction by foreign-organized entities and foreign individuals as follows: </w:t>
      </w:r>
    </w:p>
    <w:p w:rsidR="00983CD6" w:rsidRPr="00DD7827" w:rsidP="00983CD6" w14:paraId="3F3424BF" w14:textId="77777777">
      <w:pPr>
        <w:autoSpaceDE w:val="0"/>
        <w:autoSpaceDN w:val="0"/>
        <w:adjustRightInd w:val="0"/>
        <w:rPr>
          <w:b/>
          <w:color w:val="000000"/>
          <w:szCs w:val="22"/>
        </w:rPr>
      </w:pPr>
    </w:p>
    <w:p w:rsidR="00983CD6" w:rsidRPr="0089372B" w:rsidP="00983CD6" w14:paraId="4E729432" w14:textId="77777777">
      <w:pPr>
        <w:autoSpaceDE w:val="0"/>
        <w:autoSpaceDN w:val="0"/>
        <w:adjustRightInd w:val="0"/>
        <w:rPr>
          <w:bCs/>
          <w:color w:val="000000"/>
          <w:szCs w:val="22"/>
        </w:rPr>
      </w:pPr>
      <w:r w:rsidRPr="00DD7827">
        <w:rPr>
          <w:bCs/>
          <w:color w:val="000000"/>
          <w:szCs w:val="22"/>
        </w:rPr>
        <w:tab/>
        <w:t>Sinch Holding AB (100% equity</w:t>
      </w:r>
      <w:r>
        <w:rPr>
          <w:bCs/>
          <w:color w:val="000000"/>
          <w:szCs w:val="22"/>
        </w:rPr>
        <w:t xml:space="preserve">, 100% </w:t>
      </w:r>
      <w:r w:rsidRPr="0089372B">
        <w:rPr>
          <w:bCs/>
          <w:color w:val="000000"/>
          <w:szCs w:val="22"/>
        </w:rPr>
        <w:t>voting) (Sweden);</w:t>
      </w:r>
    </w:p>
    <w:p w:rsidR="00983CD6" w:rsidRPr="00DD7827" w:rsidP="00983CD6" w14:paraId="1CAC0FB8" w14:textId="77777777">
      <w:pPr>
        <w:autoSpaceDE w:val="0"/>
        <w:autoSpaceDN w:val="0"/>
        <w:adjustRightInd w:val="0"/>
        <w:rPr>
          <w:bCs/>
          <w:color w:val="000000"/>
          <w:szCs w:val="22"/>
        </w:rPr>
      </w:pPr>
      <w:r w:rsidRPr="0089372B">
        <w:rPr>
          <w:bCs/>
          <w:color w:val="000000"/>
          <w:szCs w:val="22"/>
        </w:rPr>
        <w:tab/>
        <w:t>Sinch AB (publ) (100% equity</w:t>
      </w:r>
      <w:r>
        <w:rPr>
          <w:bCs/>
          <w:color w:val="000000"/>
          <w:szCs w:val="22"/>
        </w:rPr>
        <w:t xml:space="preserve">, 100% </w:t>
      </w:r>
      <w:r w:rsidRPr="00DD7827">
        <w:rPr>
          <w:bCs/>
          <w:color w:val="000000"/>
          <w:szCs w:val="22"/>
        </w:rPr>
        <w:t>voting) (Sweden);</w:t>
      </w:r>
    </w:p>
    <w:p w:rsidR="00983CD6" w:rsidRPr="00DD7827" w:rsidP="00983CD6" w14:paraId="0FE3B93F" w14:textId="77777777">
      <w:pPr>
        <w:autoSpaceDE w:val="0"/>
        <w:autoSpaceDN w:val="0"/>
        <w:adjustRightInd w:val="0"/>
        <w:rPr>
          <w:bCs/>
          <w:color w:val="000000"/>
          <w:szCs w:val="22"/>
        </w:rPr>
      </w:pPr>
      <w:r w:rsidRPr="00DD7827">
        <w:rPr>
          <w:bCs/>
          <w:color w:val="000000"/>
          <w:szCs w:val="22"/>
        </w:rPr>
        <w:tab/>
        <w:t>Neqst D2 AB (</w:t>
      </w:r>
      <w:r>
        <w:rPr>
          <w:bCs/>
          <w:color w:val="000000"/>
          <w:szCs w:val="22"/>
        </w:rPr>
        <w:t>17% equity, 17% voting</w:t>
      </w:r>
      <w:r w:rsidRPr="00DD7827">
        <w:rPr>
          <w:bCs/>
          <w:color w:val="000000"/>
          <w:szCs w:val="22"/>
        </w:rPr>
        <w:t>) (Sweden);</w:t>
      </w:r>
    </w:p>
    <w:p w:rsidR="00983CD6" w:rsidRPr="00752296" w:rsidP="00983CD6" w14:paraId="2E467097" w14:textId="77777777">
      <w:pPr>
        <w:autoSpaceDE w:val="0"/>
        <w:autoSpaceDN w:val="0"/>
        <w:adjustRightInd w:val="0"/>
        <w:rPr>
          <w:bCs/>
          <w:color w:val="000000"/>
          <w:szCs w:val="22"/>
        </w:rPr>
      </w:pPr>
      <w:r w:rsidRPr="00DD7827">
        <w:rPr>
          <w:bCs/>
          <w:color w:val="000000"/>
          <w:szCs w:val="22"/>
        </w:rPr>
        <w:tab/>
        <w:t>Neqst D1 AB (</w:t>
      </w:r>
      <w:r>
        <w:rPr>
          <w:bCs/>
          <w:color w:val="000000"/>
          <w:szCs w:val="22"/>
        </w:rPr>
        <w:t>9% equity, 17% voting</w:t>
      </w:r>
      <w:r w:rsidRPr="00752296">
        <w:rPr>
          <w:bCs/>
          <w:color w:val="000000"/>
          <w:szCs w:val="22"/>
        </w:rPr>
        <w:t>) (Sweden);</w:t>
      </w:r>
    </w:p>
    <w:p w:rsidR="00983CD6" w:rsidRPr="00752296" w:rsidP="00983CD6" w14:paraId="5F5A2E5D" w14:textId="77777777">
      <w:pPr>
        <w:autoSpaceDE w:val="0"/>
        <w:autoSpaceDN w:val="0"/>
        <w:adjustRightInd w:val="0"/>
        <w:rPr>
          <w:bCs/>
          <w:color w:val="000000"/>
          <w:szCs w:val="22"/>
        </w:rPr>
      </w:pPr>
      <w:r w:rsidRPr="00752296">
        <w:rPr>
          <w:bCs/>
          <w:color w:val="000000"/>
          <w:szCs w:val="22"/>
        </w:rPr>
        <w:tab/>
        <w:t>Neqst 1 AB (</w:t>
      </w:r>
      <w:r>
        <w:rPr>
          <w:bCs/>
          <w:color w:val="000000"/>
          <w:szCs w:val="22"/>
        </w:rPr>
        <w:t>7% equity, 17% voting</w:t>
      </w:r>
      <w:r w:rsidRPr="00752296">
        <w:rPr>
          <w:bCs/>
          <w:color w:val="000000"/>
          <w:szCs w:val="22"/>
        </w:rPr>
        <w:t>) (Sweden);</w:t>
      </w:r>
    </w:p>
    <w:p w:rsidR="00983CD6" w:rsidRPr="00752296" w:rsidP="00983CD6" w14:paraId="21B19A00" w14:textId="77777777">
      <w:pPr>
        <w:autoSpaceDE w:val="0"/>
        <w:autoSpaceDN w:val="0"/>
        <w:adjustRightInd w:val="0"/>
        <w:rPr>
          <w:bCs/>
          <w:color w:val="000000"/>
          <w:szCs w:val="22"/>
        </w:rPr>
      </w:pPr>
      <w:r w:rsidRPr="00752296">
        <w:rPr>
          <w:bCs/>
          <w:color w:val="000000"/>
          <w:szCs w:val="22"/>
        </w:rPr>
        <w:tab/>
        <w:t>Neqst 2017 AB (</w:t>
      </w:r>
      <w:r>
        <w:rPr>
          <w:bCs/>
          <w:color w:val="000000"/>
          <w:szCs w:val="22"/>
        </w:rPr>
        <w:t>7% equity, 17% voting</w:t>
      </w:r>
      <w:r w:rsidRPr="00752296">
        <w:rPr>
          <w:bCs/>
          <w:color w:val="000000"/>
          <w:szCs w:val="22"/>
        </w:rPr>
        <w:t>) (Sweden);</w:t>
      </w:r>
    </w:p>
    <w:p w:rsidR="00983CD6" w:rsidRPr="00752296" w:rsidP="00983CD6" w14:paraId="356DC146" w14:textId="77777777">
      <w:pPr>
        <w:autoSpaceDE w:val="0"/>
        <w:autoSpaceDN w:val="0"/>
        <w:adjustRightInd w:val="0"/>
        <w:rPr>
          <w:b/>
          <w:color w:val="000000"/>
          <w:szCs w:val="22"/>
        </w:rPr>
      </w:pPr>
      <w:r w:rsidRPr="00752296">
        <w:rPr>
          <w:bCs/>
          <w:color w:val="000000"/>
          <w:szCs w:val="22"/>
        </w:rPr>
        <w:tab/>
        <w:t>Neqst 2020 AB (</w:t>
      </w:r>
      <w:r>
        <w:rPr>
          <w:bCs/>
          <w:color w:val="000000"/>
          <w:szCs w:val="22"/>
        </w:rPr>
        <w:t>4% equity, 17% voting</w:t>
      </w:r>
      <w:r w:rsidRPr="00752296">
        <w:rPr>
          <w:bCs/>
          <w:color w:val="000000"/>
          <w:szCs w:val="22"/>
        </w:rPr>
        <w:t>) (Sweden);</w:t>
      </w:r>
    </w:p>
    <w:p w:rsidR="00983CD6" w:rsidRPr="00752296" w:rsidP="00983CD6" w14:paraId="4E9C7B03" w14:textId="77777777">
      <w:pPr>
        <w:autoSpaceDE w:val="0"/>
        <w:autoSpaceDN w:val="0"/>
        <w:adjustRightInd w:val="0"/>
        <w:rPr>
          <w:bCs/>
          <w:color w:val="000000"/>
          <w:szCs w:val="22"/>
        </w:rPr>
      </w:pPr>
      <w:r w:rsidRPr="00752296">
        <w:rPr>
          <w:bCs/>
          <w:color w:val="000000"/>
          <w:szCs w:val="22"/>
        </w:rPr>
        <w:tab/>
        <w:t>Neqst Investment 2020 AB (</w:t>
      </w:r>
      <w:r>
        <w:rPr>
          <w:bCs/>
          <w:color w:val="000000"/>
          <w:szCs w:val="22"/>
        </w:rPr>
        <w:t>4% equity, 17% voting</w:t>
      </w:r>
      <w:r w:rsidRPr="00752296">
        <w:rPr>
          <w:bCs/>
          <w:color w:val="000000"/>
          <w:szCs w:val="22"/>
        </w:rPr>
        <w:t>) (Sweden);</w:t>
      </w:r>
    </w:p>
    <w:p w:rsidR="00983CD6" w:rsidRPr="00752296" w:rsidP="00983CD6" w14:paraId="64280119" w14:textId="77777777">
      <w:pPr>
        <w:autoSpaceDE w:val="0"/>
        <w:autoSpaceDN w:val="0"/>
        <w:adjustRightInd w:val="0"/>
        <w:rPr>
          <w:bCs/>
          <w:color w:val="000000"/>
          <w:szCs w:val="22"/>
        </w:rPr>
      </w:pPr>
      <w:r w:rsidRPr="00752296">
        <w:rPr>
          <w:bCs/>
          <w:color w:val="000000"/>
          <w:szCs w:val="22"/>
        </w:rPr>
        <w:tab/>
        <w:t>Sundaskären AB (</w:t>
      </w:r>
      <w:r>
        <w:rPr>
          <w:bCs/>
          <w:color w:val="000000"/>
          <w:szCs w:val="22"/>
        </w:rPr>
        <w:t>3% equity, 17% voting</w:t>
      </w:r>
      <w:r w:rsidRPr="00752296">
        <w:rPr>
          <w:bCs/>
          <w:color w:val="000000"/>
          <w:szCs w:val="22"/>
        </w:rPr>
        <w:t>) (Sweden);</w:t>
      </w:r>
    </w:p>
    <w:p w:rsidR="00983CD6" w:rsidP="00983CD6" w14:paraId="6DBF0235" w14:textId="77777777">
      <w:pPr>
        <w:autoSpaceDE w:val="0"/>
        <w:autoSpaceDN w:val="0"/>
        <w:adjustRightInd w:val="0"/>
        <w:rPr>
          <w:bCs/>
          <w:color w:val="000000"/>
          <w:szCs w:val="22"/>
        </w:rPr>
      </w:pPr>
      <w:r w:rsidRPr="00752296">
        <w:rPr>
          <w:bCs/>
          <w:color w:val="000000"/>
          <w:szCs w:val="22"/>
        </w:rPr>
        <w:tab/>
        <w:t>Erik Fröberg (</w:t>
      </w:r>
      <w:r>
        <w:rPr>
          <w:bCs/>
          <w:color w:val="000000"/>
          <w:szCs w:val="22"/>
        </w:rPr>
        <w:t>3% equity, 17% voting</w:t>
      </w:r>
      <w:r w:rsidRPr="00752296">
        <w:rPr>
          <w:bCs/>
          <w:color w:val="000000"/>
          <w:szCs w:val="22"/>
        </w:rPr>
        <w:t>) (Sweden);</w:t>
      </w:r>
    </w:p>
    <w:p w:rsidR="00983CD6" w:rsidP="00983CD6" w14:paraId="53C49B32" w14:textId="77777777">
      <w:pPr>
        <w:autoSpaceDE w:val="0"/>
        <w:autoSpaceDN w:val="0"/>
        <w:adjustRightInd w:val="0"/>
        <w:rPr>
          <w:bCs/>
          <w:color w:val="000000"/>
          <w:szCs w:val="22"/>
        </w:rPr>
      </w:pPr>
      <w:r>
        <w:rPr>
          <w:bCs/>
          <w:color w:val="000000"/>
          <w:szCs w:val="22"/>
        </w:rPr>
        <w:tab/>
      </w:r>
      <w:r w:rsidRPr="00F63658">
        <w:rPr>
          <w:bCs/>
          <w:color w:val="000000"/>
          <w:szCs w:val="22"/>
        </w:rPr>
        <w:t>Kersgården AB</w:t>
      </w:r>
      <w:r>
        <w:rPr>
          <w:bCs/>
          <w:color w:val="000000"/>
          <w:szCs w:val="22"/>
        </w:rPr>
        <w:t xml:space="preserve"> (1% equity, 17% voting) (Sweden);</w:t>
      </w:r>
      <w:r>
        <w:rPr>
          <w:rStyle w:val="FootnoteReference"/>
          <w:bCs/>
          <w:color w:val="000000"/>
          <w:szCs w:val="22"/>
        </w:rPr>
        <w:footnoteReference w:id="22"/>
      </w:r>
      <w:r>
        <w:rPr>
          <w:bCs/>
          <w:color w:val="000000"/>
          <w:szCs w:val="22"/>
        </w:rPr>
        <w:t xml:space="preserve"> </w:t>
      </w:r>
    </w:p>
    <w:p w:rsidR="00983CD6" w:rsidP="00983CD6" w14:paraId="3882B564" w14:textId="77777777">
      <w:pPr>
        <w:autoSpaceDE w:val="0"/>
        <w:autoSpaceDN w:val="0"/>
        <w:adjustRightInd w:val="0"/>
        <w:rPr>
          <w:bCs/>
          <w:color w:val="000000"/>
          <w:szCs w:val="22"/>
        </w:rPr>
      </w:pPr>
      <w:r>
        <w:rPr>
          <w:bCs/>
          <w:color w:val="000000"/>
          <w:szCs w:val="22"/>
        </w:rPr>
        <w:tab/>
      </w:r>
      <w:r w:rsidRPr="004E0431">
        <w:rPr>
          <w:bCs/>
          <w:color w:val="000000"/>
          <w:szCs w:val="22"/>
        </w:rPr>
        <w:t>Jonas Frederiksson</w:t>
      </w:r>
      <w:r>
        <w:rPr>
          <w:bCs/>
          <w:color w:val="000000"/>
          <w:szCs w:val="22"/>
        </w:rPr>
        <w:t xml:space="preserve"> (1%</w:t>
      </w:r>
      <w:r w:rsidRPr="004E0431">
        <w:rPr>
          <w:bCs/>
          <w:color w:val="000000"/>
          <w:szCs w:val="22"/>
        </w:rPr>
        <w:t xml:space="preserve"> </w:t>
      </w:r>
      <w:r>
        <w:rPr>
          <w:bCs/>
          <w:color w:val="000000"/>
          <w:szCs w:val="22"/>
        </w:rPr>
        <w:t>equity, 17% voting) (Sweden);</w:t>
      </w:r>
      <w:r>
        <w:rPr>
          <w:rStyle w:val="FootnoteReference"/>
          <w:bCs/>
          <w:color w:val="000000"/>
          <w:szCs w:val="22"/>
        </w:rPr>
        <w:footnoteReference w:id="23"/>
      </w:r>
    </w:p>
    <w:p w:rsidR="00983CD6" w:rsidRPr="00752296" w:rsidP="00983CD6" w14:paraId="09758A35" w14:textId="77777777">
      <w:pPr>
        <w:autoSpaceDE w:val="0"/>
        <w:autoSpaceDN w:val="0"/>
        <w:adjustRightInd w:val="0"/>
      </w:pPr>
      <w:r>
        <w:rPr>
          <w:bCs/>
          <w:color w:val="000000"/>
          <w:szCs w:val="22"/>
        </w:rPr>
        <w:tab/>
        <w:t>SB Northstar LP (10% equity, 10%voting) (Cayman Islands);</w:t>
      </w:r>
      <w:r>
        <w:rPr>
          <w:rStyle w:val="FootnoteReference"/>
          <w:bCs/>
          <w:color w:val="000000"/>
          <w:szCs w:val="22"/>
        </w:rPr>
        <w:footnoteReference w:id="24"/>
      </w:r>
      <w:r>
        <w:rPr>
          <w:bCs/>
          <w:color w:val="000000"/>
          <w:szCs w:val="22"/>
        </w:rPr>
        <w:t xml:space="preserve"> </w:t>
      </w:r>
    </w:p>
    <w:p w:rsidR="00983CD6" w:rsidP="00983CD6" w14:paraId="7D43D4AA" w14:textId="77777777">
      <w:pPr>
        <w:autoSpaceDE w:val="0"/>
        <w:autoSpaceDN w:val="0"/>
        <w:adjustRightInd w:val="0"/>
        <w:rPr>
          <w:bCs/>
          <w:color w:val="000000"/>
          <w:szCs w:val="22"/>
        </w:rPr>
      </w:pPr>
      <w:r w:rsidRPr="00752296">
        <w:rPr>
          <w:bCs/>
          <w:color w:val="000000"/>
          <w:szCs w:val="22"/>
        </w:rPr>
        <w:tab/>
        <w:t>SB Management Ltd. (</w:t>
      </w:r>
      <w:r>
        <w:rPr>
          <w:bCs/>
          <w:color w:val="000000"/>
          <w:szCs w:val="22"/>
        </w:rPr>
        <w:t>0% equity, 10% voting</w:t>
      </w:r>
      <w:r w:rsidRPr="00752296">
        <w:rPr>
          <w:bCs/>
          <w:color w:val="000000"/>
          <w:szCs w:val="22"/>
        </w:rPr>
        <w:t>) (United Arab Emirates);</w:t>
      </w:r>
    </w:p>
    <w:p w:rsidR="00983CD6" w:rsidRPr="00752296" w:rsidP="00983CD6" w14:paraId="2E426D8D" w14:textId="77777777">
      <w:pPr>
        <w:autoSpaceDE w:val="0"/>
        <w:autoSpaceDN w:val="0"/>
        <w:adjustRightInd w:val="0"/>
        <w:rPr>
          <w:bCs/>
          <w:color w:val="000000"/>
          <w:szCs w:val="22"/>
        </w:rPr>
      </w:pPr>
      <w:r w:rsidRPr="00752296">
        <w:rPr>
          <w:bCs/>
          <w:color w:val="000000"/>
          <w:szCs w:val="22"/>
        </w:rPr>
        <w:tab/>
        <w:t>Softbank Group Corp. (</w:t>
      </w:r>
      <w:r>
        <w:rPr>
          <w:bCs/>
          <w:color w:val="000000"/>
          <w:szCs w:val="22"/>
        </w:rPr>
        <w:t>7</w:t>
      </w:r>
      <w:r w:rsidRPr="00752296">
        <w:rPr>
          <w:bCs/>
          <w:color w:val="000000"/>
          <w:szCs w:val="22"/>
        </w:rPr>
        <w:t>% equity</w:t>
      </w:r>
      <w:r>
        <w:rPr>
          <w:bCs/>
          <w:color w:val="000000"/>
          <w:szCs w:val="22"/>
        </w:rPr>
        <w:t>, 10%</w:t>
      </w:r>
      <w:r w:rsidRPr="00752296">
        <w:rPr>
          <w:bCs/>
          <w:color w:val="000000"/>
          <w:szCs w:val="22"/>
        </w:rPr>
        <w:t xml:space="preserve"> voting) (Japan); and</w:t>
      </w:r>
    </w:p>
    <w:p w:rsidR="00983CD6" w:rsidRPr="00752296" w:rsidP="00983CD6" w14:paraId="4571945D" w14:textId="77777777">
      <w:pPr>
        <w:autoSpaceDE w:val="0"/>
        <w:autoSpaceDN w:val="0"/>
        <w:adjustRightInd w:val="0"/>
        <w:rPr>
          <w:bCs/>
          <w:color w:val="000000"/>
          <w:szCs w:val="22"/>
        </w:rPr>
      </w:pPr>
      <w:r w:rsidRPr="00752296">
        <w:rPr>
          <w:bCs/>
          <w:color w:val="000000"/>
          <w:szCs w:val="22"/>
        </w:rPr>
        <w:tab/>
        <w:t>Masayoshi Son (</w:t>
      </w:r>
      <w:r>
        <w:rPr>
          <w:bCs/>
          <w:color w:val="000000"/>
          <w:szCs w:val="22"/>
        </w:rPr>
        <w:t>5</w:t>
      </w:r>
      <w:r w:rsidRPr="00752296">
        <w:rPr>
          <w:bCs/>
          <w:color w:val="000000"/>
          <w:szCs w:val="22"/>
        </w:rPr>
        <w:t>% equity and voting) (Japan).</w:t>
      </w:r>
      <w:r w:rsidRPr="00FA07F0">
        <w:rPr>
          <w:rStyle w:val="FootnoteReference"/>
          <w:bCs/>
          <w:color w:val="000000"/>
          <w:szCs w:val="22"/>
        </w:rPr>
        <w:t xml:space="preserve"> </w:t>
      </w:r>
    </w:p>
    <w:p w:rsidR="00983CD6" w:rsidP="00983CD6" w14:paraId="31557AF8" w14:textId="77777777">
      <w:pPr>
        <w:autoSpaceDE w:val="0"/>
        <w:autoSpaceDN w:val="0"/>
        <w:adjustRightInd w:val="0"/>
        <w:ind w:firstLine="720"/>
        <w:rPr>
          <w:b/>
          <w:color w:val="000000"/>
          <w:szCs w:val="22"/>
          <w:u w:val="single"/>
        </w:rPr>
      </w:pPr>
    </w:p>
    <w:p w:rsidR="00983CD6" w:rsidRPr="00752296" w:rsidP="00983CD6" w14:paraId="375B4500" w14:textId="77777777">
      <w:pPr>
        <w:autoSpaceDE w:val="0"/>
        <w:autoSpaceDN w:val="0"/>
        <w:adjustRightInd w:val="0"/>
        <w:ind w:firstLine="720"/>
        <w:rPr>
          <w:bCs/>
          <w:color w:val="000000"/>
          <w:szCs w:val="22"/>
        </w:rPr>
      </w:pPr>
      <w:r w:rsidRPr="00327098">
        <w:rPr>
          <w:bCs/>
          <w:color w:val="000000"/>
          <w:szCs w:val="22"/>
        </w:rPr>
        <w:t>Petitioners also request specific approval, pursuant to section 1.5001(k) of the Commission’s rules, for each of the foregoing entities</w:t>
      </w:r>
      <w:r>
        <w:rPr>
          <w:bCs/>
          <w:color w:val="000000"/>
          <w:szCs w:val="22"/>
        </w:rPr>
        <w:t>, except for Sinch Holding AB and Sinch AB (publ),</w:t>
      </w:r>
      <w:r w:rsidRPr="00752296">
        <w:rPr>
          <w:bCs/>
          <w:color w:val="000000"/>
          <w:szCs w:val="22"/>
        </w:rPr>
        <w:t xml:space="preserve"> and individuals to increase their indirect equity and/or voting interests in </w:t>
      </w:r>
      <w:r>
        <w:rPr>
          <w:bCs/>
          <w:color w:val="000000"/>
          <w:szCs w:val="22"/>
        </w:rPr>
        <w:t>Onvoy</w:t>
      </w:r>
      <w:r w:rsidRPr="00752296">
        <w:rPr>
          <w:bCs/>
          <w:color w:val="000000"/>
          <w:szCs w:val="22"/>
        </w:rPr>
        <w:t xml:space="preserve"> up to a non-controlling 49.99%.</w:t>
      </w:r>
      <w:r>
        <w:rPr>
          <w:rStyle w:val="FootnoteReference"/>
          <w:bCs/>
          <w:color w:val="000000"/>
          <w:szCs w:val="22"/>
        </w:rPr>
        <w:footnoteReference w:id="25"/>
      </w:r>
      <w:r w:rsidRPr="00752296">
        <w:rPr>
          <w:bCs/>
          <w:color w:val="000000"/>
          <w:szCs w:val="22"/>
        </w:rPr>
        <w:t xml:space="preserve"> </w:t>
      </w:r>
    </w:p>
    <w:p w:rsidR="00983CD6" w:rsidP="00983CD6" w14:paraId="4372E0B9" w14:textId="77777777">
      <w:pPr>
        <w:autoSpaceDE w:val="0"/>
        <w:autoSpaceDN w:val="0"/>
        <w:adjustRightInd w:val="0"/>
        <w:rPr>
          <w:bCs/>
          <w:color w:val="000000"/>
          <w:szCs w:val="22"/>
          <w:u w:val="single"/>
        </w:rPr>
      </w:pPr>
    </w:p>
    <w:p w:rsidR="00983CD6" w:rsidRPr="00B35925" w:rsidP="00983CD6" w14:paraId="2923FD3D" w14:textId="17F3D042">
      <w:pPr>
        <w:autoSpaceDE w:val="0"/>
        <w:autoSpaceDN w:val="0"/>
        <w:adjustRightInd w:val="0"/>
        <w:rPr>
          <w:bCs/>
          <w:color w:val="000000"/>
          <w:szCs w:val="22"/>
          <w:u w:val="single"/>
        </w:rPr>
      </w:pPr>
      <w:r w:rsidRPr="00752296">
        <w:rPr>
          <w:bCs/>
          <w:color w:val="000000"/>
          <w:szCs w:val="22"/>
          <w:u w:val="single"/>
        </w:rPr>
        <w:t>Referral to Executive Branch Agencies</w:t>
      </w:r>
      <w:r w:rsidRPr="00BD18CE">
        <w:rPr>
          <w:bCs/>
          <w:color w:val="000000"/>
          <w:szCs w:val="22"/>
        </w:rPr>
        <w:t>.</w:t>
      </w:r>
      <w:r w:rsidRPr="00752296">
        <w:rPr>
          <w:bCs/>
          <w:color w:val="000000"/>
          <w:szCs w:val="22"/>
        </w:rPr>
        <w:t xml:space="preserve">  Through this Public Notice, pursuant to Commission practice, </w:t>
      </w:r>
      <w:r>
        <w:rPr>
          <w:bCs/>
          <w:color w:val="000000"/>
          <w:szCs w:val="22"/>
        </w:rPr>
        <w:t xml:space="preserve">the Applications and </w:t>
      </w:r>
      <w:r w:rsidRPr="00752296">
        <w:rPr>
          <w:bCs/>
          <w:color w:val="000000"/>
          <w:szCs w:val="22"/>
        </w:rPr>
        <w:t xml:space="preserve">Petition for Declaratory Ruling </w:t>
      </w:r>
      <w:r>
        <w:rPr>
          <w:bCs/>
          <w:color w:val="000000"/>
          <w:szCs w:val="22"/>
        </w:rPr>
        <w:t xml:space="preserve">set out in Attachment A </w:t>
      </w:r>
      <w:r w:rsidRPr="00752296">
        <w:rPr>
          <w:bCs/>
          <w:color w:val="000000"/>
          <w:szCs w:val="22"/>
        </w:rPr>
        <w:t>are being referred to the relevant Executive Branch agencies for their views on any national security, law enforcement, foreign policy, or trade policy concerns related to the foreign ownership of the Petitioners.</w:t>
      </w:r>
      <w:r>
        <w:rPr>
          <w:rStyle w:val="FootnoteReference"/>
          <w:bCs/>
          <w:color w:val="000000"/>
          <w:szCs w:val="22"/>
        </w:rPr>
        <w:footnoteReference w:id="26"/>
      </w:r>
    </w:p>
    <w:p w:rsidR="00983CD6" w:rsidP="00983CD6" w14:paraId="64B6D371" w14:textId="77777777">
      <w:pPr>
        <w:autoSpaceDE w:val="0"/>
        <w:autoSpaceDN w:val="0"/>
        <w:adjustRightInd w:val="0"/>
        <w:rPr>
          <w:b/>
          <w:color w:val="000000"/>
          <w:szCs w:val="22"/>
          <w:u w:val="single"/>
        </w:rPr>
      </w:pPr>
    </w:p>
    <w:p w:rsidR="00983CD6" w:rsidRPr="006F2A61" w:rsidP="00983CD6" w14:paraId="54DA7E6D" w14:textId="77777777">
      <w:pPr>
        <w:autoSpaceDE w:val="0"/>
        <w:autoSpaceDN w:val="0"/>
        <w:adjustRightInd w:val="0"/>
        <w:rPr>
          <w:b/>
          <w:color w:val="000000"/>
          <w:szCs w:val="22"/>
          <w:u w:val="single"/>
        </w:rPr>
      </w:pPr>
      <w:r w:rsidRPr="0009631D">
        <w:rPr>
          <w:b/>
          <w:color w:val="000000"/>
          <w:szCs w:val="22"/>
          <w:u w:val="single"/>
        </w:rPr>
        <w:t>GENERAL INFORMATION</w:t>
      </w:r>
    </w:p>
    <w:p w:rsidR="00983CD6" w:rsidRPr="0009631D" w:rsidP="00983CD6" w14:paraId="5D30F669" w14:textId="77777777">
      <w:pPr>
        <w:rPr>
          <w:color w:val="000000"/>
          <w:szCs w:val="22"/>
        </w:rPr>
      </w:pPr>
    </w:p>
    <w:p w:rsidR="00983CD6" w:rsidRPr="00EC66CA" w:rsidP="00983CD6" w14:paraId="3A69F9AE" w14:textId="78F2FFBB">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identified herein ha</w:t>
      </w:r>
      <w:r w:rsidR="00945A37">
        <w:rPr>
          <w:szCs w:val="22"/>
        </w:rPr>
        <w:t>ve</w:t>
      </w:r>
      <w:r w:rsidRPr="00EC66CA">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r>
        <w:rPr>
          <w:szCs w:val="22"/>
        </w:rPr>
        <w:t xml:space="preserve">  </w:t>
      </w:r>
      <w:r w:rsidRPr="00EC66CA">
        <w:rPr>
          <w:szCs w:val="22"/>
        </w:rPr>
        <w:t xml:space="preserve">Interested parties may file comments and petitions </w:t>
      </w:r>
      <w:r w:rsidRPr="00553AD2">
        <w:rPr>
          <w:b/>
          <w:szCs w:val="22"/>
        </w:rPr>
        <w:t xml:space="preserve">on or before </w:t>
      </w:r>
      <w:r w:rsidRPr="00553AD2" w:rsidR="000D5346">
        <w:rPr>
          <w:b/>
          <w:szCs w:val="22"/>
        </w:rPr>
        <w:t>June 14,</w:t>
      </w:r>
      <w:r w:rsidRPr="00553AD2">
        <w:rPr>
          <w:b/>
          <w:szCs w:val="22"/>
        </w:rPr>
        <w:t xml:space="preserve"> 2021 </w:t>
      </w:r>
      <w:r w:rsidRPr="00553AD2">
        <w:rPr>
          <w:bCs/>
          <w:szCs w:val="22"/>
        </w:rPr>
        <w:t xml:space="preserve">and </w:t>
      </w:r>
      <w:r w:rsidRPr="00553AD2">
        <w:rPr>
          <w:szCs w:val="22"/>
        </w:rPr>
        <w:t xml:space="preserve">reply comments or oppositions to petitions </w:t>
      </w:r>
      <w:r w:rsidRPr="00553AD2">
        <w:rPr>
          <w:b/>
          <w:szCs w:val="22"/>
        </w:rPr>
        <w:t xml:space="preserve">on or before </w:t>
      </w:r>
      <w:r w:rsidRPr="00553AD2" w:rsidR="000D5346">
        <w:rPr>
          <w:b/>
          <w:szCs w:val="22"/>
        </w:rPr>
        <w:t>June 29</w:t>
      </w:r>
      <w:r w:rsidRPr="00553AD2">
        <w:rPr>
          <w:b/>
          <w:szCs w:val="22"/>
        </w:rPr>
        <w:t>, 2021</w:t>
      </w:r>
      <w:r w:rsidRPr="00553AD2">
        <w:rPr>
          <w:szCs w:val="22"/>
        </w:rPr>
        <w:t>.  Comments may be</w:t>
      </w:r>
      <w:r w:rsidRPr="00EC66CA">
        <w:rPr>
          <w:szCs w:val="22"/>
        </w:rPr>
        <w:t xml:space="preserve"> filed using the Commission’s Electronic </w:t>
      </w:r>
      <w:r w:rsidRPr="00EC66CA">
        <w:rPr>
          <w:szCs w:val="22"/>
        </w:rPr>
        <w:t>Comment Filing System (ECFS) or by paper.  All filings must be addressed to the Commission’s Secretary, Office of the Secretary, Federal Communications Commission.</w:t>
      </w:r>
    </w:p>
    <w:p w:rsidR="00983CD6" w:rsidP="00983CD6" w14:paraId="0E9C526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983CD6" w:rsidRPr="00EC66CA" w:rsidP="00983CD6" w14:paraId="1E11996D" w14:textId="77777777">
      <w:pPr>
        <w:autoSpaceDE w:val="0"/>
        <w:autoSpaceDN w:val="0"/>
        <w:adjustRightInd w:val="0"/>
        <w:ind w:left="720"/>
        <w:rPr>
          <w:szCs w:val="22"/>
        </w:rPr>
      </w:pPr>
    </w:p>
    <w:p w:rsidR="00983CD6" w:rsidP="00983CD6" w14:paraId="2437AEEF"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Pr>
          <w:szCs w:val="22"/>
        </w:rPr>
        <w:t>one</w:t>
      </w:r>
      <w:r w:rsidRPr="004D7912">
        <w:rPr>
          <w:szCs w:val="22"/>
        </w:rPr>
        <w:t xml:space="preserve"> additional cop</w:t>
      </w:r>
      <w:r>
        <w:rPr>
          <w:szCs w:val="22"/>
        </w:rPr>
        <w:t>y</w:t>
      </w:r>
      <w:r w:rsidRPr="004D7912">
        <w:rPr>
          <w:szCs w:val="22"/>
        </w:rPr>
        <w:t xml:space="preserve"> for each additional docket or rulemaking number.</w:t>
      </w:r>
    </w:p>
    <w:p w:rsidR="00983CD6" w:rsidP="00983CD6" w14:paraId="073ED37B" w14:textId="77777777">
      <w:pPr>
        <w:autoSpaceDE w:val="0"/>
        <w:autoSpaceDN w:val="0"/>
        <w:adjustRightInd w:val="0"/>
        <w:ind w:left="720"/>
        <w:rPr>
          <w:szCs w:val="22"/>
        </w:rPr>
      </w:pPr>
    </w:p>
    <w:p w:rsidR="00983CD6" w:rsidP="00983CD6" w14:paraId="1043C232"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7"/>
      </w:r>
      <w:r w:rsidRPr="004D7912">
        <w:rPr>
          <w:szCs w:val="22"/>
        </w:rPr>
        <w:t xml:space="preserve">  All filings must be addressed to the Commission’s Secretary, Office of the Secretary, Federal Communications Commission.</w:t>
      </w:r>
    </w:p>
    <w:p w:rsidR="00983CD6" w:rsidRPr="0011311D" w:rsidP="00983CD6" w14:paraId="127DA799"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0D5346" w:rsidP="000D5346" w14:paraId="48465BCC" w14:textId="77777777">
      <w:pPr>
        <w:autoSpaceDE w:val="0"/>
        <w:autoSpaceDN w:val="0"/>
        <w:adjustRightInd w:val="0"/>
        <w:spacing w:after="120"/>
        <w:ind w:left="720"/>
        <w:rPr>
          <w:szCs w:val="22"/>
        </w:rPr>
      </w:pPr>
    </w:p>
    <w:p w:rsidR="00983CD6" w:rsidP="00983CD6" w14:paraId="22BA0E8C" w14:textId="782BED95">
      <w:pPr>
        <w:numPr>
          <w:ilvl w:val="0"/>
          <w:numId w:val="21"/>
        </w:numPr>
        <w:autoSpaceDE w:val="0"/>
        <w:autoSpaceDN w:val="0"/>
        <w:adjustRightInd w:val="0"/>
        <w:spacing w:after="1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9" w:history="1">
        <w:r w:rsidRPr="00114BBF">
          <w:rPr>
            <w:rStyle w:val="Hyperlink"/>
            <w:color w:val="0563C1"/>
          </w:rPr>
          <w:t>fcc504@fcc.gov</w:t>
        </w:r>
      </w:hyperlink>
      <w:r w:rsidRPr="00114BBF">
        <w:t xml:space="preserve"> or call the Consumer and Governmental Affairs Bureau at (202) 418-0530.</w:t>
      </w:r>
    </w:p>
    <w:p w:rsidR="00983CD6" w:rsidRPr="0009631D" w:rsidP="00983CD6" w14:paraId="56CCCAEE" w14:textId="77777777">
      <w:pPr>
        <w:rPr>
          <w:b/>
          <w:color w:val="000000"/>
          <w:szCs w:val="22"/>
        </w:rPr>
      </w:pPr>
      <w:r w:rsidRPr="0009631D">
        <w:rPr>
          <w:b/>
          <w:color w:val="000000"/>
          <w:szCs w:val="22"/>
        </w:rPr>
        <w:t>In addition, e-mail one copy of each pleading to each of the following:</w:t>
      </w:r>
    </w:p>
    <w:p w:rsidR="00983CD6" w:rsidRPr="0009631D" w:rsidP="00983CD6" w14:paraId="0991DD89" w14:textId="77777777">
      <w:pPr>
        <w:rPr>
          <w:b/>
          <w:color w:val="000000"/>
          <w:szCs w:val="22"/>
        </w:rPr>
      </w:pPr>
    </w:p>
    <w:p w:rsidR="00983CD6" w:rsidRPr="003E79D6" w:rsidP="00983CD6" w14:paraId="3BEC98C7" w14:textId="45C445CE">
      <w:pPr>
        <w:numPr>
          <w:ilvl w:val="0"/>
          <w:numId w:val="18"/>
        </w:numPr>
        <w:ind w:left="630"/>
        <w:rPr>
          <w:color w:val="000000"/>
          <w:szCs w:val="22"/>
        </w:rPr>
      </w:pPr>
      <w:r>
        <w:rPr>
          <w:color w:val="000000"/>
          <w:szCs w:val="22"/>
        </w:rPr>
        <w:t>Greg Kwan</w:t>
      </w:r>
      <w:r w:rsidRPr="003E79D6">
        <w:rPr>
          <w:color w:val="000000"/>
          <w:szCs w:val="22"/>
        </w:rPr>
        <w:t xml:space="preserve">, Wireline Competition Bureau, </w:t>
      </w:r>
      <w:r>
        <w:rPr>
          <w:color w:val="000000"/>
          <w:szCs w:val="22"/>
        </w:rPr>
        <w:t>gregory.kwan</w:t>
      </w:r>
      <w:r>
        <w:rPr>
          <w:color w:val="000000"/>
          <w:szCs w:val="22"/>
        </w:rPr>
        <w:t>@fcc.gov;</w:t>
      </w:r>
    </w:p>
    <w:p w:rsidR="00983CD6" w:rsidRPr="003E79D6" w:rsidP="00983CD6" w14:paraId="7EADD31F" w14:textId="1D319BEB">
      <w:pPr>
        <w:numPr>
          <w:ilvl w:val="0"/>
          <w:numId w:val="18"/>
        </w:numPr>
        <w:ind w:left="630"/>
        <w:rPr>
          <w:rStyle w:val="Hyperlink"/>
          <w:color w:val="000000"/>
          <w:szCs w:val="22"/>
          <w:u w:val="none"/>
        </w:rPr>
      </w:pPr>
      <w:bookmarkStart w:id="5" w:name="_Hlk520384977"/>
      <w:r>
        <w:rPr>
          <w:color w:val="000000"/>
          <w:szCs w:val="22"/>
        </w:rPr>
        <w:t>Leah</w:t>
      </w:r>
      <w:r w:rsidRPr="003E79D6">
        <w:rPr>
          <w:color w:val="000000"/>
          <w:szCs w:val="22"/>
        </w:rPr>
        <w:t xml:space="preserve"> K</w:t>
      </w:r>
      <w:r>
        <w:rPr>
          <w:color w:val="000000"/>
          <w:szCs w:val="22"/>
        </w:rPr>
        <w:t>im</w:t>
      </w:r>
      <w:r w:rsidRPr="003E79D6">
        <w:rPr>
          <w:color w:val="000000"/>
          <w:szCs w:val="22"/>
        </w:rPr>
        <w:t xml:space="preserve">, International Bureau, </w:t>
      </w:r>
      <w:r w:rsidRPr="00E3535C">
        <w:rPr>
          <w:szCs w:val="22"/>
        </w:rPr>
        <w:t>leah.kim@fcc.gov</w:t>
      </w:r>
      <w:r w:rsidRPr="003E79D6">
        <w:rPr>
          <w:rStyle w:val="Hyperlink"/>
          <w:szCs w:val="22"/>
          <w:u w:val="none"/>
        </w:rPr>
        <w:t>;</w:t>
      </w:r>
    </w:p>
    <w:p w:rsidR="00983CD6" w:rsidRPr="003E79D6" w:rsidP="00983CD6" w14:paraId="6D893B61" w14:textId="48494BDE">
      <w:pPr>
        <w:numPr>
          <w:ilvl w:val="0"/>
          <w:numId w:val="18"/>
        </w:numPr>
        <w:ind w:left="630"/>
        <w:rPr>
          <w:color w:val="000000"/>
          <w:szCs w:val="22"/>
        </w:rPr>
      </w:pPr>
      <w:r>
        <w:rPr>
          <w:color w:val="000000"/>
          <w:szCs w:val="22"/>
        </w:rPr>
        <w:t>Melissa Conway</w:t>
      </w:r>
      <w:r w:rsidRPr="003E79D6">
        <w:rPr>
          <w:color w:val="000000"/>
          <w:szCs w:val="22"/>
        </w:rPr>
        <w:t xml:space="preserve">, Wireless Telecommunications Bureau; </w:t>
      </w:r>
      <w:r>
        <w:rPr>
          <w:color w:val="000000"/>
          <w:szCs w:val="22"/>
        </w:rPr>
        <w:t>melissa.conway@fcc.gov</w:t>
      </w:r>
      <w:r w:rsidRPr="003E79D6">
        <w:rPr>
          <w:color w:val="000000"/>
          <w:szCs w:val="22"/>
        </w:rPr>
        <w:t>; and</w:t>
      </w:r>
    </w:p>
    <w:p w:rsidR="00983CD6" w:rsidRPr="003E79D6" w:rsidP="00983CD6" w14:paraId="44B7E077" w14:textId="4914C71B">
      <w:pPr>
        <w:numPr>
          <w:ilvl w:val="0"/>
          <w:numId w:val="18"/>
        </w:numPr>
        <w:ind w:left="630"/>
        <w:rPr>
          <w:color w:val="000000"/>
          <w:szCs w:val="22"/>
        </w:rPr>
      </w:pPr>
      <w:r w:rsidRPr="003E79D6">
        <w:rPr>
          <w:color w:val="000000"/>
          <w:szCs w:val="22"/>
        </w:rPr>
        <w:t xml:space="preserve">Jim Bird, Office of General Counsel, </w:t>
      </w:r>
      <w:r w:rsidRPr="00E3535C" w:rsidR="00A871C5">
        <w:rPr>
          <w:szCs w:val="22"/>
        </w:rPr>
        <w:t>jim.bird@fcc.gov</w:t>
      </w:r>
      <w:r w:rsidRPr="003E79D6">
        <w:rPr>
          <w:color w:val="000000"/>
          <w:szCs w:val="22"/>
        </w:rPr>
        <w:t xml:space="preserve">. </w:t>
      </w:r>
    </w:p>
    <w:bookmarkEnd w:id="5"/>
    <w:p w:rsidR="00983CD6" w:rsidRPr="0009631D" w:rsidP="00983CD6" w14:paraId="5D2B022E" w14:textId="77777777">
      <w:pPr>
        <w:rPr>
          <w:color w:val="000000"/>
          <w:szCs w:val="22"/>
        </w:rPr>
      </w:pPr>
    </w:p>
    <w:p w:rsidR="00983CD6" w:rsidRPr="0009631D" w:rsidP="00983CD6" w14:paraId="55FF8D74" w14:textId="77777777">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w:t>
      </w:r>
      <w:r w:rsidRPr="0009631D">
        <w:rPr>
          <w:color w:val="000000"/>
          <w:szCs w:val="22"/>
        </w:rPr>
        <w:t xml:space="preserve">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983CD6" w:rsidRPr="0009631D" w:rsidP="00983CD6" w14:paraId="47E286D0" w14:textId="77777777">
      <w:pPr>
        <w:rPr>
          <w:color w:val="000000"/>
          <w:szCs w:val="22"/>
        </w:rPr>
      </w:pPr>
    </w:p>
    <w:p w:rsidR="00983CD6" w:rsidRPr="0009631D" w:rsidP="00983CD6" w14:paraId="585AB413" w14:textId="1D49B188">
      <w:pPr>
        <w:ind w:firstLine="720"/>
        <w:rPr>
          <w:color w:val="000000"/>
          <w:szCs w:val="22"/>
        </w:rPr>
      </w:pPr>
      <w:r w:rsidRPr="0009631D">
        <w:rPr>
          <w:color w:val="000000"/>
          <w:szCs w:val="22"/>
        </w:rPr>
        <w:t>To allow the Commission to consider fully all substantive issues regarding the application</w:t>
      </w:r>
      <w:r w:rsidR="00945A37">
        <w:rPr>
          <w:color w:val="000000"/>
          <w:szCs w:val="22"/>
        </w:rPr>
        <w:t>s</w:t>
      </w:r>
      <w:r w:rsidRPr="0009631D">
        <w:rPr>
          <w:color w:val="000000"/>
          <w:szCs w:val="22"/>
        </w:rPr>
        <w:t xml:space="preserve"> in as timely and efficient a manner as possible, petitioners and commenters should raise all issues in their initial filings.  New issues may not be raised in responses or replies.</w:t>
      </w:r>
      <w:r>
        <w:rPr>
          <w:color w:val="000000"/>
          <w:szCs w:val="22"/>
          <w:vertAlign w:val="superscript"/>
        </w:rPr>
        <w:footnoteReference w:id="28"/>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83CD6" w:rsidRPr="0009631D" w:rsidP="00983CD6" w14:paraId="2ABB26ED" w14:textId="77777777">
      <w:pPr>
        <w:rPr>
          <w:color w:val="000000"/>
          <w:szCs w:val="22"/>
        </w:rPr>
      </w:pPr>
    </w:p>
    <w:p w:rsidR="00983CD6" w:rsidRPr="0009631D" w:rsidP="00983CD6" w14:paraId="68D12CC2" w14:textId="7CF871DA">
      <w:pPr>
        <w:ind w:firstLine="720"/>
        <w:rPr>
          <w:color w:val="000000"/>
          <w:szCs w:val="22"/>
        </w:rPr>
      </w:pPr>
      <w:r w:rsidRPr="003E79D6">
        <w:rPr>
          <w:color w:val="000000"/>
          <w:szCs w:val="22"/>
        </w:rPr>
        <w:t xml:space="preserve">For further information, please contact </w:t>
      </w:r>
      <w:r w:rsidR="000D5346">
        <w:rPr>
          <w:color w:val="000000"/>
          <w:szCs w:val="22"/>
        </w:rPr>
        <w:t>Greg Kwan</w:t>
      </w:r>
      <w:r w:rsidRPr="003E79D6">
        <w:rPr>
          <w:color w:val="000000"/>
          <w:szCs w:val="22"/>
        </w:rPr>
        <w:t>, Wireline Competition Bureau, (202) 418-</w:t>
      </w:r>
      <w:r w:rsidR="000D5346">
        <w:rPr>
          <w:color w:val="000000"/>
          <w:szCs w:val="22"/>
        </w:rPr>
        <w:t>1191</w:t>
      </w:r>
      <w:r w:rsidRPr="003E79D6">
        <w:rPr>
          <w:color w:val="000000"/>
          <w:szCs w:val="22"/>
        </w:rPr>
        <w:t xml:space="preserve">; </w:t>
      </w:r>
      <w:r>
        <w:rPr>
          <w:color w:val="000000"/>
          <w:szCs w:val="22"/>
        </w:rPr>
        <w:t>Leah Kim</w:t>
      </w:r>
      <w:r w:rsidRPr="003E79D6">
        <w:rPr>
          <w:color w:val="000000"/>
          <w:szCs w:val="22"/>
        </w:rPr>
        <w:t>, International Bureau, (202) 418-</w:t>
      </w:r>
      <w:r>
        <w:rPr>
          <w:color w:val="000000"/>
          <w:szCs w:val="22"/>
        </w:rPr>
        <w:t>0722</w:t>
      </w:r>
      <w:r w:rsidRPr="003E79D6">
        <w:rPr>
          <w:color w:val="000000"/>
          <w:szCs w:val="22"/>
        </w:rPr>
        <w:t xml:space="preserve">; or </w:t>
      </w:r>
      <w:r w:rsidR="00A871C5">
        <w:rPr>
          <w:color w:val="000000"/>
          <w:szCs w:val="22"/>
        </w:rPr>
        <w:t>Melissa Conway</w:t>
      </w:r>
      <w:r w:rsidRPr="003E79D6">
        <w:rPr>
          <w:color w:val="000000"/>
          <w:szCs w:val="22"/>
        </w:rPr>
        <w:t>, Wireless Telecommunications Bureau, (202) 418-</w:t>
      </w:r>
      <w:r w:rsidR="00A871C5">
        <w:rPr>
          <w:color w:val="000000"/>
          <w:szCs w:val="22"/>
        </w:rPr>
        <w:t>2887</w:t>
      </w:r>
      <w:r w:rsidRPr="003E79D6">
        <w:rPr>
          <w:color w:val="000000"/>
          <w:szCs w:val="22"/>
        </w:rPr>
        <w:t>.</w:t>
      </w:r>
    </w:p>
    <w:p w:rsidR="00983CD6" w:rsidRPr="00585942" w:rsidP="00983CD6" w14:paraId="3BAF0670" w14:textId="77777777">
      <w:pPr>
        <w:jc w:val="center"/>
        <w:rPr>
          <w:b/>
          <w:color w:val="000000"/>
          <w:szCs w:val="22"/>
          <w:u w:val="single"/>
        </w:rPr>
      </w:pPr>
      <w:r>
        <w:rPr>
          <w:b/>
          <w:color w:val="000000"/>
          <w:szCs w:val="22"/>
        </w:rPr>
        <w:br w:type="page"/>
      </w:r>
      <w:r w:rsidRPr="00585942">
        <w:rPr>
          <w:b/>
          <w:color w:val="000000"/>
          <w:szCs w:val="22"/>
          <w:u w:val="single"/>
        </w:rPr>
        <w:t>ATTACHMENT A</w:t>
      </w:r>
    </w:p>
    <w:p w:rsidR="00983CD6" w:rsidRPr="00585942" w:rsidP="00983CD6" w14:paraId="4496C91C" w14:textId="77777777">
      <w:pPr>
        <w:rPr>
          <w:b/>
          <w:color w:val="000000"/>
          <w:szCs w:val="22"/>
        </w:rPr>
      </w:pPr>
    </w:p>
    <w:p w:rsidR="00983CD6" w:rsidRPr="00585942" w:rsidP="00983CD6" w14:paraId="67AE0984" w14:textId="77777777">
      <w:pPr>
        <w:rPr>
          <w:b/>
          <w:color w:val="000000"/>
          <w:szCs w:val="22"/>
        </w:rPr>
      </w:pPr>
    </w:p>
    <w:p w:rsidR="00983CD6" w:rsidRPr="0022664E" w:rsidP="00983CD6" w14:paraId="1AAFFEB2" w14:textId="77777777">
      <w:pPr>
        <w:rPr>
          <w:color w:val="000000"/>
          <w:szCs w:val="22"/>
        </w:rPr>
      </w:pPr>
      <w:r w:rsidRPr="00585942">
        <w:rPr>
          <w:b/>
          <w:color w:val="000000"/>
          <w:szCs w:val="22"/>
        </w:rPr>
        <w:t>SECTION 214 AUTHORIZATIONS</w:t>
      </w:r>
    </w:p>
    <w:p w:rsidR="00983CD6" w:rsidRPr="0022664E" w:rsidP="00983CD6" w14:paraId="6CCAC229" w14:textId="77777777">
      <w:pPr>
        <w:rPr>
          <w:color w:val="000000"/>
          <w:szCs w:val="22"/>
        </w:rPr>
      </w:pPr>
    </w:p>
    <w:p w:rsidR="00983CD6" w:rsidRPr="00585942" w:rsidP="00983CD6" w14:paraId="39879462" w14:textId="77777777">
      <w:pPr>
        <w:rPr>
          <w:b/>
          <w:color w:val="000000"/>
          <w:szCs w:val="22"/>
        </w:rPr>
      </w:pPr>
      <w:r w:rsidRPr="00585942">
        <w:rPr>
          <w:b/>
          <w:color w:val="000000"/>
          <w:szCs w:val="22"/>
        </w:rPr>
        <w:t>A.</w:t>
      </w:r>
      <w:r w:rsidRPr="00585942">
        <w:rPr>
          <w:b/>
          <w:color w:val="000000"/>
          <w:szCs w:val="22"/>
        </w:rPr>
        <w:tab/>
        <w:t>International</w:t>
      </w:r>
    </w:p>
    <w:p w:rsidR="00983CD6" w:rsidRPr="0022664E" w:rsidP="00983CD6" w14:paraId="21544640" w14:textId="77777777">
      <w:pPr>
        <w:rPr>
          <w:color w:val="000000"/>
          <w:szCs w:val="22"/>
        </w:rPr>
      </w:pPr>
    </w:p>
    <w:p w:rsidR="00983CD6" w:rsidRPr="0022664E" w:rsidP="00983CD6" w14:paraId="3917C623" w14:textId="77777777">
      <w:pPr>
        <w:rPr>
          <w:color w:val="000000"/>
          <w:szCs w:val="22"/>
        </w:rPr>
      </w:pPr>
      <w:bookmarkStart w:id="6" w:name="_Hlk1664737"/>
      <w:r w:rsidRPr="0022664E">
        <w:rPr>
          <w:color w:val="000000"/>
          <w:szCs w:val="22"/>
        </w:rPr>
        <w:t>The applications for consent to the transfer of control of certain international section 214 authorizations have been assigned the file numbers listed below.</w:t>
      </w:r>
    </w:p>
    <w:bookmarkEnd w:id="6"/>
    <w:p w:rsidR="00983CD6" w:rsidRPr="0022664E" w:rsidP="00983CD6" w14:paraId="60191217" w14:textId="77777777">
      <w:pPr>
        <w:rPr>
          <w:color w:val="000000"/>
          <w:szCs w:val="22"/>
        </w:rPr>
      </w:pPr>
    </w:p>
    <w:tbl>
      <w:tblPr>
        <w:tblW w:w="9738" w:type="dxa"/>
        <w:tblLook w:val="01E0"/>
      </w:tblPr>
      <w:tblGrid>
        <w:gridCol w:w="2880"/>
        <w:gridCol w:w="3888"/>
        <w:gridCol w:w="2970"/>
      </w:tblGrid>
      <w:tr w14:paraId="455F8E0F" w14:textId="77777777" w:rsidTr="00736729">
        <w:tblPrEx>
          <w:tblW w:w="9738" w:type="dxa"/>
          <w:tblLook w:val="01E0"/>
        </w:tblPrEx>
        <w:tc>
          <w:tcPr>
            <w:tcW w:w="2880" w:type="dxa"/>
          </w:tcPr>
          <w:p w:rsidR="00983CD6" w:rsidRPr="0022664E" w:rsidP="00736729" w14:paraId="3CD7F358" w14:textId="77777777">
            <w:pPr>
              <w:rPr>
                <w:color w:val="000000"/>
                <w:szCs w:val="22"/>
              </w:rPr>
            </w:pPr>
            <w:bookmarkStart w:id="7" w:name="_Hlk1656452"/>
            <w:r w:rsidRPr="0022664E">
              <w:rPr>
                <w:color w:val="000000"/>
                <w:szCs w:val="22"/>
                <w:u w:val="single"/>
              </w:rPr>
              <w:t>File Number</w:t>
            </w:r>
          </w:p>
        </w:tc>
        <w:tc>
          <w:tcPr>
            <w:tcW w:w="3888" w:type="dxa"/>
          </w:tcPr>
          <w:p w:rsidR="00983CD6" w:rsidRPr="0022664E" w:rsidP="00736729" w14:paraId="439F3B87" w14:textId="77777777">
            <w:pPr>
              <w:rPr>
                <w:color w:val="000000"/>
                <w:szCs w:val="22"/>
              </w:rPr>
            </w:pPr>
            <w:r w:rsidRPr="0022664E">
              <w:rPr>
                <w:color w:val="000000"/>
                <w:szCs w:val="22"/>
                <w:u w:val="single"/>
              </w:rPr>
              <w:t>Authorization Holder</w:t>
            </w:r>
          </w:p>
        </w:tc>
        <w:tc>
          <w:tcPr>
            <w:tcW w:w="2970" w:type="dxa"/>
          </w:tcPr>
          <w:p w:rsidR="00983CD6" w:rsidRPr="0022664E" w:rsidP="00736729" w14:paraId="4EBB8B99" w14:textId="77777777">
            <w:pPr>
              <w:rPr>
                <w:color w:val="000000"/>
                <w:szCs w:val="22"/>
                <w:u w:val="single"/>
              </w:rPr>
            </w:pPr>
            <w:r w:rsidRPr="0022664E">
              <w:rPr>
                <w:color w:val="000000"/>
                <w:szCs w:val="22"/>
                <w:u w:val="single"/>
              </w:rPr>
              <w:t>Authorization Number</w:t>
            </w:r>
          </w:p>
          <w:p w:rsidR="00983CD6" w:rsidRPr="0022664E" w:rsidP="00736729" w14:paraId="0BE75975" w14:textId="77777777">
            <w:pPr>
              <w:rPr>
                <w:color w:val="000000"/>
                <w:szCs w:val="22"/>
                <w:u w:val="single"/>
              </w:rPr>
            </w:pPr>
          </w:p>
        </w:tc>
      </w:tr>
      <w:tr w14:paraId="5FE023CE" w14:textId="77777777" w:rsidTr="00736729">
        <w:tblPrEx>
          <w:tblW w:w="9738" w:type="dxa"/>
          <w:tblLook w:val="01E0"/>
        </w:tblPrEx>
        <w:tc>
          <w:tcPr>
            <w:tcW w:w="2880" w:type="dxa"/>
          </w:tcPr>
          <w:p w:rsidR="00983CD6" w:rsidRPr="00704B2F" w:rsidP="00736729" w14:paraId="7DD9A3E5" w14:textId="77777777">
            <w:pPr>
              <w:rPr>
                <w:color w:val="000000"/>
                <w:szCs w:val="22"/>
                <w:highlight w:val="yellow"/>
              </w:rPr>
            </w:pPr>
            <w:bookmarkStart w:id="8" w:name="_Hlk1728800"/>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w:t>
            </w:r>
            <w:r>
              <w:rPr>
                <w:color w:val="000000"/>
                <w:szCs w:val="22"/>
              </w:rPr>
              <w:t>59</w:t>
            </w:r>
          </w:p>
        </w:tc>
        <w:tc>
          <w:tcPr>
            <w:tcW w:w="3888" w:type="dxa"/>
          </w:tcPr>
          <w:p w:rsidR="00983CD6" w:rsidRPr="0022664E" w:rsidP="00736729" w14:paraId="21718F37" w14:textId="77777777">
            <w:pPr>
              <w:rPr>
                <w:color w:val="000000"/>
                <w:szCs w:val="22"/>
              </w:rPr>
            </w:pPr>
            <w:r>
              <w:t>Inteliquent, Inc</w:t>
            </w:r>
            <w:r w:rsidRPr="002D5410">
              <w:rPr>
                <w:color w:val="000000"/>
                <w:szCs w:val="22"/>
              </w:rPr>
              <w:t xml:space="preserve"> </w:t>
            </w:r>
          </w:p>
        </w:tc>
        <w:tc>
          <w:tcPr>
            <w:tcW w:w="2970" w:type="dxa"/>
          </w:tcPr>
          <w:p w:rsidR="00983CD6" w:rsidP="00736729" w14:paraId="1C8FF0BF" w14:textId="77777777">
            <w:pPr>
              <w:rPr>
                <w:color w:val="000000"/>
                <w:szCs w:val="22"/>
              </w:rPr>
            </w:pPr>
            <w:r>
              <w:rPr>
                <w:color w:val="000000"/>
                <w:szCs w:val="22"/>
              </w:rPr>
              <w:t xml:space="preserve">ITC-214-20100423-00180 </w:t>
            </w:r>
          </w:p>
          <w:p w:rsidR="00983CD6" w:rsidRPr="00704B2F" w:rsidP="00736729" w14:paraId="591398F7" w14:textId="77777777">
            <w:pPr>
              <w:rPr>
                <w:color w:val="000000"/>
                <w:szCs w:val="22"/>
                <w:highlight w:val="yellow"/>
              </w:rPr>
            </w:pPr>
          </w:p>
        </w:tc>
      </w:tr>
      <w:bookmarkEnd w:id="7"/>
      <w:bookmarkEnd w:id="8"/>
      <w:tr w14:paraId="25938101" w14:textId="77777777" w:rsidTr="00736729">
        <w:tblPrEx>
          <w:tblW w:w="9738" w:type="dxa"/>
          <w:tblLook w:val="01E0"/>
        </w:tblPrEx>
        <w:tc>
          <w:tcPr>
            <w:tcW w:w="2880" w:type="dxa"/>
          </w:tcPr>
          <w:p w:rsidR="00983CD6" w:rsidRPr="00704B2F" w:rsidP="00736729" w14:paraId="34CA7B24" w14:textId="77777777">
            <w:pPr>
              <w:rPr>
                <w:color w:val="000000"/>
                <w:szCs w:val="22"/>
                <w:highlight w:val="yellow"/>
              </w:rPr>
            </w:pPr>
          </w:p>
        </w:tc>
        <w:tc>
          <w:tcPr>
            <w:tcW w:w="3888" w:type="dxa"/>
          </w:tcPr>
          <w:p w:rsidR="00983CD6" w:rsidRPr="0022664E" w:rsidP="00736729" w14:paraId="56E2DDBB" w14:textId="77777777">
            <w:pPr>
              <w:rPr>
                <w:color w:val="000000"/>
                <w:szCs w:val="22"/>
              </w:rPr>
            </w:pPr>
          </w:p>
        </w:tc>
        <w:tc>
          <w:tcPr>
            <w:tcW w:w="2970" w:type="dxa"/>
          </w:tcPr>
          <w:p w:rsidR="00983CD6" w:rsidRPr="00704B2F" w:rsidP="00736729" w14:paraId="58613DFA" w14:textId="77777777">
            <w:pPr>
              <w:rPr>
                <w:color w:val="000000"/>
                <w:szCs w:val="22"/>
                <w:highlight w:val="yellow"/>
              </w:rPr>
            </w:pPr>
          </w:p>
        </w:tc>
      </w:tr>
      <w:tr w14:paraId="453F5AC2" w14:textId="77777777" w:rsidTr="00736729">
        <w:tblPrEx>
          <w:tblW w:w="9738" w:type="dxa"/>
          <w:tblLook w:val="01E0"/>
        </w:tblPrEx>
        <w:tc>
          <w:tcPr>
            <w:tcW w:w="2880" w:type="dxa"/>
          </w:tcPr>
          <w:p w:rsidR="00983CD6" w:rsidP="00736729" w14:paraId="26C8CD65" w14:textId="77777777">
            <w:pPr>
              <w:rPr>
                <w:color w:val="000000"/>
                <w:szCs w:val="22"/>
              </w:rPr>
            </w:pPr>
            <w:bookmarkStart w:id="9" w:name="_Hlk12362083"/>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0006</w:t>
            </w:r>
            <w:r>
              <w:rPr>
                <w:color w:val="000000"/>
                <w:szCs w:val="22"/>
              </w:rPr>
              <w:t>0</w:t>
            </w:r>
          </w:p>
          <w:p w:rsidR="00983CD6" w:rsidRPr="00704B2F" w:rsidP="00736729" w14:paraId="007C60DB" w14:textId="77777777">
            <w:pPr>
              <w:rPr>
                <w:color w:val="000000"/>
                <w:szCs w:val="22"/>
                <w:highlight w:val="yellow"/>
              </w:rPr>
            </w:pPr>
          </w:p>
        </w:tc>
        <w:tc>
          <w:tcPr>
            <w:tcW w:w="3888" w:type="dxa"/>
          </w:tcPr>
          <w:p w:rsidR="00983CD6" w:rsidRPr="0022664E" w:rsidP="00736729" w14:paraId="3E9C57C6" w14:textId="77777777">
            <w:pPr>
              <w:rPr>
                <w:color w:val="000000"/>
                <w:szCs w:val="22"/>
              </w:rPr>
            </w:pPr>
            <w:r>
              <w:t>ANPI Business, LLC</w:t>
            </w:r>
            <w:r w:rsidRPr="002D5410">
              <w:rPr>
                <w:color w:val="000000"/>
                <w:szCs w:val="22"/>
              </w:rPr>
              <w:t xml:space="preserve"> </w:t>
            </w:r>
          </w:p>
        </w:tc>
        <w:tc>
          <w:tcPr>
            <w:tcW w:w="2970" w:type="dxa"/>
          </w:tcPr>
          <w:p w:rsidR="00983CD6" w:rsidRPr="00704B2F" w:rsidP="00736729" w14:paraId="0EE012D6" w14:textId="77777777">
            <w:pPr>
              <w:rPr>
                <w:color w:val="000000"/>
                <w:szCs w:val="22"/>
                <w:highlight w:val="yellow"/>
              </w:rPr>
            </w:pPr>
            <w:r w:rsidRPr="00972A0B">
              <w:rPr>
                <w:color w:val="000000"/>
                <w:szCs w:val="22"/>
              </w:rPr>
              <w:t>ITC-214-</w:t>
            </w:r>
            <w:r>
              <w:rPr>
                <w:color w:val="000000"/>
                <w:szCs w:val="22"/>
              </w:rPr>
              <w:t xml:space="preserve">20000717-00403 </w:t>
            </w:r>
          </w:p>
        </w:tc>
      </w:tr>
      <w:tr w14:paraId="7819FC35" w14:textId="77777777" w:rsidTr="00736729">
        <w:tblPrEx>
          <w:tblW w:w="9738" w:type="dxa"/>
          <w:tblLook w:val="01E0"/>
        </w:tblPrEx>
        <w:tc>
          <w:tcPr>
            <w:tcW w:w="2880" w:type="dxa"/>
          </w:tcPr>
          <w:p w:rsidR="00983CD6" w:rsidP="00736729" w14:paraId="2A89951A" w14:textId="77777777">
            <w:pPr>
              <w:rPr>
                <w:color w:val="000000"/>
                <w:szCs w:val="22"/>
              </w:rPr>
            </w:pPr>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0006</w:t>
            </w:r>
            <w:r>
              <w:rPr>
                <w:color w:val="000000"/>
                <w:szCs w:val="22"/>
              </w:rPr>
              <w:t>1</w:t>
            </w:r>
          </w:p>
          <w:p w:rsidR="00983CD6" w:rsidP="00736729" w14:paraId="7B29CB00" w14:textId="77777777">
            <w:pPr>
              <w:rPr>
                <w:color w:val="000000"/>
                <w:szCs w:val="22"/>
                <w:highlight w:val="yellow"/>
              </w:rPr>
            </w:pPr>
          </w:p>
          <w:p w:rsidR="00983CD6" w:rsidRPr="00704B2F" w:rsidP="00736729" w14:paraId="0D5DC6EC" w14:textId="77777777">
            <w:pPr>
              <w:rPr>
                <w:color w:val="000000"/>
                <w:szCs w:val="22"/>
                <w:highlight w:val="yellow"/>
              </w:rPr>
            </w:pPr>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0006</w:t>
            </w:r>
            <w:r>
              <w:rPr>
                <w:color w:val="000000"/>
                <w:szCs w:val="22"/>
              </w:rPr>
              <w:t>2</w:t>
            </w:r>
          </w:p>
        </w:tc>
        <w:tc>
          <w:tcPr>
            <w:tcW w:w="3888" w:type="dxa"/>
          </w:tcPr>
          <w:p w:rsidR="00983CD6" w:rsidP="00736729" w14:paraId="61A51264" w14:textId="77777777">
            <w:r>
              <w:t xml:space="preserve">ANPI, LLC </w:t>
            </w:r>
          </w:p>
          <w:p w:rsidR="00983CD6" w:rsidP="00736729" w14:paraId="14BF6B2F" w14:textId="77777777"/>
          <w:p w:rsidR="00983CD6" w:rsidRPr="0022664E" w:rsidP="00736729" w14:paraId="0E7FB049" w14:textId="77777777">
            <w:pPr>
              <w:rPr>
                <w:color w:val="000000"/>
                <w:szCs w:val="22"/>
              </w:rPr>
            </w:pPr>
            <w:r>
              <w:t>Broadvox-CLEC, LLC</w:t>
            </w:r>
          </w:p>
        </w:tc>
        <w:tc>
          <w:tcPr>
            <w:tcW w:w="2970" w:type="dxa"/>
          </w:tcPr>
          <w:p w:rsidR="00983CD6" w:rsidP="00736729" w14:paraId="539A9B90" w14:textId="77777777">
            <w:pPr>
              <w:rPr>
                <w:color w:val="000000"/>
                <w:szCs w:val="22"/>
              </w:rPr>
            </w:pPr>
            <w:r>
              <w:rPr>
                <w:color w:val="000000"/>
                <w:szCs w:val="22"/>
              </w:rPr>
              <w:t>ITC-214-19960209-00017</w:t>
            </w:r>
          </w:p>
          <w:p w:rsidR="00983CD6" w:rsidP="00736729" w14:paraId="6D4EC23F" w14:textId="77777777">
            <w:pPr>
              <w:rPr>
                <w:color w:val="000000"/>
                <w:szCs w:val="22"/>
              </w:rPr>
            </w:pPr>
            <w:r>
              <w:rPr>
                <w:color w:val="000000"/>
                <w:szCs w:val="22"/>
              </w:rPr>
              <w:t xml:space="preserve"> </w:t>
            </w:r>
          </w:p>
          <w:p w:rsidR="00983CD6" w:rsidRPr="00CB7798" w:rsidP="00736729" w14:paraId="017ECA0D" w14:textId="77777777">
            <w:pPr>
              <w:rPr>
                <w:color w:val="000000"/>
                <w:szCs w:val="22"/>
              </w:rPr>
            </w:pPr>
            <w:r>
              <w:rPr>
                <w:color w:val="000000"/>
                <w:szCs w:val="22"/>
              </w:rPr>
              <w:t>ITC-214-20090529-00261</w:t>
            </w:r>
          </w:p>
        </w:tc>
      </w:tr>
      <w:bookmarkEnd w:id="9"/>
      <w:tr w14:paraId="40969D75" w14:textId="77777777" w:rsidTr="00736729">
        <w:tblPrEx>
          <w:tblW w:w="9738" w:type="dxa"/>
          <w:tblLook w:val="01E0"/>
        </w:tblPrEx>
        <w:tc>
          <w:tcPr>
            <w:tcW w:w="2880" w:type="dxa"/>
          </w:tcPr>
          <w:p w:rsidR="00983CD6" w:rsidRPr="00704B2F" w:rsidP="00736729" w14:paraId="17ED72E5" w14:textId="77777777">
            <w:pPr>
              <w:rPr>
                <w:color w:val="000000"/>
                <w:szCs w:val="22"/>
                <w:highlight w:val="yellow"/>
              </w:rPr>
            </w:pPr>
          </w:p>
        </w:tc>
        <w:tc>
          <w:tcPr>
            <w:tcW w:w="3888" w:type="dxa"/>
          </w:tcPr>
          <w:p w:rsidR="00983CD6" w:rsidRPr="0022664E" w:rsidP="00736729" w14:paraId="0B5D80F4" w14:textId="77777777">
            <w:pPr>
              <w:jc w:val="center"/>
              <w:rPr>
                <w:color w:val="000000"/>
                <w:szCs w:val="22"/>
              </w:rPr>
            </w:pPr>
          </w:p>
        </w:tc>
        <w:tc>
          <w:tcPr>
            <w:tcW w:w="2970" w:type="dxa"/>
          </w:tcPr>
          <w:p w:rsidR="00983CD6" w:rsidRPr="00704B2F" w:rsidP="00736729" w14:paraId="1D28C83D" w14:textId="77777777">
            <w:pPr>
              <w:rPr>
                <w:color w:val="000000"/>
                <w:szCs w:val="22"/>
                <w:highlight w:val="yellow"/>
              </w:rPr>
            </w:pPr>
          </w:p>
        </w:tc>
      </w:tr>
      <w:tr w14:paraId="426546A1" w14:textId="77777777" w:rsidTr="00736729">
        <w:tblPrEx>
          <w:tblW w:w="9738" w:type="dxa"/>
          <w:tblLook w:val="01E0"/>
        </w:tblPrEx>
        <w:tc>
          <w:tcPr>
            <w:tcW w:w="2880" w:type="dxa"/>
          </w:tcPr>
          <w:p w:rsidR="00983CD6" w:rsidP="00736729" w14:paraId="6D236E6A" w14:textId="77777777">
            <w:pPr>
              <w:rPr>
                <w:color w:val="000000"/>
                <w:szCs w:val="22"/>
              </w:rPr>
            </w:pPr>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0006</w:t>
            </w:r>
            <w:r>
              <w:rPr>
                <w:color w:val="000000"/>
                <w:szCs w:val="22"/>
              </w:rPr>
              <w:t>3</w:t>
            </w:r>
          </w:p>
          <w:p w:rsidR="00983CD6" w:rsidP="00736729" w14:paraId="034FBB58" w14:textId="77777777">
            <w:pPr>
              <w:rPr>
                <w:color w:val="000000"/>
                <w:szCs w:val="22"/>
                <w:highlight w:val="yellow"/>
              </w:rPr>
            </w:pPr>
          </w:p>
          <w:p w:rsidR="00983CD6" w:rsidRPr="00704B2F" w:rsidP="00736729" w14:paraId="24D2C290" w14:textId="77777777">
            <w:pPr>
              <w:rPr>
                <w:color w:val="000000"/>
                <w:szCs w:val="22"/>
                <w:highlight w:val="yellow"/>
              </w:rPr>
            </w:pPr>
          </w:p>
        </w:tc>
        <w:tc>
          <w:tcPr>
            <w:tcW w:w="3888" w:type="dxa"/>
          </w:tcPr>
          <w:p w:rsidR="00983CD6" w:rsidP="00736729" w14:paraId="447ECC81" w14:textId="77777777">
            <w:pPr>
              <w:rPr>
                <w:color w:val="000000"/>
                <w:szCs w:val="22"/>
              </w:rPr>
            </w:pPr>
            <w:r>
              <w:t>Voyant Communications, LLC</w:t>
            </w:r>
          </w:p>
          <w:p w:rsidR="00983CD6" w:rsidRPr="0022664E" w:rsidP="00736729" w14:paraId="4F785890" w14:textId="77777777">
            <w:pPr>
              <w:rPr>
                <w:color w:val="000000"/>
                <w:szCs w:val="22"/>
              </w:rPr>
            </w:pPr>
          </w:p>
        </w:tc>
        <w:tc>
          <w:tcPr>
            <w:tcW w:w="2970" w:type="dxa"/>
          </w:tcPr>
          <w:p w:rsidR="00983CD6" w:rsidP="00736729" w14:paraId="56EA7523" w14:textId="77777777">
            <w:pPr>
              <w:rPr>
                <w:color w:val="000000"/>
                <w:szCs w:val="22"/>
              </w:rPr>
            </w:pPr>
            <w:r w:rsidRPr="002D5410">
              <w:rPr>
                <w:color w:val="000000"/>
                <w:szCs w:val="22"/>
              </w:rPr>
              <w:t>ITC-214-2009</w:t>
            </w:r>
            <w:r>
              <w:rPr>
                <w:color w:val="000000"/>
                <w:szCs w:val="22"/>
              </w:rPr>
              <w:t xml:space="preserve">1016-00444 </w:t>
            </w:r>
          </w:p>
          <w:p w:rsidR="00983CD6" w:rsidRPr="00704B2F" w:rsidP="00736729" w14:paraId="7B9C9DF9" w14:textId="77777777">
            <w:pPr>
              <w:rPr>
                <w:color w:val="000000"/>
                <w:szCs w:val="22"/>
                <w:highlight w:val="yellow"/>
              </w:rPr>
            </w:pPr>
          </w:p>
        </w:tc>
      </w:tr>
      <w:tr w14:paraId="6B2EB57F" w14:textId="77777777" w:rsidTr="00736729">
        <w:tblPrEx>
          <w:tblW w:w="9738" w:type="dxa"/>
          <w:tblLook w:val="01E0"/>
        </w:tblPrEx>
        <w:tc>
          <w:tcPr>
            <w:tcW w:w="2880" w:type="dxa"/>
          </w:tcPr>
          <w:p w:rsidR="00983CD6" w:rsidRPr="008D3514" w:rsidP="00736729" w14:paraId="42535AFE" w14:textId="77777777">
            <w:pPr>
              <w:rPr>
                <w:color w:val="000000"/>
                <w:szCs w:val="22"/>
              </w:rPr>
            </w:pPr>
            <w:r w:rsidRPr="00B406B9">
              <w:rPr>
                <w:color w:val="000000"/>
                <w:szCs w:val="22"/>
              </w:rPr>
              <w:t>ITC</w:t>
            </w:r>
            <w:r>
              <w:rPr>
                <w:color w:val="000000"/>
                <w:szCs w:val="22"/>
              </w:rPr>
              <w:t>-</w:t>
            </w:r>
            <w:r w:rsidRPr="00B406B9">
              <w:rPr>
                <w:color w:val="000000"/>
                <w:szCs w:val="22"/>
              </w:rPr>
              <w:t>T/C</w:t>
            </w:r>
            <w:r>
              <w:rPr>
                <w:color w:val="000000"/>
                <w:szCs w:val="22"/>
              </w:rPr>
              <w:t>-</w:t>
            </w:r>
            <w:r w:rsidRPr="00B406B9">
              <w:rPr>
                <w:color w:val="000000"/>
                <w:szCs w:val="22"/>
              </w:rPr>
              <w:t>20210401</w:t>
            </w:r>
            <w:r>
              <w:rPr>
                <w:color w:val="000000"/>
                <w:szCs w:val="22"/>
              </w:rPr>
              <w:t>-</w:t>
            </w:r>
            <w:r w:rsidRPr="00B406B9">
              <w:rPr>
                <w:color w:val="000000"/>
                <w:szCs w:val="22"/>
              </w:rPr>
              <w:t>000</w:t>
            </w:r>
            <w:r>
              <w:rPr>
                <w:color w:val="000000"/>
                <w:szCs w:val="22"/>
              </w:rPr>
              <w:t>64</w:t>
            </w:r>
          </w:p>
        </w:tc>
        <w:tc>
          <w:tcPr>
            <w:tcW w:w="3888" w:type="dxa"/>
          </w:tcPr>
          <w:p w:rsidR="00983CD6" w:rsidP="00736729" w14:paraId="12D68736" w14:textId="77777777">
            <w:pPr>
              <w:rPr>
                <w:color w:val="000000"/>
                <w:szCs w:val="22"/>
              </w:rPr>
            </w:pPr>
            <w:r>
              <w:t>Onvoy, LLC</w:t>
            </w:r>
          </w:p>
        </w:tc>
        <w:tc>
          <w:tcPr>
            <w:tcW w:w="2970" w:type="dxa"/>
          </w:tcPr>
          <w:p w:rsidR="00983CD6" w:rsidP="00736729" w14:paraId="4B0DDA4A" w14:textId="77777777">
            <w:pPr>
              <w:rPr>
                <w:color w:val="000000"/>
                <w:szCs w:val="22"/>
              </w:rPr>
            </w:pPr>
            <w:r w:rsidRPr="002D5410">
              <w:rPr>
                <w:color w:val="000000"/>
                <w:szCs w:val="22"/>
              </w:rPr>
              <w:t>ITC-214-</w:t>
            </w:r>
            <w:r>
              <w:rPr>
                <w:color w:val="000000"/>
                <w:szCs w:val="22"/>
              </w:rPr>
              <w:t>19970722-00425</w:t>
            </w:r>
            <w:r>
              <w:rPr>
                <w:rStyle w:val="FootnoteReference"/>
                <w:color w:val="000000"/>
                <w:szCs w:val="22"/>
              </w:rPr>
              <w:footnoteReference w:id="29"/>
            </w:r>
          </w:p>
          <w:p w:rsidR="00983CD6" w:rsidP="00736729" w14:paraId="6D7C2125" w14:textId="77777777">
            <w:pPr>
              <w:rPr>
                <w:color w:val="000000"/>
                <w:szCs w:val="22"/>
              </w:rPr>
            </w:pPr>
            <w:r w:rsidRPr="002D5410">
              <w:rPr>
                <w:color w:val="000000"/>
                <w:szCs w:val="22"/>
              </w:rPr>
              <w:t>ITC-214-</w:t>
            </w:r>
            <w:r>
              <w:rPr>
                <w:color w:val="000000"/>
                <w:szCs w:val="22"/>
              </w:rPr>
              <w:t>19971205-00766</w:t>
            </w:r>
          </w:p>
          <w:p w:rsidR="00983CD6" w:rsidRPr="008D3514" w:rsidP="00736729" w14:paraId="4E108798" w14:textId="77777777">
            <w:pPr>
              <w:rPr>
                <w:color w:val="000000"/>
                <w:szCs w:val="22"/>
              </w:rPr>
            </w:pPr>
          </w:p>
        </w:tc>
      </w:tr>
      <w:tr w14:paraId="1D35B04F" w14:textId="77777777" w:rsidTr="00736729">
        <w:tblPrEx>
          <w:tblW w:w="9738" w:type="dxa"/>
          <w:tblLook w:val="01E0"/>
        </w:tblPrEx>
        <w:tc>
          <w:tcPr>
            <w:tcW w:w="2880" w:type="dxa"/>
          </w:tcPr>
          <w:p w:rsidR="00983CD6" w:rsidRPr="00704B2F" w:rsidP="00736729" w14:paraId="79F5BCD3" w14:textId="77777777">
            <w:pPr>
              <w:rPr>
                <w:color w:val="000000"/>
                <w:szCs w:val="22"/>
                <w:highlight w:val="yellow"/>
              </w:rPr>
            </w:pPr>
          </w:p>
        </w:tc>
        <w:tc>
          <w:tcPr>
            <w:tcW w:w="3888" w:type="dxa"/>
          </w:tcPr>
          <w:p w:rsidR="00983CD6" w:rsidRPr="0022664E" w:rsidP="00736729" w14:paraId="6359D5DF" w14:textId="77777777">
            <w:pPr>
              <w:rPr>
                <w:color w:val="000000"/>
                <w:szCs w:val="22"/>
              </w:rPr>
            </w:pPr>
          </w:p>
        </w:tc>
        <w:tc>
          <w:tcPr>
            <w:tcW w:w="2970" w:type="dxa"/>
          </w:tcPr>
          <w:p w:rsidR="00983CD6" w:rsidRPr="00704B2F" w:rsidP="00736729" w14:paraId="086EC985" w14:textId="77777777">
            <w:pPr>
              <w:rPr>
                <w:color w:val="000000"/>
                <w:szCs w:val="22"/>
                <w:highlight w:val="yellow"/>
              </w:rPr>
            </w:pPr>
          </w:p>
        </w:tc>
      </w:tr>
    </w:tbl>
    <w:p w:rsidR="00983CD6" w:rsidRPr="00585942" w:rsidP="00983CD6" w14:paraId="2FB99AFF" w14:textId="77777777">
      <w:pPr>
        <w:rPr>
          <w:b/>
          <w:color w:val="000000"/>
          <w:szCs w:val="22"/>
        </w:rPr>
      </w:pPr>
      <w:r w:rsidRPr="00585942">
        <w:rPr>
          <w:b/>
          <w:color w:val="000000"/>
          <w:szCs w:val="22"/>
        </w:rPr>
        <w:t>B.</w:t>
      </w:r>
      <w:r w:rsidRPr="00585942">
        <w:rPr>
          <w:b/>
          <w:color w:val="000000"/>
          <w:szCs w:val="22"/>
        </w:rPr>
        <w:tab/>
        <w:t>Domestic</w:t>
      </w:r>
    </w:p>
    <w:p w:rsidR="00983CD6" w:rsidRPr="0022664E" w:rsidP="00983CD6" w14:paraId="7E7BE95F" w14:textId="77777777">
      <w:pPr>
        <w:rPr>
          <w:color w:val="000000"/>
          <w:szCs w:val="22"/>
        </w:rPr>
      </w:pPr>
    </w:p>
    <w:p w:rsidR="00983CD6" w:rsidRPr="0022664E" w:rsidP="00983CD6" w14:paraId="72B4DF50" w14:textId="77777777">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10" w:name="sp_999_4"/>
      <w:bookmarkStart w:id="11" w:name="SDU_4"/>
      <w:bookmarkStart w:id="12" w:name="citeas((Cite_as:_26_F.C.C.R._13372,_*133"/>
      <w:bookmarkEnd w:id="10"/>
      <w:bookmarkEnd w:id="11"/>
      <w:bookmarkEnd w:id="12"/>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30"/>
      </w:r>
      <w:r w:rsidRPr="00B62EDB">
        <w:rPr>
          <w:color w:val="000000"/>
          <w:szCs w:val="22"/>
        </w:rPr>
        <w:t xml:space="preserve"> </w:t>
      </w:r>
    </w:p>
    <w:tbl>
      <w:tblPr>
        <w:tblW w:w="9744" w:type="dxa"/>
        <w:tblLook w:val="01E0"/>
      </w:tblPr>
      <w:tblGrid>
        <w:gridCol w:w="2882"/>
        <w:gridCol w:w="3890"/>
        <w:gridCol w:w="2972"/>
      </w:tblGrid>
      <w:tr w14:paraId="64A90462" w14:textId="77777777" w:rsidTr="00736729">
        <w:tblPrEx>
          <w:tblW w:w="9744" w:type="dxa"/>
          <w:tblLook w:val="01E0"/>
        </w:tblPrEx>
        <w:trPr>
          <w:trHeight w:val="297"/>
        </w:trPr>
        <w:tc>
          <w:tcPr>
            <w:tcW w:w="2882" w:type="dxa"/>
          </w:tcPr>
          <w:p w:rsidR="00983CD6" w:rsidRPr="0022664E" w:rsidP="00736729" w14:paraId="1FE7FF5E" w14:textId="77777777">
            <w:pPr>
              <w:rPr>
                <w:color w:val="000000"/>
                <w:szCs w:val="22"/>
              </w:rPr>
            </w:pPr>
          </w:p>
        </w:tc>
        <w:tc>
          <w:tcPr>
            <w:tcW w:w="3890" w:type="dxa"/>
          </w:tcPr>
          <w:p w:rsidR="00983CD6" w:rsidRPr="0022664E" w:rsidP="00736729" w14:paraId="223C8401" w14:textId="77777777">
            <w:pPr>
              <w:rPr>
                <w:color w:val="000000"/>
                <w:szCs w:val="22"/>
              </w:rPr>
            </w:pPr>
          </w:p>
        </w:tc>
        <w:tc>
          <w:tcPr>
            <w:tcW w:w="2972" w:type="dxa"/>
          </w:tcPr>
          <w:p w:rsidR="00983CD6" w:rsidRPr="0022664E" w:rsidP="00736729" w14:paraId="06A0DF73" w14:textId="77777777">
            <w:pPr>
              <w:rPr>
                <w:color w:val="000000"/>
                <w:szCs w:val="22"/>
              </w:rPr>
            </w:pPr>
          </w:p>
        </w:tc>
      </w:tr>
    </w:tbl>
    <w:p w:rsidR="00983CD6" w:rsidRPr="0022664E" w:rsidP="00983CD6" w14:paraId="431A19FD" w14:textId="77777777">
      <w:pPr>
        <w:rPr>
          <w:color w:val="000000"/>
          <w:szCs w:val="22"/>
        </w:rPr>
      </w:pPr>
    </w:p>
    <w:p w:rsidR="00983CD6" w:rsidRPr="008C77CA" w:rsidP="00983CD6" w14:paraId="5B63D873" w14:textId="77777777">
      <w:pPr>
        <w:keepNext/>
        <w:widowControl w:val="0"/>
        <w:rPr>
          <w:b/>
          <w:snapToGrid w:val="0"/>
          <w:color w:val="000000"/>
          <w:kern w:val="28"/>
          <w:szCs w:val="22"/>
        </w:rPr>
      </w:pPr>
      <w:r w:rsidRPr="008C77CA">
        <w:rPr>
          <w:b/>
          <w:snapToGrid w:val="0"/>
          <w:color w:val="000000"/>
          <w:kern w:val="28"/>
          <w:szCs w:val="22"/>
        </w:rPr>
        <w:t>SECTION 310(d) APPLICATION</w:t>
      </w:r>
    </w:p>
    <w:tbl>
      <w:tblPr>
        <w:tblW w:w="9738" w:type="dxa"/>
        <w:tblLook w:val="01E0"/>
      </w:tblPr>
      <w:tblGrid>
        <w:gridCol w:w="2880"/>
        <w:gridCol w:w="3888"/>
        <w:gridCol w:w="2970"/>
      </w:tblGrid>
      <w:tr w14:paraId="60047DFB" w14:textId="77777777" w:rsidTr="00736729">
        <w:tblPrEx>
          <w:tblW w:w="9738" w:type="dxa"/>
          <w:tblLook w:val="01E0"/>
        </w:tblPrEx>
        <w:trPr>
          <w:trHeight w:val="669"/>
        </w:trPr>
        <w:tc>
          <w:tcPr>
            <w:tcW w:w="2880" w:type="dxa"/>
          </w:tcPr>
          <w:p w:rsidR="00983CD6" w:rsidP="00736729" w14:paraId="20738FF1" w14:textId="77777777">
            <w:pPr>
              <w:widowControl w:val="0"/>
              <w:rPr>
                <w:b/>
                <w:snapToGrid w:val="0"/>
                <w:color w:val="000000"/>
                <w:kern w:val="28"/>
                <w:szCs w:val="22"/>
                <w:u w:val="single"/>
              </w:rPr>
            </w:pPr>
          </w:p>
          <w:p w:rsidR="00983CD6" w:rsidRPr="008C77CA" w:rsidP="00736729" w14:paraId="0C65D411" w14:textId="77777777">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983CD6" w:rsidP="00736729" w14:paraId="3985368A" w14:textId="77777777">
            <w:pPr>
              <w:widowControl w:val="0"/>
              <w:rPr>
                <w:b/>
                <w:snapToGrid w:val="0"/>
                <w:color w:val="000000"/>
                <w:kern w:val="28"/>
                <w:szCs w:val="22"/>
                <w:u w:val="single"/>
              </w:rPr>
            </w:pPr>
          </w:p>
          <w:p w:rsidR="00983CD6" w:rsidRPr="008C77CA" w:rsidP="00736729" w14:paraId="468A25F9" w14:textId="77777777">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983CD6" w:rsidP="00736729" w14:paraId="3CDF9321" w14:textId="77777777">
            <w:pPr>
              <w:widowControl w:val="0"/>
              <w:rPr>
                <w:b/>
                <w:snapToGrid w:val="0"/>
                <w:color w:val="000000"/>
                <w:kern w:val="28"/>
                <w:szCs w:val="22"/>
                <w:u w:val="single"/>
              </w:rPr>
            </w:pPr>
          </w:p>
          <w:p w:rsidR="00983CD6" w:rsidRPr="008C77CA" w:rsidP="00736729" w14:paraId="681C3260" w14:textId="77777777">
            <w:pPr>
              <w:widowControl w:val="0"/>
              <w:rPr>
                <w:b/>
                <w:snapToGrid w:val="0"/>
                <w:color w:val="000000"/>
                <w:kern w:val="28"/>
                <w:szCs w:val="22"/>
                <w:u w:val="single"/>
              </w:rPr>
            </w:pPr>
            <w:r w:rsidRPr="008C77CA">
              <w:rPr>
                <w:b/>
                <w:snapToGrid w:val="0"/>
                <w:color w:val="000000"/>
                <w:kern w:val="28"/>
                <w:szCs w:val="22"/>
                <w:u w:val="single"/>
              </w:rPr>
              <w:t>Lead Call Sign</w:t>
            </w:r>
          </w:p>
          <w:p w:rsidR="00983CD6" w:rsidRPr="008C77CA" w:rsidP="00736729" w14:paraId="1CC58177" w14:textId="77777777">
            <w:pPr>
              <w:widowControl w:val="0"/>
              <w:rPr>
                <w:b/>
                <w:snapToGrid w:val="0"/>
                <w:color w:val="000000"/>
                <w:kern w:val="28"/>
                <w:szCs w:val="22"/>
                <w:u w:val="single"/>
              </w:rPr>
            </w:pPr>
          </w:p>
        </w:tc>
      </w:tr>
      <w:tr w14:paraId="3391B742" w14:textId="77777777" w:rsidTr="00736729">
        <w:tblPrEx>
          <w:tblW w:w="9738" w:type="dxa"/>
          <w:tblLook w:val="01E0"/>
        </w:tblPrEx>
        <w:tc>
          <w:tcPr>
            <w:tcW w:w="2880" w:type="dxa"/>
          </w:tcPr>
          <w:p w:rsidR="00983CD6" w:rsidRPr="008C77CA" w:rsidP="00736729" w14:paraId="2761F887" w14:textId="77777777">
            <w:pPr>
              <w:widowControl w:val="0"/>
              <w:rPr>
                <w:snapToGrid w:val="0"/>
                <w:kern w:val="28"/>
                <w:szCs w:val="22"/>
              </w:rPr>
            </w:pPr>
            <w:r>
              <w:rPr>
                <w:snapToGrid w:val="0"/>
                <w:kern w:val="28"/>
                <w:szCs w:val="22"/>
              </w:rPr>
              <w:t>0009468917</w:t>
            </w:r>
          </w:p>
        </w:tc>
        <w:tc>
          <w:tcPr>
            <w:tcW w:w="3888" w:type="dxa"/>
          </w:tcPr>
          <w:p w:rsidR="00983CD6" w:rsidRPr="0006074B" w:rsidP="00736729" w14:paraId="74880D8F" w14:textId="77777777">
            <w:pPr>
              <w:rPr>
                <w:color w:val="000000"/>
                <w:szCs w:val="22"/>
              </w:rPr>
            </w:pPr>
            <w:r w:rsidRPr="0006074B">
              <w:rPr>
                <w:color w:val="000000"/>
                <w:szCs w:val="22"/>
              </w:rPr>
              <w:t>Onvoy Spectrum, LLC</w:t>
            </w:r>
          </w:p>
          <w:p w:rsidR="00983CD6" w:rsidRPr="008C77CA" w:rsidP="00736729" w14:paraId="227D21D5" w14:textId="77777777">
            <w:pPr>
              <w:widowControl w:val="0"/>
              <w:rPr>
                <w:snapToGrid w:val="0"/>
                <w:kern w:val="28"/>
                <w:szCs w:val="22"/>
              </w:rPr>
            </w:pPr>
          </w:p>
        </w:tc>
        <w:tc>
          <w:tcPr>
            <w:tcW w:w="2970" w:type="dxa"/>
          </w:tcPr>
          <w:p w:rsidR="00983CD6" w:rsidRPr="0006074B" w:rsidP="00736729" w14:paraId="3587BE06" w14:textId="77777777">
            <w:pPr>
              <w:widowControl w:val="0"/>
              <w:rPr>
                <w:snapToGrid w:val="0"/>
                <w:kern w:val="28"/>
                <w:szCs w:val="22"/>
              </w:rPr>
            </w:pPr>
            <w:hyperlink r:id="rId10" w:tgtFrame="_new" w:tooltip="Link to License in new window" w:history="1">
              <w:r w:rsidRPr="0006074B">
                <w:rPr>
                  <w:szCs w:val="22"/>
                </w:rPr>
                <w:t>KNKR334</w:t>
              </w:r>
            </w:hyperlink>
          </w:p>
        </w:tc>
      </w:tr>
      <w:tr w14:paraId="025D402B" w14:textId="77777777" w:rsidTr="00736729">
        <w:tblPrEx>
          <w:tblW w:w="9738" w:type="dxa"/>
          <w:tblLook w:val="01E0"/>
        </w:tblPrEx>
        <w:tc>
          <w:tcPr>
            <w:tcW w:w="2880" w:type="dxa"/>
          </w:tcPr>
          <w:p w:rsidR="00983CD6" w:rsidRPr="008C77CA" w:rsidP="00736729" w14:paraId="783038F6" w14:textId="77777777">
            <w:pPr>
              <w:widowControl w:val="0"/>
              <w:rPr>
                <w:snapToGrid w:val="0"/>
                <w:kern w:val="28"/>
                <w:szCs w:val="22"/>
              </w:rPr>
            </w:pPr>
          </w:p>
        </w:tc>
        <w:tc>
          <w:tcPr>
            <w:tcW w:w="3888" w:type="dxa"/>
          </w:tcPr>
          <w:p w:rsidR="00983CD6" w:rsidRPr="008C77CA" w:rsidP="00736729" w14:paraId="6D063B56" w14:textId="77777777">
            <w:pPr>
              <w:widowControl w:val="0"/>
              <w:rPr>
                <w:snapToGrid w:val="0"/>
                <w:kern w:val="28"/>
              </w:rPr>
            </w:pPr>
          </w:p>
        </w:tc>
        <w:tc>
          <w:tcPr>
            <w:tcW w:w="2970" w:type="dxa"/>
          </w:tcPr>
          <w:p w:rsidR="00983CD6" w:rsidRPr="008C77CA" w:rsidP="00736729" w14:paraId="231F49C1" w14:textId="77777777">
            <w:pPr>
              <w:widowControl w:val="0"/>
              <w:rPr>
                <w:snapToGrid w:val="0"/>
                <w:kern w:val="28"/>
              </w:rPr>
            </w:pPr>
          </w:p>
        </w:tc>
      </w:tr>
      <w:tr w14:paraId="191FFF11" w14:textId="77777777" w:rsidTr="00736729">
        <w:tblPrEx>
          <w:tblW w:w="9738" w:type="dxa"/>
          <w:tblLook w:val="01E0"/>
        </w:tblPrEx>
        <w:tc>
          <w:tcPr>
            <w:tcW w:w="2880" w:type="dxa"/>
          </w:tcPr>
          <w:p w:rsidR="00983CD6" w:rsidRPr="008C77CA" w:rsidP="00736729" w14:paraId="4E7356EF" w14:textId="77777777">
            <w:pPr>
              <w:widowControl w:val="0"/>
              <w:rPr>
                <w:snapToGrid w:val="0"/>
                <w:kern w:val="28"/>
                <w:szCs w:val="22"/>
              </w:rPr>
            </w:pPr>
          </w:p>
        </w:tc>
        <w:tc>
          <w:tcPr>
            <w:tcW w:w="3888" w:type="dxa"/>
          </w:tcPr>
          <w:p w:rsidR="00983CD6" w:rsidRPr="008C77CA" w:rsidP="00736729" w14:paraId="39DAFA33" w14:textId="77777777">
            <w:pPr>
              <w:widowControl w:val="0"/>
              <w:rPr>
                <w:snapToGrid w:val="0"/>
                <w:kern w:val="28"/>
              </w:rPr>
            </w:pPr>
          </w:p>
        </w:tc>
        <w:tc>
          <w:tcPr>
            <w:tcW w:w="2970" w:type="dxa"/>
          </w:tcPr>
          <w:p w:rsidR="00983CD6" w:rsidRPr="008C77CA" w:rsidP="00736729" w14:paraId="20BD4C2C" w14:textId="77777777">
            <w:pPr>
              <w:widowControl w:val="0"/>
              <w:rPr>
                <w:snapToGrid w:val="0"/>
                <w:kern w:val="28"/>
              </w:rPr>
            </w:pPr>
          </w:p>
        </w:tc>
      </w:tr>
      <w:tr w14:paraId="5B29C144" w14:textId="77777777" w:rsidTr="00736729">
        <w:tblPrEx>
          <w:tblW w:w="9738" w:type="dxa"/>
          <w:tblLook w:val="01E0"/>
        </w:tblPrEx>
        <w:tc>
          <w:tcPr>
            <w:tcW w:w="2880" w:type="dxa"/>
          </w:tcPr>
          <w:p w:rsidR="00983CD6" w:rsidRPr="008C77CA" w:rsidP="00736729" w14:paraId="7B88E2CC" w14:textId="77777777">
            <w:pPr>
              <w:widowControl w:val="0"/>
              <w:rPr>
                <w:snapToGrid w:val="0"/>
                <w:kern w:val="28"/>
                <w:szCs w:val="22"/>
              </w:rPr>
            </w:pPr>
          </w:p>
        </w:tc>
        <w:tc>
          <w:tcPr>
            <w:tcW w:w="3888" w:type="dxa"/>
          </w:tcPr>
          <w:p w:rsidR="00983CD6" w:rsidRPr="008C77CA" w:rsidP="00736729" w14:paraId="4D71B215" w14:textId="77777777">
            <w:pPr>
              <w:widowControl w:val="0"/>
              <w:rPr>
                <w:snapToGrid w:val="0"/>
                <w:kern w:val="28"/>
              </w:rPr>
            </w:pPr>
          </w:p>
        </w:tc>
        <w:tc>
          <w:tcPr>
            <w:tcW w:w="2970" w:type="dxa"/>
          </w:tcPr>
          <w:p w:rsidR="00983CD6" w:rsidRPr="008C77CA" w:rsidP="00736729" w14:paraId="1DC9A0C7" w14:textId="77777777">
            <w:pPr>
              <w:widowControl w:val="0"/>
              <w:rPr>
                <w:snapToGrid w:val="0"/>
                <w:kern w:val="28"/>
              </w:rPr>
            </w:pPr>
          </w:p>
        </w:tc>
      </w:tr>
    </w:tbl>
    <w:p w:rsidR="00983CD6" w:rsidP="00983CD6" w14:paraId="6BE838C6" w14:textId="77777777">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PETITION FOR DECLARATORY RULING UNDER SECTION 310(b)(4)</w:t>
      </w:r>
    </w:p>
    <w:p w:rsidR="00983CD6" w:rsidP="00983CD6" w14:paraId="46D6F36C" w14:textId="77777777">
      <w:pPr>
        <w:autoSpaceDE w:val="0"/>
        <w:autoSpaceDN w:val="0"/>
        <w:adjustRightInd w:val="0"/>
        <w:rPr>
          <w:rFonts w:ascii="TimesNewRomanPS-BoldMT" w:hAnsi="TimesNewRomanPS-BoldMT" w:cs="TimesNewRomanPS-BoldMT"/>
          <w:b/>
          <w:bCs/>
          <w:szCs w:val="22"/>
        </w:rPr>
      </w:pPr>
    </w:p>
    <w:p w:rsidR="00983CD6" w:rsidP="00983CD6" w14:paraId="3F455ADD" w14:textId="095BE9DA">
      <w:pPr>
        <w:autoSpaceDE w:val="0"/>
        <w:autoSpaceDN w:val="0"/>
        <w:adjustRightInd w:val="0"/>
        <w:rPr>
          <w:szCs w:val="22"/>
        </w:rPr>
      </w:pPr>
      <w:r w:rsidRPr="00E651E5">
        <w:rPr>
          <w:szCs w:val="22"/>
        </w:rPr>
        <w:t>The Petition has been assigned File No. ISP-PDR-</w:t>
      </w:r>
      <w:r w:rsidRPr="00641BBC">
        <w:rPr>
          <w:szCs w:val="22"/>
        </w:rPr>
        <w:t>20210401-00006</w:t>
      </w:r>
      <w:r w:rsidR="00253462">
        <w:rPr>
          <w:szCs w:val="22"/>
        </w:rPr>
        <w:t>.</w:t>
      </w:r>
    </w:p>
    <w:p w:rsidR="00983CD6" w:rsidRPr="0022664E" w:rsidP="00983CD6" w14:paraId="62BBA7F3" w14:textId="77777777">
      <w:pPr>
        <w:rPr>
          <w:color w:val="000000"/>
          <w:szCs w:val="22"/>
        </w:rPr>
      </w:pPr>
    </w:p>
    <w:p w:rsidR="00983CD6" w14:paraId="5CDE9352" w14:textId="77777777">
      <w:pPr>
        <w:tabs>
          <w:tab w:val="left" w:pos="5900"/>
        </w:tabs>
        <w:rPr>
          <w:szCs w:val="22"/>
        </w:rPr>
      </w:pPr>
    </w:p>
    <w:sectPr>
      <w:footerReference w:type="default" r:id="rId11"/>
      <w:headerReference w:type="first" r:id="rId12"/>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1C5115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C078D" w14:paraId="6DB7AC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00267C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78D" w14:paraId="5F8753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328D3BC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C078D" w14:paraId="6F3A3F3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63C7" w14:paraId="06432DB4" w14:textId="77777777">
      <w:r>
        <w:separator/>
      </w:r>
    </w:p>
  </w:footnote>
  <w:footnote w:type="continuationSeparator" w:id="1">
    <w:p w:rsidR="003263C7" w14:paraId="70BB16F7" w14:textId="77777777">
      <w:r>
        <w:continuationSeparator/>
      </w:r>
    </w:p>
  </w:footnote>
  <w:footnote w:type="continuationNotice" w:id="2">
    <w:p w:rsidR="003263C7" w14:paraId="74DBE066" w14:textId="77777777"/>
  </w:footnote>
  <w:footnote w:id="3">
    <w:p w:rsidR="00983CD6" w:rsidRPr="00B35925" w:rsidP="00983CD6" w14:paraId="5427030C" w14:textId="77777777">
      <w:pPr>
        <w:pStyle w:val="FootnoteText"/>
        <w:spacing w:after="120"/>
        <w:rPr>
          <w:sz w:val="20"/>
        </w:rPr>
      </w:pPr>
      <w:r w:rsidRPr="00B35925">
        <w:rPr>
          <w:rStyle w:val="FootnoteReference"/>
          <w:sz w:val="20"/>
        </w:rPr>
        <w:footnoteRef/>
      </w:r>
      <w:r w:rsidRPr="00B35925">
        <w:rPr>
          <w:sz w:val="20"/>
        </w:rPr>
        <w:t xml:space="preserve"> </w:t>
      </w:r>
      <w:r w:rsidRPr="007166AA">
        <w:rPr>
          <w:sz w:val="20"/>
        </w:rPr>
        <w:t>47 U.S.C. §§ 214, 310(d)</w:t>
      </w:r>
      <w:r w:rsidRPr="00B35925">
        <w:rPr>
          <w:sz w:val="20"/>
        </w:rPr>
        <w:t>.</w:t>
      </w:r>
    </w:p>
  </w:footnote>
  <w:footnote w:id="4">
    <w:p w:rsidR="00983CD6" w:rsidRPr="00B35925" w:rsidP="00983CD6" w14:paraId="77ACC12B" w14:textId="7F6B77DA">
      <w:pPr>
        <w:pStyle w:val="FootnoteText"/>
        <w:spacing w:after="120"/>
        <w:rPr>
          <w:sz w:val="20"/>
        </w:rPr>
      </w:pPr>
      <w:r w:rsidRPr="007166AA">
        <w:rPr>
          <w:rStyle w:val="FootnoteReference"/>
          <w:sz w:val="20"/>
        </w:rPr>
        <w:footnoteRef/>
      </w:r>
      <w:r w:rsidRPr="007166AA">
        <w:rPr>
          <w:sz w:val="20"/>
        </w:rPr>
        <w:t xml:space="preserve"> </w:t>
      </w:r>
      <w:r w:rsidRPr="00B35925">
        <w:rPr>
          <w:sz w:val="20"/>
        </w:rPr>
        <w:t>47 CFR §§ 1.948, 63.03-04, 63.18, 63.24; Consolidated Application for Consent to Transfer Control of Section 214 Authority Holders, WC Docket No. 21-131 (filed Apr. 1, 2021) (Lead Application). The Commission licenses and authorizations subject to the applications are listed in Attachment A to this Public Notice and include domestic and international section 214 authorizations and wireless licenses (Lead Application</w:t>
      </w:r>
      <w:r w:rsidR="00B7275A">
        <w:rPr>
          <w:sz w:val="20"/>
        </w:rPr>
        <w:t>,</w:t>
      </w:r>
      <w:r w:rsidRPr="00B35925">
        <w:rPr>
          <w:sz w:val="20"/>
        </w:rPr>
        <w:t xml:space="preserve"> together with applications </w:t>
      </w:r>
      <w:r w:rsidR="00B7275A">
        <w:rPr>
          <w:sz w:val="20"/>
        </w:rPr>
        <w:t xml:space="preserve">listed </w:t>
      </w:r>
      <w:r w:rsidRPr="00B35925">
        <w:rPr>
          <w:sz w:val="20"/>
        </w:rPr>
        <w:t xml:space="preserve">in Attachment A, Applications).  On April 14, 2021, Applicants filed a supplement to the Applications.  Letter from John T. Nakahata, Counsel for Sinch US, and Ronald W. Del Sesto, Jr., Counsel for GTCR Holdings, to Marlene H. Dortch, Secretary, FCC, WC Docket No. 21-131, IB File Nos. ITC-T/C-20210401-00059, ITC-T/C-20210401-00060, ITC-T/C-20210401-00061, ITC-T/C-20210401-00062; ITC-T/C-20210401-00063; ITC-T/C-20210401-00064 (filed Apr. 14, 2021) (Supplement Letter).  </w:t>
      </w:r>
    </w:p>
  </w:footnote>
  <w:footnote w:id="5">
    <w:p w:rsidR="00983CD6" w:rsidRPr="007166AA" w:rsidP="00983CD6" w14:paraId="397B7858" w14:textId="17EA05C6">
      <w:pPr>
        <w:pStyle w:val="FootnoteText"/>
        <w:rPr>
          <w:sz w:val="20"/>
        </w:rPr>
      </w:pPr>
      <w:r w:rsidRPr="007166AA">
        <w:rPr>
          <w:rStyle w:val="FootnoteReference"/>
          <w:sz w:val="20"/>
        </w:rPr>
        <w:footnoteRef/>
      </w:r>
      <w:r w:rsidRPr="007166AA">
        <w:rPr>
          <w:sz w:val="20"/>
        </w:rPr>
        <w:t xml:space="preserve"> 47 U.S.C</w:t>
      </w:r>
      <w:r w:rsidRPr="00B35925">
        <w:rPr>
          <w:sz w:val="20"/>
        </w:rPr>
        <w:t>. § 310(b)(4); 47 CFR § 1.5000(a)(1); Onvoy Spectrum, LLC and Sinch US Holdings Inc. Petition for Declaratory Ruling Under Section 310(b)(4) of the Communications Act of 1934, as amended, IBFS File No. ISP-PDR-20210401-00006 (filed Apr. 1, 2021) (Petition)</w:t>
      </w:r>
      <w:r w:rsidRPr="007166AA">
        <w:rPr>
          <w:sz w:val="20"/>
        </w:rPr>
        <w:t xml:space="preserve">.  </w:t>
      </w:r>
      <w:r w:rsidRPr="00B35925">
        <w:rPr>
          <w:sz w:val="20"/>
        </w:rPr>
        <w:t>On April 27, 2021, Petitioners filed a supplement, amending the Petition to designate Onvoy, LLC as the controlling U.S.-organized parent of the Licensee and updating Exhibit A and Exhibit D of the Petition.  Letter from John T. Nakahata, Counsel for Sinch</w:t>
      </w:r>
      <w:r w:rsidRPr="007166AA">
        <w:rPr>
          <w:sz w:val="20"/>
        </w:rPr>
        <w:t xml:space="preserve"> US Holding Inc</w:t>
      </w:r>
      <w:r w:rsidR="00553AD2">
        <w:rPr>
          <w:sz w:val="20"/>
        </w:rPr>
        <w:t>.</w:t>
      </w:r>
      <w:r w:rsidRPr="007166AA">
        <w:rPr>
          <w:sz w:val="20"/>
        </w:rPr>
        <w:t>, and Ronald W. Del Sesto Jr., Counsel for Onvoy Spectrum, LLC., to Marlene H. Dortch, FCC, IBFS File No. ISP-PDR-20210401-00006 (filed Apr. 27, 2021) (April 2021 Supplement).</w:t>
      </w:r>
      <w:r>
        <w:rPr>
          <w:sz w:val="20"/>
        </w:rPr>
        <w:t xml:space="preserve">  On May 7, 2021, Petitioners filed another supplement, updating foreign ownership charts and Exhibit A and Exhibit D of the Petition.  Letter from John T. Nakahata, Counsel for Sinch US Holding Inc., to Marlene H. Dortch, FCC, IBFS File No. ISP-PDR-20210401-00006 (filed May 7, 2021) (May 2021 Supplement). </w:t>
      </w:r>
      <w:r w:rsidRPr="007166AA">
        <w:rPr>
          <w:sz w:val="20"/>
        </w:rPr>
        <w:t xml:space="preserve">    </w:t>
      </w:r>
    </w:p>
  </w:footnote>
  <w:footnote w:id="6">
    <w:p w:rsidR="00983CD6" w:rsidRPr="00B35925" w:rsidP="00983CD6" w14:paraId="50C4AD32" w14:textId="77777777">
      <w:pPr>
        <w:pStyle w:val="FootnoteText"/>
        <w:rPr>
          <w:sz w:val="20"/>
        </w:rPr>
      </w:pPr>
      <w:r w:rsidRPr="007166AA">
        <w:rPr>
          <w:rStyle w:val="FootnoteReference"/>
          <w:sz w:val="20"/>
        </w:rPr>
        <w:footnoteRef/>
      </w:r>
      <w:r w:rsidRPr="007166AA">
        <w:rPr>
          <w:sz w:val="20"/>
        </w:rPr>
        <w:t xml:space="preserve"> </w:t>
      </w:r>
      <w:r>
        <w:rPr>
          <w:sz w:val="20"/>
        </w:rPr>
        <w:t xml:space="preserve">Lead </w:t>
      </w:r>
      <w:r w:rsidRPr="007166AA">
        <w:rPr>
          <w:sz w:val="20"/>
        </w:rPr>
        <w:t>Application</w:t>
      </w:r>
      <w:r w:rsidRPr="00B35925">
        <w:rPr>
          <w:sz w:val="20"/>
        </w:rPr>
        <w:t xml:space="preserve"> at 3.</w:t>
      </w:r>
    </w:p>
  </w:footnote>
  <w:footnote w:id="7">
    <w:p w:rsidR="00983CD6" w:rsidRPr="00B35925" w:rsidP="00983CD6" w14:paraId="24354037" w14:textId="77777777">
      <w:pPr>
        <w:pStyle w:val="FootnoteText"/>
        <w:rPr>
          <w:sz w:val="20"/>
        </w:rPr>
      </w:pPr>
      <w:r w:rsidRPr="00B35925">
        <w:rPr>
          <w:rStyle w:val="FootnoteReference"/>
          <w:sz w:val="20"/>
        </w:rPr>
        <w:footnoteRef/>
      </w:r>
      <w:r w:rsidRPr="00B35925">
        <w:rPr>
          <w:sz w:val="20"/>
        </w:rPr>
        <w:t xml:space="preserve"> </w:t>
      </w:r>
      <w:r w:rsidRPr="00B35925">
        <w:rPr>
          <w:i/>
          <w:iCs/>
          <w:sz w:val="20"/>
        </w:rPr>
        <w:t>Id</w:t>
      </w:r>
      <w:r w:rsidRPr="00B35925">
        <w:rPr>
          <w:sz w:val="20"/>
        </w:rPr>
        <w:t xml:space="preserve">. </w:t>
      </w:r>
    </w:p>
  </w:footnote>
  <w:footnote w:id="8">
    <w:p w:rsidR="00983CD6" w:rsidRPr="00B35925" w:rsidP="00983CD6" w14:paraId="29ED4AC9" w14:textId="77777777">
      <w:pPr>
        <w:pStyle w:val="FootnoteText"/>
        <w:rPr>
          <w:sz w:val="20"/>
        </w:rPr>
      </w:pPr>
      <w:r w:rsidRPr="00B35925">
        <w:rPr>
          <w:rStyle w:val="FootnoteReference"/>
          <w:sz w:val="20"/>
        </w:rPr>
        <w:footnoteRef/>
      </w:r>
      <w:r w:rsidRPr="00B35925">
        <w:rPr>
          <w:sz w:val="20"/>
        </w:rPr>
        <w:t xml:space="preserve"> </w:t>
      </w:r>
      <w:r w:rsidRPr="00B35925">
        <w:rPr>
          <w:i/>
          <w:iCs/>
          <w:sz w:val="20"/>
        </w:rPr>
        <w:t>Id</w:t>
      </w:r>
      <w:r w:rsidRPr="00B35925">
        <w:rPr>
          <w:sz w:val="20"/>
        </w:rPr>
        <w:t>. at 2.</w:t>
      </w:r>
    </w:p>
  </w:footnote>
  <w:footnote w:id="9">
    <w:p w:rsidR="00983CD6" w:rsidRPr="00B35925" w:rsidP="00983CD6" w14:paraId="0F5ABB78" w14:textId="77777777">
      <w:pPr>
        <w:pStyle w:val="FootnoteText"/>
        <w:rPr>
          <w:sz w:val="20"/>
        </w:rPr>
      </w:pPr>
      <w:r w:rsidRPr="007166AA">
        <w:rPr>
          <w:rStyle w:val="FootnoteReference"/>
          <w:sz w:val="20"/>
        </w:rPr>
        <w:footnoteRef/>
      </w:r>
      <w:r w:rsidRPr="007166AA">
        <w:rPr>
          <w:sz w:val="20"/>
        </w:rPr>
        <w:t xml:space="preserve"> </w:t>
      </w:r>
      <w:r w:rsidRPr="007166AA">
        <w:rPr>
          <w:i/>
          <w:iCs/>
          <w:sz w:val="20"/>
        </w:rPr>
        <w:t>Id</w:t>
      </w:r>
      <w:r w:rsidRPr="00B35925">
        <w:rPr>
          <w:sz w:val="20"/>
        </w:rPr>
        <w:t>. at 3-5; Supplement Letter at 1.</w:t>
      </w:r>
    </w:p>
  </w:footnote>
  <w:footnote w:id="10">
    <w:p w:rsidR="00983CD6" w:rsidRPr="00B35925" w:rsidP="00983CD6" w14:paraId="26D691C8" w14:textId="43B5F8C8">
      <w:pPr>
        <w:pStyle w:val="FootnoteText"/>
        <w:rPr>
          <w:sz w:val="20"/>
        </w:rPr>
      </w:pPr>
      <w:r w:rsidRPr="007166AA">
        <w:rPr>
          <w:rStyle w:val="FootnoteReference"/>
          <w:sz w:val="20"/>
        </w:rPr>
        <w:footnoteRef/>
      </w:r>
      <w:r w:rsidRPr="007166AA">
        <w:rPr>
          <w:sz w:val="20"/>
        </w:rPr>
        <w:t xml:space="preserve"> </w:t>
      </w:r>
      <w:r w:rsidR="00017649">
        <w:rPr>
          <w:sz w:val="20"/>
        </w:rPr>
        <w:t xml:space="preserve">Lead </w:t>
      </w:r>
      <w:r w:rsidRPr="007166AA" w:rsidR="00017649">
        <w:rPr>
          <w:sz w:val="20"/>
        </w:rPr>
        <w:t>Application</w:t>
      </w:r>
      <w:r w:rsidRPr="00B35925" w:rsidR="00017649">
        <w:rPr>
          <w:sz w:val="20"/>
        </w:rPr>
        <w:t xml:space="preserve"> </w:t>
      </w:r>
      <w:r w:rsidRPr="00B35925">
        <w:rPr>
          <w:sz w:val="20"/>
        </w:rPr>
        <w:t xml:space="preserve"> at 5.</w:t>
      </w:r>
    </w:p>
  </w:footnote>
  <w:footnote w:id="11">
    <w:p w:rsidR="00983CD6" w:rsidRPr="00B35925" w:rsidP="00983CD6" w14:paraId="10A37F6C" w14:textId="77777777">
      <w:pPr>
        <w:pStyle w:val="FootnoteText"/>
        <w:rPr>
          <w:sz w:val="20"/>
        </w:rPr>
      </w:pPr>
      <w:r w:rsidRPr="007166AA">
        <w:rPr>
          <w:rStyle w:val="FootnoteReference"/>
          <w:sz w:val="20"/>
        </w:rPr>
        <w:footnoteRef/>
      </w:r>
      <w:r w:rsidRPr="007166AA">
        <w:rPr>
          <w:sz w:val="20"/>
        </w:rPr>
        <w:t xml:space="preserve"> </w:t>
      </w:r>
      <w:r w:rsidRPr="007166AA">
        <w:rPr>
          <w:i/>
          <w:iCs/>
          <w:sz w:val="20"/>
        </w:rPr>
        <w:t>Id</w:t>
      </w:r>
      <w:r w:rsidRPr="00B35925">
        <w:rPr>
          <w:sz w:val="20"/>
        </w:rPr>
        <w:t>.</w:t>
      </w:r>
    </w:p>
  </w:footnote>
  <w:footnote w:id="12">
    <w:p w:rsidR="00983CD6" w:rsidRPr="00B35925" w:rsidP="00983CD6" w14:paraId="6B5C1CF0" w14:textId="77777777">
      <w:pPr>
        <w:pStyle w:val="FootnoteText"/>
        <w:rPr>
          <w:sz w:val="20"/>
        </w:rPr>
      </w:pPr>
      <w:r w:rsidRPr="00B35925">
        <w:rPr>
          <w:rStyle w:val="FootnoteReference"/>
          <w:sz w:val="20"/>
        </w:rPr>
        <w:footnoteRef/>
      </w:r>
      <w:r w:rsidRPr="00B35925">
        <w:rPr>
          <w:sz w:val="20"/>
        </w:rPr>
        <w:t xml:space="preserve"> </w:t>
      </w:r>
      <w:r w:rsidRPr="00B35925">
        <w:rPr>
          <w:i/>
          <w:iCs/>
          <w:sz w:val="20"/>
        </w:rPr>
        <w:t>Id</w:t>
      </w:r>
      <w:r w:rsidRPr="00B35925">
        <w:rPr>
          <w:sz w:val="20"/>
        </w:rPr>
        <w:t>. at 5, Attach. 2 (Pre- and Post-Closing Ownership Charts), and Attach. 3 (Post-Transaction Authority Holders’ 10-Percent-or-Greater Interest Holders).</w:t>
      </w:r>
    </w:p>
  </w:footnote>
  <w:footnote w:id="13">
    <w:p w:rsidR="00983CD6" w:rsidRPr="007166AA" w:rsidP="00983CD6" w14:paraId="47CF00B3" w14:textId="77777777">
      <w:pPr>
        <w:pStyle w:val="FootnoteText"/>
        <w:rPr>
          <w:sz w:val="20"/>
        </w:rPr>
      </w:pPr>
      <w:r w:rsidRPr="007166AA">
        <w:rPr>
          <w:rStyle w:val="FootnoteReference"/>
          <w:sz w:val="20"/>
        </w:rPr>
        <w:footnoteRef/>
      </w:r>
      <w:r w:rsidRPr="007166AA">
        <w:rPr>
          <w:sz w:val="20"/>
        </w:rPr>
        <w:t xml:space="preserve"> </w:t>
      </w:r>
      <w:r w:rsidRPr="007166AA">
        <w:rPr>
          <w:i/>
          <w:iCs/>
          <w:sz w:val="20"/>
        </w:rPr>
        <w:t>Id</w:t>
      </w:r>
      <w:r w:rsidRPr="007166AA">
        <w:rPr>
          <w:sz w:val="20"/>
        </w:rPr>
        <w:t>. at 5.</w:t>
      </w:r>
    </w:p>
  </w:footnote>
  <w:footnote w:id="14">
    <w:p w:rsidR="00983CD6" w:rsidRPr="007166AA" w:rsidP="00983CD6" w14:paraId="6B5AA0E0" w14:textId="6124E109">
      <w:pPr>
        <w:pStyle w:val="FootnoteText"/>
        <w:rPr>
          <w:sz w:val="20"/>
        </w:rPr>
      </w:pPr>
      <w:r w:rsidRPr="00B35925">
        <w:rPr>
          <w:rStyle w:val="FootnoteReference"/>
          <w:sz w:val="20"/>
        </w:rPr>
        <w:footnoteRef/>
      </w:r>
      <w:r w:rsidRPr="00B35925">
        <w:rPr>
          <w:sz w:val="20"/>
        </w:rPr>
        <w:t xml:space="preserve"> </w:t>
      </w:r>
      <w:r w:rsidR="00017649">
        <w:rPr>
          <w:sz w:val="20"/>
        </w:rPr>
        <w:t xml:space="preserve">Lead </w:t>
      </w:r>
      <w:r w:rsidRPr="007166AA" w:rsidR="00017649">
        <w:rPr>
          <w:sz w:val="20"/>
        </w:rPr>
        <w:t>Application</w:t>
      </w:r>
      <w:r w:rsidRPr="00B35925" w:rsidR="00017649">
        <w:rPr>
          <w:sz w:val="20"/>
        </w:rPr>
        <w:t xml:space="preserve"> </w:t>
      </w:r>
      <w:r w:rsidRPr="007166AA">
        <w:rPr>
          <w:sz w:val="20"/>
        </w:rPr>
        <w:t xml:space="preserve"> at 9; Supplement Letter at 1.</w:t>
      </w:r>
    </w:p>
  </w:footnote>
  <w:footnote w:id="15">
    <w:p w:rsidR="00983CD6" w:rsidRPr="007166AA" w:rsidP="00983CD6" w14:paraId="0EDAA704" w14:textId="77777777">
      <w:pPr>
        <w:pStyle w:val="FootnoteText"/>
        <w:rPr>
          <w:sz w:val="20"/>
        </w:rPr>
      </w:pPr>
      <w:r w:rsidRPr="007166AA">
        <w:rPr>
          <w:rStyle w:val="FootnoteReference"/>
          <w:sz w:val="20"/>
        </w:rPr>
        <w:footnoteRef/>
      </w:r>
      <w:r w:rsidRPr="007166AA">
        <w:rPr>
          <w:sz w:val="20"/>
        </w:rPr>
        <w:t xml:space="preserve"> </w:t>
      </w:r>
      <w:r w:rsidRPr="007166AA">
        <w:rPr>
          <w:i/>
          <w:iCs/>
          <w:sz w:val="20"/>
        </w:rPr>
        <w:t>Id</w:t>
      </w:r>
      <w:r w:rsidRPr="007166AA">
        <w:rPr>
          <w:sz w:val="20"/>
        </w:rPr>
        <w:t>. at 6.</w:t>
      </w:r>
    </w:p>
  </w:footnote>
  <w:footnote w:id="16">
    <w:p w:rsidR="00983CD6" w:rsidRPr="00B35925" w:rsidP="00983CD6" w14:paraId="7545FED2" w14:textId="77777777">
      <w:pPr>
        <w:pStyle w:val="FootnoteText"/>
        <w:rPr>
          <w:sz w:val="20"/>
        </w:rPr>
      </w:pPr>
      <w:r w:rsidRPr="007166AA">
        <w:rPr>
          <w:rStyle w:val="FootnoteReference"/>
          <w:sz w:val="20"/>
        </w:rPr>
        <w:footnoteRef/>
      </w:r>
      <w:r w:rsidRPr="007166AA">
        <w:rPr>
          <w:sz w:val="20"/>
        </w:rPr>
        <w:t xml:space="preserve"> </w:t>
      </w:r>
      <w:r w:rsidRPr="007166AA">
        <w:rPr>
          <w:i/>
          <w:iCs/>
          <w:sz w:val="20"/>
        </w:rPr>
        <w:t>Id</w:t>
      </w:r>
      <w:r w:rsidRPr="007166AA">
        <w:rPr>
          <w:sz w:val="20"/>
        </w:rPr>
        <w:t>.</w:t>
      </w:r>
    </w:p>
  </w:footnote>
  <w:footnote w:id="17">
    <w:p w:rsidR="00983CD6" w:rsidRPr="00B35925" w:rsidP="00983CD6" w14:paraId="194DAB3D" w14:textId="77777777">
      <w:pPr>
        <w:pStyle w:val="FootnoteText"/>
        <w:rPr>
          <w:sz w:val="20"/>
        </w:rPr>
      </w:pPr>
      <w:r w:rsidRPr="00B35925">
        <w:rPr>
          <w:rStyle w:val="FootnoteReference"/>
          <w:sz w:val="20"/>
        </w:rPr>
        <w:footnoteRef/>
      </w:r>
      <w:r w:rsidRPr="00B35925">
        <w:rPr>
          <w:sz w:val="20"/>
        </w:rPr>
        <w:t xml:space="preserve"> </w:t>
      </w:r>
      <w:r w:rsidRPr="00B35925">
        <w:rPr>
          <w:i/>
          <w:iCs/>
          <w:sz w:val="20"/>
        </w:rPr>
        <w:t>Id</w:t>
      </w:r>
      <w:r w:rsidRPr="00B35925">
        <w:rPr>
          <w:sz w:val="20"/>
        </w:rPr>
        <w:t>. at 2, 8.</w:t>
      </w:r>
    </w:p>
  </w:footnote>
  <w:footnote w:id="18">
    <w:p w:rsidR="00983CD6" w:rsidRPr="00B35925" w:rsidP="00983CD6" w14:paraId="53AEFAD5" w14:textId="77777777">
      <w:pPr>
        <w:pStyle w:val="FootnoteText"/>
        <w:rPr>
          <w:sz w:val="20"/>
        </w:rPr>
      </w:pPr>
      <w:r w:rsidRPr="00B35925">
        <w:rPr>
          <w:rStyle w:val="FootnoteReference"/>
          <w:sz w:val="20"/>
        </w:rPr>
        <w:footnoteRef/>
      </w:r>
      <w:r w:rsidRPr="00B35925">
        <w:rPr>
          <w:sz w:val="20"/>
        </w:rPr>
        <w:t xml:space="preserve"> </w:t>
      </w:r>
      <w:r w:rsidRPr="00B35925">
        <w:rPr>
          <w:i/>
          <w:iCs/>
          <w:sz w:val="20"/>
        </w:rPr>
        <w:t>Id</w:t>
      </w:r>
      <w:r w:rsidRPr="00B35925">
        <w:rPr>
          <w:sz w:val="20"/>
        </w:rPr>
        <w:t>. at 2, 9.</w:t>
      </w:r>
    </w:p>
  </w:footnote>
  <w:footnote w:id="19">
    <w:p w:rsidR="00983CD6" w:rsidRPr="00B35925" w:rsidP="00983CD6" w14:paraId="7AD995A4" w14:textId="77777777">
      <w:pPr>
        <w:pStyle w:val="FootnoteText"/>
        <w:rPr>
          <w:sz w:val="20"/>
        </w:rPr>
      </w:pPr>
      <w:r w:rsidRPr="00B35925">
        <w:rPr>
          <w:rStyle w:val="FootnoteReference"/>
          <w:sz w:val="20"/>
        </w:rPr>
        <w:footnoteRef/>
      </w:r>
      <w:r w:rsidRPr="00B35925">
        <w:rPr>
          <w:sz w:val="20"/>
        </w:rPr>
        <w:t xml:space="preserve"> </w:t>
      </w:r>
      <w:r w:rsidRPr="007166AA">
        <w:rPr>
          <w:sz w:val="20"/>
        </w:rPr>
        <w:t>47 CFR § 1.5000(a)(1).</w:t>
      </w:r>
    </w:p>
  </w:footnote>
  <w:footnote w:id="20">
    <w:p w:rsidR="00983CD6" w:rsidRPr="00B35925" w:rsidP="00983CD6" w14:paraId="084EB3BC" w14:textId="77777777">
      <w:pPr>
        <w:pStyle w:val="FootnoteText"/>
        <w:rPr>
          <w:sz w:val="20"/>
        </w:rPr>
      </w:pPr>
      <w:r w:rsidRPr="00B35925">
        <w:rPr>
          <w:rStyle w:val="FootnoteReference"/>
          <w:sz w:val="20"/>
        </w:rPr>
        <w:footnoteRef/>
      </w:r>
      <w:r w:rsidRPr="00B35925">
        <w:rPr>
          <w:sz w:val="20"/>
        </w:rPr>
        <w:t xml:space="preserve"> </w:t>
      </w:r>
      <w:r w:rsidRPr="007166AA">
        <w:rPr>
          <w:sz w:val="20"/>
        </w:rPr>
        <w:t xml:space="preserve">Petition at 2 and Exh. C.  </w:t>
      </w:r>
      <w:r w:rsidRPr="007166AA">
        <w:rPr>
          <w:i/>
          <w:iCs/>
          <w:sz w:val="20"/>
        </w:rPr>
        <w:t xml:space="preserve">See also </w:t>
      </w:r>
      <w:r>
        <w:rPr>
          <w:sz w:val="20"/>
        </w:rPr>
        <w:t>May</w:t>
      </w:r>
      <w:r w:rsidRPr="007166AA">
        <w:rPr>
          <w:sz w:val="20"/>
        </w:rPr>
        <w:t xml:space="preserve"> 2021 Supplement.</w:t>
      </w:r>
    </w:p>
  </w:footnote>
  <w:footnote w:id="21">
    <w:p w:rsidR="00983CD6" w:rsidRPr="007166AA" w:rsidP="00983CD6" w14:paraId="4E51F037" w14:textId="77777777">
      <w:pPr>
        <w:pStyle w:val="FootnoteText"/>
        <w:rPr>
          <w:sz w:val="20"/>
        </w:rPr>
      </w:pPr>
      <w:r w:rsidRPr="007166AA">
        <w:rPr>
          <w:rStyle w:val="FootnoteReference"/>
          <w:sz w:val="20"/>
        </w:rPr>
        <w:footnoteRef/>
      </w:r>
      <w:r w:rsidRPr="007166AA">
        <w:rPr>
          <w:sz w:val="20"/>
        </w:rPr>
        <w:t xml:space="preserve"> Petition at Exh. C. </w:t>
      </w:r>
    </w:p>
  </w:footnote>
  <w:footnote w:id="22">
    <w:p w:rsidR="00983CD6" w:rsidRPr="00B35925" w:rsidP="00983CD6" w14:paraId="38793B4F" w14:textId="77777777">
      <w:pPr>
        <w:pStyle w:val="FootnoteText"/>
        <w:rPr>
          <w:sz w:val="20"/>
        </w:rPr>
      </w:pPr>
      <w:r w:rsidRPr="007166AA">
        <w:rPr>
          <w:rStyle w:val="FootnoteReference"/>
          <w:sz w:val="20"/>
        </w:rPr>
        <w:footnoteRef/>
      </w:r>
      <w:r w:rsidRPr="007166AA">
        <w:rPr>
          <w:sz w:val="20"/>
        </w:rPr>
        <w:t xml:space="preserve"> </w:t>
      </w:r>
      <w:r>
        <w:rPr>
          <w:sz w:val="20"/>
        </w:rPr>
        <w:t>May</w:t>
      </w:r>
      <w:r w:rsidRPr="007166AA">
        <w:rPr>
          <w:sz w:val="20"/>
        </w:rPr>
        <w:t xml:space="preserve"> 2021 Supplement at Updated Exh. D.</w:t>
      </w:r>
    </w:p>
  </w:footnote>
  <w:footnote w:id="23">
    <w:p w:rsidR="00983CD6" w:rsidRPr="007166AA" w:rsidP="00983CD6" w14:paraId="1DE50A90" w14:textId="77777777">
      <w:pPr>
        <w:pStyle w:val="FootnoteText"/>
        <w:rPr>
          <w:i/>
          <w:iCs/>
          <w:sz w:val="20"/>
        </w:rPr>
      </w:pPr>
      <w:r w:rsidRPr="007166AA">
        <w:rPr>
          <w:rStyle w:val="FootnoteReference"/>
          <w:sz w:val="20"/>
        </w:rPr>
        <w:footnoteRef/>
      </w:r>
      <w:r w:rsidRPr="00B35925">
        <w:rPr>
          <w:sz w:val="20"/>
        </w:rPr>
        <w:t xml:space="preserve"> </w:t>
      </w:r>
      <w:r w:rsidRPr="00B35925">
        <w:rPr>
          <w:i/>
          <w:iCs/>
          <w:sz w:val="20"/>
        </w:rPr>
        <w:t>Id.</w:t>
      </w:r>
    </w:p>
  </w:footnote>
  <w:footnote w:id="24">
    <w:p w:rsidR="00983CD6" w:rsidRPr="00B35925" w:rsidP="00983CD6" w14:paraId="76D2E703" w14:textId="77777777">
      <w:pPr>
        <w:pStyle w:val="FootnoteText"/>
        <w:rPr>
          <w:i/>
          <w:iCs/>
          <w:sz w:val="20"/>
        </w:rPr>
      </w:pPr>
      <w:r w:rsidRPr="00B35925">
        <w:rPr>
          <w:rStyle w:val="FootnoteReference"/>
          <w:sz w:val="20"/>
        </w:rPr>
        <w:footnoteRef/>
      </w:r>
      <w:r w:rsidRPr="00B35925">
        <w:rPr>
          <w:sz w:val="20"/>
        </w:rPr>
        <w:t xml:space="preserve"> </w:t>
      </w:r>
      <w:r w:rsidRPr="00B35925">
        <w:rPr>
          <w:i/>
          <w:iCs/>
          <w:sz w:val="20"/>
        </w:rPr>
        <w:t>Id.</w:t>
      </w:r>
    </w:p>
  </w:footnote>
  <w:footnote w:id="25">
    <w:p w:rsidR="00983CD6" w:rsidRPr="00752296" w:rsidP="00983CD6" w14:paraId="13F560D8" w14:textId="77777777">
      <w:pPr>
        <w:pStyle w:val="FootnoteText"/>
        <w:rPr>
          <w:sz w:val="20"/>
        </w:rPr>
      </w:pPr>
      <w:r w:rsidRPr="00752296">
        <w:rPr>
          <w:rStyle w:val="FootnoteReference"/>
          <w:sz w:val="20"/>
        </w:rPr>
        <w:footnoteRef/>
      </w:r>
      <w:r w:rsidRPr="00752296">
        <w:rPr>
          <w:sz w:val="20"/>
        </w:rPr>
        <w:t xml:space="preserve"> </w:t>
      </w:r>
      <w:r>
        <w:rPr>
          <w:i/>
          <w:iCs/>
          <w:sz w:val="20"/>
        </w:rPr>
        <w:t>Id.</w:t>
      </w:r>
    </w:p>
  </w:footnote>
  <w:footnote w:id="26">
    <w:p w:rsidR="00983CD6" w:rsidP="00983CD6" w14:paraId="4790F098" w14:textId="5EDA0CF4">
      <w:pPr>
        <w:pStyle w:val="FootnoteText"/>
      </w:pPr>
      <w:r>
        <w:rPr>
          <w:rStyle w:val="FootnoteReference"/>
        </w:rPr>
        <w:footnoteRef/>
      </w:r>
      <w:r>
        <w:t xml:space="preserve"> </w:t>
      </w:r>
      <w:r w:rsidRPr="00E73929">
        <w:rPr>
          <w:i/>
          <w:iCs/>
          <w:sz w:val="20"/>
        </w:rPr>
        <w:t>See Process Reform for Executive Branch Review of Certain FCC Applications and Petitions Involving Foreign Ownership,</w:t>
      </w:r>
      <w:r w:rsidRPr="00E73929">
        <w:rPr>
          <w:sz w:val="20"/>
        </w:rPr>
        <w:t xml:space="preserve"> IB Docket 16-155, Report and Order, </w:t>
      </w:r>
      <w:r>
        <w:rPr>
          <w:rFonts w:ascii="TimesNewRomanPSMT" w:hAnsi="TimesNewRomanPSMT" w:cs="TimesNewRomanPSMT"/>
          <w:sz w:val="20"/>
        </w:rPr>
        <w:t>35 FCC Rcd 10927</w:t>
      </w:r>
      <w:r w:rsidRPr="00E73929">
        <w:rPr>
          <w:sz w:val="20"/>
        </w:rPr>
        <w:t xml:space="preserve"> (2020)</w:t>
      </w:r>
      <w:r>
        <w:rPr>
          <w:sz w:val="20"/>
        </w:rPr>
        <w:t xml:space="preserve">.  </w:t>
      </w:r>
      <w:r>
        <w:rPr>
          <w:i/>
          <w:iCs/>
          <w:sz w:val="20"/>
        </w:rPr>
        <w:t xml:space="preserve">See also </w:t>
      </w:r>
      <w:r w:rsidRPr="00E73929">
        <w:rPr>
          <w:i/>
          <w:iCs/>
          <w:sz w:val="20"/>
        </w:rPr>
        <w:t>Rules and Policies on Foreign Participation in the U.S. Telecommunications Market; Market Entry and Regulation of Foreign- Affiliated Entities</w:t>
      </w:r>
      <w:r w:rsidRPr="00E73929">
        <w:rPr>
          <w:sz w:val="20"/>
        </w:rPr>
        <w:t>, IB Docket Nos. 97-142 and 95-22, Report and Order and Order on Reconsideration, 12 FCC Rcd 23891, 23918-19, paras. 61-63 (1997) (</w:t>
      </w:r>
      <w:r w:rsidRPr="00E73929">
        <w:rPr>
          <w:i/>
          <w:iCs/>
          <w:sz w:val="20"/>
        </w:rPr>
        <w:t>Foreign Participation Order</w:t>
      </w:r>
      <w:r w:rsidRPr="00E73929">
        <w:rPr>
          <w:sz w:val="20"/>
        </w:rPr>
        <w:t>), recon. denied, 15 FCC Rcd 18158 (2000).</w:t>
      </w:r>
    </w:p>
  </w:footnote>
  <w:footnote w:id="27">
    <w:p w:rsidR="00983CD6" w:rsidRPr="007166AA" w:rsidP="00983CD6" w14:paraId="1E6AE4EB" w14:textId="77777777">
      <w:pPr>
        <w:pStyle w:val="FootnoteText"/>
        <w:spacing w:after="120"/>
        <w:rPr>
          <w:sz w:val="20"/>
        </w:rPr>
      </w:pPr>
      <w:r w:rsidRPr="007166AA">
        <w:rPr>
          <w:rStyle w:val="FootnoteReference"/>
          <w:sz w:val="20"/>
        </w:rPr>
        <w:footnoteRef/>
      </w:r>
      <w:r w:rsidRPr="007166AA">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166AA">
        <w:rPr>
          <w:i/>
          <w:iCs/>
          <w:sz w:val="20"/>
        </w:rPr>
        <w:t>See FCC Announces Closure of FCC Headquarters Open Window and Change in Hand-Delivery Policy</w:t>
      </w:r>
      <w:r w:rsidRPr="007166AA">
        <w:rPr>
          <w:sz w:val="20"/>
        </w:rPr>
        <w:t xml:space="preserve">, Public Notice, DA 20-304 (March 19, 2020).  </w:t>
      </w:r>
      <w:hyperlink r:id="rId1" w:history="1">
        <w:r w:rsidRPr="00B35925">
          <w:rPr>
            <w:rStyle w:val="Hyperlink"/>
            <w:color w:val="auto"/>
            <w:sz w:val="20"/>
          </w:rPr>
          <w:t>https://www.fcc.gov/document/fcc-closes-headquarters-open-window-and-changes-hand-delivery-policy</w:t>
        </w:r>
      </w:hyperlink>
    </w:p>
  </w:footnote>
  <w:footnote w:id="28">
    <w:p w:rsidR="00983CD6" w:rsidRPr="007166AA" w:rsidP="00983CD6" w14:paraId="05DCBBDB" w14:textId="77777777">
      <w:pPr>
        <w:pStyle w:val="FootnoteText"/>
        <w:tabs>
          <w:tab w:val="clear" w:pos="720"/>
        </w:tabs>
        <w:spacing w:after="120"/>
        <w:rPr>
          <w:sz w:val="20"/>
        </w:rPr>
      </w:pPr>
      <w:r w:rsidRPr="007166AA">
        <w:rPr>
          <w:rStyle w:val="FootnoteReference"/>
          <w:sz w:val="20"/>
        </w:rPr>
        <w:footnoteRef/>
      </w:r>
      <w:r w:rsidRPr="007166AA">
        <w:rPr>
          <w:sz w:val="20"/>
        </w:rPr>
        <w:t xml:space="preserve"> </w:t>
      </w:r>
      <w:r w:rsidRPr="007166AA">
        <w:rPr>
          <w:i/>
          <w:sz w:val="20"/>
        </w:rPr>
        <w:t>See</w:t>
      </w:r>
      <w:r w:rsidRPr="007166AA">
        <w:rPr>
          <w:sz w:val="20"/>
        </w:rPr>
        <w:t xml:space="preserve"> 47 CFR § 1.45(c).</w:t>
      </w:r>
    </w:p>
  </w:footnote>
  <w:footnote w:id="29">
    <w:p w:rsidR="00983CD6" w:rsidP="00983CD6" w14:paraId="001F61AE" w14:textId="77777777">
      <w:pPr>
        <w:pStyle w:val="FootnoteText"/>
      </w:pPr>
      <w:r>
        <w:rPr>
          <w:rStyle w:val="FootnoteReference"/>
        </w:rPr>
        <w:footnoteRef/>
      </w:r>
      <w:r>
        <w:t xml:space="preserve"> </w:t>
      </w:r>
      <w:r w:rsidRPr="0006074B">
        <w:rPr>
          <w:sz w:val="20"/>
        </w:rPr>
        <w:t xml:space="preserve">Layered Communications, LLC provides international service under the international section 214 held by Onvoy, LLC pursuant to 47 CFR </w:t>
      </w:r>
      <w:r w:rsidRPr="00400807">
        <w:rPr>
          <w:color w:val="000000"/>
          <w:sz w:val="20"/>
        </w:rPr>
        <w:t>§ 63.21(h)</w:t>
      </w:r>
      <w:r>
        <w:rPr>
          <w:color w:val="000000"/>
          <w:sz w:val="20"/>
        </w:rPr>
        <w:t xml:space="preserve">.  </w:t>
      </w:r>
      <w:r>
        <w:rPr>
          <w:i/>
          <w:iCs/>
          <w:color w:val="000000"/>
          <w:sz w:val="20"/>
        </w:rPr>
        <w:t>See</w:t>
      </w:r>
      <w:r>
        <w:rPr>
          <w:color w:val="000000"/>
          <w:sz w:val="20"/>
        </w:rPr>
        <w:t xml:space="preserve"> Lead Application at 14, n. 26.  </w:t>
      </w:r>
    </w:p>
  </w:footnote>
  <w:footnote w:id="30">
    <w:p w:rsidR="00983CD6" w:rsidRPr="007166AA" w:rsidP="00983CD6" w14:paraId="4EF30EA0" w14:textId="77777777">
      <w:pPr>
        <w:pStyle w:val="FootnoteText"/>
        <w:rPr>
          <w:color w:val="000000"/>
          <w:sz w:val="20"/>
        </w:rPr>
      </w:pPr>
      <w:r w:rsidRPr="007166AA">
        <w:rPr>
          <w:rStyle w:val="FootnoteReference"/>
          <w:color w:val="000000"/>
          <w:sz w:val="20"/>
        </w:rPr>
        <w:footnoteRef/>
      </w:r>
      <w:r w:rsidRPr="007166AA">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50C5C2D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C078D" w:rsidP="00257E57" w14:paraId="6BFA4060" w14:textId="77777777">
                <w:pPr>
                  <w:rPr>
                    <w:rFonts w:ascii="Arial" w:hAnsi="Arial"/>
                    <w:b/>
                  </w:rPr>
                </w:pPr>
                <w:r>
                  <w:rPr>
                    <w:rFonts w:ascii="Arial" w:hAnsi="Arial"/>
                    <w:b/>
                  </w:rPr>
                  <w:t>Federal Communications Commission</w:t>
                </w:r>
              </w:p>
              <w:p w:rsidR="00EC078D" w:rsidP="00257E57" w14:paraId="7A8484E1" w14:textId="77777777">
                <w:pPr>
                  <w:rPr>
                    <w:rFonts w:ascii="Arial" w:hAnsi="Arial"/>
                    <w:b/>
                  </w:rPr>
                </w:pPr>
                <w:r>
                  <w:rPr>
                    <w:rFonts w:ascii="Arial" w:hAnsi="Arial"/>
                    <w:b/>
                  </w:rPr>
                  <w:t>45 L St., N.E.</w:t>
                </w:r>
              </w:p>
              <w:p w:rsidR="00EC078D" w:rsidP="00257E57" w14:paraId="48EA9C0E" w14:textId="77777777">
                <w:pPr>
                  <w:rPr>
                    <w:rFonts w:ascii="Arial" w:hAnsi="Arial"/>
                    <w:sz w:val="24"/>
                  </w:rPr>
                </w:pPr>
                <w:r>
                  <w:rPr>
                    <w:rFonts w:ascii="Arial" w:hAnsi="Arial"/>
                    <w:b/>
                  </w:rPr>
                  <w:t>Washington, D.C. 20554</w:t>
                </w:r>
              </w:p>
              <w:p w:rsidR="00EC078D" w:rsidRPr="00257E57" w14:paraId="6B71A9B6" w14:textId="77777777">
                <w:pPr>
                  <w:rPr>
                    <w:rFonts w:ascii="Arial" w:hAnsi="Arial"/>
                    <w:sz w:val="24"/>
                  </w:rPr>
                </w:pPr>
              </w:p>
            </w:txbxContent>
          </v:textbox>
        </v:shape>
      </w:pict>
    </w:r>
    <w:r w:rsidR="006B2463">
      <w:rPr>
        <w:rFonts w:ascii="News Gothic MT" w:hAnsi="News Gothic MT"/>
        <w:b/>
        <w:kern w:val="28"/>
        <w:sz w:val="96"/>
      </w:rPr>
      <w:t>PUBLIC NOTICE</w:t>
    </w:r>
  </w:p>
  <w:p w:rsidR="00EC078D" w14:paraId="4DD12D3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C078D" w14:paraId="4FCDDE5C" w14:textId="77777777">
                <w:pPr>
                  <w:spacing w:before="40"/>
                  <w:jc w:val="right"/>
                  <w:rPr>
                    <w:rFonts w:ascii="Arial" w:hAnsi="Arial"/>
                    <w:b/>
                    <w:sz w:val="16"/>
                  </w:rPr>
                </w:pPr>
                <w:r>
                  <w:rPr>
                    <w:rFonts w:ascii="Arial" w:hAnsi="Arial"/>
                    <w:b/>
                    <w:sz w:val="16"/>
                  </w:rPr>
                  <w:t>News Media Information 202 / 418-0500</w:t>
                </w:r>
              </w:p>
              <w:p w:rsidR="00EC078D" w14:paraId="27D85B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C078D" w14:paraId="322E791B" w14:textId="77777777">
                <w:pPr>
                  <w:jc w:val="right"/>
                </w:pPr>
              </w:p>
            </w:txbxContent>
          </v:textbox>
        </v:shape>
      </w:pict>
    </w:r>
  </w:p>
  <w:p w:rsidR="00EC078D" w14:paraId="6CBF7E46"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6D5AEF8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2D6B"/>
    <w:rsid w:val="00002E9F"/>
    <w:rsid w:val="000058A8"/>
    <w:rsid w:val="0000609F"/>
    <w:rsid w:val="00010DD1"/>
    <w:rsid w:val="00012B49"/>
    <w:rsid w:val="00013ED9"/>
    <w:rsid w:val="00014F14"/>
    <w:rsid w:val="000153E7"/>
    <w:rsid w:val="00015E7C"/>
    <w:rsid w:val="00017649"/>
    <w:rsid w:val="00017FCA"/>
    <w:rsid w:val="00020CEE"/>
    <w:rsid w:val="00020FFC"/>
    <w:rsid w:val="00021BFC"/>
    <w:rsid w:val="00021F2D"/>
    <w:rsid w:val="00025BB7"/>
    <w:rsid w:val="000261AB"/>
    <w:rsid w:val="00030BDD"/>
    <w:rsid w:val="000321AD"/>
    <w:rsid w:val="00036E68"/>
    <w:rsid w:val="000410B9"/>
    <w:rsid w:val="000418C4"/>
    <w:rsid w:val="000455D3"/>
    <w:rsid w:val="00046907"/>
    <w:rsid w:val="00050E3C"/>
    <w:rsid w:val="000512D5"/>
    <w:rsid w:val="00053377"/>
    <w:rsid w:val="00054560"/>
    <w:rsid w:val="00054CE6"/>
    <w:rsid w:val="0006074B"/>
    <w:rsid w:val="00062194"/>
    <w:rsid w:val="00063669"/>
    <w:rsid w:val="00063B72"/>
    <w:rsid w:val="00067324"/>
    <w:rsid w:val="0007541A"/>
    <w:rsid w:val="00076DAD"/>
    <w:rsid w:val="0008051C"/>
    <w:rsid w:val="00083543"/>
    <w:rsid w:val="00084022"/>
    <w:rsid w:val="000847DD"/>
    <w:rsid w:val="00087C68"/>
    <w:rsid w:val="00092345"/>
    <w:rsid w:val="00092F8B"/>
    <w:rsid w:val="0009631D"/>
    <w:rsid w:val="000963B7"/>
    <w:rsid w:val="000A32C0"/>
    <w:rsid w:val="000B3026"/>
    <w:rsid w:val="000B4901"/>
    <w:rsid w:val="000B63AB"/>
    <w:rsid w:val="000B7197"/>
    <w:rsid w:val="000B7D3A"/>
    <w:rsid w:val="000C178C"/>
    <w:rsid w:val="000C1E1E"/>
    <w:rsid w:val="000C37F7"/>
    <w:rsid w:val="000C7874"/>
    <w:rsid w:val="000D2393"/>
    <w:rsid w:val="000D3DBB"/>
    <w:rsid w:val="000D3F38"/>
    <w:rsid w:val="000D5346"/>
    <w:rsid w:val="000D57F7"/>
    <w:rsid w:val="000D76FC"/>
    <w:rsid w:val="000E0737"/>
    <w:rsid w:val="000E170A"/>
    <w:rsid w:val="000E4FF9"/>
    <w:rsid w:val="000F0D06"/>
    <w:rsid w:val="000F3B09"/>
    <w:rsid w:val="000F5A15"/>
    <w:rsid w:val="0010051C"/>
    <w:rsid w:val="00101119"/>
    <w:rsid w:val="0010368B"/>
    <w:rsid w:val="00104D71"/>
    <w:rsid w:val="00107A1F"/>
    <w:rsid w:val="0011130B"/>
    <w:rsid w:val="0011311D"/>
    <w:rsid w:val="0011317E"/>
    <w:rsid w:val="00113F58"/>
    <w:rsid w:val="00114BBF"/>
    <w:rsid w:val="00115B5A"/>
    <w:rsid w:val="00115D80"/>
    <w:rsid w:val="001171D0"/>
    <w:rsid w:val="001173D9"/>
    <w:rsid w:val="00117DAC"/>
    <w:rsid w:val="00122DB3"/>
    <w:rsid w:val="0012659E"/>
    <w:rsid w:val="00127565"/>
    <w:rsid w:val="00132812"/>
    <w:rsid w:val="00133A11"/>
    <w:rsid w:val="00133F29"/>
    <w:rsid w:val="00140B84"/>
    <w:rsid w:val="00142F2C"/>
    <w:rsid w:val="0014478D"/>
    <w:rsid w:val="00144F16"/>
    <w:rsid w:val="0015113C"/>
    <w:rsid w:val="00151C37"/>
    <w:rsid w:val="001538D3"/>
    <w:rsid w:val="00155284"/>
    <w:rsid w:val="00155656"/>
    <w:rsid w:val="00163B6D"/>
    <w:rsid w:val="00164D16"/>
    <w:rsid w:val="00166476"/>
    <w:rsid w:val="001665D0"/>
    <w:rsid w:val="0016699B"/>
    <w:rsid w:val="00172740"/>
    <w:rsid w:val="00173E2E"/>
    <w:rsid w:val="001750F6"/>
    <w:rsid w:val="001768D8"/>
    <w:rsid w:val="0018025B"/>
    <w:rsid w:val="00185B53"/>
    <w:rsid w:val="00186771"/>
    <w:rsid w:val="001868E2"/>
    <w:rsid w:val="00186DF5"/>
    <w:rsid w:val="00190563"/>
    <w:rsid w:val="00191BA2"/>
    <w:rsid w:val="00194D9D"/>
    <w:rsid w:val="001A25D3"/>
    <w:rsid w:val="001A5872"/>
    <w:rsid w:val="001A6595"/>
    <w:rsid w:val="001A7D38"/>
    <w:rsid w:val="001B2E9B"/>
    <w:rsid w:val="001B340E"/>
    <w:rsid w:val="001B5C5E"/>
    <w:rsid w:val="001B6159"/>
    <w:rsid w:val="001B6931"/>
    <w:rsid w:val="001B6949"/>
    <w:rsid w:val="001C66BC"/>
    <w:rsid w:val="001D682A"/>
    <w:rsid w:val="001D68F2"/>
    <w:rsid w:val="001E1333"/>
    <w:rsid w:val="001E6316"/>
    <w:rsid w:val="001F20BF"/>
    <w:rsid w:val="001F2307"/>
    <w:rsid w:val="001F268F"/>
    <w:rsid w:val="001F342B"/>
    <w:rsid w:val="001F42CB"/>
    <w:rsid w:val="00204A67"/>
    <w:rsid w:val="00205A16"/>
    <w:rsid w:val="002079CF"/>
    <w:rsid w:val="00207BC1"/>
    <w:rsid w:val="00207EEA"/>
    <w:rsid w:val="0021054B"/>
    <w:rsid w:val="0021123B"/>
    <w:rsid w:val="00212CAB"/>
    <w:rsid w:val="00216325"/>
    <w:rsid w:val="0022157B"/>
    <w:rsid w:val="00223CA2"/>
    <w:rsid w:val="002243EF"/>
    <w:rsid w:val="00224E08"/>
    <w:rsid w:val="00225294"/>
    <w:rsid w:val="0022535E"/>
    <w:rsid w:val="0022664E"/>
    <w:rsid w:val="00226E7C"/>
    <w:rsid w:val="00232924"/>
    <w:rsid w:val="002336DD"/>
    <w:rsid w:val="00233AE0"/>
    <w:rsid w:val="00233EE7"/>
    <w:rsid w:val="002412CD"/>
    <w:rsid w:val="002427FA"/>
    <w:rsid w:val="00242F7F"/>
    <w:rsid w:val="0024571E"/>
    <w:rsid w:val="00245F39"/>
    <w:rsid w:val="002461B0"/>
    <w:rsid w:val="002515C9"/>
    <w:rsid w:val="00253462"/>
    <w:rsid w:val="00257E57"/>
    <w:rsid w:val="002617F7"/>
    <w:rsid w:val="00262311"/>
    <w:rsid w:val="002629F2"/>
    <w:rsid w:val="00263DC2"/>
    <w:rsid w:val="00265277"/>
    <w:rsid w:val="00265D2A"/>
    <w:rsid w:val="00266EA7"/>
    <w:rsid w:val="00267A6A"/>
    <w:rsid w:val="00267F90"/>
    <w:rsid w:val="002723D6"/>
    <w:rsid w:val="00275D30"/>
    <w:rsid w:val="00281415"/>
    <w:rsid w:val="00281865"/>
    <w:rsid w:val="00285722"/>
    <w:rsid w:val="00286961"/>
    <w:rsid w:val="00287BB4"/>
    <w:rsid w:val="00290D6B"/>
    <w:rsid w:val="00291A07"/>
    <w:rsid w:val="00292A0D"/>
    <w:rsid w:val="00292E1C"/>
    <w:rsid w:val="002938BD"/>
    <w:rsid w:val="00293A99"/>
    <w:rsid w:val="00294340"/>
    <w:rsid w:val="002A11AF"/>
    <w:rsid w:val="002A3E00"/>
    <w:rsid w:val="002A4CB5"/>
    <w:rsid w:val="002A5B2D"/>
    <w:rsid w:val="002A68F4"/>
    <w:rsid w:val="002A6C27"/>
    <w:rsid w:val="002B0B9D"/>
    <w:rsid w:val="002B1056"/>
    <w:rsid w:val="002B7CBF"/>
    <w:rsid w:val="002C2DE8"/>
    <w:rsid w:val="002C54A9"/>
    <w:rsid w:val="002C5EAB"/>
    <w:rsid w:val="002C70B0"/>
    <w:rsid w:val="002C7109"/>
    <w:rsid w:val="002C7187"/>
    <w:rsid w:val="002D08D3"/>
    <w:rsid w:val="002D3AEA"/>
    <w:rsid w:val="002D5410"/>
    <w:rsid w:val="002D5CB8"/>
    <w:rsid w:val="002D5FA0"/>
    <w:rsid w:val="002D713E"/>
    <w:rsid w:val="002D7231"/>
    <w:rsid w:val="002F18D4"/>
    <w:rsid w:val="002F33B8"/>
    <w:rsid w:val="002F3957"/>
    <w:rsid w:val="002F41E4"/>
    <w:rsid w:val="002F6D25"/>
    <w:rsid w:val="00301C5A"/>
    <w:rsid w:val="0030629E"/>
    <w:rsid w:val="003134B8"/>
    <w:rsid w:val="0032019A"/>
    <w:rsid w:val="00323A72"/>
    <w:rsid w:val="00323F64"/>
    <w:rsid w:val="00324E29"/>
    <w:rsid w:val="003263C7"/>
    <w:rsid w:val="00326657"/>
    <w:rsid w:val="00327098"/>
    <w:rsid w:val="003352C0"/>
    <w:rsid w:val="003359B9"/>
    <w:rsid w:val="003367BE"/>
    <w:rsid w:val="0034020C"/>
    <w:rsid w:val="00340744"/>
    <w:rsid w:val="003428DA"/>
    <w:rsid w:val="00343B3A"/>
    <w:rsid w:val="00347C4A"/>
    <w:rsid w:val="003510E7"/>
    <w:rsid w:val="00352E1A"/>
    <w:rsid w:val="003536C5"/>
    <w:rsid w:val="0035561D"/>
    <w:rsid w:val="0035664E"/>
    <w:rsid w:val="00356BB0"/>
    <w:rsid w:val="0035774F"/>
    <w:rsid w:val="0036422E"/>
    <w:rsid w:val="00366B43"/>
    <w:rsid w:val="00366D09"/>
    <w:rsid w:val="00367808"/>
    <w:rsid w:val="00372112"/>
    <w:rsid w:val="003734A8"/>
    <w:rsid w:val="00373C29"/>
    <w:rsid w:val="003746B5"/>
    <w:rsid w:val="0037506F"/>
    <w:rsid w:val="00377AA8"/>
    <w:rsid w:val="00377CC1"/>
    <w:rsid w:val="00377E84"/>
    <w:rsid w:val="003846F8"/>
    <w:rsid w:val="0038477C"/>
    <w:rsid w:val="0038631E"/>
    <w:rsid w:val="00387252"/>
    <w:rsid w:val="00390139"/>
    <w:rsid w:val="00395138"/>
    <w:rsid w:val="003A333E"/>
    <w:rsid w:val="003A47A1"/>
    <w:rsid w:val="003B36E8"/>
    <w:rsid w:val="003B3DD6"/>
    <w:rsid w:val="003B3E64"/>
    <w:rsid w:val="003B52C8"/>
    <w:rsid w:val="003B7987"/>
    <w:rsid w:val="003C1314"/>
    <w:rsid w:val="003C304A"/>
    <w:rsid w:val="003C4025"/>
    <w:rsid w:val="003C44DF"/>
    <w:rsid w:val="003C6DB8"/>
    <w:rsid w:val="003D42BB"/>
    <w:rsid w:val="003D4E22"/>
    <w:rsid w:val="003D792E"/>
    <w:rsid w:val="003E0389"/>
    <w:rsid w:val="003E04E3"/>
    <w:rsid w:val="003E125A"/>
    <w:rsid w:val="003E2D72"/>
    <w:rsid w:val="003E34CB"/>
    <w:rsid w:val="003E687C"/>
    <w:rsid w:val="003E79D6"/>
    <w:rsid w:val="003E7F8E"/>
    <w:rsid w:val="003F1037"/>
    <w:rsid w:val="003F1F8D"/>
    <w:rsid w:val="003F3DED"/>
    <w:rsid w:val="003F4427"/>
    <w:rsid w:val="003F4465"/>
    <w:rsid w:val="003F6CD8"/>
    <w:rsid w:val="003F7226"/>
    <w:rsid w:val="00400807"/>
    <w:rsid w:val="004012B0"/>
    <w:rsid w:val="004018C9"/>
    <w:rsid w:val="00403FFD"/>
    <w:rsid w:val="00404379"/>
    <w:rsid w:val="0040711F"/>
    <w:rsid w:val="004100BE"/>
    <w:rsid w:val="00413F70"/>
    <w:rsid w:val="0041403A"/>
    <w:rsid w:val="00414E09"/>
    <w:rsid w:val="004156F7"/>
    <w:rsid w:val="004211DA"/>
    <w:rsid w:val="0042320A"/>
    <w:rsid w:val="0042388D"/>
    <w:rsid w:val="004270AC"/>
    <w:rsid w:val="00433CDA"/>
    <w:rsid w:val="004350AD"/>
    <w:rsid w:val="00442A71"/>
    <w:rsid w:val="004516BE"/>
    <w:rsid w:val="00455B79"/>
    <w:rsid w:val="00460F7A"/>
    <w:rsid w:val="00463812"/>
    <w:rsid w:val="004641FE"/>
    <w:rsid w:val="00466F57"/>
    <w:rsid w:val="0046742F"/>
    <w:rsid w:val="00470AD1"/>
    <w:rsid w:val="0047364C"/>
    <w:rsid w:val="004763C3"/>
    <w:rsid w:val="00480723"/>
    <w:rsid w:val="0048488B"/>
    <w:rsid w:val="00490CBF"/>
    <w:rsid w:val="00491718"/>
    <w:rsid w:val="00492210"/>
    <w:rsid w:val="0049429E"/>
    <w:rsid w:val="0049748F"/>
    <w:rsid w:val="004A1CA6"/>
    <w:rsid w:val="004A20D7"/>
    <w:rsid w:val="004A2401"/>
    <w:rsid w:val="004A2DCF"/>
    <w:rsid w:val="004A3006"/>
    <w:rsid w:val="004A76BF"/>
    <w:rsid w:val="004B2680"/>
    <w:rsid w:val="004B30FA"/>
    <w:rsid w:val="004B3521"/>
    <w:rsid w:val="004B39FC"/>
    <w:rsid w:val="004B4ECA"/>
    <w:rsid w:val="004C05C0"/>
    <w:rsid w:val="004C0E6D"/>
    <w:rsid w:val="004C1AC9"/>
    <w:rsid w:val="004C2086"/>
    <w:rsid w:val="004C2206"/>
    <w:rsid w:val="004C248B"/>
    <w:rsid w:val="004C27C9"/>
    <w:rsid w:val="004C598B"/>
    <w:rsid w:val="004C6257"/>
    <w:rsid w:val="004C6A76"/>
    <w:rsid w:val="004D386A"/>
    <w:rsid w:val="004D7912"/>
    <w:rsid w:val="004D7B95"/>
    <w:rsid w:val="004E0431"/>
    <w:rsid w:val="004E5434"/>
    <w:rsid w:val="004E5470"/>
    <w:rsid w:val="004F1BB5"/>
    <w:rsid w:val="004F1CC9"/>
    <w:rsid w:val="004F1ECA"/>
    <w:rsid w:val="004F43E6"/>
    <w:rsid w:val="00501FFB"/>
    <w:rsid w:val="00505EE2"/>
    <w:rsid w:val="005121D2"/>
    <w:rsid w:val="00512734"/>
    <w:rsid w:val="00512D88"/>
    <w:rsid w:val="00512E36"/>
    <w:rsid w:val="005133FE"/>
    <w:rsid w:val="005201B4"/>
    <w:rsid w:val="00521CB9"/>
    <w:rsid w:val="005303C0"/>
    <w:rsid w:val="005314CC"/>
    <w:rsid w:val="00532025"/>
    <w:rsid w:val="005369DB"/>
    <w:rsid w:val="00537D1A"/>
    <w:rsid w:val="0054109A"/>
    <w:rsid w:val="00546355"/>
    <w:rsid w:val="00546DF9"/>
    <w:rsid w:val="00550A29"/>
    <w:rsid w:val="00551CC3"/>
    <w:rsid w:val="005522F2"/>
    <w:rsid w:val="0055289C"/>
    <w:rsid w:val="00553AD2"/>
    <w:rsid w:val="00557090"/>
    <w:rsid w:val="005618F2"/>
    <w:rsid w:val="00561E27"/>
    <w:rsid w:val="005632AF"/>
    <w:rsid w:val="00563407"/>
    <w:rsid w:val="00565BA6"/>
    <w:rsid w:val="00575057"/>
    <w:rsid w:val="00575A2C"/>
    <w:rsid w:val="00576D11"/>
    <w:rsid w:val="00577F26"/>
    <w:rsid w:val="00585942"/>
    <w:rsid w:val="00585A76"/>
    <w:rsid w:val="00586BA0"/>
    <w:rsid w:val="0059305C"/>
    <w:rsid w:val="00593FEC"/>
    <w:rsid w:val="005A575E"/>
    <w:rsid w:val="005A68B9"/>
    <w:rsid w:val="005B0648"/>
    <w:rsid w:val="005B3A2E"/>
    <w:rsid w:val="005C0D7A"/>
    <w:rsid w:val="005C1319"/>
    <w:rsid w:val="005C1F5A"/>
    <w:rsid w:val="005C54BD"/>
    <w:rsid w:val="005C5FCF"/>
    <w:rsid w:val="005C7557"/>
    <w:rsid w:val="005D0C61"/>
    <w:rsid w:val="005D19A3"/>
    <w:rsid w:val="005D349B"/>
    <w:rsid w:val="005E2606"/>
    <w:rsid w:val="005F10EE"/>
    <w:rsid w:val="005F15ED"/>
    <w:rsid w:val="00601154"/>
    <w:rsid w:val="006031B6"/>
    <w:rsid w:val="00606784"/>
    <w:rsid w:val="00606F13"/>
    <w:rsid w:val="00610B23"/>
    <w:rsid w:val="00612253"/>
    <w:rsid w:val="00614558"/>
    <w:rsid w:val="00615BC3"/>
    <w:rsid w:val="006207D8"/>
    <w:rsid w:val="00621464"/>
    <w:rsid w:val="0062174C"/>
    <w:rsid w:val="0062556F"/>
    <w:rsid w:val="00626701"/>
    <w:rsid w:val="00631783"/>
    <w:rsid w:val="00632B5A"/>
    <w:rsid w:val="0063423F"/>
    <w:rsid w:val="00636AD7"/>
    <w:rsid w:val="0063722D"/>
    <w:rsid w:val="006412EC"/>
    <w:rsid w:val="006415D3"/>
    <w:rsid w:val="006417BB"/>
    <w:rsid w:val="00641BBC"/>
    <w:rsid w:val="00643351"/>
    <w:rsid w:val="00646D8A"/>
    <w:rsid w:val="00650FF5"/>
    <w:rsid w:val="0065535C"/>
    <w:rsid w:val="00660E1C"/>
    <w:rsid w:val="00661133"/>
    <w:rsid w:val="0066536D"/>
    <w:rsid w:val="00667E67"/>
    <w:rsid w:val="00667FB8"/>
    <w:rsid w:val="0067103F"/>
    <w:rsid w:val="00672ED7"/>
    <w:rsid w:val="0067369F"/>
    <w:rsid w:val="00677152"/>
    <w:rsid w:val="00677E84"/>
    <w:rsid w:val="006801AF"/>
    <w:rsid w:val="00687F39"/>
    <w:rsid w:val="006911D4"/>
    <w:rsid w:val="00691A67"/>
    <w:rsid w:val="00693D24"/>
    <w:rsid w:val="00694CA4"/>
    <w:rsid w:val="00695C27"/>
    <w:rsid w:val="00696D25"/>
    <w:rsid w:val="006A0027"/>
    <w:rsid w:val="006A0423"/>
    <w:rsid w:val="006A04A2"/>
    <w:rsid w:val="006A0EBF"/>
    <w:rsid w:val="006A1B10"/>
    <w:rsid w:val="006A393C"/>
    <w:rsid w:val="006B005A"/>
    <w:rsid w:val="006B04DA"/>
    <w:rsid w:val="006B1791"/>
    <w:rsid w:val="006B2463"/>
    <w:rsid w:val="006B29E2"/>
    <w:rsid w:val="006B2EBA"/>
    <w:rsid w:val="006B44ED"/>
    <w:rsid w:val="006B61F5"/>
    <w:rsid w:val="006C14FF"/>
    <w:rsid w:val="006C3F02"/>
    <w:rsid w:val="006D0428"/>
    <w:rsid w:val="006D5573"/>
    <w:rsid w:val="006D7286"/>
    <w:rsid w:val="006D7435"/>
    <w:rsid w:val="006E48E2"/>
    <w:rsid w:val="006E49EE"/>
    <w:rsid w:val="006E719B"/>
    <w:rsid w:val="006F0FA6"/>
    <w:rsid w:val="006F1252"/>
    <w:rsid w:val="006F2A61"/>
    <w:rsid w:val="006F50DE"/>
    <w:rsid w:val="006F5332"/>
    <w:rsid w:val="006F54E7"/>
    <w:rsid w:val="006F586C"/>
    <w:rsid w:val="006F5D6B"/>
    <w:rsid w:val="006F7C9D"/>
    <w:rsid w:val="0070015C"/>
    <w:rsid w:val="00701A28"/>
    <w:rsid w:val="00704B2F"/>
    <w:rsid w:val="00704BD2"/>
    <w:rsid w:val="0070606C"/>
    <w:rsid w:val="00706797"/>
    <w:rsid w:val="00706C5D"/>
    <w:rsid w:val="00715FBC"/>
    <w:rsid w:val="007166AA"/>
    <w:rsid w:val="00716DA8"/>
    <w:rsid w:val="0072022A"/>
    <w:rsid w:val="00720591"/>
    <w:rsid w:val="00725B3A"/>
    <w:rsid w:val="00726D72"/>
    <w:rsid w:val="00726F76"/>
    <w:rsid w:val="00731AFF"/>
    <w:rsid w:val="00732A76"/>
    <w:rsid w:val="007358BA"/>
    <w:rsid w:val="00735C75"/>
    <w:rsid w:val="00736729"/>
    <w:rsid w:val="00737502"/>
    <w:rsid w:val="0074164C"/>
    <w:rsid w:val="00744208"/>
    <w:rsid w:val="00745117"/>
    <w:rsid w:val="0075046C"/>
    <w:rsid w:val="00751BBD"/>
    <w:rsid w:val="00752149"/>
    <w:rsid w:val="00752296"/>
    <w:rsid w:val="0075291B"/>
    <w:rsid w:val="007541AB"/>
    <w:rsid w:val="007547D0"/>
    <w:rsid w:val="00757E24"/>
    <w:rsid w:val="007610B5"/>
    <w:rsid w:val="00761A9A"/>
    <w:rsid w:val="00762AF6"/>
    <w:rsid w:val="00762E48"/>
    <w:rsid w:val="007656E1"/>
    <w:rsid w:val="00765DEB"/>
    <w:rsid w:val="00771E94"/>
    <w:rsid w:val="007725A3"/>
    <w:rsid w:val="0077538B"/>
    <w:rsid w:val="007769CB"/>
    <w:rsid w:val="00782E8E"/>
    <w:rsid w:val="00784AA2"/>
    <w:rsid w:val="00794566"/>
    <w:rsid w:val="0079742F"/>
    <w:rsid w:val="007A28EC"/>
    <w:rsid w:val="007A2AAF"/>
    <w:rsid w:val="007A7C55"/>
    <w:rsid w:val="007B242B"/>
    <w:rsid w:val="007B3A71"/>
    <w:rsid w:val="007B4973"/>
    <w:rsid w:val="007C484E"/>
    <w:rsid w:val="007D0A72"/>
    <w:rsid w:val="007D1FCB"/>
    <w:rsid w:val="007D28E9"/>
    <w:rsid w:val="007D4A02"/>
    <w:rsid w:val="007D4DD6"/>
    <w:rsid w:val="007D6655"/>
    <w:rsid w:val="007D75C5"/>
    <w:rsid w:val="007E0029"/>
    <w:rsid w:val="007E22A9"/>
    <w:rsid w:val="007E7369"/>
    <w:rsid w:val="007F3BB0"/>
    <w:rsid w:val="007F43F2"/>
    <w:rsid w:val="007F542C"/>
    <w:rsid w:val="007F6A33"/>
    <w:rsid w:val="008033D3"/>
    <w:rsid w:val="00807B98"/>
    <w:rsid w:val="008130D2"/>
    <w:rsid w:val="00813837"/>
    <w:rsid w:val="00816696"/>
    <w:rsid w:val="00816B84"/>
    <w:rsid w:val="00817FAD"/>
    <w:rsid w:val="00820D75"/>
    <w:rsid w:val="00821A7D"/>
    <w:rsid w:val="00825918"/>
    <w:rsid w:val="00826D61"/>
    <w:rsid w:val="00827F90"/>
    <w:rsid w:val="0083183F"/>
    <w:rsid w:val="00832450"/>
    <w:rsid w:val="008334AA"/>
    <w:rsid w:val="0083550D"/>
    <w:rsid w:val="0083695A"/>
    <w:rsid w:val="00836F5A"/>
    <w:rsid w:val="00840743"/>
    <w:rsid w:val="00840B65"/>
    <w:rsid w:val="00840D84"/>
    <w:rsid w:val="008444B1"/>
    <w:rsid w:val="00847B8C"/>
    <w:rsid w:val="00851E63"/>
    <w:rsid w:val="008560E8"/>
    <w:rsid w:val="00857276"/>
    <w:rsid w:val="00864B72"/>
    <w:rsid w:val="00866BB2"/>
    <w:rsid w:val="00867C44"/>
    <w:rsid w:val="008711CE"/>
    <w:rsid w:val="00871369"/>
    <w:rsid w:val="0087160C"/>
    <w:rsid w:val="00871AEF"/>
    <w:rsid w:val="008723A5"/>
    <w:rsid w:val="008747DD"/>
    <w:rsid w:val="0087636D"/>
    <w:rsid w:val="00884775"/>
    <w:rsid w:val="00884969"/>
    <w:rsid w:val="00890868"/>
    <w:rsid w:val="0089360B"/>
    <w:rsid w:val="0089372B"/>
    <w:rsid w:val="00894AE4"/>
    <w:rsid w:val="00895DE3"/>
    <w:rsid w:val="008A3779"/>
    <w:rsid w:val="008A42F2"/>
    <w:rsid w:val="008A46D5"/>
    <w:rsid w:val="008A7F98"/>
    <w:rsid w:val="008B266B"/>
    <w:rsid w:val="008B69D0"/>
    <w:rsid w:val="008C0006"/>
    <w:rsid w:val="008C0706"/>
    <w:rsid w:val="008C0B79"/>
    <w:rsid w:val="008C564D"/>
    <w:rsid w:val="008C5FCA"/>
    <w:rsid w:val="008C77CA"/>
    <w:rsid w:val="008C7998"/>
    <w:rsid w:val="008D05D9"/>
    <w:rsid w:val="008D1A4E"/>
    <w:rsid w:val="008D3290"/>
    <w:rsid w:val="008D335A"/>
    <w:rsid w:val="008D3514"/>
    <w:rsid w:val="008D5004"/>
    <w:rsid w:val="008E55AA"/>
    <w:rsid w:val="008E581F"/>
    <w:rsid w:val="008E710B"/>
    <w:rsid w:val="008F1556"/>
    <w:rsid w:val="008F60DE"/>
    <w:rsid w:val="008F7755"/>
    <w:rsid w:val="009010C4"/>
    <w:rsid w:val="00903D76"/>
    <w:rsid w:val="00912E10"/>
    <w:rsid w:val="009225E3"/>
    <w:rsid w:val="00923607"/>
    <w:rsid w:val="00931F35"/>
    <w:rsid w:val="00945A37"/>
    <w:rsid w:val="00946BCC"/>
    <w:rsid w:val="00950931"/>
    <w:rsid w:val="0095097A"/>
    <w:rsid w:val="00952D1D"/>
    <w:rsid w:val="00952EC3"/>
    <w:rsid w:val="00953CDD"/>
    <w:rsid w:val="00957749"/>
    <w:rsid w:val="00957DD9"/>
    <w:rsid w:val="00961B70"/>
    <w:rsid w:val="00963A49"/>
    <w:rsid w:val="0096738C"/>
    <w:rsid w:val="009677E4"/>
    <w:rsid w:val="00967D47"/>
    <w:rsid w:val="00971A6B"/>
    <w:rsid w:val="00972A0B"/>
    <w:rsid w:val="00983337"/>
    <w:rsid w:val="00983CD6"/>
    <w:rsid w:val="0099017F"/>
    <w:rsid w:val="009917B6"/>
    <w:rsid w:val="0099395B"/>
    <w:rsid w:val="00993C29"/>
    <w:rsid w:val="009958EA"/>
    <w:rsid w:val="00996FBA"/>
    <w:rsid w:val="009A78AD"/>
    <w:rsid w:val="009B2C2F"/>
    <w:rsid w:val="009B3418"/>
    <w:rsid w:val="009B65C3"/>
    <w:rsid w:val="009B7141"/>
    <w:rsid w:val="009C2E13"/>
    <w:rsid w:val="009C5959"/>
    <w:rsid w:val="009C6634"/>
    <w:rsid w:val="009C707B"/>
    <w:rsid w:val="009C78CA"/>
    <w:rsid w:val="009D067C"/>
    <w:rsid w:val="009D083A"/>
    <w:rsid w:val="009D3844"/>
    <w:rsid w:val="009D76C1"/>
    <w:rsid w:val="009D7E8F"/>
    <w:rsid w:val="009E1F4F"/>
    <w:rsid w:val="009E470E"/>
    <w:rsid w:val="009E5127"/>
    <w:rsid w:val="009E666F"/>
    <w:rsid w:val="009F1D82"/>
    <w:rsid w:val="009F5830"/>
    <w:rsid w:val="009F58BC"/>
    <w:rsid w:val="009F7030"/>
    <w:rsid w:val="009F7B3C"/>
    <w:rsid w:val="00A01B7A"/>
    <w:rsid w:val="00A04D34"/>
    <w:rsid w:val="00A05096"/>
    <w:rsid w:val="00A11C9C"/>
    <w:rsid w:val="00A11EB6"/>
    <w:rsid w:val="00A127D9"/>
    <w:rsid w:val="00A141A0"/>
    <w:rsid w:val="00A206F4"/>
    <w:rsid w:val="00A25BBA"/>
    <w:rsid w:val="00A26383"/>
    <w:rsid w:val="00A41C1B"/>
    <w:rsid w:val="00A43A9A"/>
    <w:rsid w:val="00A47D50"/>
    <w:rsid w:val="00A52680"/>
    <w:rsid w:val="00A575BA"/>
    <w:rsid w:val="00A61C52"/>
    <w:rsid w:val="00A62049"/>
    <w:rsid w:val="00A62A4F"/>
    <w:rsid w:val="00A64BCF"/>
    <w:rsid w:val="00A65D89"/>
    <w:rsid w:val="00A735BF"/>
    <w:rsid w:val="00A81FCE"/>
    <w:rsid w:val="00A82168"/>
    <w:rsid w:val="00A871C5"/>
    <w:rsid w:val="00A910B3"/>
    <w:rsid w:val="00A928B9"/>
    <w:rsid w:val="00A946AE"/>
    <w:rsid w:val="00A954DA"/>
    <w:rsid w:val="00AA2B16"/>
    <w:rsid w:val="00AA5ED2"/>
    <w:rsid w:val="00AB1771"/>
    <w:rsid w:val="00AB32A2"/>
    <w:rsid w:val="00AB4B8C"/>
    <w:rsid w:val="00AC60ED"/>
    <w:rsid w:val="00AC78B5"/>
    <w:rsid w:val="00AD0D67"/>
    <w:rsid w:val="00AD1D22"/>
    <w:rsid w:val="00AD2C13"/>
    <w:rsid w:val="00AD5E53"/>
    <w:rsid w:val="00AE03FD"/>
    <w:rsid w:val="00AE0830"/>
    <w:rsid w:val="00AE15C1"/>
    <w:rsid w:val="00AE1C32"/>
    <w:rsid w:val="00AE23E6"/>
    <w:rsid w:val="00AE7B62"/>
    <w:rsid w:val="00AF1183"/>
    <w:rsid w:val="00AF2A2B"/>
    <w:rsid w:val="00AF3079"/>
    <w:rsid w:val="00AF4A95"/>
    <w:rsid w:val="00AF4FE4"/>
    <w:rsid w:val="00B02327"/>
    <w:rsid w:val="00B026A2"/>
    <w:rsid w:val="00B07189"/>
    <w:rsid w:val="00B10E55"/>
    <w:rsid w:val="00B1337A"/>
    <w:rsid w:val="00B234F4"/>
    <w:rsid w:val="00B26C5E"/>
    <w:rsid w:val="00B32197"/>
    <w:rsid w:val="00B324CC"/>
    <w:rsid w:val="00B343EE"/>
    <w:rsid w:val="00B356F3"/>
    <w:rsid w:val="00B35925"/>
    <w:rsid w:val="00B369B7"/>
    <w:rsid w:val="00B37D60"/>
    <w:rsid w:val="00B406B9"/>
    <w:rsid w:val="00B4127A"/>
    <w:rsid w:val="00B440A4"/>
    <w:rsid w:val="00B4439C"/>
    <w:rsid w:val="00B473C5"/>
    <w:rsid w:val="00B50711"/>
    <w:rsid w:val="00B51ABB"/>
    <w:rsid w:val="00B53F97"/>
    <w:rsid w:val="00B56289"/>
    <w:rsid w:val="00B570B9"/>
    <w:rsid w:val="00B62EDB"/>
    <w:rsid w:val="00B63113"/>
    <w:rsid w:val="00B64EA6"/>
    <w:rsid w:val="00B663A6"/>
    <w:rsid w:val="00B66DD6"/>
    <w:rsid w:val="00B713DE"/>
    <w:rsid w:val="00B71D42"/>
    <w:rsid w:val="00B722BB"/>
    <w:rsid w:val="00B7275A"/>
    <w:rsid w:val="00B76BE0"/>
    <w:rsid w:val="00B77DBD"/>
    <w:rsid w:val="00B85109"/>
    <w:rsid w:val="00B86AB5"/>
    <w:rsid w:val="00B87C71"/>
    <w:rsid w:val="00B903F4"/>
    <w:rsid w:val="00B906E5"/>
    <w:rsid w:val="00BA5E29"/>
    <w:rsid w:val="00BA7ED4"/>
    <w:rsid w:val="00BB169F"/>
    <w:rsid w:val="00BB41F9"/>
    <w:rsid w:val="00BB56D4"/>
    <w:rsid w:val="00BB6367"/>
    <w:rsid w:val="00BB654E"/>
    <w:rsid w:val="00BB680A"/>
    <w:rsid w:val="00BC19EF"/>
    <w:rsid w:val="00BC254C"/>
    <w:rsid w:val="00BC4717"/>
    <w:rsid w:val="00BC6C0A"/>
    <w:rsid w:val="00BD0305"/>
    <w:rsid w:val="00BD069A"/>
    <w:rsid w:val="00BD0815"/>
    <w:rsid w:val="00BD18CE"/>
    <w:rsid w:val="00BD2813"/>
    <w:rsid w:val="00BD4D80"/>
    <w:rsid w:val="00BD5B5E"/>
    <w:rsid w:val="00BD6C2F"/>
    <w:rsid w:val="00BD7700"/>
    <w:rsid w:val="00BE11C9"/>
    <w:rsid w:val="00BF1AAD"/>
    <w:rsid w:val="00BF3B5E"/>
    <w:rsid w:val="00BF5058"/>
    <w:rsid w:val="00BF5EE1"/>
    <w:rsid w:val="00C02E22"/>
    <w:rsid w:val="00C10322"/>
    <w:rsid w:val="00C1346F"/>
    <w:rsid w:val="00C2118B"/>
    <w:rsid w:val="00C232D2"/>
    <w:rsid w:val="00C2513C"/>
    <w:rsid w:val="00C26333"/>
    <w:rsid w:val="00C2650B"/>
    <w:rsid w:val="00C269D7"/>
    <w:rsid w:val="00C30DE1"/>
    <w:rsid w:val="00C33296"/>
    <w:rsid w:val="00C35475"/>
    <w:rsid w:val="00C36525"/>
    <w:rsid w:val="00C3678C"/>
    <w:rsid w:val="00C408D1"/>
    <w:rsid w:val="00C41976"/>
    <w:rsid w:val="00C41DA8"/>
    <w:rsid w:val="00C4289F"/>
    <w:rsid w:val="00C4574E"/>
    <w:rsid w:val="00C45B0F"/>
    <w:rsid w:val="00C45F6C"/>
    <w:rsid w:val="00C52886"/>
    <w:rsid w:val="00C52CB9"/>
    <w:rsid w:val="00C53A89"/>
    <w:rsid w:val="00C54749"/>
    <w:rsid w:val="00C54994"/>
    <w:rsid w:val="00C60A4F"/>
    <w:rsid w:val="00C62CC7"/>
    <w:rsid w:val="00C62D56"/>
    <w:rsid w:val="00C63415"/>
    <w:rsid w:val="00C63CCC"/>
    <w:rsid w:val="00C6423F"/>
    <w:rsid w:val="00C70CCD"/>
    <w:rsid w:val="00C73313"/>
    <w:rsid w:val="00C778F4"/>
    <w:rsid w:val="00C77BCF"/>
    <w:rsid w:val="00C80E24"/>
    <w:rsid w:val="00C83C84"/>
    <w:rsid w:val="00C84BD1"/>
    <w:rsid w:val="00C85586"/>
    <w:rsid w:val="00C85A78"/>
    <w:rsid w:val="00C86F79"/>
    <w:rsid w:val="00C94544"/>
    <w:rsid w:val="00CA0EEC"/>
    <w:rsid w:val="00CA1801"/>
    <w:rsid w:val="00CA71E0"/>
    <w:rsid w:val="00CB4824"/>
    <w:rsid w:val="00CB7798"/>
    <w:rsid w:val="00CC10B7"/>
    <w:rsid w:val="00CC1A7A"/>
    <w:rsid w:val="00CC4340"/>
    <w:rsid w:val="00CC4A75"/>
    <w:rsid w:val="00CD25DF"/>
    <w:rsid w:val="00CD4BEB"/>
    <w:rsid w:val="00CD50B8"/>
    <w:rsid w:val="00CE1E49"/>
    <w:rsid w:val="00CE3EE6"/>
    <w:rsid w:val="00CE666E"/>
    <w:rsid w:val="00CE7B9E"/>
    <w:rsid w:val="00CF07BC"/>
    <w:rsid w:val="00CF3A3B"/>
    <w:rsid w:val="00CF5240"/>
    <w:rsid w:val="00D00FC7"/>
    <w:rsid w:val="00D0407F"/>
    <w:rsid w:val="00D1098D"/>
    <w:rsid w:val="00D1189F"/>
    <w:rsid w:val="00D12222"/>
    <w:rsid w:val="00D1241B"/>
    <w:rsid w:val="00D13063"/>
    <w:rsid w:val="00D15ACD"/>
    <w:rsid w:val="00D1651A"/>
    <w:rsid w:val="00D17873"/>
    <w:rsid w:val="00D20380"/>
    <w:rsid w:val="00D204BC"/>
    <w:rsid w:val="00D32A7E"/>
    <w:rsid w:val="00D40BB9"/>
    <w:rsid w:val="00D4304A"/>
    <w:rsid w:val="00D4796A"/>
    <w:rsid w:val="00D52748"/>
    <w:rsid w:val="00D570E4"/>
    <w:rsid w:val="00D61B70"/>
    <w:rsid w:val="00D72CF8"/>
    <w:rsid w:val="00D730A4"/>
    <w:rsid w:val="00D748E4"/>
    <w:rsid w:val="00D801BA"/>
    <w:rsid w:val="00D80E88"/>
    <w:rsid w:val="00D81EE7"/>
    <w:rsid w:val="00D822D1"/>
    <w:rsid w:val="00D86DED"/>
    <w:rsid w:val="00D86F70"/>
    <w:rsid w:val="00D90E58"/>
    <w:rsid w:val="00D91B7C"/>
    <w:rsid w:val="00D9234F"/>
    <w:rsid w:val="00D94EF9"/>
    <w:rsid w:val="00D95287"/>
    <w:rsid w:val="00D973B6"/>
    <w:rsid w:val="00D97856"/>
    <w:rsid w:val="00DA0D8C"/>
    <w:rsid w:val="00DA3253"/>
    <w:rsid w:val="00DA52DA"/>
    <w:rsid w:val="00DA5CAD"/>
    <w:rsid w:val="00DA6075"/>
    <w:rsid w:val="00DA7280"/>
    <w:rsid w:val="00DB0B12"/>
    <w:rsid w:val="00DB16FC"/>
    <w:rsid w:val="00DB23DA"/>
    <w:rsid w:val="00DB4CE3"/>
    <w:rsid w:val="00DB5326"/>
    <w:rsid w:val="00DB7BA4"/>
    <w:rsid w:val="00DC00F4"/>
    <w:rsid w:val="00DC18DE"/>
    <w:rsid w:val="00DC19CB"/>
    <w:rsid w:val="00DC2825"/>
    <w:rsid w:val="00DC4233"/>
    <w:rsid w:val="00DD17A5"/>
    <w:rsid w:val="00DD19D5"/>
    <w:rsid w:val="00DD4034"/>
    <w:rsid w:val="00DD7827"/>
    <w:rsid w:val="00DE175C"/>
    <w:rsid w:val="00DE349C"/>
    <w:rsid w:val="00DE5377"/>
    <w:rsid w:val="00DE58EB"/>
    <w:rsid w:val="00DE6337"/>
    <w:rsid w:val="00DE6E02"/>
    <w:rsid w:val="00DE7953"/>
    <w:rsid w:val="00DF0F07"/>
    <w:rsid w:val="00DF1CA4"/>
    <w:rsid w:val="00DF3BED"/>
    <w:rsid w:val="00DF3ED0"/>
    <w:rsid w:val="00DF501B"/>
    <w:rsid w:val="00E01571"/>
    <w:rsid w:val="00E01A05"/>
    <w:rsid w:val="00E11D09"/>
    <w:rsid w:val="00E12A4B"/>
    <w:rsid w:val="00E147BC"/>
    <w:rsid w:val="00E160EC"/>
    <w:rsid w:val="00E16D71"/>
    <w:rsid w:val="00E20623"/>
    <w:rsid w:val="00E208B2"/>
    <w:rsid w:val="00E21971"/>
    <w:rsid w:val="00E22AA6"/>
    <w:rsid w:val="00E22B98"/>
    <w:rsid w:val="00E260A9"/>
    <w:rsid w:val="00E32907"/>
    <w:rsid w:val="00E33876"/>
    <w:rsid w:val="00E3493D"/>
    <w:rsid w:val="00E3535C"/>
    <w:rsid w:val="00E4643F"/>
    <w:rsid w:val="00E51408"/>
    <w:rsid w:val="00E514E4"/>
    <w:rsid w:val="00E57455"/>
    <w:rsid w:val="00E6029B"/>
    <w:rsid w:val="00E61D18"/>
    <w:rsid w:val="00E651E5"/>
    <w:rsid w:val="00E66E6E"/>
    <w:rsid w:val="00E672AC"/>
    <w:rsid w:val="00E67AC1"/>
    <w:rsid w:val="00E70030"/>
    <w:rsid w:val="00E709B4"/>
    <w:rsid w:val="00E710C1"/>
    <w:rsid w:val="00E71108"/>
    <w:rsid w:val="00E72DA1"/>
    <w:rsid w:val="00E73929"/>
    <w:rsid w:val="00E76BFB"/>
    <w:rsid w:val="00E8472D"/>
    <w:rsid w:val="00E85E34"/>
    <w:rsid w:val="00E9121E"/>
    <w:rsid w:val="00E91528"/>
    <w:rsid w:val="00E92D22"/>
    <w:rsid w:val="00E9318C"/>
    <w:rsid w:val="00E960C3"/>
    <w:rsid w:val="00EA259F"/>
    <w:rsid w:val="00EA59F0"/>
    <w:rsid w:val="00EA6902"/>
    <w:rsid w:val="00EB0DD4"/>
    <w:rsid w:val="00EB2118"/>
    <w:rsid w:val="00EB282B"/>
    <w:rsid w:val="00EB32A2"/>
    <w:rsid w:val="00EB3F63"/>
    <w:rsid w:val="00EB41B3"/>
    <w:rsid w:val="00EB42CD"/>
    <w:rsid w:val="00EB65E4"/>
    <w:rsid w:val="00EB750C"/>
    <w:rsid w:val="00EC078D"/>
    <w:rsid w:val="00EC1A9F"/>
    <w:rsid w:val="00EC2019"/>
    <w:rsid w:val="00EC2ED6"/>
    <w:rsid w:val="00EC6627"/>
    <w:rsid w:val="00EC66CA"/>
    <w:rsid w:val="00EC6A48"/>
    <w:rsid w:val="00EC70F6"/>
    <w:rsid w:val="00ED395B"/>
    <w:rsid w:val="00ED3B99"/>
    <w:rsid w:val="00ED3BAA"/>
    <w:rsid w:val="00ED3DD5"/>
    <w:rsid w:val="00ED53E8"/>
    <w:rsid w:val="00ED7333"/>
    <w:rsid w:val="00ED78CB"/>
    <w:rsid w:val="00EE07ED"/>
    <w:rsid w:val="00EE2C36"/>
    <w:rsid w:val="00EE2F04"/>
    <w:rsid w:val="00EE3AFC"/>
    <w:rsid w:val="00EE58A8"/>
    <w:rsid w:val="00EE5A9C"/>
    <w:rsid w:val="00EF0AEC"/>
    <w:rsid w:val="00EF6E3F"/>
    <w:rsid w:val="00F002B9"/>
    <w:rsid w:val="00F003F4"/>
    <w:rsid w:val="00F020E3"/>
    <w:rsid w:val="00F06B04"/>
    <w:rsid w:val="00F07A36"/>
    <w:rsid w:val="00F10873"/>
    <w:rsid w:val="00F1199E"/>
    <w:rsid w:val="00F11DBA"/>
    <w:rsid w:val="00F11E54"/>
    <w:rsid w:val="00F13062"/>
    <w:rsid w:val="00F13659"/>
    <w:rsid w:val="00F13E8E"/>
    <w:rsid w:val="00F15437"/>
    <w:rsid w:val="00F167DD"/>
    <w:rsid w:val="00F17B2A"/>
    <w:rsid w:val="00F23A04"/>
    <w:rsid w:val="00F2425E"/>
    <w:rsid w:val="00F25991"/>
    <w:rsid w:val="00F30E5A"/>
    <w:rsid w:val="00F33A80"/>
    <w:rsid w:val="00F3499F"/>
    <w:rsid w:val="00F35441"/>
    <w:rsid w:val="00F37AD1"/>
    <w:rsid w:val="00F50CAD"/>
    <w:rsid w:val="00F544E4"/>
    <w:rsid w:val="00F56CBD"/>
    <w:rsid w:val="00F620CE"/>
    <w:rsid w:val="00F63367"/>
    <w:rsid w:val="00F63658"/>
    <w:rsid w:val="00F64416"/>
    <w:rsid w:val="00F64CD8"/>
    <w:rsid w:val="00F657BA"/>
    <w:rsid w:val="00F6685F"/>
    <w:rsid w:val="00F66A01"/>
    <w:rsid w:val="00F66A1D"/>
    <w:rsid w:val="00F7015B"/>
    <w:rsid w:val="00F73729"/>
    <w:rsid w:val="00F73C89"/>
    <w:rsid w:val="00F74308"/>
    <w:rsid w:val="00F75C21"/>
    <w:rsid w:val="00F76EC1"/>
    <w:rsid w:val="00F81C35"/>
    <w:rsid w:val="00F9115A"/>
    <w:rsid w:val="00F92D28"/>
    <w:rsid w:val="00F938E7"/>
    <w:rsid w:val="00F9541E"/>
    <w:rsid w:val="00F95A9A"/>
    <w:rsid w:val="00F95ACC"/>
    <w:rsid w:val="00FA07F0"/>
    <w:rsid w:val="00FA0B34"/>
    <w:rsid w:val="00FA19DE"/>
    <w:rsid w:val="00FA27FA"/>
    <w:rsid w:val="00FA51EE"/>
    <w:rsid w:val="00FA79A3"/>
    <w:rsid w:val="00FB3A4D"/>
    <w:rsid w:val="00FB5028"/>
    <w:rsid w:val="00FB52FF"/>
    <w:rsid w:val="00FB6521"/>
    <w:rsid w:val="00FC130F"/>
    <w:rsid w:val="00FC1768"/>
    <w:rsid w:val="00FC1C8E"/>
    <w:rsid w:val="00FC2164"/>
    <w:rsid w:val="00FC34F4"/>
    <w:rsid w:val="00FC3835"/>
    <w:rsid w:val="00FC722D"/>
    <w:rsid w:val="00FD24D5"/>
    <w:rsid w:val="00FD28A2"/>
    <w:rsid w:val="00FD3A0B"/>
    <w:rsid w:val="00FD50DE"/>
    <w:rsid w:val="00FD6970"/>
    <w:rsid w:val="00FE1A5C"/>
    <w:rsid w:val="00FE6175"/>
    <w:rsid w:val="00FF39F5"/>
    <w:rsid w:val="00FF4BC7"/>
    <w:rsid w:val="00FF5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49A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6B2463"/>
    <w:rPr>
      <w:color w:val="605E5C"/>
      <w:shd w:val="clear" w:color="auto" w:fill="E1DFDD"/>
    </w:rPr>
  </w:style>
  <w:style w:type="character" w:customStyle="1" w:styleId="UnresolvedMention">
    <w:name w:val="Unresolved Mention"/>
    <w:rsid w:val="00A8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int.fcc.gov/UlsApp/UlsSearch/license.jsp?licKey=13433"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