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0210E" w:rsidP="00C0210E" w14:paraId="44C34C1C" w14:textId="77777777">
      <w:pPr>
        <w:jc w:val="center"/>
        <w:rPr>
          <w:b/>
        </w:rPr>
      </w:pPr>
      <w:r w:rsidRPr="0070224F">
        <w:rPr>
          <w:rFonts w:ascii="Times New Roman Bold" w:hAnsi="Times New Roman Bold"/>
          <w:b/>
          <w:kern w:val="0"/>
          <w:szCs w:val="22"/>
        </w:rPr>
        <w:t>Before</w:t>
      </w:r>
      <w:r>
        <w:rPr>
          <w:b/>
        </w:rPr>
        <w:t xml:space="preserve"> the</w:t>
      </w:r>
    </w:p>
    <w:p w:rsidR="00C0210E" w:rsidP="00C0210E" w14:paraId="134B9FC6" w14:textId="77777777">
      <w:pPr>
        <w:pStyle w:val="StyleBoldCentered"/>
      </w:pPr>
      <w:r>
        <w:t>F</w:t>
      </w:r>
      <w:r>
        <w:rPr>
          <w:caps w:val="0"/>
        </w:rPr>
        <w:t>ederal Communications Commission</w:t>
      </w:r>
    </w:p>
    <w:p w:rsidR="00C0210E" w:rsidP="00C0210E" w14:paraId="573D1AFD" w14:textId="77777777">
      <w:pPr>
        <w:pStyle w:val="StyleBoldCentered"/>
      </w:pPr>
      <w:r>
        <w:rPr>
          <w:caps w:val="0"/>
        </w:rPr>
        <w:t>Washington, D.C. 20554</w:t>
      </w:r>
    </w:p>
    <w:p w:rsidR="00C0210E" w:rsidP="00C0210E" w14:paraId="5E412E41" w14:textId="77777777"/>
    <w:p w:rsidR="00C0210E" w:rsidP="00C0210E" w14:paraId="0598655C" w14:textId="77777777"/>
    <w:tbl>
      <w:tblPr>
        <w:tblW w:w="0" w:type="auto"/>
        <w:tblLayout w:type="fixed"/>
        <w:tblLook w:val="0000"/>
      </w:tblPr>
      <w:tblGrid>
        <w:gridCol w:w="4698"/>
        <w:gridCol w:w="630"/>
        <w:gridCol w:w="4248"/>
      </w:tblGrid>
      <w:tr w14:paraId="2A381CA4" w14:textId="77777777" w:rsidTr="008664D0">
        <w:tblPrEx>
          <w:tblW w:w="0" w:type="auto"/>
          <w:tblLayout w:type="fixed"/>
          <w:tblLook w:val="0000"/>
        </w:tblPrEx>
        <w:tc>
          <w:tcPr>
            <w:tcW w:w="4698" w:type="dxa"/>
          </w:tcPr>
          <w:p w:rsidR="00C0210E" w:rsidP="008664D0" w14:paraId="4275238F" w14:textId="77777777">
            <w:pPr>
              <w:tabs>
                <w:tab w:val="center" w:pos="4680"/>
              </w:tabs>
              <w:suppressAutoHyphens/>
              <w:rPr>
                <w:spacing w:val="-2"/>
              </w:rPr>
            </w:pPr>
            <w:r>
              <w:rPr>
                <w:spacing w:val="-2"/>
              </w:rPr>
              <w:t>In the Matter of</w:t>
            </w:r>
          </w:p>
          <w:p w:rsidR="00C0210E" w:rsidP="008664D0" w14:paraId="22E1F413" w14:textId="77777777">
            <w:pPr>
              <w:tabs>
                <w:tab w:val="center" w:pos="4680"/>
              </w:tabs>
              <w:suppressAutoHyphens/>
              <w:rPr>
                <w:spacing w:val="-2"/>
              </w:rPr>
            </w:pPr>
          </w:p>
          <w:p w:rsidR="00C0210E" w:rsidRPr="002B2129" w:rsidP="008664D0" w14:paraId="515D4F8C" w14:textId="77777777">
            <w:pPr>
              <w:rPr>
                <w:szCs w:val="22"/>
              </w:rPr>
            </w:pPr>
            <w:r w:rsidRPr="002B2129">
              <w:rPr>
                <w:szCs w:val="22"/>
              </w:rPr>
              <w:t xml:space="preserve">BellSouth Telecommunications, LLC </w:t>
            </w:r>
          </w:p>
          <w:p w:rsidR="00C0210E" w:rsidP="008664D0" w14:paraId="03C1951D" w14:textId="77777777">
            <w:pPr>
              <w:rPr>
                <w:szCs w:val="22"/>
              </w:rPr>
            </w:pPr>
            <w:r w:rsidRPr="002B2129">
              <w:rPr>
                <w:szCs w:val="22"/>
              </w:rPr>
              <w:t>d/b/a AT&amp;T Florida,</w:t>
            </w:r>
          </w:p>
          <w:p w:rsidR="00C0210E" w:rsidRPr="002B2129" w:rsidP="008664D0" w14:paraId="3482388D" w14:textId="77777777">
            <w:pPr>
              <w:rPr>
                <w:szCs w:val="22"/>
              </w:rPr>
            </w:pPr>
          </w:p>
          <w:p w:rsidR="00C0210E" w:rsidRPr="002B2129" w:rsidP="008664D0" w14:paraId="02C049D9" w14:textId="77777777">
            <w:pPr>
              <w:rPr>
                <w:szCs w:val="22"/>
              </w:rPr>
            </w:pPr>
            <w:r>
              <w:rPr>
                <w:szCs w:val="22"/>
              </w:rPr>
              <w:t xml:space="preserve">                         </w:t>
            </w:r>
            <w:r w:rsidRPr="002B2129">
              <w:rPr>
                <w:szCs w:val="22"/>
              </w:rPr>
              <w:t>Complainant,</w:t>
            </w:r>
          </w:p>
          <w:p w:rsidR="00C0210E" w:rsidP="008664D0" w14:paraId="25DDCE65" w14:textId="77777777">
            <w:pPr>
              <w:rPr>
                <w:szCs w:val="22"/>
              </w:rPr>
            </w:pPr>
          </w:p>
          <w:p w:rsidR="00C0210E" w:rsidRPr="002B2129" w:rsidP="008664D0" w14:paraId="4943B3E3" w14:textId="77777777">
            <w:pPr>
              <w:rPr>
                <w:szCs w:val="22"/>
              </w:rPr>
            </w:pPr>
            <w:r w:rsidRPr="002B2129">
              <w:rPr>
                <w:szCs w:val="22"/>
              </w:rPr>
              <w:t xml:space="preserve">       v.</w:t>
            </w:r>
          </w:p>
          <w:p w:rsidR="00C0210E" w:rsidP="008664D0" w14:paraId="4558E8FA" w14:textId="77777777">
            <w:pPr>
              <w:rPr>
                <w:szCs w:val="22"/>
              </w:rPr>
            </w:pPr>
          </w:p>
          <w:p w:rsidR="00C0210E" w:rsidRPr="002B2129" w:rsidP="008664D0" w14:paraId="7EEE8CAB" w14:textId="77777777">
            <w:pPr>
              <w:rPr>
                <w:szCs w:val="22"/>
              </w:rPr>
            </w:pPr>
            <w:r w:rsidRPr="002B2129">
              <w:rPr>
                <w:szCs w:val="22"/>
              </w:rPr>
              <w:t>Florida Power and Light Company,</w:t>
            </w:r>
          </w:p>
          <w:p w:rsidR="00C0210E" w:rsidP="008664D0" w14:paraId="209771C3" w14:textId="77777777">
            <w:pPr>
              <w:tabs>
                <w:tab w:val="center" w:pos="4680"/>
              </w:tabs>
              <w:suppressAutoHyphens/>
              <w:rPr>
                <w:szCs w:val="22"/>
              </w:rPr>
            </w:pPr>
          </w:p>
          <w:p w:rsidR="00C0210E" w:rsidRPr="002B2129" w:rsidP="008664D0" w14:paraId="6CF40035" w14:textId="77777777">
            <w:pPr>
              <w:tabs>
                <w:tab w:val="center" w:pos="4680"/>
              </w:tabs>
              <w:suppressAutoHyphens/>
              <w:rPr>
                <w:spacing w:val="-2"/>
                <w:szCs w:val="22"/>
              </w:rPr>
            </w:pPr>
            <w:r>
              <w:rPr>
                <w:szCs w:val="22"/>
              </w:rPr>
              <w:t xml:space="preserve">                         </w:t>
            </w:r>
            <w:r w:rsidRPr="002B2129">
              <w:rPr>
                <w:szCs w:val="22"/>
              </w:rPr>
              <w:t>Defendant.</w:t>
            </w:r>
          </w:p>
        </w:tc>
        <w:tc>
          <w:tcPr>
            <w:tcW w:w="630" w:type="dxa"/>
          </w:tcPr>
          <w:p w:rsidR="00C0210E" w:rsidP="008664D0" w14:paraId="67B8DE33" w14:textId="77777777">
            <w:pPr>
              <w:tabs>
                <w:tab w:val="center" w:pos="4680"/>
              </w:tabs>
              <w:suppressAutoHyphens/>
              <w:rPr>
                <w:b/>
                <w:spacing w:val="-2"/>
              </w:rPr>
            </w:pPr>
            <w:r>
              <w:rPr>
                <w:b/>
                <w:spacing w:val="-2"/>
              </w:rPr>
              <w:t>)</w:t>
            </w:r>
          </w:p>
          <w:p w:rsidR="00C0210E" w:rsidP="008664D0" w14:paraId="3A312890" w14:textId="77777777">
            <w:pPr>
              <w:tabs>
                <w:tab w:val="center" w:pos="4680"/>
              </w:tabs>
              <w:suppressAutoHyphens/>
              <w:rPr>
                <w:b/>
                <w:spacing w:val="-2"/>
              </w:rPr>
            </w:pPr>
            <w:r>
              <w:rPr>
                <w:b/>
                <w:spacing w:val="-2"/>
              </w:rPr>
              <w:t>)</w:t>
            </w:r>
          </w:p>
          <w:p w:rsidR="00C0210E" w:rsidP="008664D0" w14:paraId="0AEDF495" w14:textId="77777777">
            <w:pPr>
              <w:tabs>
                <w:tab w:val="center" w:pos="4680"/>
              </w:tabs>
              <w:suppressAutoHyphens/>
              <w:rPr>
                <w:b/>
                <w:spacing w:val="-2"/>
              </w:rPr>
            </w:pPr>
            <w:r>
              <w:rPr>
                <w:b/>
                <w:spacing w:val="-2"/>
              </w:rPr>
              <w:t>)</w:t>
            </w:r>
          </w:p>
          <w:p w:rsidR="00C0210E" w:rsidP="008664D0" w14:paraId="65CCAA8E" w14:textId="77777777">
            <w:pPr>
              <w:tabs>
                <w:tab w:val="center" w:pos="4680"/>
              </w:tabs>
              <w:suppressAutoHyphens/>
              <w:rPr>
                <w:b/>
                <w:spacing w:val="-2"/>
              </w:rPr>
            </w:pPr>
            <w:r>
              <w:rPr>
                <w:b/>
                <w:spacing w:val="-2"/>
              </w:rPr>
              <w:t>)</w:t>
            </w:r>
          </w:p>
          <w:p w:rsidR="00C0210E" w:rsidP="008664D0" w14:paraId="77B7ECCA" w14:textId="77777777">
            <w:pPr>
              <w:tabs>
                <w:tab w:val="center" w:pos="4680"/>
              </w:tabs>
              <w:suppressAutoHyphens/>
              <w:rPr>
                <w:b/>
                <w:spacing w:val="-2"/>
              </w:rPr>
            </w:pPr>
            <w:r>
              <w:rPr>
                <w:b/>
                <w:spacing w:val="-2"/>
              </w:rPr>
              <w:t>)</w:t>
            </w:r>
          </w:p>
          <w:p w:rsidR="00C0210E" w:rsidP="008664D0" w14:paraId="6603EE1A" w14:textId="77777777">
            <w:pPr>
              <w:tabs>
                <w:tab w:val="center" w:pos="4680"/>
              </w:tabs>
              <w:suppressAutoHyphens/>
              <w:rPr>
                <w:b/>
                <w:spacing w:val="-2"/>
              </w:rPr>
            </w:pPr>
            <w:r>
              <w:rPr>
                <w:b/>
                <w:spacing w:val="-2"/>
              </w:rPr>
              <w:t>)</w:t>
            </w:r>
          </w:p>
          <w:p w:rsidR="00C0210E" w:rsidP="008664D0" w14:paraId="3FD24ADD" w14:textId="77777777">
            <w:pPr>
              <w:tabs>
                <w:tab w:val="center" w:pos="4680"/>
              </w:tabs>
              <w:suppressAutoHyphens/>
              <w:rPr>
                <w:b/>
                <w:spacing w:val="-2"/>
              </w:rPr>
            </w:pPr>
            <w:r>
              <w:rPr>
                <w:b/>
                <w:spacing w:val="-2"/>
              </w:rPr>
              <w:t>)</w:t>
            </w:r>
          </w:p>
          <w:p w:rsidR="00C0210E" w:rsidP="008664D0" w14:paraId="018EDDF3" w14:textId="77777777">
            <w:pPr>
              <w:tabs>
                <w:tab w:val="center" w:pos="4680"/>
              </w:tabs>
              <w:suppressAutoHyphens/>
              <w:rPr>
                <w:b/>
                <w:spacing w:val="-2"/>
              </w:rPr>
            </w:pPr>
            <w:r>
              <w:rPr>
                <w:b/>
                <w:spacing w:val="-2"/>
              </w:rPr>
              <w:t>)</w:t>
            </w:r>
          </w:p>
          <w:p w:rsidR="00C0210E" w:rsidP="008664D0" w14:paraId="60E568B3" w14:textId="77777777">
            <w:pPr>
              <w:tabs>
                <w:tab w:val="center" w:pos="4680"/>
              </w:tabs>
              <w:suppressAutoHyphens/>
              <w:rPr>
                <w:spacing w:val="-2"/>
              </w:rPr>
            </w:pPr>
            <w:r>
              <w:rPr>
                <w:spacing w:val="-2"/>
              </w:rPr>
              <w:t>)</w:t>
            </w:r>
          </w:p>
          <w:p w:rsidR="00C0210E" w:rsidP="008664D0" w14:paraId="5BEE886C" w14:textId="77777777">
            <w:pPr>
              <w:tabs>
                <w:tab w:val="center" w:pos="4680"/>
              </w:tabs>
              <w:suppressAutoHyphens/>
              <w:rPr>
                <w:spacing w:val="-2"/>
              </w:rPr>
            </w:pPr>
            <w:r>
              <w:rPr>
                <w:spacing w:val="-2"/>
              </w:rPr>
              <w:t>)</w:t>
            </w:r>
          </w:p>
          <w:p w:rsidR="00C0210E" w:rsidP="008664D0" w14:paraId="68F48407" w14:textId="77777777">
            <w:pPr>
              <w:tabs>
                <w:tab w:val="center" w:pos="4680"/>
              </w:tabs>
              <w:suppressAutoHyphens/>
              <w:rPr>
                <w:spacing w:val="-2"/>
              </w:rPr>
            </w:pPr>
            <w:r>
              <w:rPr>
                <w:spacing w:val="-2"/>
              </w:rPr>
              <w:t>)</w:t>
            </w:r>
          </w:p>
          <w:p w:rsidR="00C0210E" w:rsidP="008664D0" w14:paraId="0779F6DC" w14:textId="77777777">
            <w:pPr>
              <w:tabs>
                <w:tab w:val="center" w:pos="4680"/>
              </w:tabs>
              <w:suppressAutoHyphens/>
              <w:rPr>
                <w:spacing w:val="-2"/>
              </w:rPr>
            </w:pPr>
            <w:r>
              <w:rPr>
                <w:spacing w:val="-2"/>
              </w:rPr>
              <w:t>)</w:t>
            </w:r>
          </w:p>
        </w:tc>
        <w:tc>
          <w:tcPr>
            <w:tcW w:w="4248" w:type="dxa"/>
          </w:tcPr>
          <w:p w:rsidR="00C0210E" w:rsidRPr="002B2129" w:rsidP="008664D0" w14:paraId="6D000221" w14:textId="77777777">
            <w:pPr>
              <w:rPr>
                <w:szCs w:val="22"/>
              </w:rPr>
            </w:pPr>
            <w:r w:rsidRPr="002B2129">
              <w:rPr>
                <w:szCs w:val="22"/>
              </w:rPr>
              <w:t>Proceeding No. 19-187</w:t>
            </w:r>
          </w:p>
          <w:p w:rsidR="00C0210E" w:rsidRPr="002B2129" w:rsidP="008664D0" w14:paraId="345E8C46" w14:textId="77777777">
            <w:pPr>
              <w:tabs>
                <w:tab w:val="center" w:pos="4680"/>
              </w:tabs>
              <w:suppressAutoHyphens/>
              <w:rPr>
                <w:spacing w:val="-2"/>
                <w:szCs w:val="22"/>
              </w:rPr>
            </w:pPr>
            <w:r w:rsidRPr="002B2129">
              <w:rPr>
                <w:szCs w:val="22"/>
              </w:rPr>
              <w:t>Bureau ID No. EB-19-MD-006</w:t>
            </w:r>
          </w:p>
        </w:tc>
      </w:tr>
    </w:tbl>
    <w:p w:rsidR="00C0210E" w:rsidP="00C0210E" w14:paraId="45AF96CB" w14:textId="77777777"/>
    <w:p w:rsidR="00C0210E" w:rsidP="00C0210E" w14:paraId="7C38D411" w14:textId="77777777">
      <w:pPr>
        <w:pStyle w:val="StyleBoldCentered"/>
      </w:pPr>
      <w:r>
        <w:t>memorandum opinion and order</w:t>
      </w:r>
    </w:p>
    <w:p w:rsidR="00C0210E" w:rsidP="00C0210E" w14:paraId="2B2C86B7" w14:textId="77777777">
      <w:pPr>
        <w:tabs>
          <w:tab w:val="left" w:pos="-720"/>
        </w:tabs>
        <w:suppressAutoHyphens/>
        <w:spacing w:line="227" w:lineRule="auto"/>
        <w:rPr>
          <w:spacing w:val="-2"/>
        </w:rPr>
      </w:pPr>
    </w:p>
    <w:p w:rsidR="00C0210E" w:rsidP="00C0210E" w14:paraId="6638DBBE" w14:textId="32A62336">
      <w:pPr>
        <w:rPr>
          <w:b/>
          <w:spacing w:val="-2"/>
        </w:rPr>
      </w:pPr>
      <w:r>
        <w:rPr>
          <w:b/>
          <w:spacing w:val="-2"/>
        </w:rPr>
        <w:t xml:space="preserve">Adopted:  </w:t>
      </w:r>
      <w:r w:rsidR="0006305C">
        <w:rPr>
          <w:b/>
          <w:spacing w:val="-2"/>
        </w:rPr>
        <w:t>January 14, 2021</w:t>
      </w:r>
      <w:r>
        <w:rPr>
          <w:b/>
          <w:spacing w:val="-2"/>
        </w:rPr>
        <w:tab/>
      </w:r>
      <w:r>
        <w:rPr>
          <w:b/>
          <w:spacing w:val="-2"/>
        </w:rPr>
        <w:tab/>
      </w:r>
      <w:r>
        <w:rPr>
          <w:b/>
          <w:spacing w:val="-2"/>
        </w:rPr>
        <w:tab/>
      </w:r>
      <w:r>
        <w:rPr>
          <w:b/>
          <w:spacing w:val="-2"/>
        </w:rPr>
        <w:tab/>
      </w:r>
      <w:r w:rsidR="00AC0EA0">
        <w:rPr>
          <w:b/>
          <w:spacing w:val="-2"/>
        </w:rPr>
        <w:tab/>
      </w:r>
      <w:r w:rsidR="00AC0EA0">
        <w:rPr>
          <w:b/>
          <w:spacing w:val="-2"/>
        </w:rPr>
        <w:tab/>
      </w:r>
      <w:r>
        <w:rPr>
          <w:b/>
          <w:spacing w:val="-2"/>
        </w:rPr>
        <w:t xml:space="preserve">Released:  </w:t>
      </w:r>
      <w:r w:rsidR="0006305C">
        <w:rPr>
          <w:b/>
          <w:spacing w:val="-2"/>
        </w:rPr>
        <w:t>January 14, 2021</w:t>
      </w:r>
    </w:p>
    <w:p w:rsidR="00C0210E" w:rsidP="00C0210E" w14:paraId="2E52E9E2" w14:textId="77777777"/>
    <w:p w:rsidR="00C0210E" w:rsidP="00C0210E" w14:paraId="3DE33F1F" w14:textId="77777777">
      <w:pPr>
        <w:rPr>
          <w:spacing w:val="-2"/>
        </w:rPr>
      </w:pPr>
      <w:r>
        <w:t>By the Chief, Enforcement Bureau</w:t>
      </w:r>
      <w:r>
        <w:rPr>
          <w:spacing w:val="-2"/>
        </w:rPr>
        <w:t>:</w:t>
      </w:r>
    </w:p>
    <w:p w:rsidR="00C0210E" w:rsidP="00C0210E" w14:paraId="51F94EB2" w14:textId="77777777">
      <w:pPr>
        <w:rPr>
          <w:spacing w:val="-2"/>
        </w:rPr>
      </w:pPr>
    </w:p>
    <w:p w:rsidR="00C0210E" w:rsidRPr="008233FA" w:rsidP="00C0210E" w14:paraId="644CD29C" w14:textId="77777777">
      <w:pPr>
        <w:pStyle w:val="ParaNum"/>
        <w:tabs>
          <w:tab w:val="clear" w:pos="1440"/>
        </w:tabs>
      </w:pPr>
      <w:bookmarkStart w:id="0" w:name="_Hlk57881003"/>
      <w:r w:rsidRPr="1D1DEB0C">
        <w:t xml:space="preserve">In this </w:t>
      </w:r>
      <w:r w:rsidRPr="00CF6BA8">
        <w:rPr>
          <w:snapToGrid/>
        </w:rPr>
        <w:t>Memorandum</w:t>
      </w:r>
      <w:r w:rsidRPr="1D1DEB0C">
        <w:t xml:space="preserve"> Opinion and Order, we take </w:t>
      </w:r>
      <w:r>
        <w:t>further</w:t>
      </w:r>
      <w:r w:rsidRPr="1D1DEB0C">
        <w:t xml:space="preserve"> </w:t>
      </w:r>
      <w:r>
        <w:t>action</w:t>
      </w:r>
      <w:r w:rsidRPr="1D1DEB0C">
        <w:t xml:space="preserve"> to resolve the</w:t>
      </w:r>
      <w:r>
        <w:t xml:space="preserve"> </w:t>
      </w:r>
      <w:r w:rsidRPr="1D1DEB0C">
        <w:t xml:space="preserve">Complaint filed by BellSouth Telecommunications, LLC d/b/a AT&amp;T Florida, an incumbent </w:t>
      </w:r>
      <w:r>
        <w:t>local exchange carrier (</w:t>
      </w:r>
      <w:r>
        <w:t>LEC</w:t>
      </w:r>
      <w:r>
        <w:t xml:space="preserve">) </w:t>
      </w:r>
      <w:r w:rsidRPr="1D1DEB0C">
        <w:t>in Florida (AT&amp;T), against Florida Power and Light Company, an electric utility (FPL).</w:t>
      </w:r>
      <w:r>
        <w:rPr>
          <w:rStyle w:val="FootnoteReference"/>
        </w:rPr>
        <w:footnoteReference w:id="3"/>
      </w:r>
      <w:r w:rsidRPr="1D1DEB0C">
        <w:t xml:space="preserve">  </w:t>
      </w:r>
      <w:r>
        <w:t>In its Complaint, AT&amp;T</w:t>
      </w:r>
      <w:r w:rsidRPr="1D1DEB0C">
        <w:t xml:space="preserve"> alleges that the rate</w:t>
      </w:r>
      <w:r>
        <w:t xml:space="preserve"> it </w:t>
      </w:r>
      <w:r w:rsidRPr="1D1DEB0C">
        <w:t>pays to attach its facilities to FPL’s electric poles is unjust and unreasonable under Commission rules and orders issued pursuant to section 224 of the Communications Act of 1934, as amended (Act).</w:t>
      </w:r>
      <w:r>
        <w:rPr>
          <w:rStyle w:val="FootnoteReference"/>
        </w:rPr>
        <w:footnoteReference w:id="4"/>
      </w:r>
      <w:r w:rsidRPr="1D1DEB0C">
        <w:t xml:space="preserve">  </w:t>
      </w:r>
      <w:r>
        <w:t xml:space="preserve">A prior order in this proceeding </w:t>
      </w:r>
      <w:r w:rsidRPr="1D1DEB0C">
        <w:t>grant</w:t>
      </w:r>
      <w:r>
        <w:t>ed</w:t>
      </w:r>
      <w:r w:rsidRPr="1D1DEB0C">
        <w:t xml:space="preserve"> the Complaint in part</w:t>
      </w:r>
      <w:r>
        <w:t xml:space="preserve">, </w:t>
      </w:r>
      <w:r w:rsidRPr="1D1DEB0C">
        <w:t>f</w:t>
      </w:r>
      <w:r>
        <w:t>inding</w:t>
      </w:r>
      <w:r w:rsidRPr="1D1DEB0C">
        <w:t xml:space="preserve"> that AT&amp;T was entitled to a reduced rate for the period ending December 31, 2018 (</w:t>
      </w:r>
      <w:r w:rsidRPr="1D1DEB0C">
        <w:rPr>
          <w:i/>
          <w:iCs/>
        </w:rPr>
        <w:t>Bureau Order</w:t>
      </w:r>
      <w:r w:rsidRPr="1D1DEB0C">
        <w:t>).</w:t>
      </w:r>
      <w:r>
        <w:rPr>
          <w:rStyle w:val="FootnoteReference"/>
        </w:rPr>
        <w:footnoteReference w:id="5"/>
      </w:r>
      <w:r w:rsidRPr="1D1DEB0C">
        <w:t xml:space="preserve">  </w:t>
      </w:r>
      <w:r>
        <w:t xml:space="preserve">The parties were not able to settle the case based on the guidance in the </w:t>
      </w:r>
      <w:r>
        <w:rPr>
          <w:i/>
          <w:iCs/>
        </w:rPr>
        <w:t>Bureau Order</w:t>
      </w:r>
      <w:r>
        <w:t>.  Consequently, we now</w:t>
      </w:r>
      <w:r w:rsidRPr="1D1DEB0C">
        <w:t xml:space="preserve"> </w:t>
      </w:r>
      <w:r>
        <w:t xml:space="preserve">resolve the parties’ disputes as to proper calculation of the </w:t>
      </w:r>
      <w:r w:rsidRPr="1D1DEB0C">
        <w:t>reduced rate</w:t>
      </w:r>
      <w:r>
        <w:t xml:space="preserve"> </w:t>
      </w:r>
      <w:r w:rsidRPr="1D1DEB0C">
        <w:t xml:space="preserve">and find that AT&amp;T </w:t>
      </w:r>
      <w:r>
        <w:t>is entitled to</w:t>
      </w:r>
      <w:r w:rsidRPr="1D1DEB0C">
        <w:t xml:space="preserve"> a refund of </w:t>
      </w:r>
      <w:r>
        <w:t xml:space="preserve">any </w:t>
      </w:r>
      <w:r w:rsidRPr="1D1DEB0C">
        <w:t xml:space="preserve">overpayments </w:t>
      </w:r>
      <w:r w:rsidRPr="00CC3CA6">
        <w:t>for the period</w:t>
      </w:r>
      <w:r>
        <w:t xml:space="preserve"> </w:t>
      </w:r>
      <w:r w:rsidRPr="1D1DEB0C">
        <w:t xml:space="preserve">July 1, 2014 </w:t>
      </w:r>
      <w:r w:rsidRPr="00CC3CA6">
        <w:t>to</w:t>
      </w:r>
      <w:r w:rsidRPr="1D1DEB0C">
        <w:t xml:space="preserve"> December 31, 2018.</w:t>
      </w:r>
    </w:p>
    <w:bookmarkEnd w:id="0"/>
    <w:p w:rsidR="00C0210E" w:rsidP="00C0210E" w14:paraId="7238A39A" w14:textId="77777777">
      <w:pPr>
        <w:pStyle w:val="Heading1"/>
      </w:pPr>
      <w:r>
        <w:t>Background</w:t>
      </w:r>
    </w:p>
    <w:p w:rsidR="00C0210E" w:rsidP="00C0210E" w14:paraId="01E95198" w14:textId="77777777">
      <w:pPr>
        <w:pStyle w:val="Heading2"/>
      </w:pPr>
      <w:r>
        <w:t>Legal Framework</w:t>
      </w:r>
    </w:p>
    <w:p w:rsidR="00C0210E" w:rsidP="00C0210E" w14:paraId="6EEBF76D" w14:textId="77777777">
      <w:pPr>
        <w:pStyle w:val="ParaNum"/>
        <w:tabs>
          <w:tab w:val="clear" w:pos="1440"/>
        </w:tabs>
      </w:pPr>
      <w:r w:rsidRPr="1D1DEB0C">
        <w:t xml:space="preserve">Section 224(b)(1) of the Act requires the </w:t>
      </w:r>
      <w:r w:rsidRPr="00CF6BA8">
        <w:rPr>
          <w:snapToGrid/>
        </w:rPr>
        <w:t>Commission</w:t>
      </w:r>
      <w:r w:rsidRPr="1D1DEB0C">
        <w:t xml:space="preserve"> to “regulate the rates, terms, and conditions for pole attachments to provide that such rates, terms, and conditions are just and reasonable.”</w:t>
      </w:r>
      <w:r>
        <w:rPr>
          <w:rStyle w:val="FootnoteReference"/>
        </w:rPr>
        <w:footnoteReference w:id="6"/>
      </w:r>
      <w:r w:rsidRPr="1D1DEB0C">
        <w:t xml:space="preserve"> Section 224(e) establishes a formula to calculate the maximum attachment rate to be paid by competitive </w:t>
      </w:r>
      <w:r w:rsidRPr="1D1DEB0C">
        <w:t>LECs</w:t>
      </w:r>
      <w:r w:rsidRPr="1D1DEB0C">
        <w:t>.</w:t>
      </w:r>
      <w:r>
        <w:rPr>
          <w:rStyle w:val="FootnoteReference"/>
        </w:rPr>
        <w:footnoteReference w:id="7"/>
      </w:r>
    </w:p>
    <w:p w:rsidR="00C0210E" w:rsidRPr="00811D42" w:rsidP="003D00E4" w14:paraId="6D800E2D" w14:textId="77777777">
      <w:pPr>
        <w:pStyle w:val="ParaNum"/>
        <w:widowControl/>
        <w:tabs>
          <w:tab w:val="clear" w:pos="1440"/>
        </w:tabs>
        <w:rPr>
          <w:rStyle w:val="Hyperlink"/>
          <w:color w:val="auto"/>
          <w:szCs w:val="22"/>
          <w:u w:val="none"/>
        </w:rPr>
      </w:pPr>
      <w:r w:rsidRPr="00811D42">
        <w:rPr>
          <w:szCs w:val="22"/>
        </w:rPr>
        <w:t xml:space="preserve">In </w:t>
      </w:r>
      <w:r>
        <w:rPr>
          <w:szCs w:val="22"/>
        </w:rPr>
        <w:t xml:space="preserve">its </w:t>
      </w:r>
      <w:r w:rsidRPr="005F4684">
        <w:rPr>
          <w:i/>
          <w:iCs/>
          <w:szCs w:val="22"/>
        </w:rPr>
        <w:t xml:space="preserve">2011 </w:t>
      </w:r>
      <w:r w:rsidRPr="00811D42">
        <w:rPr>
          <w:i/>
          <w:iCs/>
          <w:szCs w:val="22"/>
        </w:rPr>
        <w:t>Pole Attachment Order</w:t>
      </w:r>
      <w:r w:rsidRPr="00811D42">
        <w:rPr>
          <w:szCs w:val="22"/>
        </w:rPr>
        <w:t xml:space="preserve">, the Commission </w:t>
      </w:r>
      <w:r w:rsidRPr="00CF6BA8">
        <w:rPr>
          <w:snapToGrid/>
        </w:rPr>
        <w:t>reinterpreted</w:t>
      </w:r>
      <w:r w:rsidRPr="00811D42">
        <w:rPr>
          <w:szCs w:val="22"/>
        </w:rPr>
        <w:t xml:space="preserve"> the formula for calculating the section 224(e) competitive </w:t>
      </w:r>
      <w:r w:rsidRPr="00811D42">
        <w:rPr>
          <w:szCs w:val="22"/>
        </w:rPr>
        <w:t>LEC</w:t>
      </w:r>
      <w:r w:rsidRPr="00811D42">
        <w:rPr>
          <w:szCs w:val="22"/>
        </w:rPr>
        <w:t xml:space="preserve"> attachment rate so that the resulting rate (New Telecom Rate) is lower than the competitive </w:t>
      </w:r>
      <w:r w:rsidRPr="00811D42">
        <w:rPr>
          <w:szCs w:val="22"/>
        </w:rPr>
        <w:t>LEC</w:t>
      </w:r>
      <w:r w:rsidRPr="00811D42">
        <w:rPr>
          <w:szCs w:val="22"/>
        </w:rPr>
        <w:t xml:space="preserve"> rate that applied under earlier Commission orders (Old Telecom Rate).</w:t>
      </w:r>
      <w:r>
        <w:rPr>
          <w:rStyle w:val="FootnoteReference"/>
          <w:szCs w:val="22"/>
        </w:rPr>
        <w:footnoteReference w:id="8"/>
      </w:r>
      <w:r w:rsidRPr="00811D42">
        <w:rPr>
          <w:szCs w:val="22"/>
        </w:rPr>
        <w:t xml:space="preserve">  The Commission also </w:t>
      </w:r>
      <w:r>
        <w:rPr>
          <w:szCs w:val="22"/>
        </w:rPr>
        <w:t>concluded</w:t>
      </w:r>
      <w:r w:rsidRPr="00811D42">
        <w:rPr>
          <w:szCs w:val="22"/>
        </w:rPr>
        <w:t xml:space="preserve"> that section 224 authorized it to regulate the rates, terms, and conditions of incumbent </w:t>
      </w:r>
      <w:r w:rsidRPr="00811D42">
        <w:rPr>
          <w:szCs w:val="22"/>
        </w:rPr>
        <w:t>LEC</w:t>
      </w:r>
      <w:r w:rsidRPr="00811D42">
        <w:rPr>
          <w:szCs w:val="22"/>
        </w:rPr>
        <w:t xml:space="preserve"> pole attachments, but emphasized that it would do so in a way that recognized the differences between incumbent </w:t>
      </w:r>
      <w:r w:rsidRPr="00811D42">
        <w:rPr>
          <w:szCs w:val="22"/>
        </w:rPr>
        <w:t>LECs</w:t>
      </w:r>
      <w:r w:rsidRPr="00811D42">
        <w:rPr>
          <w:szCs w:val="22"/>
        </w:rPr>
        <w:t xml:space="preserve"> and </w:t>
      </w:r>
      <w:r>
        <w:rPr>
          <w:szCs w:val="22"/>
        </w:rPr>
        <w:t xml:space="preserve">other </w:t>
      </w:r>
      <w:r w:rsidRPr="00811D42">
        <w:rPr>
          <w:szCs w:val="22"/>
        </w:rPr>
        <w:t>attachers</w:t>
      </w:r>
      <w:r w:rsidRPr="00811D42">
        <w:rPr>
          <w:szCs w:val="22"/>
        </w:rPr>
        <w:t>.</w:t>
      </w:r>
      <w:r>
        <w:rPr>
          <w:rStyle w:val="FootnoteReference"/>
          <w:szCs w:val="22"/>
        </w:rPr>
        <w:footnoteReference w:id="9"/>
      </w:r>
      <w:r w:rsidRPr="00811D42">
        <w:rPr>
          <w:szCs w:val="22"/>
        </w:rPr>
        <w:t xml:space="preserve">  The Commission noted that incumbent </w:t>
      </w:r>
      <w:r w:rsidRPr="00811D42">
        <w:rPr>
          <w:szCs w:val="22"/>
        </w:rPr>
        <w:t>LECs</w:t>
      </w:r>
      <w:r w:rsidRPr="00811D42">
        <w:rPr>
          <w:szCs w:val="22"/>
        </w:rPr>
        <w:t xml:space="preserve"> often obtained access to electric utility poles through </w:t>
      </w:r>
      <w:r>
        <w:rPr>
          <w:szCs w:val="22"/>
        </w:rPr>
        <w:t xml:space="preserve">“long-standing” </w:t>
      </w:r>
      <w:r w:rsidRPr="00811D42">
        <w:rPr>
          <w:szCs w:val="22"/>
        </w:rPr>
        <w:t xml:space="preserve">joint use agreements that provide the incumbent </w:t>
      </w:r>
      <w:r w:rsidRPr="00811D42">
        <w:rPr>
          <w:szCs w:val="22"/>
        </w:rPr>
        <w:t>LEC</w:t>
      </w:r>
      <w:r w:rsidRPr="00811D42">
        <w:rPr>
          <w:szCs w:val="22"/>
        </w:rPr>
        <w:t xml:space="preserve"> advantages not found in competitive </w:t>
      </w:r>
      <w:r w:rsidRPr="00811D42">
        <w:rPr>
          <w:szCs w:val="22"/>
        </w:rPr>
        <w:t>LEC</w:t>
      </w:r>
      <w:r w:rsidRPr="00811D42">
        <w:rPr>
          <w:szCs w:val="22"/>
        </w:rPr>
        <w:t xml:space="preserve"> or cable </w:t>
      </w:r>
      <w:r>
        <w:rPr>
          <w:szCs w:val="22"/>
        </w:rPr>
        <w:t>operator</w:t>
      </w:r>
      <w:r w:rsidRPr="00811D42">
        <w:rPr>
          <w:szCs w:val="22"/>
        </w:rPr>
        <w:t xml:space="preserve"> attachment agreements.</w:t>
      </w:r>
      <w:r>
        <w:rPr>
          <w:rStyle w:val="FootnoteReference"/>
          <w:szCs w:val="22"/>
        </w:rPr>
        <w:footnoteReference w:id="10"/>
      </w:r>
      <w:r w:rsidRPr="00811D42">
        <w:rPr>
          <w:szCs w:val="22"/>
        </w:rPr>
        <w:t xml:space="preserve">  The Commission </w:t>
      </w:r>
      <w:r>
        <w:rPr>
          <w:szCs w:val="22"/>
        </w:rPr>
        <w:t>decid</w:t>
      </w:r>
      <w:r w:rsidRPr="00811D42">
        <w:rPr>
          <w:szCs w:val="22"/>
        </w:rPr>
        <w:t xml:space="preserve">ed that it would review the rates, terms, and conditions of joint use agreements entered into before the </w:t>
      </w:r>
      <w:r>
        <w:rPr>
          <w:i/>
          <w:iCs/>
          <w:szCs w:val="22"/>
        </w:rPr>
        <w:t xml:space="preserve">2011 </w:t>
      </w:r>
      <w:r w:rsidRPr="00811D42">
        <w:rPr>
          <w:i/>
          <w:iCs/>
          <w:szCs w:val="22"/>
        </w:rPr>
        <w:t>Pole Attachment</w:t>
      </w:r>
      <w:r w:rsidRPr="00811D42">
        <w:rPr>
          <w:szCs w:val="22"/>
        </w:rPr>
        <w:t xml:space="preserve"> </w:t>
      </w:r>
      <w:r w:rsidRPr="00811D42">
        <w:rPr>
          <w:i/>
          <w:iCs/>
          <w:szCs w:val="22"/>
        </w:rPr>
        <w:t xml:space="preserve">Order </w:t>
      </w:r>
      <w:r w:rsidRPr="00811D42">
        <w:rPr>
          <w:szCs w:val="22"/>
        </w:rPr>
        <w:t xml:space="preserve">only if the incumbent </w:t>
      </w:r>
      <w:r w:rsidRPr="00811D42">
        <w:rPr>
          <w:szCs w:val="22"/>
        </w:rPr>
        <w:t>LEC</w:t>
      </w:r>
      <w:r w:rsidRPr="00811D42">
        <w:rPr>
          <w:szCs w:val="22"/>
        </w:rPr>
        <w:t xml:space="preserve"> could show that it was unable to terminate the agreement and “obtain a new arrangement.”</w:t>
      </w:r>
      <w:r>
        <w:rPr>
          <w:rStyle w:val="FootnoteReference"/>
          <w:szCs w:val="22"/>
        </w:rPr>
        <w:footnoteReference w:id="11"/>
      </w:r>
      <w:r w:rsidRPr="00811D42">
        <w:rPr>
          <w:szCs w:val="22"/>
        </w:rPr>
        <w:t xml:space="preserve"> </w:t>
      </w:r>
      <w:r>
        <w:rPr>
          <w:szCs w:val="22"/>
        </w:rPr>
        <w:t xml:space="preserve"> </w:t>
      </w:r>
      <w:r w:rsidRPr="00811D42">
        <w:rPr>
          <w:szCs w:val="22"/>
        </w:rPr>
        <w:t xml:space="preserve">The Commission did not specify the rate that would apply where the incumbent </w:t>
      </w:r>
      <w:r w:rsidRPr="00811D42">
        <w:rPr>
          <w:szCs w:val="22"/>
        </w:rPr>
        <w:t>LEC</w:t>
      </w:r>
      <w:r w:rsidRPr="00811D42">
        <w:rPr>
          <w:szCs w:val="22"/>
        </w:rPr>
        <w:t xml:space="preserve"> made such a showing</w:t>
      </w:r>
      <w:r>
        <w:rPr>
          <w:szCs w:val="22"/>
        </w:rPr>
        <w:t>.  However, it explained that</w:t>
      </w:r>
      <w:r w:rsidRPr="00811D42">
        <w:rPr>
          <w:szCs w:val="22"/>
        </w:rPr>
        <w:t xml:space="preserve"> an incumbent </w:t>
      </w:r>
      <w:r w:rsidRPr="00811D42">
        <w:rPr>
          <w:szCs w:val="22"/>
        </w:rPr>
        <w:t>LEC</w:t>
      </w:r>
      <w:r w:rsidRPr="00811D42">
        <w:rPr>
          <w:szCs w:val="22"/>
        </w:rPr>
        <w:t xml:space="preserve"> </w:t>
      </w:r>
      <w:r>
        <w:rPr>
          <w:szCs w:val="22"/>
        </w:rPr>
        <w:t xml:space="preserve">should be charged a rate approximating the Old Telecom Rate if its </w:t>
      </w:r>
      <w:r w:rsidRPr="00811D42">
        <w:rPr>
          <w:szCs w:val="22"/>
        </w:rPr>
        <w:t xml:space="preserve">attachment agreement </w:t>
      </w:r>
      <w:r>
        <w:rPr>
          <w:szCs w:val="22"/>
        </w:rPr>
        <w:t xml:space="preserve">was entered into </w:t>
      </w:r>
      <w:r w:rsidRPr="00811D42">
        <w:rPr>
          <w:szCs w:val="22"/>
        </w:rPr>
        <w:t xml:space="preserve">after the effective date of the </w:t>
      </w:r>
      <w:r>
        <w:rPr>
          <w:i/>
          <w:iCs/>
          <w:szCs w:val="22"/>
        </w:rPr>
        <w:t xml:space="preserve">2011 </w:t>
      </w:r>
      <w:r w:rsidRPr="00811D42">
        <w:rPr>
          <w:i/>
          <w:iCs/>
          <w:szCs w:val="22"/>
        </w:rPr>
        <w:t>Pole Attachment</w:t>
      </w:r>
      <w:r w:rsidRPr="00811D42">
        <w:rPr>
          <w:szCs w:val="22"/>
        </w:rPr>
        <w:t xml:space="preserve"> </w:t>
      </w:r>
      <w:r w:rsidRPr="00811D42">
        <w:rPr>
          <w:i/>
          <w:iCs/>
          <w:szCs w:val="22"/>
        </w:rPr>
        <w:t>Order</w:t>
      </w:r>
      <w:r>
        <w:rPr>
          <w:i/>
          <w:iCs/>
          <w:szCs w:val="22"/>
        </w:rPr>
        <w:t xml:space="preserve"> </w:t>
      </w:r>
      <w:r>
        <w:rPr>
          <w:szCs w:val="22"/>
        </w:rPr>
        <w:t xml:space="preserve">and </w:t>
      </w:r>
      <w:r w:rsidRPr="00811D42">
        <w:rPr>
          <w:szCs w:val="22"/>
        </w:rPr>
        <w:t xml:space="preserve">provides benefits not afforded </w:t>
      </w:r>
      <w:r>
        <w:rPr>
          <w:szCs w:val="22"/>
        </w:rPr>
        <w:t xml:space="preserve">cable and </w:t>
      </w:r>
      <w:r w:rsidRPr="00811D42">
        <w:rPr>
          <w:szCs w:val="22"/>
        </w:rPr>
        <w:t xml:space="preserve">competitive </w:t>
      </w:r>
      <w:r w:rsidRPr="00811D42">
        <w:rPr>
          <w:szCs w:val="22"/>
        </w:rPr>
        <w:t>LEC</w:t>
      </w:r>
      <w:r w:rsidRPr="00811D42">
        <w:rPr>
          <w:szCs w:val="22"/>
        </w:rPr>
        <w:t xml:space="preserve"> </w:t>
      </w:r>
      <w:r w:rsidRPr="00811D42">
        <w:rPr>
          <w:szCs w:val="22"/>
        </w:rPr>
        <w:t>attachers</w:t>
      </w:r>
      <w:r w:rsidRPr="00811D42">
        <w:rPr>
          <w:szCs w:val="22"/>
        </w:rPr>
        <w:t>.</w:t>
      </w:r>
      <w:r>
        <w:rPr>
          <w:rStyle w:val="FootnoteReference"/>
          <w:szCs w:val="22"/>
        </w:rPr>
        <w:footnoteReference w:id="12"/>
      </w:r>
      <w:r w:rsidRPr="00811D42">
        <w:rPr>
          <w:rStyle w:val="Hyperlink"/>
          <w:color w:val="auto"/>
          <w:szCs w:val="22"/>
          <w:u w:val="none"/>
        </w:rPr>
        <w:t xml:space="preserve"> </w:t>
      </w:r>
    </w:p>
    <w:p w:rsidR="00C0210E" w:rsidRPr="00811D42" w:rsidP="00C0210E" w14:paraId="64ACD5BF" w14:textId="77777777">
      <w:pPr>
        <w:pStyle w:val="Heading2"/>
        <w:rPr>
          <w:szCs w:val="22"/>
        </w:rPr>
      </w:pPr>
      <w:r w:rsidRPr="00811D42">
        <w:rPr>
          <w:szCs w:val="22"/>
        </w:rPr>
        <w:t>Factual Background</w:t>
      </w:r>
    </w:p>
    <w:p w:rsidR="00C0210E" w:rsidRPr="00811D42" w:rsidP="00C0210E" w14:paraId="5590F4E6" w14:textId="77777777">
      <w:pPr>
        <w:pStyle w:val="ParaNum"/>
        <w:tabs>
          <w:tab w:val="clear" w:pos="1440"/>
        </w:tabs>
        <w:rPr>
          <w:szCs w:val="22"/>
        </w:rPr>
      </w:pPr>
      <w:r w:rsidRPr="00811D42">
        <w:rPr>
          <w:szCs w:val="22"/>
        </w:rPr>
        <w:t>AT&amp;T and F</w:t>
      </w:r>
      <w:r>
        <w:rPr>
          <w:szCs w:val="22"/>
        </w:rPr>
        <w:t>PL</w:t>
      </w:r>
      <w:r w:rsidRPr="00811D42">
        <w:rPr>
          <w:szCs w:val="22"/>
        </w:rPr>
        <w:t xml:space="preserve"> entered into an agreement for the </w:t>
      </w:r>
      <w:r w:rsidRPr="00CF6BA8">
        <w:rPr>
          <w:snapToGrid/>
        </w:rPr>
        <w:t>joint</w:t>
      </w:r>
      <w:r w:rsidRPr="00811D42">
        <w:rPr>
          <w:szCs w:val="22"/>
        </w:rPr>
        <w:t xml:space="preserve"> use of each other’s poles (</w:t>
      </w:r>
      <w:r w:rsidRPr="00811D42">
        <w:rPr>
          <w:szCs w:val="22"/>
        </w:rPr>
        <w:t>JUA</w:t>
      </w:r>
      <w:r w:rsidRPr="00811D42">
        <w:rPr>
          <w:szCs w:val="22"/>
        </w:rPr>
        <w:t>) in 1975.</w:t>
      </w:r>
      <w:r>
        <w:rPr>
          <w:rStyle w:val="FootnoteReference"/>
          <w:szCs w:val="22"/>
        </w:rPr>
        <w:footnoteReference w:id="13"/>
      </w:r>
      <w:r w:rsidRPr="00811D42">
        <w:rPr>
          <w:szCs w:val="22"/>
        </w:rPr>
        <w:t xml:space="preserve">  In March 2018, FPL submitted an invoice for approximately $9 million for the 2017 pole rental year, which ended December 31, 2017, and in February 2019, FPL submitted an invoice for approximately $10 million for the 2018 pole rental year.  AT&amp;T refused to pay either invoice, asserting that it was entitled to a lower rate under the </w:t>
      </w:r>
      <w:r>
        <w:rPr>
          <w:i/>
          <w:iCs/>
          <w:szCs w:val="22"/>
        </w:rPr>
        <w:t xml:space="preserve">2011 </w:t>
      </w:r>
      <w:r w:rsidRPr="00811D42">
        <w:rPr>
          <w:i/>
          <w:iCs/>
          <w:szCs w:val="22"/>
        </w:rPr>
        <w:t>Pole Attachment Order</w:t>
      </w:r>
      <w:r w:rsidRPr="00811D42">
        <w:rPr>
          <w:szCs w:val="22"/>
        </w:rPr>
        <w:t xml:space="preserve">.  Citing, </w:t>
      </w:r>
      <w:r w:rsidRPr="00811D42">
        <w:rPr>
          <w:i/>
          <w:iCs/>
          <w:szCs w:val="22"/>
        </w:rPr>
        <w:t>inter alia</w:t>
      </w:r>
      <w:r w:rsidRPr="00811D42">
        <w:rPr>
          <w:szCs w:val="22"/>
        </w:rPr>
        <w:t xml:space="preserve">, a payment default provision in the </w:t>
      </w:r>
      <w:r w:rsidRPr="00811D42">
        <w:rPr>
          <w:szCs w:val="22"/>
        </w:rPr>
        <w:t>JUA</w:t>
      </w:r>
      <w:r w:rsidRPr="00811D42">
        <w:rPr>
          <w:szCs w:val="22"/>
        </w:rPr>
        <w:t xml:space="preserve">, FPL sent AT&amp;T a Notice of Termination on March </w:t>
      </w:r>
      <w:r>
        <w:rPr>
          <w:szCs w:val="22"/>
        </w:rPr>
        <w:t>2</w:t>
      </w:r>
      <w:r w:rsidRPr="00811D42">
        <w:rPr>
          <w:szCs w:val="22"/>
        </w:rPr>
        <w:t>5, 2019</w:t>
      </w:r>
      <w:r>
        <w:rPr>
          <w:szCs w:val="22"/>
        </w:rPr>
        <w:t>,</w:t>
      </w:r>
      <w:r w:rsidRPr="00811D42">
        <w:rPr>
          <w:szCs w:val="22"/>
        </w:rPr>
        <w:t xml:space="preserve"> stating that it was terminating AT&amp;T’s right to attach to FPL’s existing poles “effective immediately,” and terminating AT&amp;T’s right </w:t>
      </w:r>
      <w:r>
        <w:rPr>
          <w:szCs w:val="22"/>
        </w:rPr>
        <w:t xml:space="preserve">to </w:t>
      </w:r>
      <w:r w:rsidRPr="00811D42">
        <w:rPr>
          <w:szCs w:val="22"/>
        </w:rPr>
        <w:t>attach to new poles effective August 26, 2019.</w:t>
      </w:r>
      <w:r>
        <w:rPr>
          <w:rStyle w:val="FootnoteReference"/>
          <w:szCs w:val="22"/>
        </w:rPr>
        <w:footnoteReference w:id="14"/>
      </w:r>
    </w:p>
    <w:p w:rsidR="00C0210E" w:rsidRPr="00CF6BA8" w:rsidP="00C0210E" w14:paraId="351006B4" w14:textId="77777777">
      <w:pPr>
        <w:pStyle w:val="ParaNum"/>
        <w:tabs>
          <w:tab w:val="clear" w:pos="1440"/>
        </w:tabs>
        <w:rPr>
          <w:snapToGrid/>
        </w:rPr>
      </w:pPr>
      <w:r w:rsidRPr="00CF6BA8">
        <w:rPr>
          <w:snapToGrid/>
        </w:rPr>
        <w:t>On July 1, 2019, the day it filed its Complaint, AT&amp;T paid the two invoices, though it did not pay interest.  On the same day, FPL filed a complaint in Florida state court asserting that its Notice of Termination was valid</w:t>
      </w:r>
      <w:r>
        <w:rPr>
          <w:snapToGrid/>
        </w:rPr>
        <w:t xml:space="preserve">, that AT&amp;T was in breach of the </w:t>
      </w:r>
      <w:r>
        <w:rPr>
          <w:snapToGrid/>
        </w:rPr>
        <w:t>JUA</w:t>
      </w:r>
      <w:r>
        <w:rPr>
          <w:snapToGrid/>
        </w:rPr>
        <w:t xml:space="preserve"> </w:t>
      </w:r>
      <w:r w:rsidRPr="00CF6BA8">
        <w:rPr>
          <w:snapToGrid/>
        </w:rPr>
        <w:t>and asking the court to declare AT&amp;T a trespasser on FPL’s poles.  AT&amp;T removed the case to the United States District Court for the Southern District of Florida, which</w:t>
      </w:r>
      <w:r>
        <w:rPr>
          <w:snapToGrid/>
        </w:rPr>
        <w:t xml:space="preserve"> then</w:t>
      </w:r>
      <w:r w:rsidRPr="00CF6BA8">
        <w:rPr>
          <w:snapToGrid/>
        </w:rPr>
        <w:t xml:space="preserve"> stayed the proceeding under the doctrine of primary jurisdiction.</w:t>
      </w:r>
      <w:r>
        <w:rPr>
          <w:rStyle w:val="FootnoteReference"/>
        </w:rPr>
        <w:footnoteReference w:id="15"/>
      </w:r>
    </w:p>
    <w:p w:rsidR="00C0210E" w:rsidRPr="00CF6BA8" w:rsidP="003D00E4" w14:paraId="42DDF77D" w14:textId="77777777">
      <w:pPr>
        <w:pStyle w:val="ParaNum"/>
        <w:widowControl/>
        <w:tabs>
          <w:tab w:val="clear" w:pos="1440"/>
        </w:tabs>
        <w:rPr>
          <w:snapToGrid/>
        </w:rPr>
      </w:pPr>
      <w:r w:rsidRPr="00CF6BA8">
        <w:rPr>
          <w:snapToGrid/>
        </w:rPr>
        <w:t xml:space="preserve">In the </w:t>
      </w:r>
      <w:r w:rsidRPr="000807CE">
        <w:rPr>
          <w:i/>
          <w:iCs/>
          <w:snapToGrid/>
        </w:rPr>
        <w:t>Bureau Order</w:t>
      </w:r>
      <w:r w:rsidRPr="00CF6BA8">
        <w:rPr>
          <w:snapToGrid/>
        </w:rPr>
        <w:t xml:space="preserve">, we granted the Complaint in part, finding that AT&amp;T was entitled to relief under the </w:t>
      </w:r>
      <w:r>
        <w:rPr>
          <w:i/>
          <w:iCs/>
          <w:snapToGrid/>
        </w:rPr>
        <w:t xml:space="preserve">2011 </w:t>
      </w:r>
      <w:r w:rsidRPr="00856EBA">
        <w:rPr>
          <w:i/>
          <w:iCs/>
          <w:snapToGrid/>
        </w:rPr>
        <w:t>Pole Attachment Order</w:t>
      </w:r>
      <w:r w:rsidRPr="00CF6BA8">
        <w:rPr>
          <w:snapToGrid/>
        </w:rPr>
        <w:t xml:space="preserve">.  Specifically, we found that AT&amp;T was unable to end the </w:t>
      </w:r>
      <w:r w:rsidRPr="00CF6BA8">
        <w:rPr>
          <w:snapToGrid/>
        </w:rPr>
        <w:t>JUA</w:t>
      </w:r>
      <w:r w:rsidRPr="00CF6BA8">
        <w:rPr>
          <w:snapToGrid/>
        </w:rPr>
        <w:t xml:space="preserve"> and obtain a new arrangement and that, although the </w:t>
      </w:r>
      <w:r w:rsidRPr="00CF6BA8">
        <w:rPr>
          <w:snapToGrid/>
        </w:rPr>
        <w:t>JUA</w:t>
      </w:r>
      <w:r w:rsidRPr="00CF6BA8">
        <w:rPr>
          <w:snapToGrid/>
        </w:rPr>
        <w:t xml:space="preserve"> provided AT&amp;T benefits not afforded other </w:t>
      </w:r>
      <w:r w:rsidRPr="00CF6BA8">
        <w:rPr>
          <w:snapToGrid/>
        </w:rPr>
        <w:t>attachers</w:t>
      </w:r>
      <w:r w:rsidRPr="00CF6BA8">
        <w:rPr>
          <w:snapToGrid/>
        </w:rPr>
        <w:t>, the rate AT&amp;T paid to attach to FPL’s distribution poles was excessive.</w:t>
      </w:r>
      <w:r>
        <w:rPr>
          <w:rStyle w:val="FootnoteReference"/>
        </w:rPr>
        <w:footnoteReference w:id="16"/>
      </w:r>
      <w:r w:rsidRPr="00087173">
        <w:rPr>
          <w:rStyle w:val="FootnoteReference"/>
        </w:rPr>
        <w:t xml:space="preserve"> </w:t>
      </w:r>
      <w:r w:rsidRPr="00CF6BA8">
        <w:rPr>
          <w:snapToGrid/>
        </w:rPr>
        <w:t xml:space="preserve"> We concluded that AT&amp;T’s rate should be reduced to the Old Telecom Rate, citing the Commission’s </w:t>
      </w:r>
      <w:r>
        <w:rPr>
          <w:snapToGrid/>
        </w:rPr>
        <w:t>findings</w:t>
      </w:r>
      <w:r w:rsidRPr="00CF6BA8">
        <w:rPr>
          <w:snapToGrid/>
        </w:rPr>
        <w:t xml:space="preserve"> with respect to incumbent </w:t>
      </w:r>
      <w:r w:rsidRPr="00CF6BA8">
        <w:rPr>
          <w:snapToGrid/>
        </w:rPr>
        <w:t>LEC</w:t>
      </w:r>
      <w:r w:rsidRPr="00CF6BA8">
        <w:rPr>
          <w:snapToGrid/>
        </w:rPr>
        <w:t xml:space="preserve"> agreements entered into after the </w:t>
      </w:r>
      <w:r>
        <w:rPr>
          <w:i/>
          <w:iCs/>
          <w:snapToGrid/>
        </w:rPr>
        <w:t xml:space="preserve">2011 </w:t>
      </w:r>
      <w:r w:rsidRPr="00856EBA">
        <w:rPr>
          <w:i/>
          <w:iCs/>
          <w:snapToGrid/>
        </w:rPr>
        <w:t>Pole Attachment Order</w:t>
      </w:r>
      <w:r w:rsidRPr="00CF6BA8">
        <w:rPr>
          <w:snapToGrid/>
        </w:rPr>
        <w:t>.</w:t>
      </w:r>
      <w:r>
        <w:rPr>
          <w:rStyle w:val="FootnoteReference"/>
        </w:rPr>
        <w:footnoteReference w:id="17"/>
      </w:r>
      <w:r w:rsidRPr="00087173">
        <w:rPr>
          <w:rStyle w:val="FootnoteReference"/>
        </w:rPr>
        <w:t xml:space="preserve"> </w:t>
      </w:r>
      <w:r w:rsidRPr="00CF6BA8">
        <w:rPr>
          <w:snapToGrid/>
        </w:rPr>
        <w:t xml:space="preserve"> </w:t>
      </w:r>
      <w:bookmarkStart w:id="1" w:name="_Hlk61336048"/>
      <w:r>
        <w:rPr>
          <w:snapToGrid/>
        </w:rPr>
        <w:t xml:space="preserve">The </w:t>
      </w:r>
      <w:r w:rsidRPr="00406136">
        <w:rPr>
          <w:i/>
          <w:iCs/>
          <w:snapToGrid/>
        </w:rPr>
        <w:t>Bureau Order</w:t>
      </w:r>
      <w:r>
        <w:rPr>
          <w:snapToGrid/>
        </w:rPr>
        <w:t xml:space="preserve"> was </w:t>
      </w:r>
      <w:r w:rsidRPr="00CF6BA8">
        <w:rPr>
          <w:snapToGrid/>
        </w:rPr>
        <w:t xml:space="preserve">limited to </w:t>
      </w:r>
      <w:r>
        <w:rPr>
          <w:snapToGrid/>
        </w:rPr>
        <w:t xml:space="preserve">the </w:t>
      </w:r>
      <w:r w:rsidRPr="00CF6BA8">
        <w:rPr>
          <w:snapToGrid/>
        </w:rPr>
        <w:t>period ending December 31, 2018</w:t>
      </w:r>
      <w:r>
        <w:t>, which is the</w:t>
      </w:r>
      <w:r w:rsidRPr="00CF6BA8">
        <w:rPr>
          <w:snapToGrid/>
        </w:rPr>
        <w:t xml:space="preserve"> end of the 2018 pole rental year</w:t>
      </w:r>
      <w:r>
        <w:rPr>
          <w:snapToGrid/>
        </w:rPr>
        <w:t>,</w:t>
      </w:r>
      <w:r>
        <w:t xml:space="preserve"> in the belief that its </w:t>
      </w:r>
      <w:r w:rsidRPr="00CF6BA8">
        <w:rPr>
          <w:snapToGrid/>
        </w:rPr>
        <w:t>guidance would enable the parties to settle the case.</w:t>
      </w:r>
      <w:r>
        <w:rPr>
          <w:rStyle w:val="FootnoteReference"/>
        </w:rPr>
        <w:footnoteReference w:id="18"/>
      </w:r>
      <w:r w:rsidRPr="00CF6BA8">
        <w:rPr>
          <w:snapToGrid/>
        </w:rPr>
        <w:t xml:space="preserve">  </w:t>
      </w:r>
      <w:r>
        <w:rPr>
          <w:snapToGrid/>
        </w:rPr>
        <w:t xml:space="preserve">The </w:t>
      </w:r>
      <w:r w:rsidRPr="008F044C">
        <w:rPr>
          <w:i/>
          <w:iCs/>
          <w:snapToGrid/>
        </w:rPr>
        <w:t>Order</w:t>
      </w:r>
      <w:r>
        <w:rPr>
          <w:snapToGrid/>
        </w:rPr>
        <w:t xml:space="preserve"> explained that, b</w:t>
      </w:r>
      <w:r>
        <w:t xml:space="preserve">ecause </w:t>
      </w:r>
      <w:r>
        <w:rPr>
          <w:snapToGrid/>
        </w:rPr>
        <w:t>AT&amp;T and FPL attach to each other’s poles, the</w:t>
      </w:r>
      <w:r>
        <w:t>ir</w:t>
      </w:r>
      <w:r>
        <w:rPr>
          <w:snapToGrid/>
        </w:rPr>
        <w:t xml:space="preserve"> relationship consists of numerous reciprocal rights and responsibilities, so that their dispute is best resolved by settlement.</w:t>
      </w:r>
      <w:r>
        <w:rPr>
          <w:rStyle w:val="FootnoteReference"/>
        </w:rPr>
        <w:footnoteReference w:id="19"/>
      </w:r>
      <w:r>
        <w:rPr>
          <w:snapToGrid/>
        </w:rPr>
        <w:t xml:space="preserve"> </w:t>
      </w:r>
      <w:r>
        <w:t xml:space="preserve"> The </w:t>
      </w:r>
      <w:r w:rsidRPr="00C83CBC">
        <w:rPr>
          <w:i/>
          <w:iCs/>
        </w:rPr>
        <w:t>Bureau Order</w:t>
      </w:r>
      <w:r>
        <w:t xml:space="preserve"> also did not address the period after 2018 because </w:t>
      </w:r>
      <w:r w:rsidRPr="00CF6BA8">
        <w:rPr>
          <w:snapToGrid/>
        </w:rPr>
        <w:t>FPL’s Notice of Terminatio</w:t>
      </w:r>
      <w:r>
        <w:rPr>
          <w:snapToGrid/>
        </w:rPr>
        <w:t xml:space="preserve">n purports to end AT&amp;T’s right to attach to existing </w:t>
      </w:r>
      <w:r>
        <w:rPr>
          <w:snapToGrid/>
        </w:rPr>
        <w:t>JUA</w:t>
      </w:r>
      <w:r>
        <w:rPr>
          <w:snapToGrid/>
        </w:rPr>
        <w:t xml:space="preserve"> poles </w:t>
      </w:r>
      <w:r>
        <w:t>in early 2019</w:t>
      </w:r>
      <w:r>
        <w:rPr>
          <w:snapToGrid/>
        </w:rPr>
        <w:t xml:space="preserve">.  “The validity of the Notice of Termination…is squarely before the district court </w:t>
      </w:r>
      <w:r w:rsidRPr="00CF6BA8">
        <w:rPr>
          <w:snapToGrid/>
        </w:rPr>
        <w:t xml:space="preserve">and is purely a matter of state contract law, as AT&amp;T does not argue that the provision under which FPL gave notice is unjust or unreasonable under </w:t>
      </w:r>
      <w:r>
        <w:rPr>
          <w:snapToGrid/>
        </w:rPr>
        <w:t>s</w:t>
      </w:r>
      <w:r w:rsidRPr="00CF6BA8">
        <w:rPr>
          <w:snapToGrid/>
        </w:rPr>
        <w:t>ection 224 of the Act.”</w:t>
      </w:r>
      <w:r>
        <w:rPr>
          <w:rStyle w:val="FootnoteReference"/>
        </w:rPr>
        <w:footnoteReference w:id="20"/>
      </w:r>
      <w:bookmarkEnd w:id="1"/>
    </w:p>
    <w:p w:rsidR="00C0210E" w:rsidRPr="00CF6BA8" w:rsidP="00C0210E" w14:paraId="586C56EB" w14:textId="77777777">
      <w:pPr>
        <w:pStyle w:val="ParaNum"/>
        <w:tabs>
          <w:tab w:val="clear" w:pos="1440"/>
        </w:tabs>
        <w:rPr>
          <w:snapToGrid/>
        </w:rPr>
      </w:pPr>
      <w:r>
        <w:rPr>
          <w:snapToGrid/>
        </w:rPr>
        <w:t>Approximately a month a</w:t>
      </w:r>
      <w:r w:rsidRPr="00CF6BA8">
        <w:rPr>
          <w:snapToGrid/>
        </w:rPr>
        <w:t xml:space="preserve">fter release of the </w:t>
      </w:r>
      <w:r w:rsidRPr="003C748E">
        <w:rPr>
          <w:i/>
          <w:iCs/>
          <w:snapToGrid/>
        </w:rPr>
        <w:t>Bureau Order</w:t>
      </w:r>
      <w:r w:rsidRPr="00CF6BA8">
        <w:rPr>
          <w:snapToGrid/>
        </w:rPr>
        <w:t xml:space="preserve">, </w:t>
      </w:r>
      <w:r>
        <w:rPr>
          <w:snapToGrid/>
        </w:rPr>
        <w:t>the parties informed staff that they were unable resolve their differences.</w:t>
      </w:r>
      <w:r>
        <w:rPr>
          <w:rStyle w:val="FootnoteReference"/>
          <w:snapToGrid/>
        </w:rPr>
        <w:footnoteReference w:id="21"/>
      </w:r>
      <w:r>
        <w:rPr>
          <w:snapToGrid/>
        </w:rPr>
        <w:t xml:space="preserve">   </w:t>
      </w:r>
      <w:r w:rsidRPr="00CF6BA8">
        <w:rPr>
          <w:snapToGrid/>
        </w:rPr>
        <w:t xml:space="preserve">AT&amp;T </w:t>
      </w:r>
      <w:r>
        <w:rPr>
          <w:snapToGrid/>
        </w:rPr>
        <w:t xml:space="preserve">then </w:t>
      </w:r>
      <w:r w:rsidRPr="00CF6BA8">
        <w:rPr>
          <w:snapToGrid/>
        </w:rPr>
        <w:t xml:space="preserve">filed a second complaint against FPL with the Commission asserting that the </w:t>
      </w:r>
      <w:r w:rsidRPr="00CF6BA8">
        <w:rPr>
          <w:snapToGrid/>
        </w:rPr>
        <w:t>JUA</w:t>
      </w:r>
      <w:r w:rsidRPr="00CF6BA8">
        <w:rPr>
          <w:snapToGrid/>
        </w:rPr>
        <w:t xml:space="preserve"> provisions invoked by FPL in its Notice of Termination are unjust and unreasonable under </w:t>
      </w:r>
      <w:r>
        <w:rPr>
          <w:snapToGrid/>
        </w:rPr>
        <w:t>s</w:t>
      </w:r>
      <w:r w:rsidRPr="00CF6BA8">
        <w:rPr>
          <w:snapToGrid/>
        </w:rPr>
        <w:t>ection 224 of the Act and requesting that they be amended “effective consistent with the applicable statute of limitations.”</w:t>
      </w:r>
      <w:r>
        <w:rPr>
          <w:rStyle w:val="FootnoteReference"/>
        </w:rPr>
        <w:footnoteReference w:id="22"/>
      </w:r>
      <w:r w:rsidRPr="00087173">
        <w:rPr>
          <w:rStyle w:val="FootnoteReference"/>
        </w:rPr>
        <w:t xml:space="preserve"> </w:t>
      </w:r>
    </w:p>
    <w:p w:rsidR="00C0210E" w:rsidRPr="00811D42" w:rsidP="00C0210E" w14:paraId="4F4F4D69" w14:textId="77777777">
      <w:pPr>
        <w:pStyle w:val="Heading1"/>
        <w:rPr>
          <w:rStyle w:val="Hyperlink"/>
          <w:rFonts w:ascii="Times New Roman" w:hAnsi="Times New Roman"/>
          <w:color w:val="auto"/>
          <w:szCs w:val="22"/>
          <w:u w:val="none"/>
        </w:rPr>
      </w:pPr>
      <w:r w:rsidRPr="00811D42">
        <w:rPr>
          <w:rStyle w:val="Hyperlink"/>
          <w:rFonts w:ascii="Times New Roman" w:hAnsi="Times New Roman"/>
          <w:color w:val="auto"/>
          <w:szCs w:val="22"/>
          <w:u w:val="none"/>
        </w:rPr>
        <w:t>discussion</w:t>
      </w:r>
    </w:p>
    <w:p w:rsidR="00C0210E" w:rsidRPr="00CF6BA8" w:rsidP="00C0210E" w14:paraId="30599F65" w14:textId="77777777">
      <w:pPr>
        <w:pStyle w:val="ParaNum"/>
        <w:tabs>
          <w:tab w:val="clear" w:pos="1440"/>
        </w:tabs>
        <w:rPr>
          <w:snapToGrid/>
        </w:rPr>
      </w:pPr>
      <w:r w:rsidRPr="00CF6BA8">
        <w:rPr>
          <w:snapToGrid/>
        </w:rPr>
        <w:t>With this Order, we resolve AT&amp;T’s claims through December 31, 2018</w:t>
      </w:r>
      <w:r>
        <w:rPr>
          <w:snapToGrid/>
        </w:rPr>
        <w:t xml:space="preserve"> (the end of the 2018 pole rental year)</w:t>
      </w:r>
      <w:r w:rsidRPr="00CF6BA8">
        <w:rPr>
          <w:snapToGrid/>
        </w:rPr>
        <w:t xml:space="preserve">.  Resolution of AT&amp;T’s post-2018 claims </w:t>
      </w:r>
      <w:r w:rsidRPr="00CF6BA8">
        <w:rPr>
          <w:snapToGrid/>
        </w:rPr>
        <w:t>turn</w:t>
      </w:r>
      <w:r w:rsidR="00A456E4">
        <w:rPr>
          <w:snapToGrid/>
        </w:rPr>
        <w:t>s</w:t>
      </w:r>
      <w:r w:rsidRPr="00CF6BA8">
        <w:rPr>
          <w:snapToGrid/>
        </w:rPr>
        <w:t xml:space="preserve"> on the validity of FPL’s Notice of Termination.  AT&amp;T’s Second Complaint challenges the </w:t>
      </w:r>
      <w:r w:rsidRPr="00CF6BA8">
        <w:rPr>
          <w:snapToGrid/>
        </w:rPr>
        <w:t>JUA</w:t>
      </w:r>
      <w:r w:rsidRPr="00CF6BA8">
        <w:rPr>
          <w:snapToGrid/>
        </w:rPr>
        <w:t xml:space="preserve"> provisions invoked by FPL in its Notice and asks us to amend them retrospectively.  </w:t>
      </w:r>
      <w:r>
        <w:rPr>
          <w:snapToGrid/>
        </w:rPr>
        <w:t>In the unusual circumstances present here</w:t>
      </w:r>
      <w:r w:rsidRPr="00CF6BA8">
        <w:rPr>
          <w:snapToGrid/>
        </w:rPr>
        <w:t xml:space="preserve">, consideration of AT&amp;T’s claims for the period after 2018 must wait until, at a minimum, we have </w:t>
      </w:r>
      <w:r>
        <w:rPr>
          <w:snapToGrid/>
        </w:rPr>
        <w:t>addressed</w:t>
      </w:r>
      <w:r w:rsidRPr="00CF6BA8">
        <w:rPr>
          <w:snapToGrid/>
        </w:rPr>
        <w:t xml:space="preserve"> the Second Complaint.</w:t>
      </w:r>
    </w:p>
    <w:p w:rsidR="00C0210E" w:rsidRPr="00811D42" w:rsidP="00C0210E" w14:paraId="7944AEE5" w14:textId="77777777">
      <w:pPr>
        <w:pStyle w:val="Heading2"/>
        <w:rPr>
          <w:szCs w:val="22"/>
        </w:rPr>
      </w:pPr>
      <w:r w:rsidRPr="00811D42">
        <w:rPr>
          <w:szCs w:val="22"/>
        </w:rPr>
        <w:t xml:space="preserve">AT&amp;T is entitled to a refund </w:t>
      </w:r>
      <w:r w:rsidRPr="00CC3CA6">
        <w:rPr>
          <w:szCs w:val="22"/>
        </w:rPr>
        <w:t xml:space="preserve">of </w:t>
      </w:r>
      <w:r>
        <w:rPr>
          <w:szCs w:val="22"/>
        </w:rPr>
        <w:t xml:space="preserve">overpayments </w:t>
      </w:r>
      <w:r w:rsidRPr="00811D42">
        <w:rPr>
          <w:szCs w:val="22"/>
        </w:rPr>
        <w:t>for the period July 1, 2014 to December 31, 2018.</w:t>
      </w:r>
    </w:p>
    <w:p w:rsidR="00C0210E" w:rsidP="00C0210E" w14:paraId="5AF672CA" w14:textId="77777777">
      <w:pPr>
        <w:pStyle w:val="ParaNum"/>
        <w:tabs>
          <w:tab w:val="clear" w:pos="1440"/>
        </w:tabs>
        <w:rPr>
          <w:szCs w:val="22"/>
        </w:rPr>
      </w:pPr>
      <w:r>
        <w:rPr>
          <w:szCs w:val="22"/>
        </w:rPr>
        <w:t xml:space="preserve">Commission rule section </w:t>
      </w:r>
      <w:r w:rsidRPr="00811D42">
        <w:rPr>
          <w:szCs w:val="22"/>
        </w:rPr>
        <w:t xml:space="preserve">1.1407 states that, if the Commission finds that a rate is not just and reasonable, it may “prescribe a just and reasonable rate” and “order a refund.”  The refund “will normally be the difference between the amount paid under the unjust and/or unreasonable rate” and “the </w:t>
      </w:r>
      <w:r w:rsidRPr="00811D42">
        <w:rPr>
          <w:szCs w:val="22"/>
        </w:rPr>
        <w:t>amount that would have been paid under the rate . . . established by the Commission, plus interest, consistent with the applicable statute of limitations.”</w:t>
      </w:r>
      <w:r>
        <w:rPr>
          <w:rStyle w:val="FootnoteReference"/>
          <w:szCs w:val="22"/>
        </w:rPr>
        <w:footnoteReference w:id="23"/>
      </w:r>
      <w:r w:rsidRPr="00811D42">
        <w:rPr>
          <w:szCs w:val="22"/>
        </w:rPr>
        <w:t xml:space="preserve">  Neither the Act nor Commission rules specifies a limitations period for incumbent </w:t>
      </w:r>
      <w:r w:rsidRPr="00811D42">
        <w:rPr>
          <w:szCs w:val="22"/>
        </w:rPr>
        <w:t>LEC</w:t>
      </w:r>
      <w:r w:rsidRPr="00811D42">
        <w:rPr>
          <w:szCs w:val="22"/>
        </w:rPr>
        <w:t xml:space="preserve"> pole attachment complaints.</w:t>
      </w:r>
      <w:r>
        <w:rPr>
          <w:rStyle w:val="FootnoteReference"/>
          <w:szCs w:val="22"/>
        </w:rPr>
        <w:footnoteReference w:id="24"/>
      </w:r>
      <w:r w:rsidRPr="00811D42">
        <w:rPr>
          <w:szCs w:val="22"/>
        </w:rPr>
        <w:t xml:space="preserve">  </w:t>
      </w:r>
      <w:r>
        <w:rPr>
          <w:szCs w:val="22"/>
        </w:rPr>
        <w:t>As a result, the Commission has decided to adopt the federal court practice, applied when adjudicating a federal claim with no federal statute of limitations, of “borrowing”  a state statute of limitations.</w:t>
      </w:r>
      <w:r>
        <w:rPr>
          <w:rStyle w:val="FootnoteReference"/>
        </w:rPr>
        <w:footnoteReference w:id="25"/>
      </w:r>
      <w:r>
        <w:rPr>
          <w:szCs w:val="22"/>
        </w:rPr>
        <w:t xml:space="preserve">  Thus, the Commission looks to the law of the state in which the utility’s poles are located, determines the state cause of action most analogous to the claims at issue, and applies the statute of limitations governing that cause of action.</w:t>
      </w:r>
      <w:r>
        <w:rPr>
          <w:rStyle w:val="FootnoteReference"/>
          <w:szCs w:val="22"/>
        </w:rPr>
        <w:footnoteReference w:id="26"/>
      </w:r>
      <w:r>
        <w:rPr>
          <w:szCs w:val="22"/>
        </w:rPr>
        <w:t xml:space="preserve">  </w:t>
      </w:r>
    </w:p>
    <w:p w:rsidR="00C0210E" w:rsidRPr="00F26364" w:rsidP="00C0210E" w14:paraId="3B9E82EE" w14:textId="77777777">
      <w:pPr>
        <w:pStyle w:val="ParaNum"/>
        <w:tabs>
          <w:tab w:val="clear" w:pos="1440"/>
        </w:tabs>
        <w:rPr>
          <w:szCs w:val="22"/>
        </w:rPr>
      </w:pPr>
      <w:r>
        <w:rPr>
          <w:szCs w:val="22"/>
        </w:rPr>
        <w:t>Applying Commission precedent to the facts here</w:t>
      </w:r>
      <w:r w:rsidRPr="00811D42">
        <w:rPr>
          <w:szCs w:val="22"/>
        </w:rPr>
        <w:t xml:space="preserve">, we </w:t>
      </w:r>
      <w:r>
        <w:rPr>
          <w:szCs w:val="22"/>
        </w:rPr>
        <w:t xml:space="preserve">find that we should </w:t>
      </w:r>
      <w:bookmarkStart w:id="2" w:name="_Hlk58343036"/>
      <w:r w:rsidRPr="00F26364">
        <w:rPr>
          <w:szCs w:val="22"/>
        </w:rPr>
        <w:t>look to Florida law because this dispute involves poles located in Florida and subject to Florida state and local regulation.</w:t>
      </w:r>
      <w:r>
        <w:rPr>
          <w:rStyle w:val="FootnoteReference"/>
        </w:rPr>
        <w:footnoteReference w:id="27"/>
      </w:r>
      <w:r w:rsidRPr="00F26364">
        <w:rPr>
          <w:szCs w:val="22"/>
        </w:rPr>
        <w:t xml:space="preserve">  Further, </w:t>
      </w:r>
      <w:r>
        <w:rPr>
          <w:szCs w:val="22"/>
        </w:rPr>
        <w:t xml:space="preserve">we agree with </w:t>
      </w:r>
      <w:r w:rsidRPr="00F26364">
        <w:rPr>
          <w:szCs w:val="22"/>
        </w:rPr>
        <w:t>AT&amp;</w:t>
      </w:r>
      <w:r>
        <w:rPr>
          <w:szCs w:val="22"/>
        </w:rPr>
        <w:t xml:space="preserve">T </w:t>
      </w:r>
      <w:r w:rsidRPr="00F26364">
        <w:rPr>
          <w:szCs w:val="22"/>
        </w:rPr>
        <w:t>that Florida’s five-year statute of limitations for a “legal or equitable action on a contract” should apply.</w:t>
      </w:r>
      <w:r>
        <w:rPr>
          <w:rStyle w:val="FootnoteReference"/>
        </w:rPr>
        <w:footnoteReference w:id="28"/>
      </w:r>
      <w:r w:rsidRPr="00F26364">
        <w:rPr>
          <w:szCs w:val="22"/>
        </w:rPr>
        <w:t xml:space="preserve">  </w:t>
      </w:r>
      <w:r>
        <w:rPr>
          <w:szCs w:val="22"/>
        </w:rPr>
        <w:t>AT&amp;T’s claims are analogous to a breach of contract action because</w:t>
      </w:r>
      <w:r w:rsidRPr="00F26364">
        <w:rPr>
          <w:szCs w:val="22"/>
        </w:rPr>
        <w:t xml:space="preserve"> the </w:t>
      </w:r>
      <w:r>
        <w:rPr>
          <w:szCs w:val="22"/>
        </w:rPr>
        <w:t>JUA</w:t>
      </w:r>
      <w:r>
        <w:rPr>
          <w:szCs w:val="22"/>
        </w:rPr>
        <w:t xml:space="preserve"> is an individually-negotiated contract subject to claims for breach of contract under state law.</w:t>
      </w:r>
      <w:r>
        <w:rPr>
          <w:rStyle w:val="FootnoteReference"/>
        </w:rPr>
        <w:footnoteReference w:id="29"/>
      </w:r>
      <w:r>
        <w:rPr>
          <w:szCs w:val="22"/>
        </w:rPr>
        <w:t xml:space="preserve">  </w:t>
      </w:r>
      <w:r w:rsidRPr="00D54114">
        <w:rPr>
          <w:szCs w:val="22"/>
        </w:rPr>
        <w:t>In addition, resolution of AT&amp;T’s</w:t>
      </w:r>
      <w:r>
        <w:rPr>
          <w:szCs w:val="22"/>
        </w:rPr>
        <w:t xml:space="preserve"> claims here</w:t>
      </w:r>
      <w:r w:rsidRPr="00D54114">
        <w:rPr>
          <w:szCs w:val="22"/>
        </w:rPr>
        <w:t xml:space="preserve"> require</w:t>
      </w:r>
      <w:r>
        <w:rPr>
          <w:szCs w:val="22"/>
        </w:rPr>
        <w:t xml:space="preserve">d us, in the </w:t>
      </w:r>
      <w:r w:rsidRPr="008309A9">
        <w:rPr>
          <w:i/>
          <w:iCs/>
          <w:szCs w:val="22"/>
        </w:rPr>
        <w:t>Bureau Order</w:t>
      </w:r>
      <w:r>
        <w:rPr>
          <w:szCs w:val="22"/>
        </w:rPr>
        <w:t xml:space="preserve">, to </w:t>
      </w:r>
      <w:r w:rsidRPr="00D54114">
        <w:rPr>
          <w:szCs w:val="22"/>
        </w:rPr>
        <w:t>analy</w:t>
      </w:r>
      <w:r>
        <w:rPr>
          <w:szCs w:val="22"/>
        </w:rPr>
        <w:t>ze</w:t>
      </w:r>
      <w:r w:rsidRPr="00D54114">
        <w:rPr>
          <w:szCs w:val="22"/>
        </w:rPr>
        <w:t xml:space="preserve"> the </w:t>
      </w:r>
      <w:r w:rsidRPr="00D54114">
        <w:rPr>
          <w:szCs w:val="22"/>
        </w:rPr>
        <w:t>JUA’s</w:t>
      </w:r>
      <w:r w:rsidRPr="00D54114">
        <w:rPr>
          <w:szCs w:val="22"/>
        </w:rPr>
        <w:t xml:space="preserve"> rates</w:t>
      </w:r>
      <w:r>
        <w:rPr>
          <w:szCs w:val="22"/>
        </w:rPr>
        <w:t xml:space="preserve">, its </w:t>
      </w:r>
      <w:r w:rsidRPr="00D54114">
        <w:rPr>
          <w:szCs w:val="22"/>
        </w:rPr>
        <w:t>term of years and termination provisions (to determine whether AT&amp;T could end the agreement)</w:t>
      </w:r>
      <w:r>
        <w:rPr>
          <w:szCs w:val="22"/>
        </w:rPr>
        <w:t>,</w:t>
      </w:r>
      <w:r w:rsidRPr="00D54114">
        <w:rPr>
          <w:szCs w:val="22"/>
        </w:rPr>
        <w:t xml:space="preserve"> and numerous other provisions (to determine whether </w:t>
      </w:r>
      <w:r w:rsidRPr="00D54114">
        <w:rPr>
          <w:snapToGrid/>
          <w:szCs w:val="22"/>
        </w:rPr>
        <w:t xml:space="preserve">the </w:t>
      </w:r>
      <w:r w:rsidRPr="00D54114">
        <w:rPr>
          <w:snapToGrid/>
          <w:szCs w:val="22"/>
        </w:rPr>
        <w:t>JUA</w:t>
      </w:r>
      <w:r w:rsidRPr="00D54114">
        <w:rPr>
          <w:snapToGrid/>
          <w:szCs w:val="22"/>
        </w:rPr>
        <w:t xml:space="preserve"> provides AT&amp;T benefits not afforded other </w:t>
      </w:r>
      <w:r w:rsidRPr="00D54114">
        <w:rPr>
          <w:snapToGrid/>
          <w:szCs w:val="22"/>
        </w:rPr>
        <w:t>attachers</w:t>
      </w:r>
      <w:r w:rsidRPr="00D54114">
        <w:rPr>
          <w:snapToGrid/>
          <w:szCs w:val="22"/>
        </w:rPr>
        <w:t>).</w:t>
      </w:r>
      <w:r>
        <w:rPr>
          <w:rStyle w:val="FootnoteReference"/>
          <w:snapToGrid/>
          <w:szCs w:val="22"/>
        </w:rPr>
        <w:footnoteReference w:id="30"/>
      </w:r>
      <w:r>
        <w:rPr>
          <w:snapToGrid/>
        </w:rPr>
        <w:t xml:space="preserve"> </w:t>
      </w:r>
      <w:r>
        <w:rPr>
          <w:szCs w:val="22"/>
        </w:rPr>
        <w:t xml:space="preserve">  </w:t>
      </w:r>
    </w:p>
    <w:p w:rsidR="00C0210E" w:rsidRPr="00CF6BA8" w:rsidP="00C0210E" w14:paraId="4B11AC3E" w14:textId="77777777">
      <w:pPr>
        <w:pStyle w:val="ParaNum"/>
        <w:widowControl/>
        <w:tabs>
          <w:tab w:val="clear" w:pos="1440"/>
        </w:tabs>
      </w:pPr>
      <w:bookmarkStart w:id="4" w:name="_Hlk61338200"/>
      <w:bookmarkStart w:id="5" w:name="_Hlk61378650"/>
      <w:r w:rsidRPr="00811D42">
        <w:rPr>
          <w:szCs w:val="22"/>
        </w:rPr>
        <w:t xml:space="preserve">FPL </w:t>
      </w:r>
      <w:r>
        <w:rPr>
          <w:szCs w:val="22"/>
        </w:rPr>
        <w:t xml:space="preserve">does not agree that we should borrow Florida’s contract statute of limitations, arguing </w:t>
      </w:r>
      <w:r w:rsidRPr="00811D42">
        <w:rPr>
          <w:szCs w:val="22"/>
        </w:rPr>
        <w:t xml:space="preserve">that, to the extent AT&amp;T is entitled to a refund, the two-year limitations period in section 415(b) </w:t>
      </w:r>
      <w:r w:rsidRPr="00811D42">
        <w:rPr>
          <w:szCs w:val="22"/>
        </w:rPr>
        <w:t>of the Act is the most appropriate</w:t>
      </w:r>
      <w:r>
        <w:rPr>
          <w:szCs w:val="22"/>
        </w:rPr>
        <w:t>.</w:t>
      </w:r>
      <w:r>
        <w:rPr>
          <w:rStyle w:val="FootnoteReference"/>
          <w:szCs w:val="22"/>
        </w:rPr>
        <w:footnoteReference w:id="31"/>
      </w:r>
      <w:r w:rsidRPr="00811D42">
        <w:rPr>
          <w:szCs w:val="22"/>
        </w:rPr>
        <w:t xml:space="preserve"> </w:t>
      </w:r>
      <w:r>
        <w:rPr>
          <w:szCs w:val="22"/>
        </w:rPr>
        <w:t xml:space="preserve"> But the Commission has recently concluded that section 415(b) should not apply to incumbent </w:t>
      </w:r>
      <w:r>
        <w:rPr>
          <w:szCs w:val="22"/>
        </w:rPr>
        <w:t>LEC</w:t>
      </w:r>
      <w:r>
        <w:rPr>
          <w:szCs w:val="22"/>
        </w:rPr>
        <w:t xml:space="preserve"> pole attachment complaints</w:t>
      </w:r>
      <w:r>
        <w:t xml:space="preserve"> because</w:t>
      </w:r>
      <w:r>
        <w:rPr>
          <w:szCs w:val="22"/>
        </w:rPr>
        <w:t xml:space="preserve"> </w:t>
      </w:r>
      <w:r>
        <w:t xml:space="preserve">the </w:t>
      </w:r>
      <w:r>
        <w:rPr>
          <w:szCs w:val="22"/>
        </w:rPr>
        <w:t>section governs complaint</w:t>
      </w:r>
      <w:r>
        <w:t>s</w:t>
      </w:r>
      <w:r>
        <w:rPr>
          <w:szCs w:val="22"/>
        </w:rPr>
        <w:t xml:space="preserve"> against a “carrier” for the recovery of damages and an electric utility</w:t>
      </w:r>
      <w:r w:rsidRPr="00811D42">
        <w:rPr>
          <w:szCs w:val="22"/>
        </w:rPr>
        <w:t xml:space="preserve"> is not a “carrier” under the Act.</w:t>
      </w:r>
      <w:r>
        <w:rPr>
          <w:rStyle w:val="FootnoteReference"/>
          <w:szCs w:val="22"/>
        </w:rPr>
        <w:footnoteReference w:id="32"/>
      </w:r>
      <w:r w:rsidRPr="006878AB">
        <w:rPr>
          <w:rStyle w:val="FootnoteReference"/>
        </w:rPr>
        <w:t xml:space="preserve"> </w:t>
      </w:r>
      <w:r w:rsidRPr="00811D42">
        <w:rPr>
          <w:szCs w:val="22"/>
        </w:rPr>
        <w:t xml:space="preserve"> FPL is a defendant in this proceeding because it is a “utility” under section 224(a)(1) of the Act that has entered into an agreement with a </w:t>
      </w:r>
      <w:r>
        <w:rPr>
          <w:szCs w:val="22"/>
        </w:rPr>
        <w:t>“</w:t>
      </w:r>
      <w:r w:rsidRPr="00811D42">
        <w:rPr>
          <w:szCs w:val="22"/>
        </w:rPr>
        <w:t>provider of telecommunications service</w:t>
      </w:r>
      <w:r>
        <w:rPr>
          <w:szCs w:val="22"/>
        </w:rPr>
        <w:t>”</w:t>
      </w:r>
      <w:r w:rsidRPr="00811D42">
        <w:rPr>
          <w:szCs w:val="22"/>
        </w:rPr>
        <w:t xml:space="preserve"> (AT&amp;T) concerning the rates, terms, and conditions of attachment</w:t>
      </w:r>
      <w:r>
        <w:rPr>
          <w:szCs w:val="22"/>
        </w:rPr>
        <w:t>s</w:t>
      </w:r>
      <w:r w:rsidRPr="00811D42">
        <w:rPr>
          <w:szCs w:val="22"/>
        </w:rPr>
        <w:t xml:space="preserve"> to its poles.</w:t>
      </w:r>
      <w:bookmarkEnd w:id="4"/>
      <w:r>
        <w:rPr>
          <w:rStyle w:val="FootnoteReference"/>
          <w:szCs w:val="22"/>
        </w:rPr>
        <w:footnoteReference w:id="33"/>
      </w:r>
      <w:r>
        <w:rPr>
          <w:szCs w:val="22"/>
        </w:rPr>
        <w:t xml:space="preserve"> </w:t>
      </w:r>
      <w:bookmarkEnd w:id="5"/>
      <w:r>
        <w:rPr>
          <w:szCs w:val="22"/>
        </w:rPr>
        <w:t xml:space="preserve">    </w:t>
      </w:r>
      <w:r w:rsidRPr="00CF6BA8">
        <w:t xml:space="preserve"> </w:t>
      </w:r>
    </w:p>
    <w:p w:rsidR="00C0210E" w:rsidRPr="00811D42" w:rsidP="00C0210E" w14:paraId="0009A0D1" w14:textId="77777777">
      <w:pPr>
        <w:pStyle w:val="ParaNum"/>
        <w:tabs>
          <w:tab w:val="clear" w:pos="1440"/>
        </w:tabs>
        <w:rPr>
          <w:szCs w:val="22"/>
        </w:rPr>
      </w:pPr>
      <w:r w:rsidRPr="00811D42">
        <w:rPr>
          <w:szCs w:val="22"/>
        </w:rPr>
        <w:t xml:space="preserve">FPL’s principal </w:t>
      </w:r>
      <w:r>
        <w:rPr>
          <w:szCs w:val="22"/>
        </w:rPr>
        <w:t>contention, however,</w:t>
      </w:r>
      <w:r w:rsidRPr="00811D42">
        <w:rPr>
          <w:szCs w:val="22"/>
        </w:rPr>
        <w:t xml:space="preserve"> is that AT&amp;T should receive no refund whatsoever, and that any remedy should begin no sooner than an order finding the </w:t>
      </w:r>
      <w:r w:rsidRPr="00811D42">
        <w:rPr>
          <w:szCs w:val="22"/>
        </w:rPr>
        <w:t>JUA</w:t>
      </w:r>
      <w:r w:rsidRPr="00811D42">
        <w:rPr>
          <w:szCs w:val="22"/>
        </w:rPr>
        <w:t xml:space="preserve"> rate unjust and unreasonable.</w:t>
      </w:r>
      <w:r>
        <w:rPr>
          <w:rStyle w:val="FootnoteReference"/>
          <w:szCs w:val="22"/>
        </w:rPr>
        <w:footnoteReference w:id="34"/>
      </w:r>
      <w:r>
        <w:rPr>
          <w:szCs w:val="22"/>
        </w:rPr>
        <w:t xml:space="preserve">  FPL makes three arguments in support of its position.  First, FPL points to the Commission’s statement in the </w:t>
      </w:r>
      <w:r>
        <w:rPr>
          <w:i/>
          <w:iCs/>
          <w:szCs w:val="22"/>
        </w:rPr>
        <w:t>2018 Pole Attachment Order</w:t>
      </w:r>
      <w:r>
        <w:rPr>
          <w:szCs w:val="22"/>
        </w:rPr>
        <w:t xml:space="preserve"> that “we decline to . . . give incumbent </w:t>
      </w:r>
      <w:r>
        <w:rPr>
          <w:szCs w:val="22"/>
        </w:rPr>
        <w:t>LECs</w:t>
      </w:r>
      <w:r>
        <w:rPr>
          <w:szCs w:val="22"/>
        </w:rPr>
        <w:t xml:space="preserve"> </w:t>
      </w:r>
      <w:r w:rsidRPr="00811D42">
        <w:rPr>
          <w:szCs w:val="22"/>
        </w:rPr>
        <w:t>the right to refund</w:t>
      </w:r>
      <w:r>
        <w:rPr>
          <w:szCs w:val="22"/>
        </w:rPr>
        <w:t>s</w:t>
      </w:r>
      <w:r w:rsidRPr="00811D42">
        <w:rPr>
          <w:szCs w:val="22"/>
        </w:rPr>
        <w:t xml:space="preserve"> for overpayments as far back as the statute of limitations allows.”</w:t>
      </w:r>
      <w:r>
        <w:rPr>
          <w:rStyle w:val="FootnoteReference"/>
          <w:szCs w:val="22"/>
        </w:rPr>
        <w:footnoteReference w:id="35"/>
      </w:r>
      <w:r w:rsidRPr="00811D42">
        <w:rPr>
          <w:szCs w:val="22"/>
        </w:rPr>
        <w:t xml:space="preserve">  </w:t>
      </w:r>
      <w:r>
        <w:rPr>
          <w:szCs w:val="22"/>
        </w:rPr>
        <w:t xml:space="preserve">Read in context, that language does not mean what FPL claims it does.  The </w:t>
      </w:r>
      <w:r>
        <w:rPr>
          <w:i/>
          <w:iCs/>
          <w:szCs w:val="22"/>
        </w:rPr>
        <w:t>2018 Pole Attachment Order</w:t>
      </w:r>
      <w:r>
        <w:rPr>
          <w:szCs w:val="22"/>
        </w:rPr>
        <w:t xml:space="preserve"> established a rebuttable presumption that incumbent </w:t>
      </w:r>
      <w:r>
        <w:rPr>
          <w:szCs w:val="22"/>
        </w:rPr>
        <w:t>LECs</w:t>
      </w:r>
      <w:r>
        <w:rPr>
          <w:szCs w:val="22"/>
        </w:rPr>
        <w:t xml:space="preserve"> that are parties to new or “newly-renewed” attachment agreements should be charged no more than the New Telecom Rate.  In the language cited by FPL, the Commission merely clarified that refunds under the </w:t>
      </w:r>
      <w:r w:rsidRPr="00A648CA">
        <w:rPr>
          <w:i/>
          <w:iCs/>
          <w:szCs w:val="22"/>
        </w:rPr>
        <w:t>2018</w:t>
      </w:r>
      <w:r>
        <w:rPr>
          <w:szCs w:val="22"/>
        </w:rPr>
        <w:t xml:space="preserve"> </w:t>
      </w:r>
      <w:r w:rsidRPr="00A648CA">
        <w:rPr>
          <w:i/>
          <w:iCs/>
          <w:szCs w:val="22"/>
        </w:rPr>
        <w:t>Pole Attachment Order</w:t>
      </w:r>
      <w:r>
        <w:rPr>
          <w:szCs w:val="22"/>
        </w:rPr>
        <w:t xml:space="preserve"> could only begin on the date, after the order’s effective date, that the agreement is entered into or newly-renewed, and therefore could not necessarily extend “as far back as the statute of limitations allows.”  Thus, the Commission’s statement applies only to claims brought under the </w:t>
      </w:r>
      <w:r w:rsidRPr="00A648CA">
        <w:rPr>
          <w:i/>
          <w:iCs/>
          <w:szCs w:val="22"/>
        </w:rPr>
        <w:t>2018</w:t>
      </w:r>
      <w:r>
        <w:rPr>
          <w:szCs w:val="22"/>
        </w:rPr>
        <w:t xml:space="preserve"> </w:t>
      </w:r>
      <w:r w:rsidRPr="00A648CA">
        <w:rPr>
          <w:i/>
          <w:iCs/>
          <w:szCs w:val="22"/>
        </w:rPr>
        <w:t>Pole Attachment Order</w:t>
      </w:r>
      <w:r>
        <w:rPr>
          <w:szCs w:val="22"/>
        </w:rPr>
        <w:t xml:space="preserve">, and does not apply here, because we only address AT&amp;T’s claims under the </w:t>
      </w:r>
      <w:r w:rsidRPr="00A648CA">
        <w:rPr>
          <w:i/>
          <w:iCs/>
          <w:szCs w:val="22"/>
        </w:rPr>
        <w:t>2011</w:t>
      </w:r>
      <w:r>
        <w:rPr>
          <w:szCs w:val="22"/>
        </w:rPr>
        <w:t xml:space="preserve"> </w:t>
      </w:r>
      <w:r w:rsidRPr="00A648CA">
        <w:rPr>
          <w:i/>
          <w:iCs/>
          <w:szCs w:val="22"/>
        </w:rPr>
        <w:t>Pole Attachment Order</w:t>
      </w:r>
      <w:r>
        <w:rPr>
          <w:szCs w:val="22"/>
        </w:rPr>
        <w:t xml:space="preserve">.    </w:t>
      </w:r>
    </w:p>
    <w:p w:rsidR="00C0210E" w:rsidRPr="00CF6BA8" w:rsidP="00C0210E" w14:paraId="0C6B20AF" w14:textId="77777777">
      <w:pPr>
        <w:pStyle w:val="ParaNum"/>
        <w:tabs>
          <w:tab w:val="clear" w:pos="1440"/>
        </w:tabs>
      </w:pPr>
      <w:r>
        <w:rPr>
          <w:szCs w:val="22"/>
        </w:rPr>
        <w:t xml:space="preserve">Second, </w:t>
      </w:r>
      <w:r w:rsidRPr="00811D42">
        <w:rPr>
          <w:szCs w:val="22"/>
        </w:rPr>
        <w:t xml:space="preserve">FPL </w:t>
      </w:r>
      <w:r>
        <w:rPr>
          <w:szCs w:val="22"/>
        </w:rPr>
        <w:t xml:space="preserve">argues </w:t>
      </w:r>
      <w:r w:rsidRPr="00811D42">
        <w:rPr>
          <w:szCs w:val="22"/>
        </w:rPr>
        <w:t xml:space="preserve">that awarding a refund would violate the prohibition </w:t>
      </w:r>
      <w:r>
        <w:rPr>
          <w:szCs w:val="22"/>
        </w:rPr>
        <w:t xml:space="preserve">in the </w:t>
      </w:r>
      <w:r w:rsidRPr="00811D42">
        <w:rPr>
          <w:szCs w:val="22"/>
        </w:rPr>
        <w:t xml:space="preserve">Fifth Amendment </w:t>
      </w:r>
      <w:r>
        <w:rPr>
          <w:szCs w:val="22"/>
        </w:rPr>
        <w:t>to</w:t>
      </w:r>
      <w:r w:rsidRPr="00811D42">
        <w:rPr>
          <w:szCs w:val="22"/>
        </w:rPr>
        <w:t xml:space="preserve"> the Constitution against taking property without “just compensation.”</w:t>
      </w:r>
      <w:r>
        <w:rPr>
          <w:rStyle w:val="FootnoteReference"/>
          <w:szCs w:val="22"/>
        </w:rPr>
        <w:footnoteReference w:id="36"/>
      </w:r>
      <w:r w:rsidRPr="006878AB">
        <w:rPr>
          <w:rStyle w:val="FootnoteReference"/>
        </w:rPr>
        <w:t xml:space="preserve"> </w:t>
      </w:r>
      <w:r w:rsidRPr="00811D42">
        <w:rPr>
          <w:szCs w:val="22"/>
        </w:rPr>
        <w:t xml:space="preserve"> FPL maintains that, under the terms of the </w:t>
      </w:r>
      <w:r w:rsidRPr="00811D42">
        <w:rPr>
          <w:szCs w:val="22"/>
        </w:rPr>
        <w:t>JUA</w:t>
      </w:r>
      <w:r w:rsidRPr="00811D42">
        <w:rPr>
          <w:szCs w:val="22"/>
        </w:rPr>
        <w:t xml:space="preserve">, it installed taller poles for AT&amp;T and that, if the Old Telecom Rate applies, it will not recoup its investment. </w:t>
      </w:r>
      <w:r>
        <w:rPr>
          <w:szCs w:val="22"/>
        </w:rPr>
        <w:t xml:space="preserve"> </w:t>
      </w:r>
      <w:r w:rsidRPr="00811D42">
        <w:rPr>
          <w:szCs w:val="22"/>
        </w:rPr>
        <w:t xml:space="preserve">“The Commission’s calculation of its regulated rates presumes either pre-existing capacity or </w:t>
      </w:r>
      <w:r>
        <w:rPr>
          <w:szCs w:val="22"/>
        </w:rPr>
        <w:t xml:space="preserve">[that] </w:t>
      </w:r>
      <w:r w:rsidRPr="00811D42">
        <w:rPr>
          <w:szCs w:val="22"/>
        </w:rPr>
        <w:t>additional compensation will be provided to the utility for the expansion of capacity through make-ready and other charges.”</w:t>
      </w:r>
      <w:r>
        <w:rPr>
          <w:rStyle w:val="FootnoteReference"/>
          <w:szCs w:val="22"/>
        </w:rPr>
        <w:footnoteReference w:id="37"/>
      </w:r>
      <w:r w:rsidRPr="00811D42">
        <w:rPr>
          <w:szCs w:val="22"/>
        </w:rPr>
        <w:t xml:space="preserve">  </w:t>
      </w:r>
      <w:r>
        <w:rPr>
          <w:szCs w:val="22"/>
        </w:rPr>
        <w:t>We disagree</w:t>
      </w:r>
      <w:r w:rsidRPr="00811D42">
        <w:rPr>
          <w:szCs w:val="22"/>
        </w:rPr>
        <w:t xml:space="preserve">.  FPL </w:t>
      </w:r>
      <w:r>
        <w:rPr>
          <w:szCs w:val="22"/>
        </w:rPr>
        <w:t>will be</w:t>
      </w:r>
      <w:r w:rsidRPr="00811D42">
        <w:rPr>
          <w:szCs w:val="22"/>
        </w:rPr>
        <w:t xml:space="preserve"> compensated for its investment because the Old Telecom Rate formula requires the </w:t>
      </w:r>
      <w:r w:rsidRPr="00811D42">
        <w:rPr>
          <w:szCs w:val="22"/>
        </w:rPr>
        <w:t>attacher</w:t>
      </w:r>
      <w:r w:rsidRPr="00811D42">
        <w:rPr>
          <w:szCs w:val="22"/>
        </w:rPr>
        <w:t xml:space="preserve"> to pay its share of the utility’s “net cost of a bare pole</w:t>
      </w:r>
      <w:r>
        <w:rPr>
          <w:szCs w:val="22"/>
        </w:rPr>
        <w:t>,</w:t>
      </w:r>
      <w:r w:rsidRPr="00811D42">
        <w:rPr>
          <w:szCs w:val="22"/>
        </w:rPr>
        <w:t>”</w:t>
      </w:r>
      <w:r>
        <w:rPr>
          <w:rStyle w:val="FootnoteReference"/>
          <w:szCs w:val="22"/>
        </w:rPr>
        <w:footnoteReference w:id="38"/>
      </w:r>
      <w:r w:rsidRPr="00811D42">
        <w:rPr>
          <w:szCs w:val="22"/>
        </w:rPr>
        <w:t xml:space="preserve"> which is derived from FERC account 364.  FERC account 364, in turn, “include[s] the cost installed of poles</w:t>
      </w:r>
      <w:r>
        <w:rPr>
          <w:szCs w:val="22"/>
        </w:rPr>
        <w:t>,” regardless of height</w:t>
      </w:r>
      <w:r w:rsidRPr="00811D42">
        <w:rPr>
          <w:szCs w:val="22"/>
        </w:rPr>
        <w:t>.</w:t>
      </w:r>
      <w:r>
        <w:rPr>
          <w:rStyle w:val="FootnoteReference"/>
          <w:szCs w:val="22"/>
        </w:rPr>
        <w:footnoteReference w:id="39"/>
      </w:r>
      <w:r w:rsidRPr="006878AB">
        <w:rPr>
          <w:rStyle w:val="FootnoteReference"/>
          <w:szCs w:val="22"/>
        </w:rPr>
        <w:t xml:space="preserve"> </w:t>
      </w:r>
    </w:p>
    <w:p w:rsidR="00C0210E" w:rsidRPr="00CF6BA8" w:rsidP="00C0210E" w14:paraId="04D19A3E" w14:textId="77777777">
      <w:pPr>
        <w:pStyle w:val="ParaNum"/>
        <w:tabs>
          <w:tab w:val="clear" w:pos="1440"/>
        </w:tabs>
      </w:pPr>
      <w:r w:rsidRPr="00D55FED">
        <w:rPr>
          <w:szCs w:val="22"/>
        </w:rPr>
        <w:t xml:space="preserve">Finally, </w:t>
      </w:r>
      <w:bookmarkStart w:id="7" w:name="_Hlk61350003"/>
      <w:r w:rsidRPr="00D55FED">
        <w:rPr>
          <w:szCs w:val="22"/>
        </w:rPr>
        <w:t>FPL invokes the doctrines of estoppel, unclean hands and laches to support its assertion that AT&amp;T should not receive a refund.</w:t>
      </w:r>
      <w:r>
        <w:rPr>
          <w:rStyle w:val="FootnoteReference"/>
          <w:szCs w:val="22"/>
        </w:rPr>
        <w:footnoteReference w:id="40"/>
      </w:r>
      <w:r w:rsidRPr="00D55FED">
        <w:rPr>
          <w:szCs w:val="22"/>
        </w:rPr>
        <w:t xml:space="preserve">  FPL notes that the </w:t>
      </w:r>
      <w:r w:rsidRPr="00D55FED">
        <w:rPr>
          <w:szCs w:val="22"/>
        </w:rPr>
        <w:t>JUA</w:t>
      </w:r>
      <w:r w:rsidRPr="00D55FED">
        <w:rPr>
          <w:szCs w:val="22"/>
        </w:rPr>
        <w:t xml:space="preserve"> had been in effect for 43 years before AT&amp;T first objected to its rate, that AT&amp;T refused for 18 months to pay FPL’s $9 million invoice for the 2017 pole rental year, refused for four months to pay FPL’s $10 million invoice for 2018, and has yet to pay interest on either sum.</w:t>
      </w:r>
      <w:r>
        <w:rPr>
          <w:rStyle w:val="FootnoteReference"/>
          <w:szCs w:val="22"/>
        </w:rPr>
        <w:footnoteReference w:id="41"/>
      </w:r>
      <w:r w:rsidRPr="00D55FED">
        <w:rPr>
          <w:szCs w:val="22"/>
        </w:rPr>
        <w:t xml:space="preserve">  We are not persuaded.  </w:t>
      </w:r>
      <w:r>
        <w:t xml:space="preserve">If its equitable defenses are to succeed, </w:t>
      </w:r>
      <w:r w:rsidRPr="00D55FED">
        <w:rPr>
          <w:szCs w:val="22"/>
        </w:rPr>
        <w:t xml:space="preserve">FPL </w:t>
      </w:r>
      <w:r>
        <w:t>must</w:t>
      </w:r>
      <w:r w:rsidRPr="00D55FED">
        <w:rPr>
          <w:szCs w:val="22"/>
        </w:rPr>
        <w:t xml:space="preserve"> </w:t>
      </w:r>
      <w:r>
        <w:t>show prejudice</w:t>
      </w:r>
      <w:r w:rsidRPr="00D55FED">
        <w:rPr>
          <w:szCs w:val="22"/>
        </w:rPr>
        <w:t>.</w:t>
      </w:r>
      <w:r>
        <w:rPr>
          <w:rStyle w:val="FootnoteReference"/>
          <w:szCs w:val="22"/>
        </w:rPr>
        <w:footnoteReference w:id="42"/>
      </w:r>
      <w:r w:rsidRPr="00D55FED">
        <w:rPr>
          <w:szCs w:val="22"/>
        </w:rPr>
        <w:t xml:space="preserve">  Yet, far from being harmed, FPL benefitted from the fact that AT&amp;T did not challenge the </w:t>
      </w:r>
      <w:r w:rsidRPr="00D55FED">
        <w:rPr>
          <w:szCs w:val="22"/>
        </w:rPr>
        <w:t>JUA</w:t>
      </w:r>
      <w:r w:rsidRPr="00D55FED">
        <w:rPr>
          <w:szCs w:val="22"/>
        </w:rPr>
        <w:t xml:space="preserve"> rates at an earlier time, as FPL’s liability for refunds is limited by the applicable statute of limitations.</w:t>
      </w:r>
      <w:r>
        <w:rPr>
          <w:rStyle w:val="FootnoteReference"/>
          <w:szCs w:val="22"/>
        </w:rPr>
        <w:footnoteReference w:id="43"/>
      </w:r>
      <w:r w:rsidRPr="00D55FED">
        <w:rPr>
          <w:szCs w:val="22"/>
        </w:rPr>
        <w:t xml:space="preserve">  Further, </w:t>
      </w:r>
      <w:r w:rsidRPr="004D246D">
        <w:t>FPL</w:t>
      </w:r>
      <w:r>
        <w:t xml:space="preserve">’s </w:t>
      </w:r>
      <w:r w:rsidRPr="004D246D">
        <w:t xml:space="preserve">action against AT&amp;T for failing to pay the invoices is before the Florida district court; </w:t>
      </w:r>
      <w:r w:rsidRPr="00D55FED">
        <w:rPr>
          <w:szCs w:val="22"/>
        </w:rPr>
        <w:t xml:space="preserve">if </w:t>
      </w:r>
      <w:r w:rsidRPr="004D246D">
        <w:t>AT&amp;T</w:t>
      </w:r>
      <w:r w:rsidRPr="00D55FED">
        <w:rPr>
          <w:szCs w:val="22"/>
        </w:rPr>
        <w:t xml:space="preserve">’s </w:t>
      </w:r>
      <w:r w:rsidRPr="004D246D">
        <w:t>withholding of payments was improper</w:t>
      </w:r>
      <w:r w:rsidRPr="00D55FED">
        <w:rPr>
          <w:szCs w:val="22"/>
        </w:rPr>
        <w:t>, the court presumably will make FPL whole.</w:t>
      </w:r>
      <w:r>
        <w:rPr>
          <w:rStyle w:val="FootnoteReference"/>
          <w:sz w:val="22"/>
          <w:szCs w:val="22"/>
        </w:rPr>
        <w:footnoteReference w:id="44"/>
      </w:r>
      <w:r w:rsidRPr="00D55FED">
        <w:rPr>
          <w:rStyle w:val="FootnoteReference"/>
          <w:szCs w:val="22"/>
        </w:rPr>
        <w:t xml:space="preserve"> </w:t>
      </w:r>
      <w:bookmarkEnd w:id="7"/>
      <w:r w:rsidRPr="00D55FED">
        <w:rPr>
          <w:rStyle w:val="FootnoteReference"/>
          <w:szCs w:val="22"/>
        </w:rPr>
        <w:t xml:space="preserve"> </w:t>
      </w:r>
    </w:p>
    <w:p w:rsidR="00C0210E" w:rsidRPr="00811D42" w:rsidP="00C0210E" w14:paraId="7816F449" w14:textId="77777777">
      <w:pPr>
        <w:pStyle w:val="ParaNum"/>
        <w:tabs>
          <w:tab w:val="clear" w:pos="1440"/>
        </w:tabs>
        <w:rPr>
          <w:szCs w:val="22"/>
        </w:rPr>
      </w:pPr>
      <w:r>
        <w:rPr>
          <w:szCs w:val="22"/>
        </w:rPr>
        <w:t>In sum</w:t>
      </w:r>
      <w:r w:rsidRPr="00811D42">
        <w:rPr>
          <w:szCs w:val="22"/>
        </w:rPr>
        <w:t>, we find that the applicable statute of limitations under Commission rule</w:t>
      </w:r>
      <w:r>
        <w:rPr>
          <w:szCs w:val="22"/>
        </w:rPr>
        <w:t xml:space="preserve"> section</w:t>
      </w:r>
      <w:r w:rsidRPr="00811D42">
        <w:rPr>
          <w:szCs w:val="22"/>
        </w:rPr>
        <w:t xml:space="preserve"> 1.1407(a)(3) is Florida’s five-year limitations period</w:t>
      </w:r>
      <w:r>
        <w:rPr>
          <w:szCs w:val="22"/>
        </w:rPr>
        <w:t xml:space="preserve"> for an “action on a contract.”</w:t>
      </w:r>
      <w:r w:rsidRPr="00811D42">
        <w:rPr>
          <w:szCs w:val="22"/>
        </w:rPr>
        <w:t xml:space="preserve"> </w:t>
      </w:r>
      <w:r>
        <w:rPr>
          <w:szCs w:val="22"/>
        </w:rPr>
        <w:t xml:space="preserve"> </w:t>
      </w:r>
      <w:r w:rsidRPr="00811D42">
        <w:rPr>
          <w:szCs w:val="22"/>
        </w:rPr>
        <w:t>AT&amp;T is entitled to a refund for the period beginning July 1, 2014, which is five years from the date it filed its Complaint.</w:t>
      </w:r>
      <w:bookmarkEnd w:id="2"/>
    </w:p>
    <w:p w:rsidR="00C0210E" w:rsidRPr="00811D42" w:rsidP="00C0210E" w14:paraId="23A69245" w14:textId="77777777">
      <w:pPr>
        <w:pStyle w:val="Heading2"/>
        <w:rPr>
          <w:szCs w:val="22"/>
        </w:rPr>
      </w:pPr>
      <w:r w:rsidRPr="00811D42">
        <w:rPr>
          <w:szCs w:val="22"/>
        </w:rPr>
        <w:t>Calculati</w:t>
      </w:r>
      <w:r>
        <w:rPr>
          <w:szCs w:val="22"/>
        </w:rPr>
        <w:t>ng</w:t>
      </w:r>
      <w:r w:rsidRPr="00811D42">
        <w:rPr>
          <w:szCs w:val="22"/>
        </w:rPr>
        <w:t xml:space="preserve"> the Old Telecom Rate</w:t>
      </w:r>
    </w:p>
    <w:p w:rsidR="00C0210E" w:rsidP="00C0210E" w14:paraId="48462B2C" w14:textId="77777777">
      <w:pPr>
        <w:pStyle w:val="ParaNum"/>
        <w:widowControl/>
        <w:tabs>
          <w:tab w:val="clear" w:pos="1440"/>
        </w:tabs>
        <w:rPr>
          <w:szCs w:val="22"/>
        </w:rPr>
      </w:pPr>
      <w:r>
        <w:rPr>
          <w:szCs w:val="22"/>
        </w:rPr>
        <w:t>The parties’ calculations of the Old Telecom Rate for purposes of AT&amp;T’s payments to FPL are identical other than their inputs for (</w:t>
      </w:r>
      <w:r>
        <w:rPr>
          <w:szCs w:val="22"/>
        </w:rPr>
        <w:t>i</w:t>
      </w:r>
      <w:r>
        <w:rPr>
          <w:szCs w:val="22"/>
        </w:rPr>
        <w:t xml:space="preserve">) the average number of </w:t>
      </w:r>
      <w:r>
        <w:rPr>
          <w:szCs w:val="22"/>
        </w:rPr>
        <w:t>attachers</w:t>
      </w:r>
      <w:r>
        <w:rPr>
          <w:szCs w:val="22"/>
        </w:rPr>
        <w:t xml:space="preserve"> and space occupied by AT&amp;T; (ii) the rate of return; and (iii) the accumulated depreciation applicable to certain FPL accounts. We now resolve the parties’ disputes as to these three inputs, so that </w:t>
      </w:r>
      <w:bookmarkStart w:id="8" w:name="_Hlk58597308"/>
      <w:r>
        <w:rPr>
          <w:szCs w:val="22"/>
        </w:rPr>
        <w:t xml:space="preserve">the parties may calculate the exact amount AT&amp;T was obligated to pay FPL for the period at issue.  </w:t>
      </w:r>
    </w:p>
    <w:p w:rsidR="00C0210E" w:rsidRPr="00023644" w:rsidP="00C0210E" w14:paraId="46F3031D" w14:textId="77777777">
      <w:pPr>
        <w:pStyle w:val="ParaNum"/>
        <w:tabs>
          <w:tab w:val="clear" w:pos="1440"/>
        </w:tabs>
      </w:pPr>
      <w:bookmarkStart w:id="9" w:name="_Hlk61354601"/>
      <w:bookmarkStart w:id="10" w:name="_Hlk61358828"/>
      <w:bookmarkEnd w:id="8"/>
      <w:r w:rsidRPr="00241B9D">
        <w:rPr>
          <w:szCs w:val="22"/>
          <w:u w:val="single"/>
        </w:rPr>
        <w:t xml:space="preserve">Average number of </w:t>
      </w:r>
      <w:r w:rsidRPr="00241B9D">
        <w:rPr>
          <w:szCs w:val="22"/>
          <w:u w:val="single"/>
        </w:rPr>
        <w:t>attachers</w:t>
      </w:r>
      <w:r>
        <w:rPr>
          <w:szCs w:val="22"/>
          <w:u w:val="single"/>
        </w:rPr>
        <w:t xml:space="preserve"> and s</w:t>
      </w:r>
      <w:r w:rsidRPr="00241B9D">
        <w:rPr>
          <w:szCs w:val="22"/>
          <w:u w:val="single"/>
        </w:rPr>
        <w:t>pace occupied</w:t>
      </w:r>
      <w:r w:rsidRPr="00811D42">
        <w:rPr>
          <w:szCs w:val="22"/>
        </w:rPr>
        <w:t xml:space="preserve">:  Calculating the Old Telecom Rate requires inputs </w:t>
      </w:r>
      <w:r>
        <w:rPr>
          <w:szCs w:val="22"/>
        </w:rPr>
        <w:t>as to</w:t>
      </w:r>
      <w:r w:rsidRPr="00811D42">
        <w:rPr>
          <w:szCs w:val="22"/>
        </w:rPr>
        <w:t xml:space="preserve"> the average number of </w:t>
      </w:r>
      <w:r w:rsidRPr="00811D42">
        <w:rPr>
          <w:szCs w:val="22"/>
        </w:rPr>
        <w:t>attachers</w:t>
      </w:r>
      <w:r w:rsidRPr="00811D42">
        <w:rPr>
          <w:szCs w:val="22"/>
        </w:rPr>
        <w:t xml:space="preserve"> per pole</w:t>
      </w:r>
      <w:r>
        <w:rPr>
          <w:szCs w:val="22"/>
        </w:rPr>
        <w:t xml:space="preserve"> and as to </w:t>
      </w:r>
      <w:r w:rsidRPr="00811D42">
        <w:rPr>
          <w:szCs w:val="22"/>
        </w:rPr>
        <w:t xml:space="preserve">the space occupied by the </w:t>
      </w:r>
      <w:r w:rsidRPr="00811D42">
        <w:rPr>
          <w:szCs w:val="22"/>
        </w:rPr>
        <w:t>attacher</w:t>
      </w:r>
      <w:r w:rsidRPr="00811D42">
        <w:rPr>
          <w:szCs w:val="22"/>
        </w:rPr>
        <w:t xml:space="preserve"> </w:t>
      </w:r>
      <w:r w:rsidRPr="00811D42">
        <w:rPr>
          <w:szCs w:val="22"/>
        </w:rPr>
        <w:t xml:space="preserve">at issue.  In order to avoid excessive cost and burden, the Commission has established rebuttable presumptions of three to five </w:t>
      </w:r>
      <w:r w:rsidRPr="00811D42">
        <w:rPr>
          <w:szCs w:val="22"/>
        </w:rPr>
        <w:t>attachers</w:t>
      </w:r>
      <w:r w:rsidRPr="00811D42">
        <w:rPr>
          <w:szCs w:val="22"/>
        </w:rPr>
        <w:t xml:space="preserve"> (for rural and urban areas, respectively) and one foot of space occupied.</w:t>
      </w:r>
      <w:r>
        <w:rPr>
          <w:rStyle w:val="FootnoteReference"/>
          <w:szCs w:val="22"/>
        </w:rPr>
        <w:footnoteReference w:id="45"/>
      </w:r>
      <w:r w:rsidRPr="006C16FF">
        <w:rPr>
          <w:rStyle w:val="FootnoteReference"/>
        </w:rPr>
        <w:t xml:space="preserve"> </w:t>
      </w:r>
      <w:r w:rsidRPr="00811D42">
        <w:rPr>
          <w:szCs w:val="22"/>
        </w:rPr>
        <w:t xml:space="preserve"> These presumptions may be rebutted by “probative direct evidence,”</w:t>
      </w:r>
      <w:r>
        <w:rPr>
          <w:rStyle w:val="FootnoteReference"/>
          <w:szCs w:val="22"/>
        </w:rPr>
        <w:footnoteReference w:id="46"/>
      </w:r>
      <w:r w:rsidRPr="00811D42">
        <w:rPr>
          <w:szCs w:val="22"/>
        </w:rPr>
        <w:t xml:space="preserve"> which may include, “[w]here the number of poles is too large, and/or complete inspection impractical</w:t>
      </w:r>
      <w:r>
        <w:rPr>
          <w:szCs w:val="22"/>
        </w:rPr>
        <w:t xml:space="preserve"> . . .</w:t>
      </w:r>
      <w:r w:rsidRPr="00811D42">
        <w:rPr>
          <w:szCs w:val="22"/>
        </w:rPr>
        <w:t xml:space="preserve"> a statistically sound survey</w:t>
      </w:r>
      <w:r>
        <w:rPr>
          <w:szCs w:val="22"/>
        </w:rPr>
        <w:t>.</w:t>
      </w:r>
      <w:r w:rsidRPr="00811D42">
        <w:rPr>
          <w:szCs w:val="22"/>
        </w:rPr>
        <w:t>”</w:t>
      </w:r>
      <w:r>
        <w:rPr>
          <w:rStyle w:val="FootnoteReference"/>
          <w:szCs w:val="22"/>
        </w:rPr>
        <w:footnoteReference w:id="47"/>
      </w:r>
      <w:r>
        <w:rPr>
          <w:szCs w:val="22"/>
        </w:rPr>
        <w:t xml:space="preserve">  </w:t>
      </w:r>
    </w:p>
    <w:p w:rsidR="00C0210E" w:rsidRPr="00CF6BA8" w:rsidP="00C0210E" w14:paraId="73CB37FD" w14:textId="77777777">
      <w:pPr>
        <w:pStyle w:val="ParaNum"/>
        <w:tabs>
          <w:tab w:val="clear" w:pos="1440"/>
        </w:tabs>
      </w:pPr>
      <w:r w:rsidRPr="00811D42">
        <w:rPr>
          <w:szCs w:val="22"/>
        </w:rPr>
        <w:t xml:space="preserve">We find that FPL has rebutted the Commission’s presumptions </w:t>
      </w:r>
      <w:r>
        <w:rPr>
          <w:szCs w:val="22"/>
        </w:rPr>
        <w:t xml:space="preserve">by providing survey results </w:t>
      </w:r>
      <w:r w:rsidRPr="00811D42">
        <w:rPr>
          <w:szCs w:val="22"/>
        </w:rPr>
        <w:t>establish</w:t>
      </w:r>
      <w:r>
        <w:rPr>
          <w:szCs w:val="22"/>
        </w:rPr>
        <w:t>ing</w:t>
      </w:r>
      <w:r w:rsidRPr="00811D42">
        <w:rPr>
          <w:szCs w:val="22"/>
        </w:rPr>
        <w:t xml:space="preserve"> that AT&amp;T occupies 1.18 feet of space </w:t>
      </w:r>
      <w:r>
        <w:rPr>
          <w:szCs w:val="22"/>
        </w:rPr>
        <w:t xml:space="preserve">and that </w:t>
      </w:r>
      <w:r w:rsidRPr="00811D42">
        <w:rPr>
          <w:szCs w:val="22"/>
        </w:rPr>
        <w:t xml:space="preserve">the average number of </w:t>
      </w:r>
      <w:r w:rsidRPr="00811D42">
        <w:rPr>
          <w:szCs w:val="22"/>
        </w:rPr>
        <w:t>attachers</w:t>
      </w:r>
      <w:r w:rsidRPr="00811D42">
        <w:rPr>
          <w:szCs w:val="22"/>
        </w:rPr>
        <w:t xml:space="preserve"> on its </w:t>
      </w:r>
      <w:r w:rsidRPr="00811D42">
        <w:rPr>
          <w:szCs w:val="22"/>
        </w:rPr>
        <w:t>JUA</w:t>
      </w:r>
      <w:r w:rsidRPr="00811D42">
        <w:rPr>
          <w:szCs w:val="22"/>
        </w:rPr>
        <w:t xml:space="preserve"> </w:t>
      </w:r>
      <w:r>
        <w:rPr>
          <w:szCs w:val="22"/>
        </w:rPr>
        <w:t xml:space="preserve">distribution </w:t>
      </w:r>
      <w:r w:rsidRPr="00811D42">
        <w:rPr>
          <w:szCs w:val="22"/>
        </w:rPr>
        <w:t>poles is 2.99</w:t>
      </w:r>
      <w:r>
        <w:rPr>
          <w:szCs w:val="22"/>
        </w:rPr>
        <w:t>.</w:t>
      </w:r>
      <w:r w:rsidRPr="00811D42">
        <w:rPr>
          <w:szCs w:val="22"/>
        </w:rPr>
        <w:t xml:space="preserve"> </w:t>
      </w:r>
      <w:r>
        <w:rPr>
          <w:szCs w:val="22"/>
        </w:rPr>
        <w:t xml:space="preserve"> FPL </w:t>
      </w:r>
      <w:r w:rsidRPr="00811D42">
        <w:rPr>
          <w:szCs w:val="22"/>
        </w:rPr>
        <w:t>explains that, since the 1990s, it has administered annual surveys of all poles to which it and any other telephone company, including AT&amp;T, is attached.  The surveys are conducted on a five-year cycle; that is, each survey covers approximately 20% of FPL’s service territory, so that over any five</w:t>
      </w:r>
      <w:r>
        <w:rPr>
          <w:szCs w:val="22"/>
        </w:rPr>
        <w:t xml:space="preserve">-year </w:t>
      </w:r>
      <w:r w:rsidRPr="00811D42">
        <w:rPr>
          <w:szCs w:val="22"/>
        </w:rPr>
        <w:t xml:space="preserve">period, all the poles (including the </w:t>
      </w:r>
      <w:r w:rsidRPr="00811D42">
        <w:rPr>
          <w:szCs w:val="22"/>
        </w:rPr>
        <w:t>JUA</w:t>
      </w:r>
      <w:r w:rsidRPr="00811D42">
        <w:rPr>
          <w:szCs w:val="22"/>
        </w:rPr>
        <w:t xml:space="preserve"> poles) have been surveyed.  All parties to the survey</w:t>
      </w:r>
      <w:r>
        <w:rPr>
          <w:szCs w:val="22"/>
        </w:rPr>
        <w:t>s</w:t>
      </w:r>
      <w:r w:rsidRPr="00811D42">
        <w:rPr>
          <w:szCs w:val="22"/>
        </w:rPr>
        <w:t>, including AT&amp;T, contribute to the cost of the surveys, and the data from the surveys is owned by and available to all.  Prior to each survey, all parties agree to the parameters of the survey and agree to participate in the post-survey field check.  When the field-check is complete, each party confirms that the survey results are accurate.</w:t>
      </w:r>
      <w:r>
        <w:rPr>
          <w:rStyle w:val="FootnoteReference"/>
          <w:szCs w:val="22"/>
        </w:rPr>
        <w:footnoteReference w:id="48"/>
      </w:r>
      <w:r w:rsidRPr="006C16FF">
        <w:rPr>
          <w:rStyle w:val="FootnoteReference"/>
        </w:rPr>
        <w:t xml:space="preserve"> </w:t>
      </w:r>
      <w:r w:rsidRPr="00811D42">
        <w:rPr>
          <w:szCs w:val="22"/>
        </w:rPr>
        <w:t xml:space="preserve"> AT&amp;T has approved all the survey results at issue.</w:t>
      </w:r>
      <w:r>
        <w:rPr>
          <w:rStyle w:val="FootnoteReference"/>
          <w:szCs w:val="22"/>
        </w:rPr>
        <w:footnoteReference w:id="49"/>
      </w:r>
      <w:r w:rsidRPr="00811D42">
        <w:rPr>
          <w:szCs w:val="22"/>
        </w:rPr>
        <w:t xml:space="preserve">  Data collected in the survey</w:t>
      </w:r>
      <w:r>
        <w:rPr>
          <w:szCs w:val="22"/>
        </w:rPr>
        <w:t>s</w:t>
      </w:r>
      <w:r w:rsidRPr="00811D42">
        <w:rPr>
          <w:szCs w:val="22"/>
        </w:rPr>
        <w:t xml:space="preserve"> includes the number of poles, ownership of each pole, and, for each pole, the number of regulated entities attached</w:t>
      </w:r>
      <w:r>
        <w:rPr>
          <w:szCs w:val="22"/>
        </w:rPr>
        <w:t xml:space="preserve"> (i.e., utilities, telephone companies and cable operators)</w:t>
      </w:r>
      <w:r w:rsidRPr="00811D42">
        <w:rPr>
          <w:szCs w:val="22"/>
        </w:rPr>
        <w:t>.</w:t>
      </w:r>
      <w:r>
        <w:rPr>
          <w:rStyle w:val="FootnoteReference"/>
          <w:szCs w:val="22"/>
        </w:rPr>
        <w:footnoteReference w:id="50"/>
      </w:r>
      <w:r>
        <w:rPr>
          <w:szCs w:val="22"/>
        </w:rPr>
        <w:t xml:space="preserve">  FPL’s most recent surveys found 2.96 regulated entities attached to FPL’s </w:t>
      </w:r>
      <w:r>
        <w:rPr>
          <w:szCs w:val="22"/>
        </w:rPr>
        <w:t>JUA</w:t>
      </w:r>
      <w:r>
        <w:rPr>
          <w:szCs w:val="22"/>
        </w:rPr>
        <w:t xml:space="preserve"> distribution poles.</w:t>
      </w:r>
      <w:r>
        <w:rPr>
          <w:rStyle w:val="FootnoteReference"/>
          <w:szCs w:val="22"/>
        </w:rPr>
        <w:footnoteReference w:id="51"/>
      </w:r>
      <w:r>
        <w:rPr>
          <w:szCs w:val="22"/>
        </w:rPr>
        <w:t xml:space="preserve">  </w:t>
      </w:r>
    </w:p>
    <w:p w:rsidR="00C0210E" w:rsidRPr="00811D42" w:rsidP="00455A29" w14:paraId="562FD78D" w14:textId="77777777">
      <w:pPr>
        <w:pStyle w:val="ParaNum"/>
        <w:widowControl/>
        <w:tabs>
          <w:tab w:val="clear" w:pos="1440"/>
        </w:tabs>
        <w:rPr>
          <w:rStyle w:val="Hyperlink"/>
          <w:color w:val="auto"/>
          <w:szCs w:val="22"/>
          <w:u w:val="none"/>
        </w:rPr>
      </w:pPr>
      <w:r>
        <w:rPr>
          <w:szCs w:val="22"/>
        </w:rPr>
        <w:t xml:space="preserve">While </w:t>
      </w:r>
      <w:r w:rsidRPr="00811D42">
        <w:rPr>
          <w:szCs w:val="22"/>
        </w:rPr>
        <w:t xml:space="preserve">FPL’s annual surveys conducted prior to 2019 did not include data as to the number of governmental </w:t>
      </w:r>
      <w:r>
        <w:rPr>
          <w:szCs w:val="22"/>
        </w:rPr>
        <w:t xml:space="preserve">(that is, non-regulated) </w:t>
      </w:r>
      <w:r w:rsidRPr="00811D42">
        <w:rPr>
          <w:szCs w:val="22"/>
        </w:rPr>
        <w:t>attachers</w:t>
      </w:r>
      <w:r w:rsidRPr="00811D42">
        <w:rPr>
          <w:szCs w:val="22"/>
        </w:rPr>
        <w:t xml:space="preserve">, FPL collected that data for the first time in its 2019 </w:t>
      </w:r>
      <w:r>
        <w:rPr>
          <w:szCs w:val="22"/>
        </w:rPr>
        <w:t xml:space="preserve">annual </w:t>
      </w:r>
      <w:r w:rsidRPr="00811D42">
        <w:rPr>
          <w:szCs w:val="22"/>
        </w:rPr>
        <w:t>survey.</w:t>
      </w:r>
      <w:r>
        <w:rPr>
          <w:rStyle w:val="FootnoteReference"/>
          <w:szCs w:val="22"/>
        </w:rPr>
        <w:footnoteReference w:id="52"/>
      </w:r>
      <w:r w:rsidRPr="00811D42">
        <w:rPr>
          <w:szCs w:val="22"/>
        </w:rPr>
        <w:t xml:space="preserve">  That survey found that 2.8% of FPL’s </w:t>
      </w:r>
      <w:r w:rsidRPr="00811D42">
        <w:rPr>
          <w:szCs w:val="22"/>
        </w:rPr>
        <w:t>JUA</w:t>
      </w:r>
      <w:r w:rsidRPr="00811D42">
        <w:rPr>
          <w:szCs w:val="22"/>
        </w:rPr>
        <w:t xml:space="preserve"> distribution poles had a governmental attachment</w:t>
      </w:r>
      <w:r>
        <w:rPr>
          <w:szCs w:val="22"/>
        </w:rPr>
        <w:t xml:space="preserve"> (or 0.028 governmental </w:t>
      </w:r>
      <w:r>
        <w:rPr>
          <w:szCs w:val="22"/>
        </w:rPr>
        <w:t>attachers</w:t>
      </w:r>
      <w:r>
        <w:rPr>
          <w:szCs w:val="22"/>
        </w:rPr>
        <w:t xml:space="preserve"> per pole)</w:t>
      </w:r>
      <w:r w:rsidRPr="00811D42">
        <w:rPr>
          <w:szCs w:val="22"/>
        </w:rPr>
        <w:t>.</w:t>
      </w:r>
      <w:r>
        <w:rPr>
          <w:rStyle w:val="FootnoteReference"/>
          <w:szCs w:val="22"/>
        </w:rPr>
        <w:footnoteReference w:id="53"/>
      </w:r>
      <w:r w:rsidRPr="00811D42">
        <w:rPr>
          <w:szCs w:val="22"/>
        </w:rPr>
        <w:t xml:space="preserve">  In addition, in July 2019, in response to AT&amp;T’s Complaint, FPL conducted a random survey of 2,000 of its </w:t>
      </w:r>
      <w:r w:rsidRPr="00811D42">
        <w:rPr>
          <w:szCs w:val="22"/>
        </w:rPr>
        <w:t>JUA</w:t>
      </w:r>
      <w:r w:rsidRPr="00811D42">
        <w:rPr>
          <w:szCs w:val="22"/>
        </w:rPr>
        <w:t xml:space="preserve"> distribution poles to gather data as to (</w:t>
      </w:r>
      <w:r w:rsidRPr="00811D42">
        <w:rPr>
          <w:szCs w:val="22"/>
        </w:rPr>
        <w:t>i</w:t>
      </w:r>
      <w:r w:rsidRPr="00811D42">
        <w:rPr>
          <w:szCs w:val="22"/>
        </w:rPr>
        <w:t xml:space="preserve">) the number of governmental </w:t>
      </w:r>
      <w:r w:rsidRPr="00811D42">
        <w:rPr>
          <w:szCs w:val="22"/>
        </w:rPr>
        <w:t>attachers</w:t>
      </w:r>
      <w:r w:rsidRPr="00811D42">
        <w:rPr>
          <w:szCs w:val="22"/>
        </w:rPr>
        <w:t xml:space="preserve"> per pole; and (ii) the amount of space occupied by AT&amp;T.  FPL’s random survey found that only 1.02% of the poles surveyed had governmental attachments </w:t>
      </w:r>
      <w:r>
        <w:rPr>
          <w:szCs w:val="22"/>
        </w:rPr>
        <w:t xml:space="preserve">(or 0.0102 governmental </w:t>
      </w:r>
      <w:r>
        <w:rPr>
          <w:szCs w:val="22"/>
        </w:rPr>
        <w:t>attachers</w:t>
      </w:r>
      <w:r>
        <w:rPr>
          <w:szCs w:val="22"/>
        </w:rPr>
        <w:t xml:space="preserve"> per pole) </w:t>
      </w:r>
      <w:r w:rsidRPr="00811D42">
        <w:rPr>
          <w:szCs w:val="22"/>
        </w:rPr>
        <w:t>and that the average amount of space occupied by AT&amp;T was 1.18 feet.</w:t>
      </w:r>
      <w:r>
        <w:rPr>
          <w:rStyle w:val="FootnoteReference"/>
          <w:szCs w:val="22"/>
        </w:rPr>
        <w:footnoteReference w:id="54"/>
      </w:r>
      <w:r w:rsidRPr="00811D42">
        <w:rPr>
          <w:szCs w:val="22"/>
        </w:rPr>
        <w:t xml:space="preserve">  </w:t>
      </w:r>
      <w:bookmarkEnd w:id="9"/>
      <w:r>
        <w:rPr>
          <w:szCs w:val="22"/>
        </w:rPr>
        <w:t xml:space="preserve">FPL uses the results of the 2019 annual survey to calculate the number of governmental </w:t>
      </w:r>
      <w:r>
        <w:rPr>
          <w:szCs w:val="22"/>
        </w:rPr>
        <w:t>attachers</w:t>
      </w:r>
      <w:r>
        <w:rPr>
          <w:szCs w:val="22"/>
        </w:rPr>
        <w:t xml:space="preserve"> in its calculations of the Old Telecom Rate.</w:t>
      </w:r>
      <w:r>
        <w:rPr>
          <w:rStyle w:val="FootnoteReference"/>
          <w:szCs w:val="22"/>
        </w:rPr>
        <w:footnoteReference w:id="55"/>
      </w:r>
      <w:r>
        <w:rPr>
          <w:szCs w:val="22"/>
        </w:rPr>
        <w:t xml:space="preserve">  Thus, applying the results of FPL’s annual </w:t>
      </w:r>
      <w:r>
        <w:rPr>
          <w:szCs w:val="22"/>
        </w:rPr>
        <w:t xml:space="preserve">surveys with the July 2019 random survey of governmental </w:t>
      </w:r>
      <w:r>
        <w:rPr>
          <w:szCs w:val="22"/>
        </w:rPr>
        <w:t>attachers</w:t>
      </w:r>
      <w:r>
        <w:rPr>
          <w:szCs w:val="22"/>
        </w:rPr>
        <w:t xml:space="preserve">, the total number of </w:t>
      </w:r>
      <w:r>
        <w:rPr>
          <w:szCs w:val="22"/>
        </w:rPr>
        <w:t>attachers</w:t>
      </w:r>
      <w:r>
        <w:rPr>
          <w:szCs w:val="22"/>
        </w:rPr>
        <w:t xml:space="preserve"> (regulated and governmental) is 2.99 (2.96 regulated </w:t>
      </w:r>
      <w:r>
        <w:rPr>
          <w:szCs w:val="22"/>
        </w:rPr>
        <w:t>attachers</w:t>
      </w:r>
      <w:r>
        <w:rPr>
          <w:szCs w:val="22"/>
        </w:rPr>
        <w:t xml:space="preserve"> plus 0.028 non-governmental </w:t>
      </w:r>
      <w:r>
        <w:rPr>
          <w:szCs w:val="22"/>
        </w:rPr>
        <w:t>attachers</w:t>
      </w:r>
      <w:r>
        <w:rPr>
          <w:szCs w:val="22"/>
        </w:rPr>
        <w:t>)</w:t>
      </w:r>
      <w:bookmarkEnd w:id="10"/>
      <w:r>
        <w:rPr>
          <w:szCs w:val="22"/>
        </w:rPr>
        <w:t xml:space="preserve">.    </w:t>
      </w:r>
      <w:r w:rsidRPr="00811D42">
        <w:rPr>
          <w:rStyle w:val="Hyperlink"/>
          <w:color w:val="auto"/>
          <w:szCs w:val="22"/>
          <w:u w:val="none"/>
        </w:rPr>
        <w:t xml:space="preserve"> </w:t>
      </w:r>
    </w:p>
    <w:p w:rsidR="00C0210E" w:rsidRPr="00811D42" w:rsidP="00C0210E" w14:paraId="046D12C5" w14:textId="77777777">
      <w:pPr>
        <w:pStyle w:val="ParaNum"/>
        <w:tabs>
          <w:tab w:val="clear" w:pos="1440"/>
        </w:tabs>
        <w:rPr>
          <w:szCs w:val="22"/>
        </w:rPr>
      </w:pPr>
      <w:r w:rsidRPr="00811D42">
        <w:rPr>
          <w:color w:val="201F1E"/>
          <w:szCs w:val="22"/>
        </w:rPr>
        <w:t xml:space="preserve"> </w:t>
      </w:r>
      <w:r w:rsidRPr="00811D42">
        <w:rPr>
          <w:szCs w:val="22"/>
        </w:rPr>
        <w:t xml:space="preserve">AT&amp;T </w:t>
      </w:r>
      <w:r>
        <w:rPr>
          <w:szCs w:val="22"/>
        </w:rPr>
        <w:t>contends that</w:t>
      </w:r>
      <w:r w:rsidRPr="00811D42">
        <w:rPr>
          <w:szCs w:val="22"/>
        </w:rPr>
        <w:t xml:space="preserve"> FPL has </w:t>
      </w:r>
      <w:r>
        <w:rPr>
          <w:szCs w:val="22"/>
        </w:rPr>
        <w:t xml:space="preserve">not </w:t>
      </w:r>
      <w:r w:rsidRPr="00811D42">
        <w:rPr>
          <w:szCs w:val="22"/>
        </w:rPr>
        <w:t>rebutted the Commission’s presumptions</w:t>
      </w:r>
      <w:r>
        <w:rPr>
          <w:szCs w:val="22"/>
        </w:rPr>
        <w:t>, arguing</w:t>
      </w:r>
      <w:r w:rsidRPr="00811D42">
        <w:rPr>
          <w:szCs w:val="22"/>
        </w:rPr>
        <w:t xml:space="preserve"> that FPL’s random survey of 2,000 poles was too small given the approximately 400,000 poles at issue.</w:t>
      </w:r>
      <w:r>
        <w:rPr>
          <w:rStyle w:val="FootnoteReference"/>
          <w:szCs w:val="22"/>
        </w:rPr>
        <w:footnoteReference w:id="56"/>
      </w:r>
      <w:r w:rsidRPr="00811D42">
        <w:rPr>
          <w:szCs w:val="22"/>
        </w:rPr>
        <w:t xml:space="preserve">  But FPL’s witness, an expert in statistical analysis, provides a detailed </w:t>
      </w:r>
      <w:r>
        <w:rPr>
          <w:szCs w:val="22"/>
        </w:rPr>
        <w:t xml:space="preserve">and valid analysis explaining why </w:t>
      </w:r>
      <w:r w:rsidRPr="00811D42">
        <w:rPr>
          <w:szCs w:val="22"/>
        </w:rPr>
        <w:t>a random sample of 2,000 poles would provide accurate results, and AT&amp;T does not address that testimony.</w:t>
      </w:r>
      <w:r>
        <w:rPr>
          <w:rStyle w:val="FootnoteReference"/>
          <w:szCs w:val="22"/>
        </w:rPr>
        <w:footnoteReference w:id="57"/>
      </w:r>
      <w:r w:rsidRPr="006C16FF">
        <w:rPr>
          <w:rStyle w:val="FootnoteReference"/>
        </w:rPr>
        <w:t xml:space="preserve"> </w:t>
      </w:r>
      <w:r w:rsidRPr="00811D42">
        <w:rPr>
          <w:szCs w:val="22"/>
        </w:rPr>
        <w:t xml:space="preserve"> AT&amp;T protests that FPL’s data as to the number of regulated attaching entities, drawn from FPL’s annual surveys, is outdated because it was gathered over a five-year period, and adds that Florida’s population is growing, so that the number of </w:t>
      </w:r>
      <w:r w:rsidRPr="00811D42">
        <w:rPr>
          <w:szCs w:val="22"/>
        </w:rPr>
        <w:t>attachers</w:t>
      </w:r>
      <w:r w:rsidRPr="00811D42">
        <w:rPr>
          <w:szCs w:val="22"/>
        </w:rPr>
        <w:t xml:space="preserve"> can be expected to have increased.</w:t>
      </w:r>
      <w:r>
        <w:rPr>
          <w:rStyle w:val="FootnoteReference"/>
          <w:szCs w:val="22"/>
        </w:rPr>
        <w:footnoteReference w:id="58"/>
      </w:r>
      <w:r w:rsidRPr="006C16FF">
        <w:rPr>
          <w:rStyle w:val="FootnoteReference"/>
        </w:rPr>
        <w:t xml:space="preserve"> </w:t>
      </w:r>
      <w:r>
        <w:rPr>
          <w:szCs w:val="22"/>
        </w:rPr>
        <w:t xml:space="preserve"> </w:t>
      </w:r>
      <w:r w:rsidRPr="00811D42">
        <w:rPr>
          <w:szCs w:val="22"/>
        </w:rPr>
        <w:t xml:space="preserve">Yet AT&amp;T </w:t>
      </w:r>
      <w:r>
        <w:rPr>
          <w:szCs w:val="22"/>
        </w:rPr>
        <w:t>approved</w:t>
      </w:r>
      <w:r w:rsidRPr="00811D42">
        <w:rPr>
          <w:szCs w:val="22"/>
        </w:rPr>
        <w:t xml:space="preserve"> these surveys for purposes of calculating the parties’ </w:t>
      </w:r>
      <w:r>
        <w:rPr>
          <w:szCs w:val="22"/>
        </w:rPr>
        <w:t>rental payments</w:t>
      </w:r>
      <w:r w:rsidRPr="00811D42">
        <w:rPr>
          <w:szCs w:val="22"/>
        </w:rPr>
        <w:t xml:space="preserve"> under the </w:t>
      </w:r>
      <w:r w:rsidRPr="00811D42">
        <w:rPr>
          <w:szCs w:val="22"/>
        </w:rPr>
        <w:t>JUA</w:t>
      </w:r>
      <w:r w:rsidRPr="00811D42">
        <w:rPr>
          <w:szCs w:val="22"/>
        </w:rPr>
        <w:t xml:space="preserve">.  Further, although AT&amp;T was a party to the surveys and possesses their results, it provides no evidence that the number of </w:t>
      </w:r>
      <w:r w:rsidRPr="00811D42">
        <w:rPr>
          <w:szCs w:val="22"/>
        </w:rPr>
        <w:t>attachers</w:t>
      </w:r>
      <w:r w:rsidRPr="00811D42">
        <w:rPr>
          <w:szCs w:val="22"/>
        </w:rPr>
        <w:t xml:space="preserve"> has grown over time (for example, by comparing the number of </w:t>
      </w:r>
      <w:r w:rsidRPr="00811D42">
        <w:rPr>
          <w:szCs w:val="22"/>
        </w:rPr>
        <w:t>attachers</w:t>
      </w:r>
      <w:r w:rsidRPr="00811D42">
        <w:rPr>
          <w:szCs w:val="22"/>
        </w:rPr>
        <w:t xml:space="preserve"> in a region surveyed in 2018 to the number of </w:t>
      </w:r>
      <w:r w:rsidRPr="00811D42">
        <w:rPr>
          <w:szCs w:val="22"/>
        </w:rPr>
        <w:t>attachers</w:t>
      </w:r>
      <w:r w:rsidRPr="00811D42">
        <w:rPr>
          <w:szCs w:val="22"/>
        </w:rPr>
        <w:t xml:space="preserve"> in that same region surveyed five years earlier)</w:t>
      </w:r>
      <w:r>
        <w:rPr>
          <w:szCs w:val="22"/>
        </w:rPr>
        <w:t>.</w:t>
      </w:r>
    </w:p>
    <w:p w:rsidR="00C0210E" w:rsidRPr="00811D42" w:rsidP="00C0210E" w14:paraId="6775BB2C" w14:textId="77777777">
      <w:pPr>
        <w:pStyle w:val="ParaNum"/>
        <w:tabs>
          <w:tab w:val="clear" w:pos="1440"/>
        </w:tabs>
        <w:rPr>
          <w:szCs w:val="22"/>
        </w:rPr>
      </w:pPr>
      <w:r w:rsidRPr="00811D42">
        <w:rPr>
          <w:szCs w:val="22"/>
        </w:rPr>
        <w:t xml:space="preserve">Finally, AT&amp;T </w:t>
      </w:r>
      <w:r>
        <w:rPr>
          <w:szCs w:val="22"/>
        </w:rPr>
        <w:t>assert</w:t>
      </w:r>
      <w:r w:rsidRPr="00811D42">
        <w:rPr>
          <w:szCs w:val="22"/>
        </w:rPr>
        <w:t xml:space="preserve">s that “FPL’s proposed input for the average number of attaching entities </w:t>
      </w:r>
      <w:r>
        <w:rPr>
          <w:szCs w:val="22"/>
        </w:rPr>
        <w:t xml:space="preserve">. . . </w:t>
      </w:r>
      <w:r w:rsidRPr="00811D42">
        <w:rPr>
          <w:szCs w:val="22"/>
        </w:rPr>
        <w:t>reflects a mishmash of selective data – some collected this year about 2,000 poles [i.e., the</w:t>
      </w:r>
      <w:r>
        <w:rPr>
          <w:szCs w:val="22"/>
        </w:rPr>
        <w:t xml:space="preserve"> two 2019 surveys</w:t>
      </w:r>
      <w:r w:rsidRPr="00811D42">
        <w:rPr>
          <w:szCs w:val="22"/>
        </w:rPr>
        <w:t xml:space="preserve">] and some collected up to 4 years ago about different poles [i.e., the data collected in the </w:t>
      </w:r>
      <w:r>
        <w:rPr>
          <w:szCs w:val="22"/>
        </w:rPr>
        <w:t xml:space="preserve">earlier </w:t>
      </w:r>
      <w:r w:rsidRPr="00811D42">
        <w:rPr>
          <w:szCs w:val="22"/>
        </w:rPr>
        <w:t>annual surveys].  None of it reflects the ‘actual’ number of entities on any specific pole</w:t>
      </w:r>
      <w:r>
        <w:rPr>
          <w:szCs w:val="22"/>
        </w:rPr>
        <w:t>.</w:t>
      </w:r>
      <w:r w:rsidRPr="00811D42">
        <w:rPr>
          <w:szCs w:val="22"/>
        </w:rPr>
        <w:t>”</w:t>
      </w:r>
      <w:r>
        <w:rPr>
          <w:rStyle w:val="FootnoteReference"/>
          <w:szCs w:val="22"/>
        </w:rPr>
        <w:footnoteReference w:id="59"/>
      </w:r>
      <w:r w:rsidRPr="00811D42">
        <w:rPr>
          <w:szCs w:val="22"/>
        </w:rPr>
        <w:t xml:space="preserve">  </w:t>
      </w:r>
      <w:r>
        <w:rPr>
          <w:szCs w:val="22"/>
        </w:rPr>
        <w:t>We disagree</w:t>
      </w:r>
      <w:r w:rsidRPr="00811D42">
        <w:rPr>
          <w:szCs w:val="22"/>
        </w:rPr>
        <w:t xml:space="preserve">.  FPL is not required to provide the actual number of </w:t>
      </w:r>
      <w:r w:rsidRPr="00811D42">
        <w:rPr>
          <w:szCs w:val="22"/>
        </w:rPr>
        <w:t>attachers</w:t>
      </w:r>
      <w:r w:rsidRPr="00811D42">
        <w:rPr>
          <w:szCs w:val="22"/>
        </w:rPr>
        <w:t xml:space="preserve"> on specific poles in order to rebut the presumption; it need only provide “probative direct evidence,” </w:t>
      </w:r>
      <w:r>
        <w:rPr>
          <w:szCs w:val="22"/>
        </w:rPr>
        <w:t xml:space="preserve">which may include </w:t>
      </w:r>
      <w:r w:rsidRPr="00811D42">
        <w:rPr>
          <w:szCs w:val="22"/>
        </w:rPr>
        <w:t xml:space="preserve">“a statistically sound survey.”  As discussed, </w:t>
      </w:r>
      <w:r>
        <w:rPr>
          <w:szCs w:val="22"/>
        </w:rPr>
        <w:t xml:space="preserve">FPL’s annual surveys establish that the number of regulated </w:t>
      </w:r>
      <w:r>
        <w:rPr>
          <w:szCs w:val="22"/>
        </w:rPr>
        <w:t>attachers</w:t>
      </w:r>
      <w:r>
        <w:rPr>
          <w:szCs w:val="22"/>
        </w:rPr>
        <w:t xml:space="preserve"> is 2.96.  Further, </w:t>
      </w:r>
      <w:r w:rsidRPr="00811D42">
        <w:rPr>
          <w:szCs w:val="22"/>
        </w:rPr>
        <w:t>FPL’s</w:t>
      </w:r>
      <w:r>
        <w:rPr>
          <w:szCs w:val="22"/>
        </w:rPr>
        <w:t xml:space="preserve"> July 2019 </w:t>
      </w:r>
      <w:r w:rsidRPr="00811D42">
        <w:rPr>
          <w:szCs w:val="22"/>
        </w:rPr>
        <w:t>survey of 2,000 randomly selected poles</w:t>
      </w:r>
      <w:r>
        <w:rPr>
          <w:szCs w:val="22"/>
        </w:rPr>
        <w:t xml:space="preserve"> indicates</w:t>
      </w:r>
      <w:r w:rsidRPr="00811D42">
        <w:rPr>
          <w:szCs w:val="22"/>
        </w:rPr>
        <w:t xml:space="preserve"> that as few as 1.02% of </w:t>
      </w:r>
      <w:r>
        <w:rPr>
          <w:szCs w:val="22"/>
        </w:rPr>
        <w:t>FPL’s</w:t>
      </w:r>
      <w:r w:rsidRPr="00811D42">
        <w:rPr>
          <w:szCs w:val="22"/>
        </w:rPr>
        <w:t xml:space="preserve"> </w:t>
      </w:r>
      <w:r>
        <w:rPr>
          <w:szCs w:val="22"/>
        </w:rPr>
        <w:t>JUA</w:t>
      </w:r>
      <w:r>
        <w:rPr>
          <w:szCs w:val="22"/>
        </w:rPr>
        <w:t xml:space="preserve"> </w:t>
      </w:r>
      <w:r w:rsidRPr="00811D42">
        <w:rPr>
          <w:szCs w:val="22"/>
        </w:rPr>
        <w:t>poles ha</w:t>
      </w:r>
      <w:r>
        <w:rPr>
          <w:szCs w:val="22"/>
        </w:rPr>
        <w:t>ve</w:t>
      </w:r>
      <w:r w:rsidRPr="00811D42">
        <w:rPr>
          <w:szCs w:val="22"/>
        </w:rPr>
        <w:t xml:space="preserve"> governmental attachments.  Nevertheless, in an excess of caution, and at FPL’s urging, we apply the results of FPL’s 2019 annual survey, which found that a greater number of the poles </w:t>
      </w:r>
      <w:r>
        <w:rPr>
          <w:szCs w:val="22"/>
        </w:rPr>
        <w:t xml:space="preserve">– </w:t>
      </w:r>
      <w:r w:rsidRPr="00811D42">
        <w:rPr>
          <w:szCs w:val="22"/>
        </w:rPr>
        <w:t xml:space="preserve">2.8% </w:t>
      </w:r>
      <w:r>
        <w:rPr>
          <w:szCs w:val="22"/>
        </w:rPr>
        <w:t>– have g</w:t>
      </w:r>
      <w:r w:rsidRPr="00811D42">
        <w:rPr>
          <w:szCs w:val="22"/>
        </w:rPr>
        <w:t xml:space="preserve">overnmental attachments.  Therefore, it is unlikely that the number of governmental </w:t>
      </w:r>
      <w:r w:rsidRPr="00811D42">
        <w:rPr>
          <w:szCs w:val="22"/>
        </w:rPr>
        <w:t>attachers</w:t>
      </w:r>
      <w:r w:rsidRPr="00811D42">
        <w:rPr>
          <w:szCs w:val="22"/>
        </w:rPr>
        <w:t xml:space="preserve"> is overstated, and AT&amp;T is not prejudiced.  </w:t>
      </w:r>
    </w:p>
    <w:p w:rsidR="00C0210E" w:rsidRPr="00BE1945" w:rsidP="00C0210E" w14:paraId="2A9A7C40" w14:textId="77777777">
      <w:pPr>
        <w:pStyle w:val="ParaNum"/>
        <w:tabs>
          <w:tab w:val="clear" w:pos="1440"/>
        </w:tabs>
      </w:pPr>
      <w:r>
        <w:rPr>
          <w:szCs w:val="22"/>
          <w:u w:val="single"/>
        </w:rPr>
        <w:t>Rate of Return</w:t>
      </w:r>
      <w:r w:rsidRPr="00811D42">
        <w:rPr>
          <w:szCs w:val="22"/>
        </w:rPr>
        <w:t xml:space="preserve">:  </w:t>
      </w:r>
      <w:bookmarkStart w:id="11" w:name="_Hlk61370297"/>
      <w:r w:rsidRPr="00811D42">
        <w:rPr>
          <w:szCs w:val="22"/>
        </w:rPr>
        <w:t>T</w:t>
      </w:r>
      <w:r w:rsidRPr="00BE1945">
        <w:rPr>
          <w:szCs w:val="22"/>
        </w:rPr>
        <w:t xml:space="preserve">he parties also dispute the appropriate input for the </w:t>
      </w:r>
      <w:r>
        <w:rPr>
          <w:szCs w:val="22"/>
        </w:rPr>
        <w:t>rate of return</w:t>
      </w:r>
      <w:r w:rsidRPr="00BE1945">
        <w:rPr>
          <w:szCs w:val="22"/>
        </w:rPr>
        <w:t>, which is an element of the Carrying Charge Rate.  The Commission has explained that the</w:t>
      </w:r>
      <w:r>
        <w:rPr>
          <w:szCs w:val="22"/>
        </w:rPr>
        <w:t xml:space="preserve"> rate of return</w:t>
      </w:r>
      <w:r w:rsidRPr="00BE1945">
        <w:rPr>
          <w:szCs w:val="22"/>
        </w:rPr>
        <w:t xml:space="preserve"> authorized by the relevant state for the utility’s intrastate services should be used for this input</w:t>
      </w:r>
      <w:r>
        <w:rPr>
          <w:szCs w:val="22"/>
        </w:rPr>
        <w:t xml:space="preserve"> “when available.”</w:t>
      </w:r>
      <w:r>
        <w:rPr>
          <w:rStyle w:val="FootnoteReference"/>
          <w:szCs w:val="22"/>
        </w:rPr>
        <w:footnoteReference w:id="60"/>
      </w:r>
      <w:r w:rsidRPr="00BE1945">
        <w:rPr>
          <w:szCs w:val="22"/>
        </w:rPr>
        <w:t xml:space="preserve">  </w:t>
      </w:r>
      <w:r>
        <w:rPr>
          <w:szCs w:val="22"/>
        </w:rPr>
        <w:t>Otherwise, “when a state has not prescribed a rate of return for a utility,” t</w:t>
      </w:r>
      <w:r w:rsidRPr="00BE1945">
        <w:rPr>
          <w:szCs w:val="22"/>
        </w:rPr>
        <w:t xml:space="preserve">he Commission </w:t>
      </w:r>
      <w:r>
        <w:rPr>
          <w:szCs w:val="22"/>
        </w:rPr>
        <w:t>adopted</w:t>
      </w:r>
      <w:r w:rsidRPr="00BE1945">
        <w:rPr>
          <w:szCs w:val="22"/>
        </w:rPr>
        <w:t xml:space="preserve"> </w:t>
      </w:r>
      <w:r>
        <w:rPr>
          <w:szCs w:val="22"/>
        </w:rPr>
        <w:t xml:space="preserve">a </w:t>
      </w:r>
      <w:r w:rsidRPr="00BE1945">
        <w:rPr>
          <w:szCs w:val="22"/>
        </w:rPr>
        <w:t>default</w:t>
      </w:r>
      <w:r>
        <w:rPr>
          <w:szCs w:val="22"/>
        </w:rPr>
        <w:t xml:space="preserve"> rate of return</w:t>
      </w:r>
      <w:r w:rsidRPr="00BE1945">
        <w:rPr>
          <w:szCs w:val="22"/>
        </w:rPr>
        <w:t>,</w:t>
      </w:r>
      <w:r>
        <w:rPr>
          <w:szCs w:val="22"/>
        </w:rPr>
        <w:t xml:space="preserve"> namely, its</w:t>
      </w:r>
      <w:r w:rsidRPr="00BE1945">
        <w:rPr>
          <w:szCs w:val="22"/>
        </w:rPr>
        <w:t xml:space="preserve"> authorized </w:t>
      </w:r>
      <w:r>
        <w:rPr>
          <w:szCs w:val="22"/>
        </w:rPr>
        <w:t>rate of return</w:t>
      </w:r>
      <w:r w:rsidRPr="00BE1945">
        <w:rPr>
          <w:szCs w:val="22"/>
        </w:rPr>
        <w:t xml:space="preserve"> for interstate access services provided by </w:t>
      </w:r>
      <w:r w:rsidRPr="00BE1945">
        <w:rPr>
          <w:szCs w:val="22"/>
        </w:rPr>
        <w:t>LECs</w:t>
      </w:r>
      <w:r w:rsidRPr="00BE1945">
        <w:rPr>
          <w:szCs w:val="22"/>
        </w:rPr>
        <w:t xml:space="preserve"> subject to</w:t>
      </w:r>
      <w:r>
        <w:rPr>
          <w:szCs w:val="22"/>
        </w:rPr>
        <w:t xml:space="preserve"> rate-of-return</w:t>
      </w:r>
      <w:r w:rsidRPr="00BE1945">
        <w:rPr>
          <w:szCs w:val="22"/>
        </w:rPr>
        <w:t xml:space="preserve"> regulation.</w:t>
      </w:r>
      <w:r>
        <w:rPr>
          <w:rStyle w:val="FootnoteReference"/>
          <w:szCs w:val="22"/>
        </w:rPr>
        <w:footnoteReference w:id="61"/>
      </w:r>
      <w:r w:rsidRPr="001649DD">
        <w:rPr>
          <w:rStyle w:val="FootnoteReference"/>
          <w:szCs w:val="22"/>
        </w:rPr>
        <w:t xml:space="preserve"> </w:t>
      </w:r>
    </w:p>
    <w:p w:rsidR="00C0210E" w:rsidRPr="00811D42" w:rsidP="00C0210E" w14:paraId="039D60FF" w14:textId="77777777">
      <w:pPr>
        <w:pStyle w:val="ParaNum"/>
        <w:tabs>
          <w:tab w:val="clear" w:pos="1440"/>
        </w:tabs>
        <w:rPr>
          <w:szCs w:val="22"/>
        </w:rPr>
      </w:pPr>
      <w:r w:rsidRPr="00BE1945">
        <w:rPr>
          <w:szCs w:val="22"/>
        </w:rPr>
        <w:t>FPL argues that the Commission’s default</w:t>
      </w:r>
      <w:r>
        <w:rPr>
          <w:szCs w:val="22"/>
        </w:rPr>
        <w:t xml:space="preserve"> rate of return</w:t>
      </w:r>
      <w:r w:rsidRPr="00BE1945">
        <w:rPr>
          <w:szCs w:val="22"/>
        </w:rPr>
        <w:t xml:space="preserve"> should apply because FPL operates under a settlement agreement approved by the Florida Public Service Commission</w:t>
      </w:r>
      <w:r>
        <w:rPr>
          <w:szCs w:val="22"/>
        </w:rPr>
        <w:t xml:space="preserve"> (PSC)</w:t>
      </w:r>
      <w:r w:rsidRPr="00BE1945">
        <w:rPr>
          <w:szCs w:val="22"/>
        </w:rPr>
        <w:t xml:space="preserve"> that </w:t>
      </w:r>
      <w:r w:rsidRPr="00BE1945">
        <w:rPr>
          <w:szCs w:val="22"/>
        </w:rPr>
        <w:t xml:space="preserve">does not establish a </w:t>
      </w:r>
      <w:r>
        <w:rPr>
          <w:szCs w:val="22"/>
        </w:rPr>
        <w:t>rate of return</w:t>
      </w:r>
      <w:r w:rsidRPr="00BE1945">
        <w:rPr>
          <w:szCs w:val="22"/>
        </w:rPr>
        <w:t>.</w:t>
      </w:r>
      <w:r>
        <w:rPr>
          <w:rStyle w:val="FootnoteReference"/>
          <w:szCs w:val="22"/>
        </w:rPr>
        <w:footnoteReference w:id="62"/>
      </w:r>
      <w:r w:rsidRPr="00BE1945">
        <w:rPr>
          <w:szCs w:val="22"/>
        </w:rPr>
        <w:t xml:space="preserve">  We agree.  </w:t>
      </w:r>
      <w:r>
        <w:rPr>
          <w:szCs w:val="22"/>
        </w:rPr>
        <w:t xml:space="preserve">While AT&amp;T argues that FPL’s rate of return may be calculated more accurately using data filed by FPL with the Florida PSC, we may not ignore the Commission’s decision to adopt a default rate where the state has not prescribed a rate of return.  </w:t>
      </w:r>
      <w:bookmarkEnd w:id="11"/>
    </w:p>
    <w:p w:rsidR="00C0210E" w:rsidP="00C0210E" w14:paraId="479EBD86" w14:textId="77777777">
      <w:pPr>
        <w:pStyle w:val="ParaNum"/>
        <w:tabs>
          <w:tab w:val="clear" w:pos="1440"/>
        </w:tabs>
        <w:rPr>
          <w:szCs w:val="22"/>
        </w:rPr>
      </w:pPr>
      <w:r w:rsidRPr="00241B9D">
        <w:rPr>
          <w:szCs w:val="22"/>
          <w:u w:val="single"/>
        </w:rPr>
        <w:t>Accumulated Depreciation</w:t>
      </w:r>
      <w:r w:rsidRPr="00811D42">
        <w:rPr>
          <w:szCs w:val="22"/>
        </w:rPr>
        <w:t>:  Finally, the parties disagree as to the source of the accumulated depreciation numbers to be used to calculate net pole investment (which, in turn, is used to calculate the Net Cost of a Bare Pole) and to calculate net investment related to FERC accounts 364 (Poles, Towers and Fixtures), 365 (Overhead Conductors and Devices)</w:t>
      </w:r>
      <w:r>
        <w:rPr>
          <w:szCs w:val="22"/>
        </w:rPr>
        <w:t>,</w:t>
      </w:r>
      <w:r w:rsidRPr="00811D42">
        <w:rPr>
          <w:szCs w:val="22"/>
        </w:rPr>
        <w:t xml:space="preserve"> and 369 (Services), the denominator of the Maintenance Factor.  We find that the parties should use the accumulated depreciation figures provided in Schedule II of the annual status reports filed by FPL with the Florida PSC, as that data </w:t>
      </w:r>
      <w:bookmarkStart w:id="12" w:name="_Hlk61433520"/>
      <w:r>
        <w:rPr>
          <w:szCs w:val="22"/>
        </w:rPr>
        <w:t>is specific to the assets for which investment is reflected in these accounts and thus more likely to be accurate than data developed from allocators applied to the more highly aggregated accumulated depreciation account</w:t>
      </w:r>
      <w:r w:rsidRPr="00811D42">
        <w:rPr>
          <w:szCs w:val="22"/>
        </w:rPr>
        <w:t xml:space="preserve"> used by AT&amp;T</w:t>
      </w:r>
      <w:bookmarkEnd w:id="12"/>
      <w:r w:rsidRPr="00811D42">
        <w:rPr>
          <w:szCs w:val="22"/>
        </w:rPr>
        <w:t>.</w:t>
      </w:r>
      <w:r>
        <w:rPr>
          <w:vertAlign w:val="superscript"/>
        </w:rPr>
        <w:footnoteReference w:id="63"/>
      </w:r>
      <w:r w:rsidRPr="00811D42">
        <w:rPr>
          <w:szCs w:val="22"/>
        </w:rPr>
        <w:t xml:space="preserve"> </w:t>
      </w:r>
    </w:p>
    <w:p w:rsidR="00C0210E" w:rsidP="00C0210E" w14:paraId="2FD9A1EF" w14:textId="77777777">
      <w:pPr>
        <w:pStyle w:val="ParaNum"/>
        <w:tabs>
          <w:tab w:val="clear" w:pos="1440"/>
        </w:tabs>
        <w:rPr>
          <w:szCs w:val="22"/>
        </w:rPr>
      </w:pPr>
      <w:r w:rsidRPr="00E10AB4">
        <w:rPr>
          <w:szCs w:val="22"/>
        </w:rPr>
        <w:t>In sum</w:t>
      </w:r>
      <w:r>
        <w:rPr>
          <w:szCs w:val="22"/>
        </w:rPr>
        <w:t xml:space="preserve">, we find that AT&amp;T </w:t>
      </w:r>
      <w:r w:rsidRPr="00811D42">
        <w:rPr>
          <w:szCs w:val="22"/>
        </w:rPr>
        <w:t>is entitled to a refund</w:t>
      </w:r>
      <w:r>
        <w:rPr>
          <w:szCs w:val="22"/>
        </w:rPr>
        <w:t>, plus interest,</w:t>
      </w:r>
      <w:r w:rsidRPr="00811D42">
        <w:rPr>
          <w:szCs w:val="22"/>
        </w:rPr>
        <w:t xml:space="preserve"> </w:t>
      </w:r>
      <w:r>
        <w:rPr>
          <w:szCs w:val="22"/>
        </w:rPr>
        <w:t xml:space="preserve">of any overpayments </w:t>
      </w:r>
      <w:r w:rsidRPr="00811D42">
        <w:rPr>
          <w:szCs w:val="22"/>
        </w:rPr>
        <w:t>for the period beginning July 1, 2014, which is five years from the date it filed its Complaint</w:t>
      </w:r>
      <w:r>
        <w:rPr>
          <w:szCs w:val="22"/>
        </w:rPr>
        <w:t xml:space="preserve">, and direct the parties to calculate and apply new pole attachment rates in accordance with the guidance provided in the </w:t>
      </w:r>
      <w:r w:rsidRPr="001D7E24">
        <w:rPr>
          <w:i/>
          <w:iCs/>
          <w:szCs w:val="22"/>
        </w:rPr>
        <w:t>Bureau Order</w:t>
      </w:r>
      <w:r>
        <w:rPr>
          <w:szCs w:val="22"/>
        </w:rPr>
        <w:t xml:space="preserve"> and this Order.</w:t>
      </w:r>
    </w:p>
    <w:p w:rsidR="00C0210E" w:rsidRPr="00811D42" w:rsidP="00C0210E" w14:paraId="4B262903" w14:textId="77777777">
      <w:pPr>
        <w:pStyle w:val="Heading1"/>
      </w:pPr>
      <w:r w:rsidRPr="00811D42">
        <w:t>ordering clause</w:t>
      </w:r>
    </w:p>
    <w:p w:rsidR="00C0210E" w:rsidP="00C0210E" w14:paraId="1200341B" w14:textId="77777777">
      <w:pPr>
        <w:pStyle w:val="ParaNum"/>
        <w:tabs>
          <w:tab w:val="clear" w:pos="1440"/>
        </w:tabs>
        <w:rPr>
          <w:szCs w:val="22"/>
        </w:rPr>
      </w:pPr>
      <w:r w:rsidRPr="00811D42">
        <w:rPr>
          <w:szCs w:val="22"/>
        </w:rPr>
        <w:t>Accordingly, pursuant to sections 4(</w:t>
      </w:r>
      <w:r w:rsidRPr="00811D42">
        <w:rPr>
          <w:szCs w:val="22"/>
        </w:rPr>
        <w:t>i</w:t>
      </w:r>
      <w:r w:rsidRPr="00811D42">
        <w:rPr>
          <w:szCs w:val="22"/>
        </w:rPr>
        <w:t>), 4(j) and 224 of the Communications Act, 47 U.S.C. §§ 154(</w:t>
      </w:r>
      <w:r w:rsidRPr="00811D42">
        <w:rPr>
          <w:szCs w:val="22"/>
        </w:rPr>
        <w:t>i</w:t>
      </w:r>
      <w:r w:rsidRPr="00811D42">
        <w:rPr>
          <w:szCs w:val="22"/>
        </w:rPr>
        <w:t xml:space="preserve">), 154(j), and 224, and sections 0.111, 0.311, </w:t>
      </w:r>
      <w:r>
        <w:rPr>
          <w:szCs w:val="22"/>
        </w:rPr>
        <w:t xml:space="preserve">1.723(g), </w:t>
      </w:r>
      <w:r w:rsidRPr="00811D42">
        <w:rPr>
          <w:szCs w:val="22"/>
        </w:rPr>
        <w:t>1.1401, 1.1402, and 1.1404,</w:t>
      </w:r>
      <w:r>
        <w:rPr>
          <w:szCs w:val="22"/>
        </w:rPr>
        <w:t xml:space="preserve">  and 1.1407</w:t>
      </w:r>
      <w:r w:rsidRPr="00811D42">
        <w:rPr>
          <w:szCs w:val="22"/>
        </w:rPr>
        <w:t xml:space="preserve"> of the Commission’s rules, 47 CFR §§ 0.111, 0.311, </w:t>
      </w:r>
      <w:r>
        <w:rPr>
          <w:szCs w:val="22"/>
        </w:rPr>
        <w:t xml:space="preserve">1.723(g), </w:t>
      </w:r>
      <w:r w:rsidRPr="00811D42">
        <w:rPr>
          <w:szCs w:val="22"/>
        </w:rPr>
        <w:t xml:space="preserve">1.1401, 1.1402, </w:t>
      </w:r>
      <w:r>
        <w:rPr>
          <w:szCs w:val="22"/>
        </w:rPr>
        <w:t xml:space="preserve">1.1404 </w:t>
      </w:r>
      <w:r w:rsidRPr="00811D42">
        <w:rPr>
          <w:szCs w:val="22"/>
        </w:rPr>
        <w:t>and 1.140</w:t>
      </w:r>
      <w:r>
        <w:rPr>
          <w:szCs w:val="22"/>
        </w:rPr>
        <w:t>7</w:t>
      </w:r>
      <w:r w:rsidRPr="00811D42">
        <w:rPr>
          <w:szCs w:val="22"/>
        </w:rPr>
        <w:t xml:space="preserve">, the Complaint is </w:t>
      </w:r>
      <w:r w:rsidRPr="00021AB9">
        <w:rPr>
          <w:b/>
          <w:bCs/>
          <w:szCs w:val="22"/>
        </w:rPr>
        <w:t>GRANTED IN PART</w:t>
      </w:r>
      <w:r w:rsidRPr="00811D42">
        <w:rPr>
          <w:szCs w:val="22"/>
        </w:rPr>
        <w:t xml:space="preserve"> and </w:t>
      </w:r>
      <w:r w:rsidRPr="00021AB9">
        <w:rPr>
          <w:b/>
          <w:bCs/>
          <w:szCs w:val="22"/>
        </w:rPr>
        <w:t>STAYED IN PART</w:t>
      </w:r>
      <w:r w:rsidRPr="00811D42">
        <w:rPr>
          <w:szCs w:val="22"/>
        </w:rPr>
        <w:t>.</w:t>
      </w:r>
    </w:p>
    <w:p w:rsidR="00C0210E" w:rsidP="00C0210E" w14:paraId="14C1C160" w14:textId="77777777"/>
    <w:p w:rsidR="00455A29" w:rsidP="0017296B" w14:paraId="75B8F923" w14:textId="77777777">
      <w:r>
        <w:tab/>
      </w:r>
      <w:r>
        <w:tab/>
      </w:r>
      <w:r>
        <w:tab/>
      </w:r>
      <w:r>
        <w:tab/>
      </w:r>
      <w:r>
        <w:tab/>
      </w:r>
      <w:r>
        <w:tab/>
        <w:t>FEDERAL COMMUNICATIONS COMMISSION</w:t>
      </w:r>
    </w:p>
    <w:p w:rsidR="00455A29" w:rsidP="0017296B" w14:paraId="543AB7AA" w14:textId="77777777"/>
    <w:p w:rsidR="00455A29" w:rsidP="0017296B" w14:paraId="6BA4C9A6" w14:textId="77777777"/>
    <w:p w:rsidR="00455A29" w:rsidP="0017296B" w14:paraId="2BD8DDCA" w14:textId="77777777"/>
    <w:p w:rsidR="00455A29" w:rsidP="0017296B" w14:paraId="39C16B38" w14:textId="77777777"/>
    <w:p w:rsidR="00455A29" w:rsidP="0017296B" w14:paraId="4C3B1F35" w14:textId="469934D8">
      <w:r>
        <w:tab/>
      </w:r>
      <w:r>
        <w:tab/>
      </w:r>
      <w:r>
        <w:tab/>
      </w:r>
      <w:r>
        <w:tab/>
      </w:r>
      <w:r>
        <w:tab/>
      </w:r>
      <w:r>
        <w:tab/>
      </w:r>
      <w:r w:rsidRPr="00811D42">
        <w:t>Rosemary C. Harold</w:t>
      </w:r>
    </w:p>
    <w:p w:rsidR="00455A29" w:rsidP="0017296B" w14:paraId="13290242" w14:textId="01AD4D66">
      <w:r>
        <w:tab/>
      </w:r>
      <w:r>
        <w:tab/>
      </w:r>
      <w:r>
        <w:tab/>
      </w:r>
      <w:r>
        <w:tab/>
      </w:r>
      <w:r>
        <w:tab/>
      </w:r>
      <w:r>
        <w:tab/>
      </w:r>
      <w:r w:rsidRPr="00811D42">
        <w:t>Chief</w:t>
      </w:r>
    </w:p>
    <w:p w:rsidR="00455A29" w:rsidP="0017296B" w14:paraId="707EF1A2" w14:textId="15D021DE">
      <w:r>
        <w:tab/>
      </w:r>
      <w:r>
        <w:tab/>
      </w:r>
      <w:r>
        <w:tab/>
      </w:r>
      <w:r>
        <w:tab/>
      </w:r>
      <w:r>
        <w:tab/>
      </w:r>
      <w:r>
        <w:tab/>
      </w:r>
      <w:r w:rsidRPr="00811D42">
        <w:t>Enforcement Bureau</w:t>
      </w:r>
    </w:p>
    <w:p w:rsidR="00412FC5" w:rsidRPr="00C0210E" w:rsidP="00C0210E" w14:paraId="68242E1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8B6F9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E45F6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6305C" w14:paraId="7DCE52B3" w14:textId="68D1870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8A0F9F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6D8B" w14:paraId="32F5EE54" w14:textId="77777777">
      <w:r>
        <w:separator/>
      </w:r>
    </w:p>
  </w:footnote>
  <w:footnote w:type="continuationSeparator" w:id="1">
    <w:p w:rsidR="009E6D8B" w:rsidP="00C721AC" w14:paraId="5ED48D98" w14:textId="77777777">
      <w:pPr>
        <w:spacing w:before="120"/>
        <w:rPr>
          <w:sz w:val="20"/>
        </w:rPr>
      </w:pPr>
      <w:r>
        <w:rPr>
          <w:sz w:val="20"/>
        </w:rPr>
        <w:t xml:space="preserve">(Continued from previous page)  </w:t>
      </w:r>
      <w:r>
        <w:rPr>
          <w:sz w:val="20"/>
        </w:rPr>
        <w:separator/>
      </w:r>
    </w:p>
  </w:footnote>
  <w:footnote w:type="continuationNotice" w:id="2">
    <w:p w:rsidR="009E6D8B" w:rsidP="00C721AC" w14:paraId="54F38258" w14:textId="77777777">
      <w:pPr>
        <w:jc w:val="right"/>
        <w:rPr>
          <w:sz w:val="20"/>
        </w:rPr>
      </w:pPr>
      <w:r>
        <w:rPr>
          <w:sz w:val="20"/>
        </w:rPr>
        <w:t>(continued….)</w:t>
      </w:r>
    </w:p>
  </w:footnote>
  <w:footnote w:id="3">
    <w:p w:rsidR="00C0210E" w:rsidP="00C0210E" w14:paraId="4F099E6B" w14:textId="77777777">
      <w:pPr>
        <w:pStyle w:val="FootnoteText"/>
      </w:pPr>
      <w:r>
        <w:rPr>
          <w:rStyle w:val="FootnoteReference"/>
        </w:rPr>
        <w:footnoteRef/>
      </w:r>
      <w:r>
        <w:t xml:space="preserve"> </w:t>
      </w:r>
      <w:r w:rsidRPr="006C2E67">
        <w:rPr>
          <w:i/>
          <w:iCs/>
        </w:rPr>
        <w:t>See</w:t>
      </w:r>
      <w:r>
        <w:t xml:space="preserve"> Pole Attachment Complaint, Proceeding No. 19-187 (filed July 1, 2019); Amended Pole Attachment Complaint, Proceeding No. 19-187 (filed July 12, 2019) (Complaint).        </w:t>
      </w:r>
    </w:p>
  </w:footnote>
  <w:footnote w:id="4">
    <w:p w:rsidR="00C0210E" w:rsidP="00C0210E" w14:paraId="3F0F5C31" w14:textId="77777777">
      <w:pPr>
        <w:pStyle w:val="FootnoteText"/>
      </w:pPr>
      <w:r>
        <w:rPr>
          <w:rStyle w:val="FootnoteReference"/>
        </w:rPr>
        <w:footnoteRef/>
      </w:r>
      <w:r>
        <w:t xml:space="preserve"> 47 U.S.C. </w:t>
      </w:r>
      <w:r w:rsidRPr="1D1DEB0C">
        <w:t>§</w:t>
      </w:r>
      <w:r>
        <w:t xml:space="preserve"> 224. </w:t>
      </w:r>
    </w:p>
  </w:footnote>
  <w:footnote w:id="5">
    <w:p w:rsidR="00C0210E" w:rsidP="00C0210E" w14:paraId="4B509E2A" w14:textId="77777777">
      <w:pPr>
        <w:pStyle w:val="FootnoteText"/>
      </w:pPr>
      <w:r>
        <w:rPr>
          <w:rStyle w:val="FootnoteReference"/>
        </w:rPr>
        <w:footnoteRef/>
      </w:r>
      <w:r>
        <w:t xml:space="preserve"> </w:t>
      </w:r>
      <w:r w:rsidRPr="006F5B49">
        <w:rPr>
          <w:i/>
          <w:iCs/>
        </w:rPr>
        <w:t>See BellSouth Telecommunications, LLC v. Florida Power &amp; Light</w:t>
      </w:r>
      <w:r>
        <w:t xml:space="preserve">, Memorandum Opinion and Order, 35 FCC </w:t>
      </w:r>
      <w:r>
        <w:t>Rcd</w:t>
      </w:r>
      <w:r>
        <w:t xml:space="preserve"> 5321 (EB 2020) (</w:t>
      </w:r>
      <w:r w:rsidRPr="006B4476">
        <w:rPr>
          <w:i/>
          <w:iCs/>
        </w:rPr>
        <w:t>Bureau Order</w:t>
      </w:r>
      <w:r>
        <w:t>).</w:t>
      </w:r>
    </w:p>
  </w:footnote>
  <w:footnote w:id="6">
    <w:p w:rsidR="00C0210E" w:rsidP="00C0210E" w14:paraId="6ED08D58" w14:textId="77777777">
      <w:pPr>
        <w:pStyle w:val="FootnoteText"/>
      </w:pPr>
      <w:r>
        <w:rPr>
          <w:rStyle w:val="FootnoteReference"/>
        </w:rPr>
        <w:footnoteRef/>
      </w:r>
      <w:r>
        <w:t xml:space="preserve"> 47 U.S.C. </w:t>
      </w:r>
      <w:r w:rsidRPr="1D1DEB0C">
        <w:t>§</w:t>
      </w:r>
      <w:r>
        <w:t xml:space="preserve"> 224(b)(1).</w:t>
      </w:r>
    </w:p>
  </w:footnote>
  <w:footnote w:id="7">
    <w:p w:rsidR="00C0210E" w:rsidP="00C0210E" w14:paraId="51CB4BE0" w14:textId="77777777">
      <w:pPr>
        <w:pStyle w:val="FootnoteText"/>
      </w:pPr>
      <w:r>
        <w:rPr>
          <w:rStyle w:val="FootnoteReference"/>
        </w:rPr>
        <w:footnoteRef/>
      </w:r>
      <w:r>
        <w:t xml:space="preserve"> 47 U.S.C. </w:t>
      </w:r>
      <w:r w:rsidRPr="1D1DEB0C">
        <w:t>§</w:t>
      </w:r>
      <w:r>
        <w:t xml:space="preserve"> 224(e).</w:t>
      </w:r>
    </w:p>
  </w:footnote>
  <w:footnote w:id="8">
    <w:p w:rsidR="00C0210E" w:rsidP="00C0210E" w14:paraId="7F2AA138" w14:textId="77777777">
      <w:pPr>
        <w:pStyle w:val="FootnoteText"/>
      </w:pPr>
      <w:r>
        <w:rPr>
          <w:rStyle w:val="FootnoteReference"/>
        </w:rPr>
        <w:footnoteRef/>
      </w:r>
      <w:r>
        <w:t xml:space="preserve"> </w:t>
      </w:r>
      <w:r w:rsidRPr="00DF5EF8">
        <w:rPr>
          <w:i/>
          <w:iCs/>
        </w:rPr>
        <w:t>See</w:t>
      </w:r>
      <w:r>
        <w:t xml:space="preserve"> </w:t>
      </w:r>
      <w:r>
        <w:rPr>
          <w:i/>
          <w:iCs/>
        </w:rPr>
        <w:t>Implementation of Section 224 of the Act</w:t>
      </w:r>
      <w:r w:rsidRPr="002D2A53">
        <w:t>,</w:t>
      </w:r>
      <w:r>
        <w:rPr>
          <w:i/>
          <w:iCs/>
        </w:rPr>
        <w:t xml:space="preserve"> </w:t>
      </w:r>
      <w:r w:rsidRPr="002858C6">
        <w:t>Report and Order and Order on Reconsideration</w:t>
      </w:r>
      <w:r>
        <w:rPr>
          <w:i/>
          <w:iCs/>
        </w:rPr>
        <w:t xml:space="preserve">, </w:t>
      </w:r>
      <w:r w:rsidRPr="1D1DEB0C">
        <w:t xml:space="preserve">26 FCC </w:t>
      </w:r>
      <w:r w:rsidRPr="1D1DEB0C">
        <w:t>Rcd</w:t>
      </w:r>
      <w:r w:rsidRPr="1D1DEB0C">
        <w:t xml:space="preserve"> </w:t>
      </w:r>
      <w:r>
        <w:t>5240 (2011) (</w:t>
      </w:r>
      <w:r>
        <w:rPr>
          <w:i/>
          <w:iCs/>
        </w:rPr>
        <w:t xml:space="preserve">2011 </w:t>
      </w:r>
      <w:r w:rsidRPr="002858C6">
        <w:rPr>
          <w:i/>
          <w:iCs/>
        </w:rPr>
        <w:t>Pole Attachment Order</w:t>
      </w:r>
      <w:r>
        <w:t>)</w:t>
      </w:r>
      <w:r w:rsidRPr="00DF5EF8">
        <w:t xml:space="preserve"> </w:t>
      </w:r>
      <w:r w:rsidRPr="1D1DEB0C">
        <w:t>at 5</w:t>
      </w:r>
      <w:r>
        <w:t>224</w:t>
      </w:r>
      <w:r w:rsidRPr="1D1DEB0C">
        <w:t xml:space="preserve">, para. </w:t>
      </w:r>
      <w:r>
        <w:t xml:space="preserve">8, </w:t>
      </w:r>
      <w:r w:rsidRPr="002858C6">
        <w:rPr>
          <w:i/>
          <w:iCs/>
        </w:rPr>
        <w:t xml:space="preserve">aff’d Am. Elec. Power Serv. Corp. </w:t>
      </w:r>
      <w:r>
        <w:rPr>
          <w:i/>
          <w:iCs/>
        </w:rPr>
        <w:t>v</w:t>
      </w:r>
      <w:r w:rsidRPr="002858C6">
        <w:rPr>
          <w:i/>
          <w:iCs/>
        </w:rPr>
        <w:t>. FCC</w:t>
      </w:r>
      <w:r>
        <w:t xml:space="preserve">, 708 F.3d 1183 (D.C. Cir. 2013), </w:t>
      </w:r>
      <w:r w:rsidRPr="002858C6">
        <w:rPr>
          <w:i/>
          <w:iCs/>
        </w:rPr>
        <w:t>cert. denied</w:t>
      </w:r>
      <w:r>
        <w:t>, 571 U.S. 940 (2013)</w:t>
      </w:r>
      <w:r w:rsidRPr="1D1DEB0C">
        <w:t>.</w:t>
      </w:r>
    </w:p>
  </w:footnote>
  <w:footnote w:id="9">
    <w:p w:rsidR="00C0210E" w:rsidP="00C0210E" w14:paraId="2177E12C" w14:textId="77777777">
      <w:pPr>
        <w:pStyle w:val="FootnoteText"/>
      </w:pPr>
      <w:r>
        <w:rPr>
          <w:rStyle w:val="FootnoteReference"/>
        </w:rPr>
        <w:footnoteRef/>
      </w:r>
      <w:r>
        <w:t xml:space="preserve"> </w:t>
      </w:r>
      <w:r>
        <w:rPr>
          <w:i/>
          <w:iCs/>
        </w:rPr>
        <w:t xml:space="preserve">2011 </w:t>
      </w:r>
      <w:r w:rsidRPr="1D1DEB0C">
        <w:rPr>
          <w:i/>
          <w:iCs/>
        </w:rPr>
        <w:t>Pole Attachment Order</w:t>
      </w:r>
      <w:r w:rsidRPr="1D1DEB0C">
        <w:t xml:space="preserve">, 26 FCC </w:t>
      </w:r>
      <w:r w:rsidRPr="1D1DEB0C">
        <w:t>Rcd</w:t>
      </w:r>
      <w:r w:rsidRPr="1D1DEB0C">
        <w:t xml:space="preserve"> at 5333, para. 214.</w:t>
      </w:r>
    </w:p>
  </w:footnote>
  <w:footnote w:id="10">
    <w:p w:rsidR="00C0210E" w:rsidP="00C0210E" w14:paraId="0F062A55" w14:textId="77777777">
      <w:pPr>
        <w:pStyle w:val="FootnoteText"/>
      </w:pPr>
      <w:r>
        <w:rPr>
          <w:rStyle w:val="FootnoteReference"/>
        </w:rPr>
        <w:footnoteRef/>
      </w:r>
      <w:r>
        <w:t xml:space="preserve"> </w:t>
      </w:r>
      <w:r>
        <w:rPr>
          <w:i/>
          <w:iCs/>
        </w:rPr>
        <w:t xml:space="preserve">2011 </w:t>
      </w:r>
      <w:r w:rsidRPr="1D1DEB0C">
        <w:rPr>
          <w:i/>
          <w:iCs/>
        </w:rPr>
        <w:t>Pole Attachment Order</w:t>
      </w:r>
      <w:r w:rsidRPr="1D1DEB0C">
        <w:t xml:space="preserve">, 26 FCC </w:t>
      </w:r>
      <w:r w:rsidRPr="1D1DEB0C">
        <w:t>Rcd</w:t>
      </w:r>
      <w:r w:rsidRPr="1D1DEB0C">
        <w:t xml:space="preserve"> at 5334, para. 216 &amp; n.651.</w:t>
      </w:r>
    </w:p>
  </w:footnote>
  <w:footnote w:id="11">
    <w:p w:rsidR="00C0210E" w:rsidP="00C0210E" w14:paraId="7A92AE15" w14:textId="77777777">
      <w:pPr>
        <w:pStyle w:val="FootnoteText"/>
      </w:pPr>
      <w:r>
        <w:rPr>
          <w:rStyle w:val="FootnoteReference"/>
        </w:rPr>
        <w:footnoteRef/>
      </w:r>
      <w:r>
        <w:t xml:space="preserve"> </w:t>
      </w:r>
      <w:r>
        <w:rPr>
          <w:i/>
          <w:iCs/>
        </w:rPr>
        <w:t xml:space="preserve">2011 </w:t>
      </w:r>
      <w:r w:rsidRPr="1D1DEB0C">
        <w:rPr>
          <w:i/>
          <w:iCs/>
        </w:rPr>
        <w:t>Pole Attachment Order</w:t>
      </w:r>
      <w:r w:rsidRPr="1D1DEB0C">
        <w:t xml:space="preserve">, 26 FCC </w:t>
      </w:r>
      <w:r w:rsidRPr="1D1DEB0C">
        <w:t>Rcd</w:t>
      </w:r>
      <w:r w:rsidRPr="1D1DEB0C">
        <w:t xml:space="preserve"> at 5334, para. 216.</w:t>
      </w:r>
    </w:p>
  </w:footnote>
  <w:footnote w:id="12">
    <w:p w:rsidR="00C0210E" w:rsidRPr="009A423F" w:rsidP="00C0210E" w14:paraId="682D461A" w14:textId="77777777">
      <w:pPr>
        <w:pStyle w:val="FootnoteText"/>
      </w:pPr>
      <w:r>
        <w:rPr>
          <w:rStyle w:val="FootnoteReference"/>
        </w:rPr>
        <w:footnoteRef/>
      </w:r>
      <w:r>
        <w:t xml:space="preserve"> </w:t>
      </w:r>
      <w:r>
        <w:rPr>
          <w:i/>
          <w:iCs/>
        </w:rPr>
        <w:t xml:space="preserve">2011 </w:t>
      </w:r>
      <w:r w:rsidRPr="1D1DEB0C">
        <w:rPr>
          <w:i/>
          <w:iCs/>
        </w:rPr>
        <w:t>Pole Attachment Order</w:t>
      </w:r>
      <w:r w:rsidRPr="1D1DEB0C">
        <w:t xml:space="preserve">, 26 FCC </w:t>
      </w:r>
      <w:r w:rsidRPr="1D1DEB0C">
        <w:t>Rcd</w:t>
      </w:r>
      <w:r w:rsidRPr="1D1DEB0C">
        <w:t xml:space="preserve"> </w:t>
      </w:r>
      <w:r>
        <w:t xml:space="preserve">at </w:t>
      </w:r>
      <w:r w:rsidRPr="1D1DEB0C">
        <w:t xml:space="preserve">5336, para. 218.  The Commission subsequently established a rebuttable presumption that an incumbent </w:t>
      </w:r>
      <w:r w:rsidRPr="1D1DEB0C">
        <w:t>LEC</w:t>
      </w:r>
      <w:r w:rsidRPr="1D1DEB0C">
        <w:t xml:space="preserve"> that is a party to new or “newly-renewed” joint use agreement is “similarly situated” to competitive </w:t>
      </w:r>
      <w:r w:rsidRPr="1D1DEB0C">
        <w:t>LEC</w:t>
      </w:r>
      <w:r w:rsidRPr="1D1DEB0C">
        <w:t xml:space="preserve"> </w:t>
      </w:r>
      <w:r w:rsidRPr="1D1DEB0C">
        <w:t>attachers</w:t>
      </w:r>
      <w:r w:rsidRPr="1D1DEB0C">
        <w:t xml:space="preserve"> and therefore entitled to the same rate (</w:t>
      </w:r>
      <w:r w:rsidRPr="00473AAB">
        <w:t>i.e</w:t>
      </w:r>
      <w:r w:rsidRPr="1D1DEB0C">
        <w:rPr>
          <w:i/>
          <w:iCs/>
        </w:rPr>
        <w:t>.</w:t>
      </w:r>
      <w:r w:rsidRPr="1D1DEB0C">
        <w:t xml:space="preserve">, the New Telecom Rate).  </w:t>
      </w:r>
      <w:r w:rsidRPr="1D1DEB0C">
        <w:rPr>
          <w:i/>
          <w:iCs/>
        </w:rPr>
        <w:t>See</w:t>
      </w:r>
      <w:r w:rsidRPr="1D1DEB0C">
        <w:t xml:space="preserve"> </w:t>
      </w:r>
      <w:r w:rsidRPr="1D1DEB0C">
        <w:rPr>
          <w:i/>
          <w:iCs/>
        </w:rPr>
        <w:t>Accelerating Wireline Broadband Deployment by Removing Barriers to Infrastructure Development</w:t>
      </w:r>
      <w:r w:rsidRPr="1D1DEB0C">
        <w:t xml:space="preserve">, Third Report and Order and Declaratory Ruling, 33 FCC </w:t>
      </w:r>
      <w:r w:rsidRPr="1D1DEB0C">
        <w:t>Rcd</w:t>
      </w:r>
      <w:r w:rsidRPr="1D1DEB0C">
        <w:t xml:space="preserve"> 7705 (2018) (</w:t>
      </w:r>
      <w:r>
        <w:rPr>
          <w:i/>
          <w:iCs/>
        </w:rPr>
        <w:t>2018 Pole Attachment Order</w:t>
      </w:r>
      <w:r w:rsidRPr="1D1DEB0C">
        <w:t>) at 7769, para. 126.</w:t>
      </w:r>
      <w:r>
        <w:t xml:space="preserve">  Because the </w:t>
      </w:r>
      <w:r>
        <w:rPr>
          <w:i/>
          <w:iCs/>
        </w:rPr>
        <w:t>2018 Pole Attachment Order’s</w:t>
      </w:r>
      <w:r>
        <w:t xml:space="preserve"> rebuttable presumption became effective on March 11, 2019, it does not apply to the period we address here – July 1, 2014 to December 31, 2018.</w:t>
      </w:r>
    </w:p>
  </w:footnote>
  <w:footnote w:id="13">
    <w:p w:rsidR="00C0210E" w:rsidP="00C0210E" w14:paraId="2BE731A2" w14:textId="77777777">
      <w:pPr>
        <w:pStyle w:val="FootnoteText"/>
      </w:pPr>
      <w:r>
        <w:rPr>
          <w:rStyle w:val="FootnoteReference"/>
        </w:rPr>
        <w:footnoteRef/>
      </w:r>
      <w:r>
        <w:t xml:space="preserve"> </w:t>
      </w:r>
      <w:r w:rsidRPr="1D1DEB0C">
        <w:rPr>
          <w:i/>
          <w:iCs/>
        </w:rPr>
        <w:t>See</w:t>
      </w:r>
      <w:r w:rsidRPr="1D1DEB0C">
        <w:t xml:space="preserve"> </w:t>
      </w:r>
      <w:r w:rsidRPr="00DF5EF8">
        <w:rPr>
          <w:i/>
          <w:iCs/>
        </w:rPr>
        <w:t>Bureau Order</w:t>
      </w:r>
      <w:r>
        <w:t xml:space="preserve">, 35 FCC </w:t>
      </w:r>
      <w:r>
        <w:t>Rcd</w:t>
      </w:r>
      <w:r>
        <w:t xml:space="preserve"> at 5323, para. 5</w:t>
      </w:r>
      <w:r w:rsidRPr="1D1DEB0C">
        <w:t>.</w:t>
      </w:r>
    </w:p>
  </w:footnote>
  <w:footnote w:id="14">
    <w:p w:rsidR="00C0210E" w:rsidP="00C0210E" w14:paraId="5F67D3B0" w14:textId="77777777">
      <w:pPr>
        <w:pStyle w:val="FootnoteText"/>
      </w:pPr>
      <w:r>
        <w:rPr>
          <w:rStyle w:val="FootnoteReference"/>
        </w:rPr>
        <w:footnoteRef/>
      </w:r>
      <w:r>
        <w:t xml:space="preserve"> </w:t>
      </w:r>
      <w:r w:rsidRPr="00EC4294">
        <w:rPr>
          <w:i/>
          <w:iCs/>
        </w:rPr>
        <w:t>See</w:t>
      </w:r>
      <w:r>
        <w:t xml:space="preserve"> </w:t>
      </w:r>
      <w:r w:rsidRPr="00E07B44">
        <w:rPr>
          <w:i/>
          <w:iCs/>
        </w:rPr>
        <w:t>Bureau Order</w:t>
      </w:r>
      <w:r>
        <w:t xml:space="preserve">, 35 FCC </w:t>
      </w:r>
      <w:r>
        <w:t>Rcd</w:t>
      </w:r>
      <w:r>
        <w:t xml:space="preserve"> at 5322, para. 8.</w:t>
      </w:r>
    </w:p>
  </w:footnote>
  <w:footnote w:id="15">
    <w:p w:rsidR="00C0210E" w:rsidP="00C0210E" w14:paraId="2D30FDDA" w14:textId="77777777">
      <w:pPr>
        <w:pStyle w:val="FootnoteText"/>
      </w:pPr>
      <w:r>
        <w:rPr>
          <w:rStyle w:val="FootnoteReference"/>
        </w:rPr>
        <w:footnoteRef/>
      </w:r>
      <w:r>
        <w:t xml:space="preserve"> </w:t>
      </w:r>
      <w:r w:rsidRPr="1D1DEB0C">
        <w:rPr>
          <w:i/>
          <w:iCs/>
        </w:rPr>
        <w:t>See</w:t>
      </w:r>
      <w:r>
        <w:t xml:space="preserve"> </w:t>
      </w:r>
      <w:r w:rsidRPr="00E07B44">
        <w:rPr>
          <w:i/>
          <w:iCs/>
        </w:rPr>
        <w:t>Bureau Order</w:t>
      </w:r>
      <w:r>
        <w:t xml:space="preserve">, 35 FCC </w:t>
      </w:r>
      <w:r>
        <w:t>Rcd</w:t>
      </w:r>
      <w:r>
        <w:t xml:space="preserve"> at 5325, para. 9; Amended </w:t>
      </w:r>
      <w:r w:rsidRPr="1D1DEB0C">
        <w:t xml:space="preserve">Answer </w:t>
      </w:r>
      <w:r>
        <w:t xml:space="preserve">of Florida Power &amp; Light Company, Proceeding No. 19-187 (filed Mar. 6, 2020) (Answer) </w:t>
      </w:r>
      <w:r w:rsidRPr="1D1DEB0C">
        <w:t>at</w:t>
      </w:r>
      <w:r>
        <w:t xml:space="preserve"> 3, para. 6.  </w:t>
      </w:r>
    </w:p>
  </w:footnote>
  <w:footnote w:id="16">
    <w:p w:rsidR="00C0210E" w:rsidP="00C0210E" w14:paraId="4B8751C9" w14:textId="75F450FB">
      <w:pPr>
        <w:pStyle w:val="FootnoteText"/>
      </w:pPr>
      <w:r>
        <w:rPr>
          <w:rStyle w:val="FootnoteReference"/>
        </w:rPr>
        <w:footnoteRef/>
      </w:r>
      <w:r>
        <w:t xml:space="preserve"> </w:t>
      </w:r>
      <w:r w:rsidRPr="1D1DEB0C">
        <w:rPr>
          <w:i/>
          <w:iCs/>
        </w:rPr>
        <w:t>See</w:t>
      </w:r>
      <w:r w:rsidRPr="00224078">
        <w:rPr>
          <w:i/>
          <w:iCs/>
        </w:rPr>
        <w:t xml:space="preserve"> Bureau Order</w:t>
      </w:r>
      <w:r>
        <w:t xml:space="preserve">, 35 FCC </w:t>
      </w:r>
      <w:r>
        <w:t>Rcd</w:t>
      </w:r>
      <w:r>
        <w:t xml:space="preserve"> at 5326-31, paras. 11-17 (citing </w:t>
      </w:r>
      <w:r>
        <w:rPr>
          <w:i/>
          <w:iCs/>
        </w:rPr>
        <w:t xml:space="preserve">2011 </w:t>
      </w:r>
      <w:r w:rsidRPr="00926A47">
        <w:rPr>
          <w:i/>
          <w:iCs/>
        </w:rPr>
        <w:t>Pole Attachment Order</w:t>
      </w:r>
      <w:r w:rsidRPr="003D00E4" w:rsidR="003D00E4">
        <w:t xml:space="preserve">, 26 FCC </w:t>
      </w:r>
      <w:r w:rsidRPr="003D00E4" w:rsidR="003D00E4">
        <w:t>Rcd</w:t>
      </w:r>
      <w:r w:rsidRPr="003D00E4" w:rsidR="003D00E4">
        <w:t xml:space="preserve"> </w:t>
      </w:r>
      <w:r>
        <w:t xml:space="preserve">at 5336, para. 218).  </w:t>
      </w:r>
    </w:p>
  </w:footnote>
  <w:footnote w:id="17">
    <w:p w:rsidR="00C0210E" w:rsidP="00C0210E" w14:paraId="215971B3" w14:textId="77777777">
      <w:pPr>
        <w:pStyle w:val="FootnoteText"/>
      </w:pPr>
      <w:r>
        <w:rPr>
          <w:rStyle w:val="FootnoteReference"/>
        </w:rPr>
        <w:footnoteRef/>
      </w:r>
      <w:r>
        <w:t xml:space="preserve"> </w:t>
      </w:r>
      <w:r w:rsidRPr="00224078">
        <w:rPr>
          <w:i/>
          <w:iCs/>
        </w:rPr>
        <w:t>Bureau Order</w:t>
      </w:r>
      <w:r>
        <w:t xml:space="preserve">, 35 FCC </w:t>
      </w:r>
      <w:r>
        <w:t>Rcd</w:t>
      </w:r>
      <w:r>
        <w:t xml:space="preserve"> at 5328, para. 14. </w:t>
      </w:r>
    </w:p>
  </w:footnote>
  <w:footnote w:id="18">
    <w:p w:rsidR="00C0210E" w:rsidP="00C0210E" w14:paraId="7F6BA628" w14:textId="77777777">
      <w:pPr>
        <w:pStyle w:val="FootnoteText"/>
      </w:pPr>
      <w:r>
        <w:rPr>
          <w:rStyle w:val="FootnoteReference"/>
        </w:rPr>
        <w:footnoteRef/>
      </w:r>
      <w:r>
        <w:t xml:space="preserve"> </w:t>
      </w:r>
      <w:r w:rsidRPr="1D1DEB0C">
        <w:rPr>
          <w:i/>
          <w:iCs/>
        </w:rPr>
        <w:t>Bureau Order</w:t>
      </w:r>
      <w:r>
        <w:t xml:space="preserve">, 35 FCC </w:t>
      </w:r>
      <w:r>
        <w:t>Rcd</w:t>
      </w:r>
      <w:r>
        <w:t xml:space="preserve"> at 5326, </w:t>
      </w:r>
      <w:r w:rsidRPr="1D1DEB0C">
        <w:t>para. 10.</w:t>
      </w:r>
    </w:p>
  </w:footnote>
  <w:footnote w:id="19">
    <w:p w:rsidR="00C0210E" w:rsidP="00C0210E" w14:paraId="5FD24D55" w14:textId="5FEAD538">
      <w:pPr>
        <w:pStyle w:val="FootnoteText"/>
      </w:pPr>
      <w:r>
        <w:rPr>
          <w:rStyle w:val="FootnoteReference"/>
        </w:rPr>
        <w:footnoteRef/>
      </w:r>
      <w:r>
        <w:t xml:space="preserve"> </w:t>
      </w:r>
      <w:r w:rsidRPr="00224078">
        <w:rPr>
          <w:i/>
          <w:iCs/>
        </w:rPr>
        <w:t>Bureau Order</w:t>
      </w:r>
      <w:r>
        <w:t xml:space="preserve">, 35 FCC </w:t>
      </w:r>
      <w:r>
        <w:t>Rcd</w:t>
      </w:r>
      <w:r>
        <w:t xml:space="preserve"> at 5328, para. 14. In particular, any reduction in AT&amp;T’s rate further to the </w:t>
      </w:r>
      <w:r w:rsidRPr="00FC4E74">
        <w:rPr>
          <w:i/>
          <w:iCs/>
        </w:rPr>
        <w:t>2011</w:t>
      </w:r>
      <w:r>
        <w:t xml:space="preserve"> or </w:t>
      </w:r>
      <w:r w:rsidRPr="00FC4E74">
        <w:rPr>
          <w:i/>
          <w:iCs/>
        </w:rPr>
        <w:t>2018 Pole Attachment Orders</w:t>
      </w:r>
      <w:r>
        <w:t xml:space="preserve"> would require a proportionate reduction in FPL’s rate. </w:t>
      </w:r>
      <w:r w:rsidRPr="00AB5FFB">
        <w:rPr>
          <w:i/>
          <w:iCs/>
        </w:rPr>
        <w:t>See</w:t>
      </w:r>
      <w:r w:rsidRPr="00AB5FFB">
        <w:t xml:space="preserve"> </w:t>
      </w:r>
      <w:r>
        <w:rPr>
          <w:i/>
          <w:iCs/>
        </w:rPr>
        <w:t xml:space="preserve">id. </w:t>
      </w:r>
      <w:r w:rsidRPr="00FC4E74">
        <w:t>at</w:t>
      </w:r>
      <w:r>
        <w:t xml:space="preserve"> 5330</w:t>
      </w:r>
      <w:r>
        <w:rPr>
          <w:i/>
          <w:iCs/>
        </w:rPr>
        <w:t xml:space="preserve"> </w:t>
      </w:r>
      <w:r w:rsidRPr="00AB5FFB">
        <w:t>n.61 (cit</w:t>
      </w:r>
      <w:r>
        <w:t xml:space="preserve">ations omitted).  </w:t>
      </w:r>
      <w:r w:rsidRPr="00A648CA">
        <w:rPr>
          <w:i/>
          <w:iCs/>
        </w:rPr>
        <w:t>See</w:t>
      </w:r>
      <w:r>
        <w:t xml:space="preserve"> </w:t>
      </w:r>
      <w:r w:rsidRPr="00204599">
        <w:rPr>
          <w:i/>
          <w:iCs/>
        </w:rPr>
        <w:t>also</w:t>
      </w:r>
      <w:r>
        <w:t xml:space="preserve"> </w:t>
      </w:r>
      <w:r w:rsidRPr="00930CA8">
        <w:rPr>
          <w:i/>
          <w:iCs/>
        </w:rPr>
        <w:t xml:space="preserve">Verizon </w:t>
      </w:r>
      <w:r>
        <w:rPr>
          <w:i/>
          <w:iCs/>
        </w:rPr>
        <w:t xml:space="preserve">Maryland, LLC </w:t>
      </w:r>
      <w:r w:rsidRPr="00930CA8">
        <w:rPr>
          <w:i/>
          <w:iCs/>
        </w:rPr>
        <w:t xml:space="preserve">v. </w:t>
      </w:r>
      <w:r>
        <w:rPr>
          <w:i/>
          <w:iCs/>
        </w:rPr>
        <w:t xml:space="preserve">The </w:t>
      </w:r>
      <w:r w:rsidRPr="00930CA8">
        <w:rPr>
          <w:i/>
          <w:iCs/>
        </w:rPr>
        <w:t>Potomac Edison</w:t>
      </w:r>
      <w:r>
        <w:rPr>
          <w:i/>
          <w:iCs/>
        </w:rPr>
        <w:t xml:space="preserve"> Co.</w:t>
      </w:r>
      <w:r>
        <w:t xml:space="preserve">, </w:t>
      </w:r>
      <w:r w:rsidRPr="00AC0EA0" w:rsidR="00AC0EA0">
        <w:t>Memorandum Opinion and Order</w:t>
      </w:r>
      <w:r w:rsidR="00AC0EA0">
        <w:t xml:space="preserve">, </w:t>
      </w:r>
      <w:r>
        <w:t xml:space="preserve">35 FCC </w:t>
      </w:r>
      <w:r>
        <w:t>Rcd</w:t>
      </w:r>
      <w:r>
        <w:t xml:space="preserve"> 13607</w:t>
      </w:r>
      <w:r w:rsidR="003D00E4">
        <w:t>, 13629, para. 51</w:t>
      </w:r>
      <w:r>
        <w:t xml:space="preserve"> (2020) (incumbent </w:t>
      </w:r>
      <w:r>
        <w:t>LEC’s</w:t>
      </w:r>
      <w:r>
        <w:t xml:space="preserve"> entitlement to a reduced rate under the </w:t>
      </w:r>
      <w:r w:rsidRPr="00C83CBC">
        <w:rPr>
          <w:i/>
          <w:iCs/>
        </w:rPr>
        <w:t>2011</w:t>
      </w:r>
      <w:r>
        <w:t xml:space="preserve"> and </w:t>
      </w:r>
      <w:r w:rsidRPr="00C83CBC">
        <w:rPr>
          <w:i/>
          <w:iCs/>
        </w:rPr>
        <w:t>2018</w:t>
      </w:r>
      <w:r>
        <w:t xml:space="preserve"> </w:t>
      </w:r>
      <w:r w:rsidRPr="00A648CA">
        <w:rPr>
          <w:i/>
          <w:iCs/>
        </w:rPr>
        <w:t>Pole Attachment Orders</w:t>
      </w:r>
      <w:r>
        <w:rPr>
          <w:i/>
          <w:iCs/>
        </w:rPr>
        <w:t xml:space="preserve"> </w:t>
      </w:r>
      <w:r w:rsidRPr="00A648CA">
        <w:t>also</w:t>
      </w:r>
      <w:r>
        <w:rPr>
          <w:i/>
          <w:iCs/>
        </w:rPr>
        <w:t xml:space="preserve"> </w:t>
      </w:r>
      <w:r>
        <w:t>entitles the electric utility to “a proportional reduction in its rate”).</w:t>
      </w:r>
    </w:p>
  </w:footnote>
  <w:footnote w:id="20">
    <w:p w:rsidR="00C0210E" w:rsidP="00C0210E" w14:paraId="21ED9903" w14:textId="77777777">
      <w:pPr>
        <w:pStyle w:val="FootnoteText"/>
      </w:pPr>
      <w:r>
        <w:rPr>
          <w:rStyle w:val="FootnoteReference"/>
        </w:rPr>
        <w:footnoteRef/>
      </w:r>
      <w:r>
        <w:t xml:space="preserve"> </w:t>
      </w:r>
      <w:r w:rsidRPr="1D1DEB0C">
        <w:rPr>
          <w:i/>
          <w:iCs/>
        </w:rPr>
        <w:t>Bureau Order</w:t>
      </w:r>
      <w:r>
        <w:t xml:space="preserve">, 35 FCC </w:t>
      </w:r>
      <w:r>
        <w:t>Rcd</w:t>
      </w:r>
      <w:r>
        <w:t xml:space="preserve"> at 5326, </w:t>
      </w:r>
      <w:r w:rsidRPr="1D1DEB0C">
        <w:t>para. 10 n.32.</w:t>
      </w:r>
      <w:r>
        <w:t xml:space="preserve">  The </w:t>
      </w:r>
      <w:r w:rsidRPr="00FC4E74">
        <w:rPr>
          <w:i/>
          <w:iCs/>
        </w:rPr>
        <w:t>Bureau Order</w:t>
      </w:r>
      <w:r>
        <w:t xml:space="preserve"> also noted that </w:t>
      </w:r>
      <w:r w:rsidRPr="00CF6BA8">
        <w:t xml:space="preserve">the parties agree that the Notice of Termination terminated the </w:t>
      </w:r>
      <w:r w:rsidRPr="00CF6BA8">
        <w:t>JUA</w:t>
      </w:r>
      <w:r w:rsidRPr="00CF6BA8">
        <w:t xml:space="preserve"> as to new poles.</w:t>
      </w:r>
      <w:r>
        <w:t xml:space="preserve">  </w:t>
      </w:r>
      <w:r w:rsidRPr="00FC4E74">
        <w:rPr>
          <w:i/>
          <w:iCs/>
        </w:rPr>
        <w:t>Id</w:t>
      </w:r>
      <w:r>
        <w:t>.</w:t>
      </w:r>
      <w:r w:rsidRPr="1D1DEB0C">
        <w:t xml:space="preserve">  </w:t>
      </w:r>
    </w:p>
  </w:footnote>
  <w:footnote w:id="21">
    <w:p w:rsidR="00C0210E" w:rsidP="00C0210E" w14:paraId="3313C77B" w14:textId="77777777">
      <w:pPr>
        <w:pStyle w:val="FootnoteText"/>
      </w:pPr>
      <w:r>
        <w:rPr>
          <w:rStyle w:val="FootnoteReference"/>
        </w:rPr>
        <w:footnoteRef/>
      </w:r>
      <w:r>
        <w:t xml:space="preserve"> </w:t>
      </w:r>
      <w:r w:rsidRPr="00204599">
        <w:rPr>
          <w:i/>
          <w:iCs/>
        </w:rPr>
        <w:t>See</w:t>
      </w:r>
      <w:r>
        <w:t xml:space="preserve"> Joint Status Report, Proceeding No. 19-187 (filed June 19, 2020).</w:t>
      </w:r>
    </w:p>
  </w:footnote>
  <w:footnote w:id="22">
    <w:p w:rsidR="00C0210E" w:rsidP="00C0210E" w14:paraId="18D886CA" w14:textId="77777777">
      <w:pPr>
        <w:pStyle w:val="FootnoteText"/>
      </w:pPr>
      <w:r>
        <w:rPr>
          <w:rStyle w:val="FootnoteReference"/>
        </w:rPr>
        <w:footnoteRef/>
      </w:r>
      <w:r>
        <w:t xml:space="preserve"> </w:t>
      </w:r>
      <w:r w:rsidRPr="1D1DEB0C">
        <w:t>Pole Attachment Complaint, Proceeding No. 20-214</w:t>
      </w:r>
      <w:r>
        <w:t>, Bureau ID Number EB-20-MD-002</w:t>
      </w:r>
      <w:r w:rsidRPr="1D1DEB0C">
        <w:t xml:space="preserve"> (filed July 6, 2020) at 32, para. 58</w:t>
      </w:r>
      <w:r>
        <w:t xml:space="preserve"> (Second Complaint)</w:t>
      </w:r>
      <w:r w:rsidRPr="1D1DEB0C">
        <w:t>.</w:t>
      </w:r>
      <w:r>
        <w:t xml:space="preserve">  FPL answers that AT&amp;T is engaged in improper claim-splitting and that, in any event, the </w:t>
      </w:r>
      <w:r>
        <w:t>JUA</w:t>
      </w:r>
      <w:r>
        <w:t xml:space="preserve"> provisions at issue are not unjust and unreasonable.  </w:t>
      </w:r>
      <w:r w:rsidRPr="00204599">
        <w:rPr>
          <w:i/>
          <w:iCs/>
        </w:rPr>
        <w:t>See</w:t>
      </w:r>
      <w:r>
        <w:t xml:space="preserve"> Florida Power &amp; Light Company’s Answer to the Complaint of Bell </w:t>
      </w:r>
      <w:r w:rsidRPr="005B5A38">
        <w:t>Telecommunications, LLC</w:t>
      </w:r>
      <w:r>
        <w:t xml:space="preserve">, Proceeding No. 20-214 (filed Oct. 21, 2020). </w:t>
      </w:r>
    </w:p>
  </w:footnote>
  <w:footnote w:id="23">
    <w:p w:rsidR="00C0210E" w:rsidP="00C0210E" w14:paraId="45B7A356" w14:textId="77777777">
      <w:pPr>
        <w:pStyle w:val="FootnoteText"/>
      </w:pPr>
      <w:r>
        <w:rPr>
          <w:rStyle w:val="FootnoteReference"/>
        </w:rPr>
        <w:footnoteRef/>
      </w:r>
      <w:r>
        <w:t xml:space="preserve"> </w:t>
      </w:r>
      <w:r w:rsidRPr="1D1DEB0C">
        <w:t>47 CFR § 1.1407(a).</w:t>
      </w:r>
    </w:p>
  </w:footnote>
  <w:footnote w:id="24">
    <w:p w:rsidR="00C0210E" w:rsidP="00C0210E" w14:paraId="3101FDAC" w14:textId="77777777">
      <w:pPr>
        <w:pStyle w:val="FootnoteText"/>
      </w:pPr>
      <w:r>
        <w:rPr>
          <w:rStyle w:val="FootnoteReference"/>
        </w:rPr>
        <w:footnoteRef/>
      </w:r>
      <w:r>
        <w:t xml:space="preserve"> </w:t>
      </w:r>
      <w:r w:rsidRPr="1D1DEB0C">
        <w:t>The federal four-year catch-all statute of limitations, 28 U.S.C. § 1658(a), “governs court actions, not agency proceedings</w:t>
      </w:r>
      <w:r>
        <w:t xml:space="preserve"> . . .</w:t>
      </w:r>
      <w:r w:rsidRPr="1D1DEB0C">
        <w:t xml:space="preserve">”  </w:t>
      </w:r>
      <w:r w:rsidRPr="1D1DEB0C">
        <w:rPr>
          <w:i/>
          <w:iCs/>
        </w:rPr>
        <w:t xml:space="preserve">Sandwich Isles </w:t>
      </w:r>
      <w:r w:rsidRPr="1D1DEB0C">
        <w:rPr>
          <w:i/>
          <w:iCs/>
        </w:rPr>
        <w:t>Comm’ns</w:t>
      </w:r>
      <w:r w:rsidRPr="1D1DEB0C">
        <w:rPr>
          <w:i/>
          <w:iCs/>
        </w:rPr>
        <w:t>, Inc.</w:t>
      </w:r>
      <w:r>
        <w:t xml:space="preserve">, Order on Reconsideration, 34 FCC </w:t>
      </w:r>
      <w:r>
        <w:t>Rcd</w:t>
      </w:r>
      <w:r>
        <w:t xml:space="preserve"> 577, 626, para. 131</w:t>
      </w:r>
      <w:r w:rsidRPr="1D1DEB0C">
        <w:t xml:space="preserve"> (2019).</w:t>
      </w:r>
    </w:p>
  </w:footnote>
  <w:footnote w:id="25">
    <w:p w:rsidR="00C0210E" w:rsidP="00C0210E" w14:paraId="346D8AC0" w14:textId="77777777">
      <w:pPr>
        <w:pStyle w:val="FootnoteText"/>
      </w:pPr>
      <w:r>
        <w:rPr>
          <w:rStyle w:val="FootnoteReference"/>
        </w:rPr>
        <w:footnoteRef/>
      </w:r>
      <w:r>
        <w:t xml:space="preserve"> </w:t>
      </w:r>
      <w:r w:rsidRPr="00930CA8">
        <w:rPr>
          <w:i/>
          <w:iCs/>
        </w:rPr>
        <w:t xml:space="preserve">See Verizon </w:t>
      </w:r>
      <w:r>
        <w:rPr>
          <w:i/>
          <w:iCs/>
        </w:rPr>
        <w:t xml:space="preserve">Maryland, </w:t>
      </w:r>
      <w:r>
        <w:t xml:space="preserve">35 FCC </w:t>
      </w:r>
      <w:r>
        <w:t>Rcd</w:t>
      </w:r>
      <w:r>
        <w:t xml:space="preserve"> at 13626, paras. 41-42 (citing </w:t>
      </w:r>
      <w:r w:rsidRPr="1D1DEB0C">
        <w:rPr>
          <w:i/>
          <w:iCs/>
        </w:rPr>
        <w:t>Reed v. Transp</w:t>
      </w:r>
      <w:r>
        <w:rPr>
          <w:i/>
          <w:iCs/>
        </w:rPr>
        <w:t>.</w:t>
      </w:r>
      <w:r w:rsidRPr="1D1DEB0C">
        <w:rPr>
          <w:i/>
          <w:iCs/>
        </w:rPr>
        <w:t xml:space="preserve"> Union, </w:t>
      </w:r>
      <w:r w:rsidRPr="1D1DEB0C">
        <w:t>488 U.S. 319, 323-34 (1989)</w:t>
      </w:r>
      <w:r>
        <w:t xml:space="preserve"> (claim under federal statute prohibiting unions from restricting members’ speech on union matters is analogous to state personal injury actions and therefore is governed by state limitations statutes governing such actions)).  </w:t>
      </w:r>
    </w:p>
  </w:footnote>
  <w:footnote w:id="26">
    <w:p w:rsidR="00C0210E" w:rsidP="00C0210E" w14:paraId="6970A45D" w14:textId="77777777">
      <w:pPr>
        <w:pStyle w:val="FootnoteText"/>
      </w:pPr>
      <w:r>
        <w:rPr>
          <w:rStyle w:val="FootnoteReference"/>
        </w:rPr>
        <w:footnoteRef/>
      </w:r>
      <w:r>
        <w:t xml:space="preserve"> </w:t>
      </w:r>
      <w:r w:rsidRPr="00406136">
        <w:rPr>
          <w:i/>
          <w:iCs/>
        </w:rPr>
        <w:t>See</w:t>
      </w:r>
      <w:r>
        <w:t xml:space="preserve"> </w:t>
      </w:r>
      <w:r w:rsidRPr="00406136">
        <w:rPr>
          <w:i/>
          <w:iCs/>
        </w:rPr>
        <w:t>Verizon Maryland</w:t>
      </w:r>
      <w:r>
        <w:t xml:space="preserve">, 35 FCC </w:t>
      </w:r>
      <w:r>
        <w:t>Rcd</w:t>
      </w:r>
      <w:r>
        <w:t xml:space="preserve"> at 13626-28, para. 43-46 (“borrowing” Maryland’s statute of limitations for breach of contract actions to supply the “applicable statute of limitations” under rule section 1.1407).</w:t>
      </w:r>
    </w:p>
  </w:footnote>
  <w:footnote w:id="27">
    <w:p w:rsidR="00C0210E" w:rsidP="00C0210E" w14:paraId="215E81F7" w14:textId="77777777">
      <w:pPr>
        <w:pStyle w:val="FootnoteText"/>
      </w:pPr>
      <w:r>
        <w:rPr>
          <w:rStyle w:val="FootnoteReference"/>
        </w:rPr>
        <w:footnoteRef/>
      </w:r>
      <w:r>
        <w:t xml:space="preserve"> </w:t>
      </w:r>
      <w:r w:rsidRPr="1D1DEB0C">
        <w:rPr>
          <w:i/>
          <w:iCs/>
        </w:rPr>
        <w:t>See</w:t>
      </w:r>
      <w:r w:rsidRPr="1D1DEB0C">
        <w:t xml:space="preserve"> </w:t>
      </w:r>
      <w:r>
        <w:t>Fla. Stat.</w:t>
      </w:r>
      <w:r w:rsidRPr="00BA4688">
        <w:t xml:space="preserve"> </w:t>
      </w:r>
      <w:r w:rsidRPr="1D1DEB0C">
        <w:t>§§</w:t>
      </w:r>
      <w:r>
        <w:t xml:space="preserve"> 337.401 (authorizing certain state and local governmental entities to regulate the placement and maintenance of utility poles located in “the right-of-way limits of any road”), 337.402 (public utility must repair damage to public road caused by pole “installation, inspection or repair”); </w:t>
      </w:r>
      <w:r w:rsidRPr="1D1DEB0C">
        <w:rPr>
          <w:i/>
          <w:iCs/>
        </w:rPr>
        <w:t>Implementation of the Local Competition Provisions in the Telecommunications Act of 1996</w:t>
      </w:r>
      <w:r w:rsidRPr="1D1DEB0C">
        <w:t xml:space="preserve">, First Report and Order, 11 FCC </w:t>
      </w:r>
      <w:r w:rsidRPr="1D1DEB0C">
        <w:t>Rcd</w:t>
      </w:r>
      <w:r w:rsidRPr="1D1DEB0C">
        <w:t xml:space="preserve"> 15499, 16072‐73, para. 1154 (1996) (“even where a state has not asserted preemptive authority in accordance with section 224(c) [of the Act], state and local requirements affecting pole attachments remain applicable, unless a complainant can show a direct conflict with federal policy”)</w:t>
      </w:r>
      <w:r>
        <w:t xml:space="preserve">; </w:t>
      </w:r>
      <w:r>
        <w:rPr>
          <w:i/>
          <w:iCs/>
        </w:rPr>
        <w:t>2011</w:t>
      </w:r>
      <w:r w:rsidRPr="00790281">
        <w:rPr>
          <w:i/>
          <w:iCs/>
        </w:rPr>
        <w:t xml:space="preserve"> </w:t>
      </w:r>
      <w:r w:rsidRPr="1D1DEB0C">
        <w:rPr>
          <w:i/>
          <w:iCs/>
        </w:rPr>
        <w:t xml:space="preserve">Pole </w:t>
      </w:r>
      <w:r>
        <w:rPr>
          <w:i/>
          <w:iCs/>
        </w:rPr>
        <w:t xml:space="preserve">Attachment </w:t>
      </w:r>
      <w:r w:rsidRPr="1D1DEB0C">
        <w:rPr>
          <w:i/>
          <w:iCs/>
        </w:rPr>
        <w:t>Order</w:t>
      </w:r>
      <w:bookmarkStart w:id="3" w:name="_Hlk61522529"/>
      <w:r w:rsidRPr="1D1DEB0C">
        <w:t xml:space="preserve">, 26 FCC </w:t>
      </w:r>
      <w:r w:rsidRPr="1D1DEB0C">
        <w:t>Rcd</w:t>
      </w:r>
      <w:r w:rsidRPr="1D1DEB0C">
        <w:t xml:space="preserve"> </w:t>
      </w:r>
      <w:r>
        <w:t>at</w:t>
      </w:r>
      <w:r w:rsidRPr="1D1DEB0C">
        <w:t xml:space="preserve"> </w:t>
      </w:r>
      <w:bookmarkEnd w:id="3"/>
      <w:r w:rsidRPr="1D1DEB0C">
        <w:t>5292</w:t>
      </w:r>
      <w:r>
        <w:t xml:space="preserve">, </w:t>
      </w:r>
      <w:r w:rsidRPr="1D1DEB0C">
        <w:t xml:space="preserve">para. 116 (a utility may bring an action in state court for trespass where an </w:t>
      </w:r>
      <w:r w:rsidRPr="1D1DEB0C">
        <w:t>attacher</w:t>
      </w:r>
      <w:r w:rsidRPr="1D1DEB0C">
        <w:t xml:space="preserve"> who has made unauthorized attachments without any contract with the utility refuses to enter into a pole attachment agreement)</w:t>
      </w:r>
      <w:r>
        <w:t>.</w:t>
      </w:r>
    </w:p>
  </w:footnote>
  <w:footnote w:id="28">
    <w:p w:rsidR="00C0210E" w:rsidP="00C0210E" w14:paraId="41ACB613" w14:textId="77777777">
      <w:pPr>
        <w:pStyle w:val="FootnoteText"/>
      </w:pPr>
      <w:r>
        <w:rPr>
          <w:rStyle w:val="FootnoteReference"/>
        </w:rPr>
        <w:footnoteRef/>
      </w:r>
      <w:r>
        <w:t xml:space="preserve"> </w:t>
      </w:r>
      <w:r w:rsidRPr="00C46209">
        <w:rPr>
          <w:i/>
          <w:iCs/>
        </w:rPr>
        <w:t>See</w:t>
      </w:r>
      <w:r>
        <w:t xml:space="preserve"> </w:t>
      </w:r>
      <w:r w:rsidRPr="1D1DEB0C">
        <w:t>Complaint at 19-20, para. 32</w:t>
      </w:r>
      <w:r>
        <w:t xml:space="preserve">; </w:t>
      </w:r>
      <w:r w:rsidRPr="1D1DEB0C">
        <w:t>Fla. Stat. § 95.11(2)(b)</w:t>
      </w:r>
      <w:r>
        <w:t xml:space="preserve"> (five-year limitations period applies to a “legal or equitable action on a contract”). </w:t>
      </w:r>
    </w:p>
  </w:footnote>
  <w:footnote w:id="29">
    <w:p w:rsidR="00C0210E" w:rsidP="00C0210E" w14:paraId="19D1CC79" w14:textId="77777777">
      <w:pPr>
        <w:pStyle w:val="FootnoteText"/>
      </w:pPr>
      <w:r>
        <w:rPr>
          <w:rStyle w:val="FootnoteReference"/>
        </w:rPr>
        <w:footnoteRef/>
      </w:r>
      <w:r>
        <w:t xml:space="preserve"> </w:t>
      </w:r>
      <w:r w:rsidRPr="00030C3C">
        <w:rPr>
          <w:i/>
          <w:iCs/>
        </w:rPr>
        <w:t>See</w:t>
      </w:r>
      <w:r>
        <w:t xml:space="preserve"> </w:t>
      </w:r>
      <w:r w:rsidRPr="00042641">
        <w:rPr>
          <w:i/>
          <w:iCs/>
        </w:rPr>
        <w:t xml:space="preserve">Verizon </w:t>
      </w:r>
      <w:r>
        <w:rPr>
          <w:i/>
          <w:iCs/>
        </w:rPr>
        <w:t>Maryland</w:t>
      </w:r>
      <w:r>
        <w:t xml:space="preserve">, 35 FCC </w:t>
      </w:r>
      <w:r>
        <w:t>Rcd</w:t>
      </w:r>
      <w:r>
        <w:t xml:space="preserve"> at 13626, para. 43 (Maryland statute of limitations governing breach of contract actions governs incumbent </w:t>
      </w:r>
      <w:r>
        <w:t>LEC</w:t>
      </w:r>
      <w:r>
        <w:t xml:space="preserve"> pole attachment complaint because “[t]he </w:t>
      </w:r>
      <w:r w:rsidRPr="00F26364">
        <w:rPr>
          <w:szCs w:val="22"/>
        </w:rPr>
        <w:t xml:space="preserve">Commission has long recognized that pole attachment agreements are individually-negotiated contracts </w:t>
      </w:r>
      <w:r>
        <w:rPr>
          <w:szCs w:val="22"/>
        </w:rPr>
        <w:t xml:space="preserve">. . .  </w:t>
      </w:r>
      <w:r w:rsidRPr="00F26364">
        <w:rPr>
          <w:szCs w:val="22"/>
        </w:rPr>
        <w:t>subject to claims for breach of contract under state law</w:t>
      </w:r>
      <w:r>
        <w:t xml:space="preserve">”) (citing </w:t>
      </w:r>
      <w:r w:rsidRPr="1D1DEB0C">
        <w:rPr>
          <w:i/>
          <w:iCs/>
        </w:rPr>
        <w:t>Ala. Cable Telecomm</w:t>
      </w:r>
      <w:r>
        <w:rPr>
          <w:i/>
          <w:iCs/>
        </w:rPr>
        <w:t>’</w:t>
      </w:r>
      <w:r w:rsidRPr="1D1DEB0C">
        <w:rPr>
          <w:i/>
          <w:iCs/>
        </w:rPr>
        <w:t xml:space="preserve">s </w:t>
      </w:r>
      <w:r w:rsidRPr="1D1DEB0C">
        <w:rPr>
          <w:i/>
          <w:iCs/>
        </w:rPr>
        <w:t>Ass’n</w:t>
      </w:r>
      <w:r w:rsidRPr="1D1DEB0C">
        <w:rPr>
          <w:i/>
          <w:iCs/>
        </w:rPr>
        <w:t xml:space="preserve"> v. Ala. Power Co.</w:t>
      </w:r>
      <w:r w:rsidRPr="1D1DEB0C">
        <w:t xml:space="preserve">, Order, 16 FCC </w:t>
      </w:r>
      <w:r w:rsidRPr="1D1DEB0C">
        <w:t>Rcd</w:t>
      </w:r>
      <w:r w:rsidRPr="1D1DEB0C">
        <w:t xml:space="preserve"> 12209, 12217, para. 18 (2001)</w:t>
      </w:r>
      <w:r>
        <w:t xml:space="preserve"> (“certain remedies for breach of contract may be pursued </w:t>
      </w:r>
      <w:r w:rsidRPr="00717BF5">
        <w:rPr>
          <w:szCs w:val="22"/>
        </w:rPr>
        <w:t>in forums other than the Commission”</w:t>
      </w:r>
      <w:r>
        <w:rPr>
          <w:szCs w:val="22"/>
        </w:rPr>
        <w:t xml:space="preserve">); </w:t>
      </w:r>
      <w:r w:rsidRPr="00030C3C">
        <w:rPr>
          <w:i/>
          <w:iCs/>
        </w:rPr>
        <w:t>Marcus Cable Assocs., L.P. v. Texas Utilities Elec. Co.</w:t>
      </w:r>
      <w:r>
        <w:t xml:space="preserve">, Order on Review 18 FCC </w:t>
      </w:r>
      <w:r>
        <w:t>Rcd</w:t>
      </w:r>
      <w:r>
        <w:t xml:space="preserve"> 15932, 15935, para. 6 (2003) (“The Commission’s authority does not supplant that of the local jurisdiction when the issue between the parties is limited to a breach of contact claim . . .”). </w:t>
      </w:r>
    </w:p>
  </w:footnote>
  <w:footnote w:id="30">
    <w:p w:rsidR="00C0210E" w:rsidP="00C0210E" w14:paraId="209E0212" w14:textId="77777777">
      <w:pPr>
        <w:pStyle w:val="FootnoteText"/>
      </w:pPr>
      <w:r>
        <w:rPr>
          <w:rStyle w:val="FootnoteReference"/>
        </w:rPr>
        <w:footnoteRef/>
      </w:r>
      <w:r>
        <w:t xml:space="preserve"> </w:t>
      </w:r>
      <w:r w:rsidRPr="008309A9">
        <w:rPr>
          <w:i/>
          <w:iCs/>
        </w:rPr>
        <w:t>See Bureau Order</w:t>
      </w:r>
      <w:r>
        <w:t xml:space="preserve">, 35 FCC </w:t>
      </w:r>
      <w:r>
        <w:t>Rcd</w:t>
      </w:r>
      <w:r>
        <w:t xml:space="preserve"> at 5326-31, paras. 11-17.</w:t>
      </w:r>
    </w:p>
  </w:footnote>
  <w:footnote w:id="31">
    <w:p w:rsidR="00C0210E" w:rsidP="00C0210E" w14:paraId="68C22449" w14:textId="0A139DCF">
      <w:pPr>
        <w:pStyle w:val="FootnoteText"/>
      </w:pPr>
      <w:r>
        <w:rPr>
          <w:rStyle w:val="FootnoteReference"/>
        </w:rPr>
        <w:footnoteRef/>
      </w:r>
      <w:r>
        <w:t xml:space="preserve"> </w:t>
      </w:r>
      <w:r w:rsidRPr="001300FD">
        <w:rPr>
          <w:i/>
          <w:iCs/>
        </w:rPr>
        <w:t>See</w:t>
      </w:r>
      <w:r>
        <w:t xml:space="preserve"> </w:t>
      </w:r>
      <w:r w:rsidRPr="1D1DEB0C">
        <w:t xml:space="preserve">Answer at </w:t>
      </w:r>
      <w:r>
        <w:t>21-22, para. 32, 35 (Affirmative Def</w:t>
      </w:r>
      <w:r w:rsidR="009A5FFF">
        <w:t>ense</w:t>
      </w:r>
      <w:r>
        <w:t xml:space="preserve"> J).  Section </w:t>
      </w:r>
      <w:r w:rsidRPr="1D1DEB0C">
        <w:t>415(b)</w:t>
      </w:r>
      <w:r>
        <w:t xml:space="preserve"> states, </w:t>
      </w:r>
      <w:r w:rsidRPr="1D1DEB0C">
        <w:t>“[a]</w:t>
      </w:r>
      <w:r w:rsidRPr="1D1DEB0C">
        <w:t>ll</w:t>
      </w:r>
      <w:r w:rsidRPr="1D1DEB0C">
        <w:t xml:space="preserve"> complaints against carriers for the recovery of damages not based on overcharges shall be filed with the Commission within two years from the time the cause of action accrues . . .”</w:t>
      </w:r>
      <w:r>
        <w:t xml:space="preserve">  </w:t>
      </w:r>
      <w:r w:rsidRPr="1D1DEB0C">
        <w:t xml:space="preserve">47 U.S.C. § </w:t>
      </w:r>
      <w:r>
        <w:t>415(b).</w:t>
      </w:r>
    </w:p>
  </w:footnote>
  <w:footnote w:id="32">
    <w:p w:rsidR="00C0210E" w:rsidP="00C0210E" w14:paraId="7AF6E3C0" w14:textId="77777777">
      <w:pPr>
        <w:pStyle w:val="FootnoteText"/>
      </w:pPr>
      <w:r>
        <w:rPr>
          <w:rStyle w:val="FootnoteReference"/>
        </w:rPr>
        <w:footnoteRef/>
      </w:r>
      <w:r>
        <w:t xml:space="preserve"> </w:t>
      </w:r>
      <w:r w:rsidRPr="00A243DF">
        <w:rPr>
          <w:i/>
          <w:iCs/>
        </w:rPr>
        <w:t>See</w:t>
      </w:r>
      <w:r>
        <w:t xml:space="preserve"> </w:t>
      </w:r>
      <w:r w:rsidRPr="00042641">
        <w:rPr>
          <w:i/>
          <w:iCs/>
        </w:rPr>
        <w:t xml:space="preserve">Verizon </w:t>
      </w:r>
      <w:r>
        <w:rPr>
          <w:i/>
          <w:iCs/>
        </w:rPr>
        <w:t>Maryland</w:t>
      </w:r>
      <w:r>
        <w:t xml:space="preserve">, 35 FCC </w:t>
      </w:r>
      <w:r>
        <w:t>Rcd</w:t>
      </w:r>
      <w:r>
        <w:t xml:space="preserve"> at 13627, para. 45 &amp; n.158 (citing 47 U.S.C. </w:t>
      </w:r>
      <w:r w:rsidRPr="1D1DEB0C">
        <w:t>§</w:t>
      </w:r>
      <w:r>
        <w:t xml:space="preserve"> 153(11), which defines “carrier” in pertinent part as “any person engaged as a common carrier for hire . . .”).</w:t>
      </w:r>
    </w:p>
  </w:footnote>
  <w:footnote w:id="33">
    <w:p w:rsidR="00C0210E" w14:paraId="6C8C37C8" w14:textId="77777777">
      <w:pPr>
        <w:pStyle w:val="FootnoteText"/>
      </w:pPr>
      <w:r>
        <w:rPr>
          <w:rStyle w:val="FootnoteReference"/>
        </w:rPr>
        <w:footnoteRef/>
      </w:r>
      <w:r>
        <w:t xml:space="preserve"> </w:t>
      </w:r>
      <w:r w:rsidRPr="1D1DEB0C">
        <w:rPr>
          <w:i/>
          <w:iCs/>
        </w:rPr>
        <w:t>See</w:t>
      </w:r>
      <w:r w:rsidRPr="1D1DEB0C">
        <w:t xml:space="preserve"> </w:t>
      </w:r>
      <w:r w:rsidRPr="00042641">
        <w:rPr>
          <w:i/>
          <w:iCs/>
        </w:rPr>
        <w:t xml:space="preserve">Verizon </w:t>
      </w:r>
      <w:r>
        <w:rPr>
          <w:i/>
          <w:iCs/>
        </w:rPr>
        <w:t>Maryland</w:t>
      </w:r>
      <w:r>
        <w:t xml:space="preserve">, 35 FCC </w:t>
      </w:r>
      <w:r>
        <w:t>Rcd</w:t>
      </w:r>
      <w:r>
        <w:t xml:space="preserve"> at 13627, para. 45 &amp; n.159 (citing </w:t>
      </w:r>
      <w:r w:rsidRPr="1D1DEB0C">
        <w:t>47 U.S.C. § 224(a)(1)</w:t>
      </w:r>
      <w:r>
        <w:t xml:space="preserve"> (defining </w:t>
      </w:r>
      <w:r w:rsidRPr="1D1DEB0C">
        <w:t>“utility” to include “an electric</w:t>
      </w:r>
      <w:r>
        <w:t xml:space="preserve"> . . . </w:t>
      </w:r>
      <w:r w:rsidRPr="1D1DEB0C">
        <w:t>utility”), (a)(4) (defining “pole attachment” as “any attachment by a</w:t>
      </w:r>
      <w:r>
        <w:t>…</w:t>
      </w:r>
      <w:r w:rsidRPr="1D1DEB0C">
        <w:t>provider of telecommunica</w:t>
      </w:r>
      <w:r>
        <w:t>t</w:t>
      </w:r>
      <w:r w:rsidRPr="1D1DEB0C">
        <w:t>ions service to a pole</w:t>
      </w:r>
      <w:r>
        <w:t> . . .”)</w:t>
      </w:r>
      <w:r w:rsidRPr="1D1DEB0C">
        <w:t>, (b)(1) (the Commission “shall regulate the rates, terms, and conditions for pole attachments to provide that such rates, terms, and conditions are just and reasonable</w:t>
      </w:r>
      <w:r>
        <w:t xml:space="preserve"> . . .</w:t>
      </w:r>
      <w:r w:rsidRPr="1D1DEB0C">
        <w:t>”)</w:t>
      </w:r>
      <w:r>
        <w:t>)</w:t>
      </w:r>
      <w:r w:rsidRPr="1D1DEB0C">
        <w:t>.</w:t>
      </w:r>
    </w:p>
  </w:footnote>
  <w:footnote w:id="34">
    <w:p w:rsidR="00C0210E" w:rsidP="00C0210E" w14:paraId="5A44D762" w14:textId="77777777">
      <w:pPr>
        <w:pStyle w:val="FootnoteText"/>
      </w:pPr>
      <w:r>
        <w:rPr>
          <w:rStyle w:val="FootnoteReference"/>
        </w:rPr>
        <w:footnoteRef/>
      </w:r>
      <w:r>
        <w:t xml:space="preserve"> </w:t>
      </w:r>
      <w:r w:rsidRPr="1D1DEB0C">
        <w:rPr>
          <w:i/>
          <w:iCs/>
        </w:rPr>
        <w:t>See</w:t>
      </w:r>
      <w:r w:rsidRPr="1D1DEB0C">
        <w:t xml:space="preserve"> Answer at 27 (Affirmative Defense A), 36-9 (Affirmative Defenses K and L).</w:t>
      </w:r>
    </w:p>
  </w:footnote>
  <w:footnote w:id="35">
    <w:p w:rsidR="00C0210E" w:rsidP="00C0210E" w14:paraId="1E07C1D1" w14:textId="77777777">
      <w:pPr>
        <w:pStyle w:val="FootnoteText"/>
      </w:pPr>
      <w:r>
        <w:rPr>
          <w:rStyle w:val="FootnoteReference"/>
        </w:rPr>
        <w:footnoteRef/>
      </w:r>
      <w:r>
        <w:t xml:space="preserve"> </w:t>
      </w:r>
      <w:r w:rsidRPr="1D1DEB0C">
        <w:t>Answer at 21, para. 32 (citing</w:t>
      </w:r>
      <w:r>
        <w:t xml:space="preserve"> </w:t>
      </w:r>
      <w:r>
        <w:rPr>
          <w:i/>
          <w:iCs/>
        </w:rPr>
        <w:t>2018 Pole Attachment Order</w:t>
      </w:r>
      <w:r w:rsidRPr="1D1DEB0C">
        <w:t xml:space="preserve">, 33 FCC </w:t>
      </w:r>
      <w:r w:rsidRPr="1D1DEB0C">
        <w:t>Rcd</w:t>
      </w:r>
      <w:r>
        <w:t xml:space="preserve"> </w:t>
      </w:r>
      <w:r w:rsidRPr="1D1DEB0C">
        <w:t>at 7769, para. 126 n.478)</w:t>
      </w:r>
      <w:r>
        <w:t xml:space="preserve"> (interior quotations omitted)</w:t>
      </w:r>
      <w:r w:rsidRPr="1D1DEB0C">
        <w:t>.</w:t>
      </w:r>
    </w:p>
  </w:footnote>
  <w:footnote w:id="36">
    <w:p w:rsidR="00C0210E" w:rsidP="00C0210E" w14:paraId="2AA32207" w14:textId="687C799F">
      <w:pPr>
        <w:pStyle w:val="FootnoteText"/>
      </w:pPr>
      <w:r>
        <w:rPr>
          <w:rStyle w:val="FootnoteReference"/>
        </w:rPr>
        <w:footnoteRef/>
      </w:r>
      <w:r>
        <w:t xml:space="preserve"> </w:t>
      </w:r>
      <w:r w:rsidRPr="1D1DEB0C">
        <w:rPr>
          <w:i/>
          <w:iCs/>
        </w:rPr>
        <w:t>See</w:t>
      </w:r>
      <w:r w:rsidRPr="1D1DEB0C">
        <w:t xml:space="preserve"> Answer at 36-37 (Affirmative Defense K) (citing U.S. Const.</w:t>
      </w:r>
      <w:bookmarkStart w:id="6" w:name="_GoBack"/>
      <w:bookmarkEnd w:id="6"/>
      <w:r w:rsidRPr="1D1DEB0C">
        <w:t xml:space="preserve"> </w:t>
      </w:r>
      <w:r w:rsidRPr="00C37E33" w:rsidR="00C37E33">
        <w:t>amend. V</w:t>
      </w:r>
      <w:r w:rsidRPr="1D1DEB0C">
        <w:t>)</w:t>
      </w:r>
    </w:p>
  </w:footnote>
  <w:footnote w:id="37">
    <w:p w:rsidR="00C0210E" w:rsidP="00C0210E" w14:paraId="4F5D3BBC" w14:textId="77777777">
      <w:pPr>
        <w:pStyle w:val="FootnoteText"/>
      </w:pPr>
      <w:r>
        <w:rPr>
          <w:rStyle w:val="FootnoteReference"/>
        </w:rPr>
        <w:footnoteRef/>
      </w:r>
      <w:r>
        <w:t xml:space="preserve"> </w:t>
      </w:r>
      <w:r w:rsidRPr="1D1DEB0C">
        <w:t>Answer at 37.</w:t>
      </w:r>
    </w:p>
  </w:footnote>
  <w:footnote w:id="38">
    <w:p w:rsidR="00C0210E" w:rsidP="00C0210E" w14:paraId="46C9894B" w14:textId="77777777">
      <w:pPr>
        <w:pStyle w:val="FootnoteText"/>
      </w:pPr>
      <w:r>
        <w:rPr>
          <w:rStyle w:val="FootnoteReference"/>
        </w:rPr>
        <w:footnoteRef/>
      </w:r>
      <w:r>
        <w:t xml:space="preserve"> </w:t>
      </w:r>
      <w:r w:rsidRPr="1D1DEB0C">
        <w:t>47 CF</w:t>
      </w:r>
      <w:r>
        <w:t>R</w:t>
      </w:r>
      <w:r w:rsidRPr="1D1DEB0C">
        <w:t xml:space="preserve"> § 1.1406(d)(2).</w:t>
      </w:r>
    </w:p>
  </w:footnote>
  <w:footnote w:id="39">
    <w:p w:rsidR="00C0210E" w:rsidP="00C0210E" w14:paraId="3CA4CE99" w14:textId="77777777">
      <w:pPr>
        <w:pStyle w:val="FootnoteText"/>
      </w:pPr>
      <w:r>
        <w:rPr>
          <w:rStyle w:val="FootnoteReference"/>
        </w:rPr>
        <w:footnoteRef/>
      </w:r>
      <w:r>
        <w:t xml:space="preserve"> </w:t>
      </w:r>
      <w:r w:rsidRPr="1D1DEB0C">
        <w:t xml:space="preserve">18 CFR § 101.  FPL misunderstands the standard applicable to its takings claim.  </w:t>
      </w:r>
      <w:r w:rsidRPr="1D1DEB0C">
        <w:rPr>
          <w:i/>
          <w:iCs/>
        </w:rPr>
        <w:t>See</w:t>
      </w:r>
      <w:r w:rsidRPr="1D1DEB0C">
        <w:t xml:space="preserve"> Answer at 36 (arguing that, under </w:t>
      </w:r>
      <w:r w:rsidRPr="1D1DEB0C">
        <w:rPr>
          <w:i/>
          <w:iCs/>
        </w:rPr>
        <w:t>U.S. v. Reynolds</w:t>
      </w:r>
      <w:r w:rsidRPr="1D1DEB0C">
        <w:t xml:space="preserve">, 397 U.S. 14, 16 (1970), FPL is entitled to the “full monetary equivalent of the property taken”).  FPL voluntarily granted AT&amp;T access to its poles, so the takings clause is violated only if the Old Telecom Rate is “confiscatory.”  </w:t>
      </w:r>
      <w:r w:rsidRPr="1D1DEB0C">
        <w:rPr>
          <w:i/>
          <w:iCs/>
        </w:rPr>
        <w:t>See FCC v. Florida Power Corp.</w:t>
      </w:r>
      <w:r w:rsidRPr="1D1DEB0C">
        <w:t xml:space="preserve">, 480 U.S. 245, 253 (1987). </w:t>
      </w:r>
      <w:r>
        <w:t xml:space="preserve"> </w:t>
      </w:r>
      <w:r w:rsidRPr="00610D65">
        <w:t xml:space="preserve">Moreover, even where access is mandatory, a utility seeking “compensation above marginal cost . . . must show with regard to each pole that . . . the pole is at full capacity and . . . another buyer of the space is waiting in the wings . . .”  </w:t>
      </w:r>
      <w:r w:rsidRPr="00610D65">
        <w:rPr>
          <w:i/>
          <w:iCs/>
        </w:rPr>
        <w:t>Ala. Power Co. v. FCC</w:t>
      </w:r>
      <w:r w:rsidRPr="00610D65">
        <w:t>, 311 F.3d 1357, 1370 (11</w:t>
      </w:r>
      <w:r w:rsidRPr="00610D65">
        <w:rPr>
          <w:vertAlign w:val="superscript"/>
        </w:rPr>
        <w:t>th</w:t>
      </w:r>
      <w:r w:rsidRPr="00610D65">
        <w:t xml:space="preserve"> Cir. 2002).</w:t>
      </w:r>
      <w:r>
        <w:t xml:space="preserve">  W</w:t>
      </w:r>
      <w:r w:rsidRPr="1D1DEB0C">
        <w:t xml:space="preserve">e reject FPL’s assertion, </w:t>
      </w:r>
      <w:r w:rsidRPr="1D1DEB0C">
        <w:rPr>
          <w:i/>
          <w:iCs/>
        </w:rPr>
        <w:t>see</w:t>
      </w:r>
      <w:r w:rsidRPr="1D1DEB0C">
        <w:t xml:space="preserve"> Answer Br. at 32-33, that reducing the </w:t>
      </w:r>
      <w:r w:rsidRPr="1D1DEB0C">
        <w:t>JUA</w:t>
      </w:r>
      <w:r w:rsidRPr="1D1DEB0C">
        <w:t xml:space="preserve"> rate is unlawful retroactive ratemaking for the reasons set forth in </w:t>
      </w:r>
      <w:r w:rsidRPr="1D1DEB0C">
        <w:rPr>
          <w:i/>
          <w:iCs/>
        </w:rPr>
        <w:t>Verizon Florida LLC v. Florida Power and Light Co.</w:t>
      </w:r>
      <w:r w:rsidRPr="1D1DEB0C">
        <w:t xml:space="preserve">, 30 FCC </w:t>
      </w:r>
      <w:r w:rsidRPr="1D1DEB0C">
        <w:t>Rcd</w:t>
      </w:r>
      <w:r w:rsidRPr="1D1DEB0C">
        <w:t xml:space="preserve"> 1140, </w:t>
      </w:r>
      <w:r>
        <w:t xml:space="preserve">1145-6, </w:t>
      </w:r>
      <w:r w:rsidRPr="1D1DEB0C">
        <w:t>paras. 17-1</w:t>
      </w:r>
      <w:r>
        <w:t>9</w:t>
      </w:r>
      <w:r w:rsidRPr="1D1DEB0C">
        <w:t xml:space="preserve"> (2015)</w:t>
      </w:r>
      <w:r>
        <w:t xml:space="preserve"> and </w:t>
      </w:r>
      <w:r w:rsidRPr="1D1DEB0C">
        <w:rPr>
          <w:i/>
          <w:iCs/>
        </w:rPr>
        <w:t xml:space="preserve">Verizon </w:t>
      </w:r>
      <w:r>
        <w:rPr>
          <w:i/>
          <w:iCs/>
        </w:rPr>
        <w:t xml:space="preserve">Maryland, </w:t>
      </w:r>
      <w:r>
        <w:t xml:space="preserve">35 FCC </w:t>
      </w:r>
      <w:r>
        <w:t>Rcd</w:t>
      </w:r>
      <w:r>
        <w:t xml:space="preserve"> at 13628, para. 47</w:t>
      </w:r>
      <w:r w:rsidRPr="004D7C3A">
        <w:t>.</w:t>
      </w:r>
    </w:p>
  </w:footnote>
  <w:footnote w:id="40">
    <w:p w:rsidR="00C0210E" w:rsidP="00C0210E" w14:paraId="1996A0F2" w14:textId="77777777">
      <w:pPr>
        <w:pStyle w:val="FootnoteText"/>
      </w:pPr>
      <w:r>
        <w:rPr>
          <w:rStyle w:val="FootnoteReference"/>
        </w:rPr>
        <w:footnoteRef/>
      </w:r>
      <w:r>
        <w:t xml:space="preserve"> </w:t>
      </w:r>
      <w:r w:rsidRPr="1D1DEB0C">
        <w:rPr>
          <w:i/>
          <w:iCs/>
        </w:rPr>
        <w:t>See</w:t>
      </w:r>
      <w:r w:rsidRPr="1D1DEB0C">
        <w:t xml:space="preserve"> Answer at 27 (Affirmative Defense A), 37-38 (Affirmative Defense L).</w:t>
      </w:r>
    </w:p>
  </w:footnote>
  <w:footnote w:id="41">
    <w:p w:rsidR="00C0210E" w:rsidP="00C0210E" w14:paraId="42A923D4" w14:textId="77777777">
      <w:pPr>
        <w:pStyle w:val="FootnoteText"/>
      </w:pPr>
      <w:r>
        <w:rPr>
          <w:rStyle w:val="FootnoteReference"/>
        </w:rPr>
        <w:footnoteRef/>
      </w:r>
      <w:r>
        <w:t xml:space="preserve"> </w:t>
      </w:r>
      <w:r w:rsidRPr="1D1DEB0C">
        <w:t xml:space="preserve">FPL also alleges that AT&amp;T did not notify it that it was seeking a lower rate under Commission rules and orders.  </w:t>
      </w:r>
      <w:r w:rsidRPr="1D1DEB0C">
        <w:rPr>
          <w:i/>
          <w:iCs/>
        </w:rPr>
        <w:t xml:space="preserve">See </w:t>
      </w:r>
      <w:r w:rsidRPr="1D1DEB0C">
        <w:t xml:space="preserve">Answer at 27, 38.  Yet AT&amp;T informed FPL almost a year before filing the Complaint that it believed it was entitled to a lower rate under the </w:t>
      </w:r>
      <w:r>
        <w:rPr>
          <w:i/>
          <w:iCs/>
        </w:rPr>
        <w:t xml:space="preserve">2011 </w:t>
      </w:r>
      <w:r w:rsidRPr="1D1DEB0C">
        <w:rPr>
          <w:i/>
          <w:iCs/>
        </w:rPr>
        <w:t>Pole Attachment Order</w:t>
      </w:r>
      <w:r w:rsidRPr="1D1DEB0C">
        <w:t xml:space="preserve">.  </w:t>
      </w:r>
      <w:r w:rsidRPr="1D1DEB0C">
        <w:rPr>
          <w:i/>
          <w:iCs/>
        </w:rPr>
        <w:t xml:space="preserve">See </w:t>
      </w:r>
      <w:r w:rsidRPr="1D1DEB0C">
        <w:t xml:space="preserve">Complaint </w:t>
      </w:r>
      <w:r w:rsidRPr="1D1DEB0C">
        <w:t>Exh</w:t>
      </w:r>
      <w:r w:rsidRPr="1D1DEB0C">
        <w:t xml:space="preserve">. 5 (email from K. Hitchcock, AT&amp;T, to T. Kennedy, FPL dated Aug. 21, 2018).  While FPL also contends that AT&amp;T did not negotiate in good faith, </w:t>
      </w:r>
      <w:r w:rsidRPr="1D1DEB0C">
        <w:rPr>
          <w:i/>
          <w:iCs/>
        </w:rPr>
        <w:t>see</w:t>
      </w:r>
      <w:r w:rsidRPr="1D1DEB0C">
        <w:t xml:space="preserve"> Answer at 27, 38, it establishes only that the parties simply could not agree.  The parties engaged in the </w:t>
      </w:r>
      <w:r w:rsidRPr="1D1DEB0C">
        <w:t>JUA’s</w:t>
      </w:r>
      <w:r w:rsidRPr="1D1DEB0C">
        <w:t xml:space="preserve"> dispute resolution process, consisting of an executive-level meeting and a day of mediation.  </w:t>
      </w:r>
      <w:r w:rsidRPr="1D1DEB0C">
        <w:rPr>
          <w:i/>
          <w:iCs/>
        </w:rPr>
        <w:t>See</w:t>
      </w:r>
      <w:r w:rsidRPr="1D1DEB0C">
        <w:t xml:space="preserve"> Complaint </w:t>
      </w:r>
      <w:r w:rsidRPr="1D1DEB0C">
        <w:t>Exh</w:t>
      </w:r>
      <w:r w:rsidRPr="1D1DEB0C">
        <w:t xml:space="preserve">. A (Rhinehart </w:t>
      </w:r>
      <w:r w:rsidRPr="1D1DEB0C">
        <w:t>Aff</w:t>
      </w:r>
      <w:r w:rsidRPr="1D1DEB0C">
        <w:t xml:space="preserve">.) at 2, para. 4.  FPL maintained throughout that the </w:t>
      </w:r>
      <w:r>
        <w:rPr>
          <w:i/>
          <w:iCs/>
        </w:rPr>
        <w:t xml:space="preserve">2011 </w:t>
      </w:r>
      <w:r w:rsidRPr="1D1DEB0C">
        <w:rPr>
          <w:i/>
          <w:iCs/>
        </w:rPr>
        <w:t>Pole Attachment Order</w:t>
      </w:r>
      <w:r w:rsidRPr="1D1DEB0C">
        <w:t xml:space="preserve"> did not apply.  </w:t>
      </w:r>
      <w:r w:rsidRPr="1D1DEB0C">
        <w:rPr>
          <w:i/>
          <w:iCs/>
        </w:rPr>
        <w:t>See,</w:t>
      </w:r>
      <w:r w:rsidRPr="1D1DEB0C">
        <w:t xml:space="preserve"> </w:t>
      </w:r>
      <w:r w:rsidRPr="1D1DEB0C">
        <w:rPr>
          <w:i/>
          <w:iCs/>
        </w:rPr>
        <w:t>e.g.</w:t>
      </w:r>
      <w:r w:rsidRPr="1D1DEB0C">
        <w:t xml:space="preserve">, Amended Complaint </w:t>
      </w:r>
      <w:r w:rsidRPr="1D1DEB0C">
        <w:t>Exhs</w:t>
      </w:r>
      <w:r w:rsidRPr="1D1DEB0C">
        <w:t xml:space="preserve">. 10 (email from M. </w:t>
      </w:r>
      <w:r w:rsidRPr="1D1DEB0C">
        <w:t>Jarro</w:t>
      </w:r>
      <w:r w:rsidRPr="1D1DEB0C">
        <w:t>, FPL, to D. Miller, AT&amp;T, sent Dec. 4, 2018) (“[FPL is] not aware of any federal law that requires FPL to take affirmative action to change an agreed-upon contract rate”) and 22 (email from D. Bromley, FPL, to D. Miller, AT&amp;T, sent Jan. 8, 2019) (“as we have previously communicated, there is nothing in the 2011 [Pole Attachment] Order that affirmatively requires the parties to modify an existing agreed upon contract rate”).</w:t>
      </w:r>
    </w:p>
  </w:footnote>
  <w:footnote w:id="42">
    <w:p w:rsidR="00C0210E" w:rsidP="00C0210E" w14:paraId="6DD05388" w14:textId="77777777">
      <w:pPr>
        <w:pStyle w:val="FootnoteText"/>
      </w:pPr>
      <w:r>
        <w:rPr>
          <w:rStyle w:val="FootnoteReference"/>
        </w:rPr>
        <w:footnoteRef/>
      </w:r>
      <w:r>
        <w:t xml:space="preserve"> </w:t>
      </w:r>
      <w:r w:rsidRPr="00204599">
        <w:rPr>
          <w:i/>
          <w:iCs/>
        </w:rPr>
        <w:t>See</w:t>
      </w:r>
      <w:r w:rsidRPr="002A1194">
        <w:t>,</w:t>
      </w:r>
      <w:r w:rsidRPr="00204599">
        <w:rPr>
          <w:i/>
          <w:iCs/>
        </w:rPr>
        <w:t xml:space="preserve"> e.g., Holt v. </w:t>
      </w:r>
      <w:r w:rsidRPr="00204599">
        <w:rPr>
          <w:i/>
          <w:iCs/>
        </w:rPr>
        <w:t>Winpisinger</w:t>
      </w:r>
      <w:r>
        <w:t>, 811 F.2d 1532, 1541-42 (D.C. Cir. 1987) (defendant’s failure to show prejudice defeats its laches, estoppel and unclean hands defenses).</w:t>
      </w:r>
    </w:p>
  </w:footnote>
  <w:footnote w:id="43">
    <w:p w:rsidR="00C0210E" w:rsidP="00C0210E" w14:paraId="6C21683D" w14:textId="77777777">
      <w:pPr>
        <w:pStyle w:val="FootnoteText"/>
      </w:pPr>
      <w:r>
        <w:rPr>
          <w:rStyle w:val="FootnoteReference"/>
        </w:rPr>
        <w:footnoteRef/>
      </w:r>
      <w:r>
        <w:t xml:space="preserve"> FPL ignores that AT&amp;T could not have requested a reduction under the </w:t>
      </w:r>
      <w:r w:rsidRPr="00CA0F35">
        <w:rPr>
          <w:i/>
          <w:iCs/>
        </w:rPr>
        <w:t>2011 Pole Attachment Order</w:t>
      </w:r>
      <w:r>
        <w:t xml:space="preserve"> before its effective date.</w:t>
      </w:r>
    </w:p>
  </w:footnote>
  <w:footnote w:id="44">
    <w:p w:rsidR="00C0210E" w:rsidP="00C0210E" w14:paraId="58A8D249" w14:textId="77777777">
      <w:pPr>
        <w:pStyle w:val="FootnoteText"/>
      </w:pPr>
      <w:r>
        <w:rPr>
          <w:rStyle w:val="FootnoteReference"/>
        </w:rPr>
        <w:footnoteRef/>
      </w:r>
      <w:r>
        <w:t xml:space="preserve"> </w:t>
      </w:r>
      <w:r>
        <w:rPr>
          <w:szCs w:val="22"/>
        </w:rPr>
        <w:t xml:space="preserve">Though not in the context of incumbent </w:t>
      </w:r>
      <w:r>
        <w:rPr>
          <w:szCs w:val="22"/>
        </w:rPr>
        <w:t>LEC</w:t>
      </w:r>
      <w:r>
        <w:rPr>
          <w:szCs w:val="22"/>
        </w:rPr>
        <w:t xml:space="preserve"> complaints asserting equitable defenses, the </w:t>
      </w:r>
      <w:r w:rsidRPr="00811D42">
        <w:rPr>
          <w:szCs w:val="22"/>
        </w:rPr>
        <w:t xml:space="preserve">Commission has already considered and rejected the suggestion that an </w:t>
      </w:r>
      <w:r w:rsidRPr="00811D42">
        <w:rPr>
          <w:szCs w:val="22"/>
        </w:rPr>
        <w:t>attacher</w:t>
      </w:r>
      <w:r w:rsidRPr="00811D42">
        <w:rPr>
          <w:szCs w:val="22"/>
        </w:rPr>
        <w:t xml:space="preserve"> should receive </w:t>
      </w:r>
      <w:r>
        <w:rPr>
          <w:szCs w:val="22"/>
        </w:rPr>
        <w:t>no</w:t>
      </w:r>
      <w:r w:rsidRPr="00811D42">
        <w:rPr>
          <w:szCs w:val="22"/>
        </w:rPr>
        <w:t xml:space="preserve"> refund for the period before it disputes its rate.  “[W]e decline </w:t>
      </w:r>
      <w:r>
        <w:rPr>
          <w:szCs w:val="22"/>
        </w:rPr>
        <w:t>. . .</w:t>
      </w:r>
      <w:r w:rsidRPr="00811D42">
        <w:rPr>
          <w:szCs w:val="22"/>
        </w:rPr>
        <w:t xml:space="preserve"> to preclude monetary recovery for any period prior to the time a utility receives actual notice of a disputed charge. </w:t>
      </w:r>
      <w:r>
        <w:rPr>
          <w:szCs w:val="22"/>
        </w:rPr>
        <w:t xml:space="preserve"> </w:t>
      </w:r>
      <w:r w:rsidRPr="00811D42">
        <w:rPr>
          <w:szCs w:val="22"/>
        </w:rPr>
        <w:t>Such a rule modification runs counter to the very idea of a statute of limitations, which permits complaints to be filed up until the last day of the limitations period.”</w:t>
      </w:r>
      <w:r>
        <w:rPr>
          <w:szCs w:val="22"/>
        </w:rPr>
        <w:t xml:space="preserve"> </w:t>
      </w:r>
      <w:r>
        <w:rPr>
          <w:i/>
          <w:iCs/>
        </w:rPr>
        <w:t xml:space="preserve">2011 </w:t>
      </w:r>
      <w:r w:rsidRPr="00370F4D">
        <w:rPr>
          <w:i/>
          <w:iCs/>
        </w:rPr>
        <w:t>Pole Attachment Order</w:t>
      </w:r>
      <w:r w:rsidRPr="00370F4D">
        <w:t xml:space="preserve">, 26 FCC </w:t>
      </w:r>
      <w:r w:rsidRPr="00370F4D">
        <w:t>Rcd</w:t>
      </w:r>
      <w:r w:rsidRPr="00370F4D">
        <w:t xml:space="preserve"> at 5290, para. 112.</w:t>
      </w:r>
      <w:r>
        <w:rPr>
          <w:szCs w:val="22"/>
        </w:rPr>
        <w:t xml:space="preserve"> </w:t>
      </w:r>
    </w:p>
  </w:footnote>
  <w:footnote w:id="45">
    <w:p w:rsidR="00C0210E" w:rsidRPr="00370F4D" w:rsidP="00C0210E" w14:paraId="5F982A89" w14:textId="77777777">
      <w:pPr>
        <w:pStyle w:val="FootnoteText"/>
      </w:pPr>
      <w:r w:rsidRPr="00370F4D">
        <w:rPr>
          <w:rStyle w:val="FootnoteReference"/>
        </w:rPr>
        <w:footnoteRef/>
      </w:r>
      <w:r w:rsidRPr="00370F4D">
        <w:t xml:space="preserve"> </w:t>
      </w:r>
      <w:r w:rsidRPr="00370F4D">
        <w:rPr>
          <w:i/>
          <w:iCs/>
        </w:rPr>
        <w:t>See</w:t>
      </w:r>
      <w:r w:rsidRPr="00370F4D">
        <w:t xml:space="preserve"> 47 C</w:t>
      </w:r>
      <w:r>
        <w:t>FR</w:t>
      </w:r>
      <w:r w:rsidRPr="00370F4D">
        <w:t xml:space="preserve"> §§1.1409(c), 1.1410.</w:t>
      </w:r>
    </w:p>
  </w:footnote>
  <w:footnote w:id="46">
    <w:p w:rsidR="00C0210E" w:rsidRPr="009163E0" w:rsidP="00C0210E" w14:paraId="6BA4B8D0" w14:textId="77777777">
      <w:pPr>
        <w:pStyle w:val="FootnoteText"/>
      </w:pPr>
      <w:r w:rsidRPr="00370F4D">
        <w:rPr>
          <w:rStyle w:val="FootnoteReference"/>
        </w:rPr>
        <w:footnoteRef/>
      </w:r>
      <w:r w:rsidRPr="00370F4D">
        <w:t xml:space="preserve"> </w:t>
      </w:r>
      <w:r w:rsidRPr="009163E0">
        <w:rPr>
          <w:i/>
          <w:iCs/>
        </w:rPr>
        <w:t>Amendment of Rules and Policies Governing the Attachment of Cable Television Hardware to Utility Poles</w:t>
      </w:r>
      <w:r w:rsidRPr="009163E0">
        <w:t xml:space="preserve">, Report and Order, 2 FCC </w:t>
      </w:r>
      <w:r w:rsidRPr="009163E0">
        <w:t>Rcd</w:t>
      </w:r>
      <w:r w:rsidRPr="009163E0">
        <w:t xml:space="preserve"> 4387, 4394, para. 52 n.27 (1987); </w:t>
      </w:r>
      <w:r w:rsidRPr="009163E0">
        <w:rPr>
          <w:i/>
          <w:iCs/>
        </w:rPr>
        <w:t>Teleport Commc</w:t>
      </w:r>
      <w:r>
        <w:rPr>
          <w:i/>
          <w:iCs/>
        </w:rPr>
        <w:t>’</w:t>
      </w:r>
      <w:r w:rsidRPr="009163E0">
        <w:rPr>
          <w:i/>
          <w:iCs/>
        </w:rPr>
        <w:t>ns Atlanta, Inc. v. Georgia Power Co.</w:t>
      </w:r>
      <w:r w:rsidRPr="009163E0">
        <w:t xml:space="preserve">, Order on Review, 17 FCC </w:t>
      </w:r>
      <w:r w:rsidRPr="009163E0">
        <w:t>Rcd</w:t>
      </w:r>
      <w:r w:rsidRPr="009163E0">
        <w:t xml:space="preserve"> 19859, 19866, para. 19 n.41 (2002).</w:t>
      </w:r>
    </w:p>
  </w:footnote>
  <w:footnote w:id="47">
    <w:p w:rsidR="00C0210E" w:rsidRPr="009163E0" w:rsidP="00C0210E" w14:paraId="2952E4BF" w14:textId="77777777">
      <w:pPr>
        <w:pStyle w:val="FootnoteText"/>
      </w:pPr>
      <w:r w:rsidRPr="009163E0">
        <w:rPr>
          <w:rStyle w:val="FootnoteReference"/>
        </w:rPr>
        <w:footnoteRef/>
      </w:r>
      <w:r w:rsidRPr="009163E0">
        <w:t xml:space="preserve"> </w:t>
      </w:r>
      <w:r w:rsidRPr="009163E0">
        <w:rPr>
          <w:i/>
          <w:iCs/>
        </w:rPr>
        <w:t>Amendment of Commission’s Rules and Policies Governing Pole Attachments</w:t>
      </w:r>
      <w:r w:rsidRPr="009163E0">
        <w:t xml:space="preserve">, Consolidated Partial Order on Reconsideration, 16 FCC </w:t>
      </w:r>
      <w:r w:rsidRPr="009163E0">
        <w:t>Rcd</w:t>
      </w:r>
      <w:r w:rsidRPr="009163E0">
        <w:t xml:space="preserve"> 12103, 12135, para. 63 (2001).</w:t>
      </w:r>
    </w:p>
  </w:footnote>
  <w:footnote w:id="48">
    <w:p w:rsidR="00C0210E" w:rsidRPr="009163E0" w:rsidP="00C0210E" w14:paraId="6C1E3D7D" w14:textId="77777777">
      <w:pPr>
        <w:pStyle w:val="FootnoteText"/>
      </w:pPr>
      <w:r w:rsidRPr="009163E0">
        <w:rPr>
          <w:rStyle w:val="FootnoteReference"/>
        </w:rPr>
        <w:footnoteRef/>
      </w:r>
      <w:r w:rsidRPr="009163E0">
        <w:t xml:space="preserve"> </w:t>
      </w:r>
      <w:r w:rsidRPr="009163E0">
        <w:rPr>
          <w:i/>
          <w:iCs/>
        </w:rPr>
        <w:t>See</w:t>
      </w:r>
      <w:r w:rsidRPr="009163E0">
        <w:t xml:space="preserve"> Answer </w:t>
      </w:r>
      <w:r>
        <w:t>Exh</w:t>
      </w:r>
      <w:r>
        <w:t>.</w:t>
      </w:r>
      <w:r w:rsidRPr="009163E0">
        <w:t xml:space="preserve"> A (Kennedy </w:t>
      </w:r>
      <w:r>
        <w:t>Decl.</w:t>
      </w:r>
      <w:r w:rsidRPr="009163E0">
        <w:t>) at 14, para. 28</w:t>
      </w:r>
      <w:r w:rsidR="00A456E4">
        <w:t>,</w:t>
      </w:r>
      <w:r w:rsidRPr="009163E0">
        <w:t xml:space="preserve"> </w:t>
      </w:r>
      <w:r>
        <w:t>Exh</w:t>
      </w:r>
      <w:r>
        <w:t>.</w:t>
      </w:r>
      <w:r w:rsidRPr="009163E0">
        <w:t xml:space="preserve"> </w:t>
      </w:r>
      <w:r>
        <w:t>E</w:t>
      </w:r>
      <w:r w:rsidRPr="009163E0">
        <w:t xml:space="preserve"> (Murphy </w:t>
      </w:r>
      <w:r>
        <w:t>Decl.</w:t>
      </w:r>
      <w:r w:rsidRPr="009163E0">
        <w:t>) at 2, paras. 4-5.</w:t>
      </w:r>
    </w:p>
  </w:footnote>
  <w:footnote w:id="49">
    <w:p w:rsidR="00C0210E" w:rsidRPr="009163E0" w:rsidP="00C0210E" w14:paraId="5F29D6E6" w14:textId="77777777">
      <w:pPr>
        <w:pStyle w:val="FootnoteText"/>
      </w:pPr>
      <w:r w:rsidRPr="009163E0">
        <w:rPr>
          <w:rStyle w:val="FootnoteReference"/>
        </w:rPr>
        <w:footnoteRef/>
      </w:r>
      <w:r w:rsidRPr="009163E0">
        <w:t xml:space="preserve"> Answer </w:t>
      </w:r>
      <w:r>
        <w:t>Exh</w:t>
      </w:r>
      <w:r>
        <w:t>.</w:t>
      </w:r>
      <w:r w:rsidRPr="009163E0">
        <w:t xml:space="preserve"> </w:t>
      </w:r>
      <w:r>
        <w:t xml:space="preserve">E </w:t>
      </w:r>
      <w:r w:rsidRPr="009163E0">
        <w:t xml:space="preserve">(Murphy </w:t>
      </w:r>
      <w:r>
        <w:t>Decl.</w:t>
      </w:r>
      <w:r w:rsidRPr="009163E0">
        <w:t>) at para. 5.</w:t>
      </w:r>
    </w:p>
  </w:footnote>
  <w:footnote w:id="50">
    <w:p w:rsidR="00C0210E" w:rsidRPr="009163E0" w:rsidP="00C0210E" w14:paraId="6326245F" w14:textId="77777777">
      <w:pPr>
        <w:pStyle w:val="FootnoteText"/>
      </w:pPr>
      <w:r w:rsidRPr="009163E0">
        <w:rPr>
          <w:rStyle w:val="FootnoteReference"/>
        </w:rPr>
        <w:footnoteRef/>
      </w:r>
      <w:r>
        <w:t xml:space="preserve"> </w:t>
      </w:r>
      <w:r w:rsidRPr="009163E0">
        <w:rPr>
          <w:i/>
          <w:iCs/>
        </w:rPr>
        <w:t>See</w:t>
      </w:r>
      <w:r w:rsidRPr="009163E0">
        <w:t xml:space="preserve"> Answer </w:t>
      </w:r>
      <w:r>
        <w:t>Exh</w:t>
      </w:r>
      <w:r>
        <w:t>.</w:t>
      </w:r>
      <w:r w:rsidRPr="009163E0">
        <w:t xml:space="preserve"> A (Kennedy </w:t>
      </w:r>
      <w:r>
        <w:t>Decl.</w:t>
      </w:r>
      <w:r w:rsidRPr="009163E0">
        <w:t>) at 14</w:t>
      </w:r>
      <w:r>
        <w:t>, para. 28.</w:t>
      </w:r>
    </w:p>
  </w:footnote>
  <w:footnote w:id="51">
    <w:p w:rsidR="00C0210E" w:rsidP="00C0210E" w14:paraId="494E4327" w14:textId="77777777">
      <w:pPr>
        <w:pStyle w:val="FootnoteText"/>
      </w:pPr>
      <w:r>
        <w:rPr>
          <w:rStyle w:val="FootnoteReference"/>
        </w:rPr>
        <w:footnoteRef/>
      </w:r>
      <w:r>
        <w:t xml:space="preserve"> See Answer Ex. A </w:t>
      </w:r>
      <w:r w:rsidRPr="009163E0">
        <w:t xml:space="preserve">(Kennedy </w:t>
      </w:r>
      <w:r>
        <w:t>Decl.</w:t>
      </w:r>
      <w:r w:rsidRPr="009163E0">
        <w:t>) at 14, para. 2</w:t>
      </w:r>
      <w:r>
        <w:t xml:space="preserve">8 (table). </w:t>
      </w:r>
    </w:p>
  </w:footnote>
  <w:footnote w:id="52">
    <w:p w:rsidR="00C0210E" w:rsidRPr="009163E0" w:rsidP="00C0210E" w14:paraId="5A73058F" w14:textId="77777777">
      <w:pPr>
        <w:pStyle w:val="FootnoteText"/>
      </w:pPr>
      <w:r w:rsidRPr="009163E0">
        <w:rPr>
          <w:rStyle w:val="FootnoteReference"/>
        </w:rPr>
        <w:footnoteRef/>
      </w:r>
      <w:r w:rsidRPr="009163E0">
        <w:t xml:space="preserve"> </w:t>
      </w:r>
      <w:r w:rsidRPr="009163E0">
        <w:rPr>
          <w:i/>
          <w:iCs/>
        </w:rPr>
        <w:t>See</w:t>
      </w:r>
      <w:r w:rsidRPr="009163E0">
        <w:t xml:space="preserve"> Answer </w:t>
      </w:r>
      <w:r>
        <w:t>Exh</w:t>
      </w:r>
      <w:r>
        <w:t>.</w:t>
      </w:r>
      <w:r w:rsidRPr="009163E0">
        <w:t xml:space="preserve"> A (Kennedy </w:t>
      </w:r>
      <w:r>
        <w:t>Decl.</w:t>
      </w:r>
      <w:r w:rsidRPr="009163E0">
        <w:t>) at 14, paras. 28-29</w:t>
      </w:r>
      <w:r>
        <w:t>;</w:t>
      </w:r>
      <w:r w:rsidRPr="009163E0">
        <w:t xml:space="preserve"> </w:t>
      </w:r>
      <w:r>
        <w:t>Exh</w:t>
      </w:r>
      <w:r>
        <w:t>.</w:t>
      </w:r>
      <w:r w:rsidRPr="009163E0">
        <w:t xml:space="preserve"> </w:t>
      </w:r>
      <w:r>
        <w:t>E</w:t>
      </w:r>
      <w:r w:rsidRPr="009163E0">
        <w:t xml:space="preserve"> (Murphy </w:t>
      </w:r>
      <w:r>
        <w:t>Decl.</w:t>
      </w:r>
      <w:r w:rsidRPr="009163E0">
        <w:t>) at 2, para. 7.</w:t>
      </w:r>
    </w:p>
  </w:footnote>
  <w:footnote w:id="53">
    <w:p w:rsidR="00C0210E" w:rsidRPr="009163E0" w:rsidP="00C0210E" w14:paraId="09A9295A" w14:textId="77777777">
      <w:pPr>
        <w:pStyle w:val="FootnoteText"/>
      </w:pPr>
      <w:r w:rsidRPr="009163E0">
        <w:rPr>
          <w:rStyle w:val="FootnoteReference"/>
        </w:rPr>
        <w:footnoteRef/>
      </w:r>
      <w:r w:rsidRPr="009163E0">
        <w:t xml:space="preserve"> </w:t>
      </w:r>
      <w:r w:rsidRPr="009163E0">
        <w:rPr>
          <w:i/>
          <w:iCs/>
        </w:rPr>
        <w:t>See</w:t>
      </w:r>
      <w:r w:rsidRPr="009163E0">
        <w:t xml:space="preserve"> Answer </w:t>
      </w:r>
      <w:r>
        <w:t>Exh</w:t>
      </w:r>
      <w:r>
        <w:t>.</w:t>
      </w:r>
      <w:r w:rsidRPr="009163E0">
        <w:t xml:space="preserve"> </w:t>
      </w:r>
      <w:r>
        <w:t>E</w:t>
      </w:r>
      <w:r w:rsidRPr="009163E0">
        <w:t xml:space="preserve"> (</w:t>
      </w:r>
      <w:r>
        <w:t>Murphy</w:t>
      </w:r>
      <w:r w:rsidRPr="009163E0">
        <w:t xml:space="preserve"> </w:t>
      </w:r>
      <w:r>
        <w:t>Decl.</w:t>
      </w:r>
      <w:r w:rsidRPr="009163E0">
        <w:t>) at</w:t>
      </w:r>
      <w:r>
        <w:t xml:space="preserve"> 6</w:t>
      </w:r>
      <w:r w:rsidRPr="009163E0">
        <w:t xml:space="preserve">, para. </w:t>
      </w:r>
      <w:r>
        <w:t>23</w:t>
      </w:r>
      <w:r w:rsidRPr="009163E0">
        <w:t xml:space="preserve"> (table).  FPL’s </w:t>
      </w:r>
      <w:r>
        <w:t xml:space="preserve">annual </w:t>
      </w:r>
      <w:r w:rsidRPr="009163E0">
        <w:t>survey</w:t>
      </w:r>
      <w:r>
        <w:t>s</w:t>
      </w:r>
      <w:r w:rsidRPr="009163E0">
        <w:t xml:space="preserve"> establish an average pole height of 40.4 feet; usable space of 15.9 feet and unusable space of 24.5 feet.  </w:t>
      </w:r>
      <w:r w:rsidRPr="009163E0">
        <w:rPr>
          <w:i/>
          <w:iCs/>
        </w:rPr>
        <w:t>See</w:t>
      </w:r>
      <w:r w:rsidRPr="009163E0">
        <w:t xml:space="preserve"> Answer </w:t>
      </w:r>
      <w:r>
        <w:t>Exh</w:t>
      </w:r>
      <w:r>
        <w:t>.</w:t>
      </w:r>
      <w:r w:rsidRPr="009163E0">
        <w:t xml:space="preserve"> A (Kennedy </w:t>
      </w:r>
      <w:r>
        <w:t>Decl.</w:t>
      </w:r>
      <w:r w:rsidRPr="009163E0">
        <w:t>) at 14, para. 28 (table).  AT&amp;T does not challenge these figures.</w:t>
      </w:r>
    </w:p>
  </w:footnote>
  <w:footnote w:id="54">
    <w:p w:rsidR="00C0210E" w:rsidRPr="009163E0" w:rsidP="00C0210E" w14:paraId="39A41279" w14:textId="77777777">
      <w:pPr>
        <w:pStyle w:val="FootnoteText"/>
      </w:pPr>
      <w:r w:rsidRPr="009163E0">
        <w:rPr>
          <w:rStyle w:val="FootnoteReference"/>
        </w:rPr>
        <w:footnoteRef/>
      </w:r>
      <w:r w:rsidRPr="009163E0">
        <w:t xml:space="preserve"> </w:t>
      </w:r>
      <w:r w:rsidRPr="009163E0">
        <w:rPr>
          <w:i/>
          <w:iCs/>
        </w:rPr>
        <w:t>See</w:t>
      </w:r>
      <w:r w:rsidRPr="009163E0">
        <w:t xml:space="preserve"> Answer </w:t>
      </w:r>
      <w:r>
        <w:t>Exh</w:t>
      </w:r>
      <w:r>
        <w:t>.</w:t>
      </w:r>
      <w:r w:rsidRPr="009163E0">
        <w:t xml:space="preserve"> A (Kennedy </w:t>
      </w:r>
      <w:r>
        <w:t>Decl.</w:t>
      </w:r>
      <w:r w:rsidRPr="009163E0">
        <w:t xml:space="preserve">) at 14, para. 29; </w:t>
      </w:r>
      <w:r>
        <w:t>Exh</w:t>
      </w:r>
      <w:r>
        <w:t>.</w:t>
      </w:r>
      <w:r w:rsidRPr="009163E0">
        <w:t xml:space="preserve"> D (Murphy </w:t>
      </w:r>
      <w:r>
        <w:t>Decl.</w:t>
      </w:r>
      <w:r w:rsidRPr="009163E0">
        <w:t>) at 3, para. 9, 4, para. 16</w:t>
      </w:r>
      <w:r>
        <w:t>,</w:t>
      </w:r>
      <w:r w:rsidRPr="009163E0">
        <w:t xml:space="preserve"> 5, para. 21</w:t>
      </w:r>
      <w:r>
        <w:t>, and 6, para. 23 (table)</w:t>
      </w:r>
      <w:r w:rsidRPr="009163E0">
        <w:t>.</w:t>
      </w:r>
    </w:p>
  </w:footnote>
  <w:footnote w:id="55">
    <w:p w:rsidR="00C0210E" w:rsidP="00C0210E" w14:paraId="66658F4F" w14:textId="77777777">
      <w:pPr>
        <w:pStyle w:val="FootnoteText"/>
      </w:pPr>
      <w:r>
        <w:rPr>
          <w:rStyle w:val="FootnoteReference"/>
        </w:rPr>
        <w:footnoteRef/>
      </w:r>
      <w:r>
        <w:t xml:space="preserve"> </w:t>
      </w:r>
      <w:r w:rsidRPr="002A1194">
        <w:rPr>
          <w:i/>
          <w:iCs/>
        </w:rPr>
        <w:t>See</w:t>
      </w:r>
      <w:r>
        <w:t xml:space="preserve"> Answer Ex. A </w:t>
      </w:r>
      <w:r w:rsidRPr="009163E0">
        <w:t xml:space="preserve">(Kennedy </w:t>
      </w:r>
      <w:r>
        <w:t>Decl.</w:t>
      </w:r>
      <w:r w:rsidRPr="009163E0">
        <w:t>) at 14, para. 29</w:t>
      </w:r>
      <w:r>
        <w:t xml:space="preserve"> (table). </w:t>
      </w:r>
    </w:p>
  </w:footnote>
  <w:footnote w:id="56">
    <w:p w:rsidR="00C0210E" w:rsidRPr="009163E0" w:rsidP="00C0210E" w14:paraId="6137C45B" w14:textId="77777777">
      <w:pPr>
        <w:pStyle w:val="FootnoteText"/>
      </w:pPr>
      <w:r w:rsidRPr="009163E0">
        <w:rPr>
          <w:rStyle w:val="FootnoteReference"/>
        </w:rPr>
        <w:footnoteRef/>
      </w:r>
      <w:r w:rsidRPr="009163E0">
        <w:t xml:space="preserve"> </w:t>
      </w:r>
      <w:r w:rsidRPr="009163E0">
        <w:rPr>
          <w:i/>
          <w:iCs/>
        </w:rPr>
        <w:t>See</w:t>
      </w:r>
      <w:r w:rsidRPr="009163E0">
        <w:t xml:space="preserve"> Reply Legal Analysis </w:t>
      </w:r>
      <w:r>
        <w:t xml:space="preserve">in Support of Pole Attachment Complaint, Proceeding No. 19-187 (filed Nov. 6, 2019) (Reply Legal Analysis) </w:t>
      </w:r>
      <w:r w:rsidRPr="009163E0">
        <w:t xml:space="preserve">at 54-55, </w:t>
      </w:r>
      <w:r>
        <w:t>Exh</w:t>
      </w:r>
      <w:r>
        <w:t>.</w:t>
      </w:r>
      <w:r w:rsidRPr="009163E0">
        <w:t xml:space="preserve"> F (Peters </w:t>
      </w:r>
      <w:r w:rsidRPr="009163E0">
        <w:t>Aff</w:t>
      </w:r>
      <w:r w:rsidRPr="009163E0">
        <w:t>.) at 14, para. 27.</w:t>
      </w:r>
    </w:p>
  </w:footnote>
  <w:footnote w:id="57">
    <w:p w:rsidR="00C0210E" w:rsidRPr="009163E0" w:rsidP="00C0210E" w14:paraId="3374BE29" w14:textId="77777777">
      <w:pPr>
        <w:pStyle w:val="FootnoteText"/>
      </w:pPr>
      <w:r w:rsidRPr="009163E0">
        <w:rPr>
          <w:rStyle w:val="FootnoteReference"/>
        </w:rPr>
        <w:footnoteRef/>
      </w:r>
      <w:r w:rsidRPr="009163E0">
        <w:t xml:space="preserve"> </w:t>
      </w:r>
      <w:r w:rsidRPr="009163E0">
        <w:rPr>
          <w:i/>
          <w:iCs/>
        </w:rPr>
        <w:t>See</w:t>
      </w:r>
      <w:r w:rsidRPr="009163E0">
        <w:t xml:space="preserve"> Answer </w:t>
      </w:r>
      <w:r>
        <w:t>Exh</w:t>
      </w:r>
      <w:r>
        <w:t>.</w:t>
      </w:r>
      <w:r w:rsidRPr="009163E0">
        <w:t xml:space="preserve"> F (Davis </w:t>
      </w:r>
      <w:r>
        <w:t>Decl.</w:t>
      </w:r>
      <w:r w:rsidRPr="009163E0">
        <w:t xml:space="preserve">) at 1, para. 2, 3, para. 8.  AT&amp;T </w:t>
      </w:r>
      <w:r>
        <w:t>mistakenly asserts</w:t>
      </w:r>
      <w:r w:rsidRPr="009163E0">
        <w:t xml:space="preserve"> that the C</w:t>
      </w:r>
      <w:r>
        <w:t>able Services Bureau</w:t>
      </w:r>
      <w:r w:rsidRPr="009163E0">
        <w:t xml:space="preserve"> found data from a utility’s pole database insufficient to rebut the Commission’s </w:t>
      </w:r>
      <w:r>
        <w:t xml:space="preserve">usable space </w:t>
      </w:r>
      <w:r w:rsidRPr="009163E0">
        <w:t xml:space="preserve">presumption because the database included only 45% of the poles at issue.  </w:t>
      </w:r>
      <w:r w:rsidRPr="009163E0">
        <w:rPr>
          <w:i/>
          <w:iCs/>
        </w:rPr>
        <w:t>See</w:t>
      </w:r>
      <w:r w:rsidRPr="009163E0">
        <w:t xml:space="preserve"> Reply Legal Analysis at 55 (citing </w:t>
      </w:r>
      <w:r w:rsidRPr="009163E0">
        <w:rPr>
          <w:i/>
          <w:iCs/>
        </w:rPr>
        <w:t xml:space="preserve">Nevada State Cable TV </w:t>
      </w:r>
      <w:r w:rsidRPr="009163E0">
        <w:rPr>
          <w:i/>
          <w:iCs/>
        </w:rPr>
        <w:t>Ass’n</w:t>
      </w:r>
      <w:r w:rsidRPr="009163E0">
        <w:rPr>
          <w:i/>
          <w:iCs/>
        </w:rPr>
        <w:t xml:space="preserve"> v. Nevada Bell</w:t>
      </w:r>
      <w:r w:rsidRPr="009163E0">
        <w:t xml:space="preserve">, </w:t>
      </w:r>
      <w:r>
        <w:t xml:space="preserve">Order, </w:t>
      </w:r>
      <w:r w:rsidRPr="009163E0">
        <w:t xml:space="preserve">13 FCC </w:t>
      </w:r>
      <w:r w:rsidRPr="009163E0">
        <w:t>Rcd</w:t>
      </w:r>
      <w:r w:rsidRPr="009163E0">
        <w:t xml:space="preserve"> 16774 (Cable Bur. 1998)).  But the Bureau rejected the utility’s attempt to rebut the presumption because, in violation of Commission rules then in effect, it provided no evidence as to how it determined the total number of poles at issue and applied an incorrect formula to </w:t>
      </w:r>
      <w:r>
        <w:t>calculate</w:t>
      </w:r>
      <w:r w:rsidRPr="009163E0">
        <w:t xml:space="preserve"> usable space.  </w:t>
      </w:r>
      <w:r w:rsidRPr="009163E0">
        <w:rPr>
          <w:i/>
          <w:iCs/>
        </w:rPr>
        <w:t>Id</w:t>
      </w:r>
      <w:r w:rsidRPr="009163E0">
        <w:t>. at para. 13.</w:t>
      </w:r>
    </w:p>
  </w:footnote>
  <w:footnote w:id="58">
    <w:p w:rsidR="00C0210E" w:rsidRPr="009163E0" w:rsidP="00C0210E" w14:paraId="20B00257" w14:textId="77777777">
      <w:pPr>
        <w:pStyle w:val="FootnoteText"/>
      </w:pPr>
      <w:r w:rsidRPr="009163E0">
        <w:rPr>
          <w:rStyle w:val="FootnoteReference"/>
        </w:rPr>
        <w:footnoteRef/>
      </w:r>
      <w:r w:rsidRPr="009163E0">
        <w:t xml:space="preserve"> </w:t>
      </w:r>
      <w:r w:rsidRPr="009163E0">
        <w:rPr>
          <w:i/>
          <w:iCs/>
        </w:rPr>
        <w:t>See</w:t>
      </w:r>
      <w:r w:rsidRPr="009163E0">
        <w:t xml:space="preserve"> Reply Legal Analysis at 55-56.</w:t>
      </w:r>
    </w:p>
  </w:footnote>
  <w:footnote w:id="59">
    <w:p w:rsidR="00C0210E" w:rsidRPr="009163E0" w:rsidP="00C0210E" w14:paraId="1B56761C" w14:textId="77777777">
      <w:pPr>
        <w:pStyle w:val="FootnoteText"/>
      </w:pPr>
      <w:r w:rsidRPr="009163E0">
        <w:rPr>
          <w:rStyle w:val="FootnoteReference"/>
        </w:rPr>
        <w:footnoteRef/>
      </w:r>
      <w:r w:rsidRPr="009163E0">
        <w:t xml:space="preserve"> Reply Legal Analysis at 5</w:t>
      </w:r>
      <w:r>
        <w:t>5</w:t>
      </w:r>
      <w:r w:rsidRPr="009163E0">
        <w:t>.</w:t>
      </w:r>
    </w:p>
  </w:footnote>
  <w:footnote w:id="60">
    <w:p w:rsidR="00C0210E" w:rsidRPr="009163E0" w:rsidP="00C0210E" w14:paraId="5EFDD3FB" w14:textId="77777777">
      <w:pPr>
        <w:pStyle w:val="FootnoteText"/>
      </w:pPr>
      <w:r w:rsidRPr="009163E0">
        <w:rPr>
          <w:rStyle w:val="FootnoteReference"/>
        </w:rPr>
        <w:footnoteRef/>
      </w:r>
      <w:r w:rsidRPr="009163E0">
        <w:t xml:space="preserve"> </w:t>
      </w:r>
      <w:r w:rsidRPr="009163E0">
        <w:rPr>
          <w:i/>
          <w:iCs/>
        </w:rPr>
        <w:t>Amendment of Rules and Policies Governing Pole Attachments</w:t>
      </w:r>
      <w:r w:rsidRPr="009163E0">
        <w:t>, Report and Order</w:t>
      </w:r>
      <w:r>
        <w:t>,</w:t>
      </w:r>
      <w:r w:rsidRPr="009163E0">
        <w:t xml:space="preserve"> 15 FCC </w:t>
      </w:r>
      <w:r w:rsidRPr="009163E0">
        <w:t>Rcd</w:t>
      </w:r>
      <w:r w:rsidRPr="009163E0">
        <w:t xml:space="preserve"> 6453 (2000) (</w:t>
      </w:r>
      <w:r w:rsidRPr="009163E0">
        <w:rPr>
          <w:i/>
          <w:iCs/>
        </w:rPr>
        <w:t>Fee Order</w:t>
      </w:r>
      <w:r w:rsidRPr="009163E0">
        <w:t>) at 649</w:t>
      </w:r>
      <w:r>
        <w:t>1</w:t>
      </w:r>
      <w:r w:rsidRPr="009163E0">
        <w:t>, para. 76.</w:t>
      </w:r>
    </w:p>
  </w:footnote>
  <w:footnote w:id="61">
    <w:p w:rsidR="00C0210E" w:rsidRPr="009163E0" w:rsidP="00C0210E" w14:paraId="4ABA2CC8" w14:textId="77777777">
      <w:pPr>
        <w:pStyle w:val="FootnoteText"/>
      </w:pPr>
      <w:r w:rsidRPr="009163E0">
        <w:rPr>
          <w:rStyle w:val="FootnoteReference"/>
        </w:rPr>
        <w:footnoteRef/>
      </w:r>
      <w:r w:rsidRPr="009163E0">
        <w:t xml:space="preserve"> </w:t>
      </w:r>
      <w:r w:rsidRPr="009163E0">
        <w:rPr>
          <w:i/>
          <w:iCs/>
        </w:rPr>
        <w:t>See</w:t>
      </w:r>
      <w:r w:rsidRPr="009163E0">
        <w:t xml:space="preserve"> </w:t>
      </w:r>
      <w:r w:rsidRPr="009163E0">
        <w:rPr>
          <w:i/>
          <w:iCs/>
        </w:rPr>
        <w:t>Fee Order</w:t>
      </w:r>
      <w:r w:rsidRPr="009163E0">
        <w:t xml:space="preserve">, 15 FCC </w:t>
      </w:r>
      <w:r w:rsidRPr="009163E0">
        <w:t>Rcd</w:t>
      </w:r>
      <w:r w:rsidRPr="009163E0">
        <w:t xml:space="preserve"> at 649</w:t>
      </w:r>
      <w:r>
        <w:t>1</w:t>
      </w:r>
      <w:r w:rsidRPr="009163E0">
        <w:t>, para</w:t>
      </w:r>
      <w:r>
        <w:t>s</w:t>
      </w:r>
      <w:r w:rsidRPr="009163E0">
        <w:t xml:space="preserve">. </w:t>
      </w:r>
      <w:r>
        <w:t>74-</w:t>
      </w:r>
      <w:r w:rsidRPr="009163E0">
        <w:t>76.</w:t>
      </w:r>
    </w:p>
  </w:footnote>
  <w:footnote w:id="62">
    <w:p w:rsidR="00C0210E" w:rsidRPr="009163E0" w:rsidP="00C0210E" w14:paraId="6354E45F" w14:textId="77777777">
      <w:pPr>
        <w:pStyle w:val="FootnoteText"/>
      </w:pPr>
      <w:r w:rsidRPr="009163E0">
        <w:rPr>
          <w:rStyle w:val="FootnoteReference"/>
        </w:rPr>
        <w:footnoteRef/>
      </w:r>
      <w:r w:rsidRPr="009163E0">
        <w:t xml:space="preserve"> </w:t>
      </w:r>
      <w:r w:rsidRPr="009163E0">
        <w:rPr>
          <w:i/>
          <w:iCs/>
        </w:rPr>
        <w:t>See</w:t>
      </w:r>
      <w:r w:rsidRPr="009163E0">
        <w:t xml:space="preserve"> Answer </w:t>
      </w:r>
      <w:r>
        <w:t>Exh</w:t>
      </w:r>
      <w:r>
        <w:t>.</w:t>
      </w:r>
      <w:r w:rsidRPr="009163E0">
        <w:t xml:space="preserve"> A (Kennedy </w:t>
      </w:r>
      <w:r>
        <w:t>Decl.</w:t>
      </w:r>
      <w:r w:rsidRPr="009163E0">
        <w:t xml:space="preserve">) at 16, para. 31, and </w:t>
      </w:r>
      <w:r>
        <w:t>Exh</w:t>
      </w:r>
      <w:r>
        <w:t>.</w:t>
      </w:r>
      <w:r w:rsidRPr="009163E0">
        <w:t xml:space="preserve"> D (Deaton </w:t>
      </w:r>
      <w:r>
        <w:t>Decl.</w:t>
      </w:r>
      <w:r w:rsidRPr="009163E0">
        <w:t>) at 5, para. 10.</w:t>
      </w:r>
    </w:p>
  </w:footnote>
  <w:footnote w:id="63">
    <w:p w:rsidR="00C0210E" w:rsidP="00C0210E" w14:paraId="4ACA0A0C" w14:textId="77777777">
      <w:pPr>
        <w:pStyle w:val="FootnoteText"/>
      </w:pPr>
      <w:r>
        <w:rPr>
          <w:rStyle w:val="FootnoteReference"/>
        </w:rPr>
        <w:footnoteRef/>
      </w:r>
      <w:r>
        <w:t xml:space="preserve"> </w:t>
      </w:r>
      <w:r w:rsidRPr="1D1DEB0C">
        <w:rPr>
          <w:i/>
          <w:iCs/>
        </w:rPr>
        <w:t>See</w:t>
      </w:r>
      <w:r w:rsidRPr="1D1DEB0C">
        <w:t xml:space="preserve"> Complaint </w:t>
      </w:r>
      <w:r w:rsidRPr="1D1DEB0C">
        <w:t>Exh</w:t>
      </w:r>
      <w:r w:rsidRPr="1D1DEB0C">
        <w:t xml:space="preserve">. A (Rhinehart </w:t>
      </w:r>
      <w:r w:rsidRPr="1D1DEB0C">
        <w:t>Aff</w:t>
      </w:r>
      <w:r w:rsidRPr="1D1DEB0C">
        <w:t xml:space="preserve">.) at </w:t>
      </w:r>
      <w:r>
        <w:t>Exh</w:t>
      </w:r>
      <w:r>
        <w:t>.</w:t>
      </w:r>
      <w:r w:rsidRPr="1D1DEB0C">
        <w:t xml:space="preserve"> R-1 (relying on total distribution plant accumulated depreciation as inputs into its calculation of net pole investment and FERC accounts 364, 365 and 369).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F039AA" w14:textId="74AE239A">
    <w:pPr>
      <w:pStyle w:val="Header"/>
      <w:rPr>
        <w:b w:val="0"/>
      </w:rPr>
    </w:pPr>
    <w:r>
      <w:tab/>
      <w:t>Federal Communications Commission</w:t>
    </w:r>
    <w:r>
      <w:tab/>
    </w:r>
    <w:r w:rsidR="008A715F">
      <w:rPr>
        <w:spacing w:val="-2"/>
      </w:rPr>
      <w:t>DA 21-57</w:t>
    </w:r>
  </w:p>
  <w:p w:rsidR="00D25FB5" w:rsidRPr="008A715F" w:rsidP="008A715F" w14:paraId="5E7BA520" w14:textId="1769540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70D453" w14:textId="2F11D45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0210E">
      <w:rPr>
        <w:spacing w:val="-2"/>
      </w:rPr>
      <w:t>DA</w:t>
    </w:r>
    <w:r w:rsidR="00294373">
      <w:rPr>
        <w:spacing w:val="-2"/>
      </w:rPr>
      <w:t xml:space="preserve"> 2</w:t>
    </w:r>
    <w:r w:rsidR="00C0210E">
      <w:rPr>
        <w:spacing w:val="-2"/>
      </w:rPr>
      <w:t>1</w:t>
    </w:r>
    <w:r w:rsidR="00294373">
      <w:rPr>
        <w:spacing w:val="-2"/>
      </w:rPr>
      <w:t>-57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0E"/>
    <w:rsid w:val="00021AB9"/>
    <w:rsid w:val="00023644"/>
    <w:rsid w:val="00030C3C"/>
    <w:rsid w:val="00036039"/>
    <w:rsid w:val="00037F90"/>
    <w:rsid w:val="00042641"/>
    <w:rsid w:val="0006305C"/>
    <w:rsid w:val="000807CE"/>
    <w:rsid w:val="00087173"/>
    <w:rsid w:val="000875BF"/>
    <w:rsid w:val="00096D8C"/>
    <w:rsid w:val="000C0B65"/>
    <w:rsid w:val="000E05FE"/>
    <w:rsid w:val="000E3D42"/>
    <w:rsid w:val="000E5730"/>
    <w:rsid w:val="00122BD5"/>
    <w:rsid w:val="001300FD"/>
    <w:rsid w:val="0013041D"/>
    <w:rsid w:val="00133F79"/>
    <w:rsid w:val="001649DD"/>
    <w:rsid w:val="0017296B"/>
    <w:rsid w:val="00194A66"/>
    <w:rsid w:val="001D6BCF"/>
    <w:rsid w:val="001D7E24"/>
    <w:rsid w:val="001E01CA"/>
    <w:rsid w:val="00204599"/>
    <w:rsid w:val="00224078"/>
    <w:rsid w:val="00241B9D"/>
    <w:rsid w:val="002439F8"/>
    <w:rsid w:val="00275CF5"/>
    <w:rsid w:val="0028301F"/>
    <w:rsid w:val="00285017"/>
    <w:rsid w:val="002858C6"/>
    <w:rsid w:val="00294373"/>
    <w:rsid w:val="002A1194"/>
    <w:rsid w:val="002A2D2E"/>
    <w:rsid w:val="002B2129"/>
    <w:rsid w:val="002B4CF4"/>
    <w:rsid w:val="002C00E8"/>
    <w:rsid w:val="002D2A53"/>
    <w:rsid w:val="00343749"/>
    <w:rsid w:val="003660ED"/>
    <w:rsid w:val="00370F4D"/>
    <w:rsid w:val="003B0550"/>
    <w:rsid w:val="003B694F"/>
    <w:rsid w:val="003C748E"/>
    <w:rsid w:val="003D00E4"/>
    <w:rsid w:val="003F13B8"/>
    <w:rsid w:val="003F171C"/>
    <w:rsid w:val="00406136"/>
    <w:rsid w:val="00412FC5"/>
    <w:rsid w:val="00422276"/>
    <w:rsid w:val="004242F1"/>
    <w:rsid w:val="00445A00"/>
    <w:rsid w:val="00451B0F"/>
    <w:rsid w:val="00455A29"/>
    <w:rsid w:val="0045623F"/>
    <w:rsid w:val="00473AAB"/>
    <w:rsid w:val="004822DC"/>
    <w:rsid w:val="004C2EE3"/>
    <w:rsid w:val="004D246D"/>
    <w:rsid w:val="004D7C3A"/>
    <w:rsid w:val="004E4A22"/>
    <w:rsid w:val="00511968"/>
    <w:rsid w:val="0055614C"/>
    <w:rsid w:val="00566D06"/>
    <w:rsid w:val="005B5A38"/>
    <w:rsid w:val="005E14C2"/>
    <w:rsid w:val="005F4684"/>
    <w:rsid w:val="00607BA5"/>
    <w:rsid w:val="00610D65"/>
    <w:rsid w:val="0061180A"/>
    <w:rsid w:val="00626C75"/>
    <w:rsid w:val="00626EB6"/>
    <w:rsid w:val="00655D03"/>
    <w:rsid w:val="00683388"/>
    <w:rsid w:val="00683F84"/>
    <w:rsid w:val="006878AB"/>
    <w:rsid w:val="006A6A81"/>
    <w:rsid w:val="006B4476"/>
    <w:rsid w:val="006C16FF"/>
    <w:rsid w:val="006C2E67"/>
    <w:rsid w:val="006F5B49"/>
    <w:rsid w:val="006F7393"/>
    <w:rsid w:val="0070224F"/>
    <w:rsid w:val="007115F7"/>
    <w:rsid w:val="00717BF5"/>
    <w:rsid w:val="00785689"/>
    <w:rsid w:val="00790281"/>
    <w:rsid w:val="0079754B"/>
    <w:rsid w:val="007A1E6D"/>
    <w:rsid w:val="007B0EB2"/>
    <w:rsid w:val="00810B6F"/>
    <w:rsid w:val="00811D42"/>
    <w:rsid w:val="00822CE0"/>
    <w:rsid w:val="008233FA"/>
    <w:rsid w:val="008309A9"/>
    <w:rsid w:val="00841AB1"/>
    <w:rsid w:val="00856EBA"/>
    <w:rsid w:val="008664D0"/>
    <w:rsid w:val="00871ED5"/>
    <w:rsid w:val="008A715F"/>
    <w:rsid w:val="008C68F1"/>
    <w:rsid w:val="008F044C"/>
    <w:rsid w:val="009163E0"/>
    <w:rsid w:val="00921803"/>
    <w:rsid w:val="00926503"/>
    <w:rsid w:val="00926A47"/>
    <w:rsid w:val="00930CA8"/>
    <w:rsid w:val="009726D8"/>
    <w:rsid w:val="009A423F"/>
    <w:rsid w:val="009A5FFF"/>
    <w:rsid w:val="009D7308"/>
    <w:rsid w:val="009E6D8B"/>
    <w:rsid w:val="009F76DB"/>
    <w:rsid w:val="00A1057F"/>
    <w:rsid w:val="00A243DF"/>
    <w:rsid w:val="00A32C3B"/>
    <w:rsid w:val="00A456E4"/>
    <w:rsid w:val="00A45F4F"/>
    <w:rsid w:val="00A600A9"/>
    <w:rsid w:val="00A648CA"/>
    <w:rsid w:val="00AA55B7"/>
    <w:rsid w:val="00AA5B9E"/>
    <w:rsid w:val="00AB2407"/>
    <w:rsid w:val="00AB4036"/>
    <w:rsid w:val="00AB53DF"/>
    <w:rsid w:val="00AB5FFB"/>
    <w:rsid w:val="00AC0EA0"/>
    <w:rsid w:val="00B061F2"/>
    <w:rsid w:val="00B07E5C"/>
    <w:rsid w:val="00B811F7"/>
    <w:rsid w:val="00BA4688"/>
    <w:rsid w:val="00BA5DC6"/>
    <w:rsid w:val="00BA6196"/>
    <w:rsid w:val="00BC6D8C"/>
    <w:rsid w:val="00BE1945"/>
    <w:rsid w:val="00C0210E"/>
    <w:rsid w:val="00C34006"/>
    <w:rsid w:val="00C36B4C"/>
    <w:rsid w:val="00C37E33"/>
    <w:rsid w:val="00C426B1"/>
    <w:rsid w:val="00C46209"/>
    <w:rsid w:val="00C66160"/>
    <w:rsid w:val="00C721AC"/>
    <w:rsid w:val="00C83CBC"/>
    <w:rsid w:val="00C90D6A"/>
    <w:rsid w:val="00CA0F35"/>
    <w:rsid w:val="00CA247E"/>
    <w:rsid w:val="00CA6D21"/>
    <w:rsid w:val="00CC3CA6"/>
    <w:rsid w:val="00CC72B6"/>
    <w:rsid w:val="00CF6BA8"/>
    <w:rsid w:val="00D0218D"/>
    <w:rsid w:val="00D25FB5"/>
    <w:rsid w:val="00D44223"/>
    <w:rsid w:val="00D54114"/>
    <w:rsid w:val="00D55FED"/>
    <w:rsid w:val="00DA2529"/>
    <w:rsid w:val="00DB130A"/>
    <w:rsid w:val="00DB2EBB"/>
    <w:rsid w:val="00DC10A1"/>
    <w:rsid w:val="00DC655F"/>
    <w:rsid w:val="00DD0B59"/>
    <w:rsid w:val="00DD7EBD"/>
    <w:rsid w:val="00DF5EF8"/>
    <w:rsid w:val="00DF62B6"/>
    <w:rsid w:val="00E07225"/>
    <w:rsid w:val="00E07B44"/>
    <w:rsid w:val="00E10AB4"/>
    <w:rsid w:val="00E5409F"/>
    <w:rsid w:val="00EC0888"/>
    <w:rsid w:val="00EC4294"/>
    <w:rsid w:val="00EE6488"/>
    <w:rsid w:val="00F021FA"/>
    <w:rsid w:val="00F26364"/>
    <w:rsid w:val="00F62E97"/>
    <w:rsid w:val="00F64209"/>
    <w:rsid w:val="00F879B2"/>
    <w:rsid w:val="00F93BF5"/>
    <w:rsid w:val="00FC4E74"/>
    <w:rsid w:val="00FF4307"/>
    <w:rsid w:val="1D1DEB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89798F9-F737-4216-AE01-F9E598A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10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C0210E"/>
    <w:rPr>
      <w:snapToGrid w:val="0"/>
      <w:kern w:val="28"/>
      <w:sz w:val="22"/>
    </w:rPr>
  </w:style>
  <w:style w:type="character" w:customStyle="1" w:styleId="FootnoteTextChar">
    <w:name w:val="Footnote Text Char"/>
    <w:link w:val="FootnoteText"/>
    <w:rsid w:val="00C0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