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73.622(i),</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0ABFCC24">
            <w:pPr>
              <w:tabs>
                <w:tab w:val="center" w:pos="4680"/>
              </w:tabs>
              <w:suppressAutoHyphens/>
              <w:rPr>
                <w:spacing w:val="-2"/>
              </w:rPr>
            </w:pPr>
            <w:r w:rsidRPr="00E97187">
              <w:rPr>
                <w:spacing w:val="-2"/>
              </w:rPr>
              <w:t>(</w:t>
            </w:r>
            <w:r w:rsidR="00FF76CD">
              <w:rPr>
                <w:spacing w:val="-2"/>
              </w:rPr>
              <w:t>Albany, Georgia</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110DCCDD">
            <w:pPr>
              <w:pStyle w:val="TOAHeading"/>
              <w:tabs>
                <w:tab w:val="center" w:pos="4680"/>
              </w:tabs>
              <w:rPr>
                <w:spacing w:val="-2"/>
              </w:rPr>
            </w:pPr>
            <w:r w:rsidRPr="00E97187">
              <w:rPr>
                <w:spacing w:val="-2"/>
              </w:rPr>
              <w:t>MB Docket No. 2</w:t>
            </w:r>
            <w:r w:rsidR="00D711F6">
              <w:rPr>
                <w:spacing w:val="-2"/>
              </w:rPr>
              <w:t>1-</w:t>
            </w:r>
            <w:r w:rsidR="00FF76CD">
              <w:rPr>
                <w:spacing w:val="-2"/>
              </w:rPr>
              <w:t>70</w:t>
            </w:r>
          </w:p>
          <w:p w:rsidR="004C2EE3" w:rsidP="00E97187" w14:paraId="5F721ABE" w14:textId="5978F2A1">
            <w:pPr>
              <w:tabs>
                <w:tab w:val="center" w:pos="4680"/>
              </w:tabs>
              <w:suppressAutoHyphens/>
              <w:rPr>
                <w:spacing w:val="-2"/>
              </w:rPr>
            </w:pPr>
            <w:r w:rsidRPr="00E97187">
              <w:rPr>
                <w:spacing w:val="-2"/>
              </w:rPr>
              <w:t>RM-118</w:t>
            </w:r>
            <w:r w:rsidR="0040157D">
              <w:rPr>
                <w:spacing w:val="-2"/>
              </w:rPr>
              <w:t>8</w:t>
            </w:r>
            <w:r w:rsidR="00FF76CD">
              <w:rPr>
                <w:spacing w:val="-2"/>
              </w:rPr>
              <w:t>6</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18E406F1">
      <w:pPr>
        <w:tabs>
          <w:tab w:val="left" w:pos="720"/>
          <w:tab w:val="right" w:pos="9360"/>
        </w:tabs>
        <w:suppressAutoHyphens/>
        <w:spacing w:line="227" w:lineRule="auto"/>
        <w:rPr>
          <w:spacing w:val="-2"/>
        </w:rPr>
      </w:pPr>
      <w:r>
        <w:rPr>
          <w:b/>
          <w:spacing w:val="-2"/>
        </w:rPr>
        <w:t xml:space="preserve">Adopted:  </w:t>
      </w:r>
      <w:r w:rsidR="00BE6CEF">
        <w:rPr>
          <w:b/>
          <w:spacing w:val="-2"/>
        </w:rPr>
        <w:t xml:space="preserve">May </w:t>
      </w:r>
      <w:r w:rsidR="00A91E59">
        <w:rPr>
          <w:b/>
          <w:spacing w:val="-2"/>
        </w:rPr>
        <w:t>17</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6CEF">
        <w:rPr>
          <w:b/>
          <w:spacing w:val="-2"/>
        </w:rPr>
        <w:t xml:space="preserve">May </w:t>
      </w:r>
      <w:r w:rsidR="00A91E59">
        <w:rPr>
          <w:b/>
          <w:spacing w:val="-2"/>
        </w:rPr>
        <w:t>17</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006C4375">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FF76CD">
        <w:t>WFXL</w:t>
      </w:r>
      <w:r w:rsidR="000709BB">
        <w:t xml:space="preserve"> Licensee</w:t>
      </w:r>
      <w:r w:rsidR="00092AB5">
        <w:t>, LLC</w:t>
      </w:r>
      <w:r w:rsidRPr="00E208EC" w:rsidR="00092AB5">
        <w:t xml:space="preserve"> (</w:t>
      </w:r>
      <w:r w:rsidR="000709BB">
        <w:t>Licensee</w:t>
      </w:r>
      <w:r w:rsidRPr="00E208EC" w:rsidR="00092AB5">
        <w:t>), the licensee of</w:t>
      </w:r>
      <w:r w:rsidR="00092AB5">
        <w:t xml:space="preserve"> </w:t>
      </w:r>
      <w:r w:rsidR="00C65811">
        <w:t>W</w:t>
      </w:r>
      <w:r w:rsidR="00FF76CD">
        <w:t>FXL</w:t>
      </w:r>
      <w:r w:rsidR="00092AB5">
        <w:t xml:space="preserve"> (</w:t>
      </w:r>
      <w:r w:rsidR="00C65811">
        <w:t>FOX</w:t>
      </w:r>
      <w:r w:rsidR="00092AB5">
        <w:t>)</w:t>
      </w:r>
      <w:r w:rsidRPr="00E208EC" w:rsidR="00092AB5">
        <w:t xml:space="preserve">, channel </w:t>
      </w:r>
      <w:r w:rsidR="00092AB5">
        <w:t>1</w:t>
      </w:r>
      <w:r w:rsidR="00C65811">
        <w:t>2</w:t>
      </w:r>
      <w:r w:rsidRPr="00E208EC" w:rsidR="00092AB5">
        <w:t xml:space="preserve">, </w:t>
      </w:r>
      <w:r w:rsidR="00FF76CD">
        <w:t>Albany</w:t>
      </w:r>
      <w:r w:rsidR="00C65811">
        <w:t xml:space="preserve">, </w:t>
      </w:r>
      <w:r w:rsidR="00FF76CD">
        <w:t>Georgia</w:t>
      </w:r>
      <w:r w:rsidR="00092AB5">
        <w:t>.</w:t>
      </w:r>
      <w:r w:rsidR="006945ED">
        <w:t xml:space="preserve"> </w:t>
      </w:r>
      <w:r w:rsidRPr="00E97187">
        <w:t xml:space="preserve"> </w:t>
      </w:r>
      <w:r w:rsidR="000709BB">
        <w:t>The Licensee</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FF76CD">
        <w:rPr>
          <w:spacing w:val="-2"/>
        </w:rPr>
        <w:t>29</w:t>
      </w:r>
      <w:r w:rsidRPr="00E97187">
        <w:rPr>
          <w:spacing w:val="-7"/>
        </w:rPr>
        <w:t xml:space="preserve"> </w:t>
      </w:r>
      <w:r w:rsidRPr="00E97187">
        <w:rPr>
          <w:spacing w:val="-3"/>
        </w:rPr>
        <w:t>for</w:t>
      </w:r>
      <w:r w:rsidRPr="00E97187">
        <w:t xml:space="preserve"> VHF channel</w:t>
      </w:r>
      <w:r w:rsidRPr="00E97187">
        <w:rPr>
          <w:spacing w:val="-6"/>
        </w:rPr>
        <w:t xml:space="preserve"> </w:t>
      </w:r>
      <w:r w:rsidR="00752E7E">
        <w:rPr>
          <w:spacing w:val="-2"/>
        </w:rPr>
        <w:t>1</w:t>
      </w:r>
      <w:r w:rsidR="00C65811">
        <w:rPr>
          <w:spacing w:val="-2"/>
        </w:rPr>
        <w:t>2</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DC07CA" w:rsidRPr="00DC07CA" w:rsidP="009919F5" w14:paraId="0BD8F1DD" w14:textId="57D54855">
      <w:pPr>
        <w:pStyle w:val="ParaNum"/>
        <w:rPr>
          <w:rFonts w:ascii="TimesNewRomanPSMT" w:hAnsi="TimesNewRomanPSMT" w:cs="TimesNewRomanPSMT"/>
          <w:snapToGrid/>
          <w:kern w:val="0"/>
          <w:sz w:val="20"/>
        </w:rPr>
      </w:pPr>
      <w:r>
        <w:t>The Licensee</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applying for channel </w:t>
      </w:r>
      <w:r w:rsidR="00BE3553">
        <w:t>29</w:t>
      </w:r>
      <w:r w:rsidR="00F372C7">
        <w:t xml:space="preserve">.  </w:t>
      </w:r>
      <w:r w:rsidRPr="00E97187" w:rsidR="00F86933">
        <w:t xml:space="preserve"> </w:t>
      </w:r>
      <w:r w:rsidR="00FF76CD">
        <w:t>In addition,</w:t>
      </w:r>
      <w:r w:rsidR="00F13B4B">
        <w:t xml:space="preserve"> Jerry E. White filed comments </w:t>
      </w:r>
      <w:r w:rsidR="00643D09">
        <w:t xml:space="preserve">supporting the proposed channel substitution, </w:t>
      </w:r>
      <w:r w:rsidR="00F13B4B">
        <w:t>stating that he lives</w:t>
      </w:r>
      <w:r w:rsidR="00643D09">
        <w:t xml:space="preserve"> in</w:t>
      </w:r>
      <w:r w:rsidR="007E112A">
        <w:t xml:space="preserve"> Meigs, Georgia, and that since the DTV transition, he has had difficulty receiving WFXL on VHF channel 12.</w:t>
      </w:r>
      <w:r>
        <w:rPr>
          <w:rStyle w:val="FootnoteReference"/>
        </w:rPr>
        <w:footnoteReference w:id="6"/>
      </w:r>
      <w:r w:rsidR="00FF76CD">
        <w:t xml:space="preserve"> </w:t>
      </w:r>
      <w:r w:rsidR="007E112A">
        <w:t xml:space="preserve"> </w:t>
      </w:r>
      <w:r w:rsidRPr="00E97187" w:rsidR="00F86933">
        <w:t xml:space="preserve">No other comments were filed.  </w:t>
      </w:r>
    </w:p>
    <w:p w:rsidR="00E97187" w:rsidRPr="009919F5" w:rsidP="004403FC" w14:paraId="58035077" w14:textId="77109B09">
      <w:pPr>
        <w:pStyle w:val="ParaNum"/>
        <w:widowControl/>
        <w:rPr>
          <w:rFonts w:ascii="TimesNewRomanPSMT" w:hAnsi="TimesNewRomanPSMT" w:cs="TimesNewRomanPSMT"/>
          <w:snapToGrid/>
          <w:kern w:val="0"/>
          <w:sz w:val="20"/>
        </w:rPr>
      </w:pPr>
      <w:r w:rsidRPr="00E97187">
        <w:t xml:space="preserve">We believe the public interest would be served by substituting channel </w:t>
      </w:r>
      <w:r w:rsidR="00DC07CA">
        <w:t>29</w:t>
      </w:r>
      <w:r w:rsidRPr="00E97187">
        <w:t xml:space="preserve"> for channel </w:t>
      </w:r>
      <w:r w:rsidR="00424EA6">
        <w:t>1</w:t>
      </w:r>
      <w:r w:rsidR="001032F9">
        <w:t>2</w:t>
      </w:r>
      <w:r w:rsidRPr="00E97187" w:rsidR="00424EA6">
        <w:t xml:space="preserve"> </w:t>
      </w:r>
      <w:r w:rsidRPr="00E97187">
        <w:t xml:space="preserve">at </w:t>
      </w:r>
      <w:r w:rsidR="00FF76CD">
        <w:t>Albany</w:t>
      </w:r>
      <w:r w:rsidR="001032F9">
        <w:t xml:space="preserve">, </w:t>
      </w:r>
      <w:r w:rsidR="00FF76CD">
        <w:t>Georgia</w:t>
      </w:r>
      <w:r w:rsidR="00E9514A">
        <w:t>.</w:t>
      </w:r>
      <w:r w:rsidRPr="00E97187">
        <w:t xml:space="preserve">  </w:t>
      </w:r>
      <w:r w:rsidR="001032F9">
        <w:t>The Licensee</w:t>
      </w:r>
      <w:r w:rsidRPr="00E208EC" w:rsidR="001032F9">
        <w:t xml:space="preserve"> states that the Commission has recognized that VHF channels have certain propagation characteristics which may cause reception issues for some viewers, and that </w:t>
      </w:r>
      <w:r w:rsidR="001032F9">
        <w:t xml:space="preserve">the </w:t>
      </w:r>
      <w:r w:rsidRPr="00E208EC" w:rsidR="001032F9">
        <w:t>reception of VHF signals require</w:t>
      </w:r>
      <w:r w:rsidR="001032F9">
        <w:t>s</w:t>
      </w:r>
      <w:r w:rsidRPr="00E208EC" w:rsidR="001032F9">
        <w:t xml:space="preserve"> larger antennas</w:t>
      </w:r>
      <w:r w:rsidR="001032F9">
        <w:t xml:space="preserve"> generally not well suited to the mobile applications</w:t>
      </w:r>
      <w:r w:rsidR="00401855">
        <w:t xml:space="preserve"> </w:t>
      </w:r>
      <w:r w:rsidR="001032F9">
        <w:t xml:space="preserve">relative </w:t>
      </w:r>
      <w:r w:rsidRPr="00E208EC" w:rsidR="001032F9">
        <w:t>to UHF channels</w:t>
      </w:r>
      <w:r w:rsidR="001032F9">
        <w:t>.</w:t>
      </w:r>
      <w:r>
        <w:rPr>
          <w:rStyle w:val="FootnoteReference"/>
        </w:rPr>
        <w:footnoteReference w:id="7"/>
      </w:r>
      <w:r w:rsidR="001032F9">
        <w:t xml:space="preserve">  </w:t>
      </w:r>
      <w:r w:rsidR="003C639A">
        <w:t>In</w:t>
      </w:r>
      <w:r w:rsidR="00EE0047">
        <w:t xml:space="preserve"> addition,</w:t>
      </w:r>
      <w:r>
        <w:t xml:space="preserve"> </w:t>
      </w:r>
      <w:r w:rsidR="00C869ED">
        <w:t>a</w:t>
      </w:r>
      <w:r w:rsidRPr="00C802E6" w:rsidR="00471E93">
        <w:rPr>
          <w:szCs w:val="22"/>
        </w:rPr>
        <w:t xml:space="preserve">ccording to the </w:t>
      </w:r>
      <w:r w:rsidRPr="00C802E6" w:rsidR="00471E93">
        <w:rPr>
          <w:snapToGrid/>
          <w:kern w:val="0"/>
          <w:szCs w:val="22"/>
        </w:rPr>
        <w:t>Licensee</w:t>
      </w:r>
      <w:r w:rsidR="007F6ED0">
        <w:rPr>
          <w:snapToGrid/>
          <w:kern w:val="0"/>
          <w:szCs w:val="22"/>
        </w:rPr>
        <w:t>,</w:t>
      </w:r>
      <w:r w:rsidRPr="00C802E6" w:rsidR="00471E93">
        <w:rPr>
          <w:snapToGrid/>
          <w:kern w:val="0"/>
          <w:szCs w:val="22"/>
        </w:rPr>
        <w:t xml:space="preserve"> </w:t>
      </w:r>
      <w:r w:rsidR="001032F9">
        <w:rPr>
          <w:snapToGrid/>
          <w:kern w:val="0"/>
          <w:szCs w:val="22"/>
        </w:rPr>
        <w:t>W</w:t>
      </w:r>
      <w:r w:rsidR="00ED4AE2">
        <w:rPr>
          <w:snapToGrid/>
          <w:kern w:val="0"/>
          <w:szCs w:val="22"/>
        </w:rPr>
        <w:t>FXL</w:t>
      </w:r>
      <w:r w:rsidR="00EE0047">
        <w:rPr>
          <w:snapToGrid/>
          <w:kern w:val="0"/>
          <w:szCs w:val="22"/>
        </w:rPr>
        <w:t xml:space="preserve"> has received</w:t>
      </w:r>
      <w:r w:rsidRPr="00C802E6" w:rsidR="00471E93">
        <w:rPr>
          <w:snapToGrid/>
          <w:kern w:val="0"/>
          <w:szCs w:val="22"/>
        </w:rPr>
        <w:t xml:space="preserve"> </w:t>
      </w:r>
      <w:r w:rsidR="00EE0047">
        <w:t>numerous complaints from viewers unable to receive th</w:t>
      </w:r>
      <w:r w:rsidR="00A26DFA">
        <w:t>e</w:t>
      </w:r>
      <w:r w:rsidR="00EE0047">
        <w:t xml:space="preserve"> Station’s over-the-air signal, despite being able to receive </w:t>
      </w:r>
      <w:r w:rsidR="00EE0047">
        <w:t>signals from other station</w:t>
      </w:r>
      <w:r w:rsidR="00A26DFA">
        <w:t>s</w:t>
      </w:r>
      <w:r w:rsidR="00EE0047">
        <w:t>.</w:t>
      </w:r>
      <w:r>
        <w:rPr>
          <w:rStyle w:val="FootnoteReference"/>
        </w:rPr>
        <w:footnoteReference w:id="8"/>
      </w:r>
      <w:r w:rsidR="00EE0047">
        <w:t xml:space="preserve"> </w:t>
      </w:r>
      <w:r w:rsidR="00C869ED">
        <w:t xml:space="preserve"> </w:t>
      </w:r>
      <w:r w:rsidR="00FE7B78">
        <w:rPr>
          <w:snapToGrid/>
          <w:kern w:val="0"/>
          <w:szCs w:val="22"/>
        </w:rPr>
        <w:t>In addition,</w:t>
      </w:r>
      <w:r w:rsidRPr="00FE7B78" w:rsidR="00FE7B78">
        <w:t xml:space="preserve"> </w:t>
      </w:r>
      <w:r w:rsidR="00FE7B78">
        <w:t>the Licensee</w:t>
      </w:r>
      <w:r w:rsidRPr="00E208EC" w:rsidR="00FE7B78">
        <w:t xml:space="preserve"> </w:t>
      </w:r>
      <w:r w:rsidR="00FE7B78">
        <w:t xml:space="preserve">submitted an analysis, using the Commission’s </w:t>
      </w:r>
      <w:r w:rsidRPr="00693236" w:rsidR="00FE7B78">
        <w:rPr>
          <w:i/>
          <w:iCs/>
        </w:rPr>
        <w:t>TVStudy</w:t>
      </w:r>
      <w:r w:rsidR="00FE7B78">
        <w:rPr>
          <w:i/>
          <w:iCs/>
        </w:rPr>
        <w:t xml:space="preserve"> </w:t>
      </w:r>
      <w:r w:rsidR="00FE7B78">
        <w:t xml:space="preserve">software analysis program, demonstrating that </w:t>
      </w:r>
      <w:r w:rsidR="00A26DFA">
        <w:t>W</w:t>
      </w:r>
      <w:r w:rsidR="00ED4AE2">
        <w:t>FXL</w:t>
      </w:r>
      <w:r w:rsidR="00FE7B78">
        <w:t xml:space="preserve"> will continue to serve all of the population located within the licensed channel 12 contour.</w:t>
      </w:r>
      <w:r>
        <w:rPr>
          <w:rStyle w:val="FootnoteReference"/>
        </w:rPr>
        <w:footnoteReference w:id="9"/>
      </w:r>
    </w:p>
    <w:p w:rsidR="00E97187" w:rsidRPr="007E31D4" w:rsidP="00711A32" w14:paraId="1232C8E3" w14:textId="6B404E06">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ED4AE2">
        <w:rPr>
          <w:spacing w:val="-7"/>
        </w:rPr>
        <w:t>29</w:t>
      </w:r>
      <w:r w:rsidRPr="00E97187">
        <w:rPr>
          <w:spacing w:val="-7"/>
        </w:rPr>
        <w:t xml:space="preserve"> can be substituted for channel</w:t>
      </w:r>
      <w:r w:rsidRPr="00E97187">
        <w:t xml:space="preserve"> </w:t>
      </w:r>
      <w:r w:rsidR="00424EA6">
        <w:t>1</w:t>
      </w:r>
      <w:r w:rsidR="001032F9">
        <w:t>2</w:t>
      </w:r>
      <w:r w:rsidRPr="00E97187">
        <w:t xml:space="preserve"> at </w:t>
      </w:r>
      <w:r w:rsidR="00FF76CD">
        <w:t>Albany</w:t>
      </w:r>
      <w:r w:rsidR="007C60E1">
        <w:t xml:space="preserve">, </w:t>
      </w:r>
      <w:r w:rsidR="00FF76CD">
        <w:t>Georgia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10"/>
      </w:r>
      <w:r w:rsidRPr="00E97187">
        <w:rPr>
          <w:spacing w:val="17"/>
          <w:position w:val="8"/>
        </w:rPr>
        <w:t xml:space="preserve"> </w:t>
      </w:r>
      <w:r w:rsidRPr="00E97187">
        <w:rPr>
          <w:spacing w:val="-3"/>
        </w:rPr>
        <w:t xml:space="preserve">at </w:t>
      </w:r>
      <w:r w:rsidRPr="00E97187">
        <w:rPr>
          <w:spacing w:val="-4"/>
        </w:rPr>
        <w:t>coordinates</w:t>
      </w:r>
      <w:r w:rsidR="00A556D7">
        <w:rPr>
          <w:spacing w:val="-4"/>
        </w:rPr>
        <w:t xml:space="preserve"> </w:t>
      </w:r>
      <w:r w:rsidR="00ED4AE2">
        <w:t>31-19-53.0</w:t>
      </w:r>
      <w:r w:rsidRPr="00E208EC" w:rsidR="00ED4AE2">
        <w:t xml:space="preserve"> N and </w:t>
      </w:r>
      <w:r w:rsidR="00ED4AE2">
        <w:t>83-51-43.0</w:t>
      </w:r>
      <w:r w:rsidRPr="00E208EC" w:rsidR="00ED4AE2">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1"/>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1B91CDA7">
      <w:pPr>
        <w:pStyle w:val="BodyText"/>
        <w:tabs>
          <w:tab w:val="left" w:pos="3748"/>
          <w:tab w:val="left" w:pos="5189"/>
          <w:tab w:val="right" w:pos="7126"/>
        </w:tabs>
        <w:spacing w:after="220"/>
        <w:ind w:left="0"/>
        <w:rPr>
          <w:szCs w:val="22"/>
        </w:rPr>
      </w:pPr>
      <w:r>
        <w:rPr>
          <w:spacing w:val="-1"/>
          <w:szCs w:val="22"/>
        </w:rPr>
        <w:t>Albany</w:t>
      </w:r>
      <w:r w:rsidR="007C60E1">
        <w:rPr>
          <w:spacing w:val="-1"/>
          <w:szCs w:val="22"/>
        </w:rPr>
        <w:t xml:space="preserve">, </w:t>
      </w:r>
      <w:r>
        <w:rPr>
          <w:spacing w:val="-1"/>
          <w:szCs w:val="22"/>
        </w:rPr>
        <w:t>Georgia</w:t>
      </w:r>
      <w:r w:rsidRPr="00E97187" w:rsidR="00F86933">
        <w:rPr>
          <w:spacing w:val="-1"/>
          <w:szCs w:val="22"/>
        </w:rPr>
        <w:t xml:space="preserve">         </w:t>
      </w:r>
      <w:r w:rsidR="00BE3553">
        <w:rPr>
          <w:spacing w:val="-1"/>
          <w:szCs w:val="22"/>
        </w:rPr>
        <w:t xml:space="preserve">     </w:t>
      </w:r>
      <w:r w:rsidR="00BE3553">
        <w:rPr>
          <w:szCs w:val="22"/>
        </w:rPr>
        <w:t>29</w:t>
      </w:r>
      <w:r w:rsidRPr="00E97187" w:rsidR="00F86933">
        <w:rPr>
          <w:szCs w:val="22"/>
        </w:rPr>
        <w:t xml:space="preserve">                   </w:t>
      </w:r>
      <w:r w:rsidR="00941655">
        <w:rPr>
          <w:szCs w:val="22"/>
        </w:rPr>
        <w:t xml:space="preserve"> </w:t>
      </w:r>
      <w:r w:rsidR="00BE3553">
        <w:rPr>
          <w:szCs w:val="22"/>
        </w:rPr>
        <w:t>1000</w:t>
      </w:r>
      <w:r w:rsidRPr="00E97187" w:rsidR="00F86933">
        <w:rPr>
          <w:szCs w:val="22"/>
        </w:rPr>
        <w:t xml:space="preserve">                     </w:t>
      </w:r>
      <w:r w:rsidR="001B10DB">
        <w:rPr>
          <w:szCs w:val="22"/>
        </w:rPr>
        <w:t xml:space="preserve">  </w:t>
      </w:r>
      <w:r w:rsidR="00401855">
        <w:rPr>
          <w:szCs w:val="22"/>
        </w:rPr>
        <w:t xml:space="preserve"> </w:t>
      </w:r>
      <w:r w:rsidR="00BE3553">
        <w:rPr>
          <w:szCs w:val="22"/>
        </w:rPr>
        <w:t>253</w:t>
      </w:r>
      <w:r w:rsidRPr="00E97187" w:rsidR="00F86933">
        <w:rPr>
          <w:szCs w:val="22"/>
        </w:rPr>
        <w:t xml:space="preserve">                       </w:t>
      </w:r>
      <w:r w:rsidR="00F86933">
        <w:rPr>
          <w:szCs w:val="22"/>
        </w:rPr>
        <w:t xml:space="preserve">  </w:t>
      </w:r>
      <w:r w:rsidR="008A7F19">
        <w:rPr>
          <w:szCs w:val="22"/>
        </w:rPr>
        <w:t xml:space="preserve">    </w:t>
      </w:r>
      <w:r w:rsidR="00401855">
        <w:rPr>
          <w:szCs w:val="22"/>
        </w:rPr>
        <w:t xml:space="preserve"> </w:t>
      </w:r>
      <w:r w:rsidRPr="00A4439C" w:rsidR="00A4439C">
        <w:rPr>
          <w:szCs w:val="22"/>
        </w:rPr>
        <w:t>676,426</w:t>
      </w:r>
      <w:r w:rsidR="00F86933">
        <w:rPr>
          <w:szCs w:val="22"/>
        </w:rPr>
        <w:t xml:space="preserve">  </w:t>
      </w:r>
    </w:p>
    <w:p w:rsidR="00E97187" w:rsidRPr="00E97187" w:rsidP="00E97187" w14:paraId="5A541183" w14:textId="2C6091B7">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2"/>
      </w:r>
      <w:r w:rsidRPr="00E97187">
        <w:t xml:space="preserve">  An expedited effective date is necessary in this case to ensure that </w:t>
      </w:r>
      <w:r w:rsidR="00BE3553">
        <w:t>WFXL</w:t>
      </w:r>
      <w:r w:rsidRPr="00E97187">
        <w:t xml:space="preserve"> can</w:t>
      </w:r>
      <w:r w:rsidR="005077A3">
        <w:t xml:space="preserve"> operat</w:t>
      </w:r>
      <w:r w:rsidR="00EC5F55">
        <w:t>e</w:t>
      </w:r>
      <w:r w:rsidR="005077A3">
        <w:t xml:space="preserve"> with</w:t>
      </w:r>
      <w:r w:rsidRPr="00E97187">
        <w:t xml:space="preserve"> improved service to </w:t>
      </w:r>
      <w:r w:rsidR="007E31D4">
        <w:t xml:space="preserve">its viewers </w:t>
      </w:r>
      <w:r w:rsidRPr="00E97187">
        <w:t xml:space="preserve"> as quickly as possible.</w:t>
      </w:r>
    </w:p>
    <w:p w:rsidR="00E97187" w:rsidRPr="00E97187" w:rsidP="00E97187" w14:paraId="6630BFCE" w14:textId="77777777">
      <w:pPr>
        <w:pStyle w:val="ParaNum"/>
      </w:pPr>
      <w:r w:rsidRPr="00E97187">
        <w:t>Accordingly, pursuant to the authority contained in sections 4(i), 5(c)(1), 303(g) and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73.622(i) of the Commission’s rules</w:t>
      </w:r>
      <w:r>
        <w:t>, 47 CFR § 73.622(i)</w:t>
      </w:r>
      <w:r w:rsidRPr="00E97187">
        <w:t xml:space="preserve">, </w:t>
      </w:r>
      <w:r w:rsidRPr="00E97187">
        <w:rPr>
          <w:b/>
          <w:bCs/>
        </w:rPr>
        <w:t>IS AMENDED</w:t>
      </w:r>
      <w:r w:rsidRPr="00E97187">
        <w:t>, with respect to the community listed below, to read as follows:</w:t>
      </w:r>
    </w:p>
    <w:p w:rsidR="00E97187" w:rsidRPr="00E97187" w:rsidP="006409B6" w14:paraId="773B2D48" w14:textId="2984FA89">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00BE3553">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55432A00">
      <w:pPr>
        <w:pStyle w:val="BodyText"/>
        <w:tabs>
          <w:tab w:val="left" w:pos="3728"/>
          <w:tab w:val="right" w:pos="6105"/>
        </w:tabs>
        <w:spacing w:after="220"/>
        <w:ind w:left="0"/>
        <w:rPr>
          <w:szCs w:val="22"/>
        </w:rPr>
      </w:pPr>
      <w:r>
        <w:rPr>
          <w:spacing w:val="-4"/>
          <w:szCs w:val="22"/>
        </w:rPr>
        <w:t>Albany</w:t>
      </w:r>
      <w:r w:rsidR="0031731D">
        <w:rPr>
          <w:spacing w:val="-4"/>
          <w:szCs w:val="22"/>
        </w:rPr>
        <w:t xml:space="preserve">, </w:t>
      </w:r>
      <w:r>
        <w:rPr>
          <w:spacing w:val="-4"/>
          <w:szCs w:val="22"/>
        </w:rPr>
        <w:t>Georgia</w:t>
      </w:r>
      <w:r w:rsidRPr="00E97187" w:rsidR="00F86933">
        <w:rPr>
          <w:spacing w:val="-4"/>
          <w:szCs w:val="22"/>
        </w:rPr>
        <w:t xml:space="preserve">                        </w:t>
      </w:r>
      <w:r w:rsidR="001A6147">
        <w:rPr>
          <w:spacing w:val="-4"/>
          <w:szCs w:val="22"/>
        </w:rPr>
        <w:t xml:space="preserve"> </w:t>
      </w:r>
      <w:r w:rsidR="00BE3553">
        <w:rPr>
          <w:spacing w:val="-3"/>
          <w:szCs w:val="22"/>
        </w:rPr>
        <w:t>10, 29</w:t>
      </w:r>
    </w:p>
    <w:p w:rsidR="00E97187" w:rsidRPr="00E97187" w:rsidP="00E97187" w14:paraId="58623516" w14:textId="3687FAA3">
      <w:pPr>
        <w:pStyle w:val="ParaNum"/>
      </w:pPr>
      <w:r w:rsidRPr="00E97187">
        <w:rPr>
          <w:b/>
          <w:bCs/>
        </w:rPr>
        <w:t>IT IS FURTHER ORDERED</w:t>
      </w:r>
      <w:r w:rsidRPr="00E97187">
        <w:t xml:space="preserve">, That within 30 days of the effective date of this Order, </w:t>
      </w:r>
      <w:r w:rsidR="0031731D">
        <w:t>W</w:t>
      </w:r>
      <w:r w:rsidR="00BE3553">
        <w:t>FXL</w:t>
      </w:r>
      <w:r w:rsidR="00C802E6">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BE3553">
        <w:t>29</w:t>
      </w:r>
      <w:r w:rsidRPr="00E97187">
        <w:t xml:space="preserve"> in lieu of channel </w:t>
      </w:r>
      <w:r w:rsidR="00BF0056">
        <w:t>1</w:t>
      </w:r>
      <w:r w:rsidR="0031731D">
        <w:t>2</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3AD4FB9F">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31731D">
        <w:t>7</w:t>
      </w:r>
      <w:r w:rsidR="00BE3553">
        <w:t>0</w:t>
      </w:r>
      <w:r w:rsidR="008A7F19">
        <w:t xml:space="preserve"> and </w:t>
      </w:r>
      <w:r w:rsidR="00C802E6">
        <w:t>RM-1188</w:t>
      </w:r>
      <w:r w:rsidR="00BE3553">
        <w:t>6</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401855" w14:paraId="5D295B61" w14:textId="77777777">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401855" w14:paraId="3411D6DF" w14:textId="230D33E9">
      <w:pPr>
        <w:keepNext/>
        <w:keepLines/>
      </w:pPr>
      <w:r>
        <w:tab/>
      </w:r>
      <w:r>
        <w:tab/>
      </w:r>
      <w:r>
        <w:tab/>
      </w:r>
      <w:r>
        <w:tab/>
      </w:r>
      <w:r>
        <w:tab/>
      </w:r>
      <w:r>
        <w:tab/>
        <w:t>FEDERAL COMMUNICATIONS COMMISSION</w:t>
      </w:r>
    </w:p>
    <w:p w:rsidR="006409B6" w:rsidP="00401855" w14:paraId="2B6CF0CB" w14:textId="77777777">
      <w:pPr>
        <w:keepNext/>
        <w:keepLines/>
      </w:pPr>
    </w:p>
    <w:p w:rsidR="006409B6" w:rsidP="00401855" w14:paraId="0D5E760A" w14:textId="77777777">
      <w:pPr>
        <w:keepNext/>
        <w:keepLines/>
      </w:pPr>
    </w:p>
    <w:p w:rsidR="006409B6" w:rsidP="00401855" w14:paraId="7BE30C62" w14:textId="77777777">
      <w:pPr>
        <w:keepNext/>
        <w:keepLines/>
      </w:pPr>
      <w:r>
        <w:tab/>
      </w:r>
      <w:r>
        <w:tab/>
      </w:r>
      <w:r>
        <w:tab/>
      </w:r>
      <w:r>
        <w:tab/>
      </w:r>
      <w:r>
        <w:tab/>
      </w:r>
      <w:r>
        <w:tab/>
        <w:t>Barbara A. Kreisman</w:t>
      </w:r>
    </w:p>
    <w:p w:rsidR="006409B6" w:rsidP="00401855" w14:paraId="505F18FE" w14:textId="77777777">
      <w:pPr>
        <w:keepNext/>
        <w:keepLines/>
      </w:pPr>
      <w:r>
        <w:tab/>
      </w:r>
      <w:r>
        <w:tab/>
      </w:r>
      <w:r>
        <w:tab/>
      </w:r>
      <w:r>
        <w:tab/>
      </w:r>
      <w:r>
        <w:tab/>
      </w:r>
      <w:r>
        <w:tab/>
        <w:t>Chief, Video Division</w:t>
      </w:r>
    </w:p>
    <w:p w:rsidR="00412FC5" w:rsidP="00401855" w14:paraId="6B4E98D2" w14:textId="77777777">
      <w:pPr>
        <w:keepNext/>
        <w:keepLines/>
      </w:pPr>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3605FD33">
      <w:pPr>
        <w:pStyle w:val="FootnoteText"/>
      </w:pPr>
      <w:r>
        <w:rPr>
          <w:rStyle w:val="FootnoteReference"/>
        </w:rPr>
        <w:footnoteRef/>
      </w:r>
      <w:r w:rsidRPr="00400001">
        <w:rPr>
          <w:i/>
          <w:iCs/>
        </w:rPr>
        <w:t>Amendment of Section 73.73.622(i), Post-Transition Table of DTV Allotments, Television Stations (</w:t>
      </w:r>
      <w:r w:rsidR="00FF76CD">
        <w:rPr>
          <w:i/>
          <w:iCs/>
        </w:rPr>
        <w:t>Albany</w:t>
      </w:r>
      <w:r w:rsidR="00C65811">
        <w:rPr>
          <w:i/>
          <w:iCs/>
        </w:rPr>
        <w:t xml:space="preserve">, </w:t>
      </w:r>
      <w:r w:rsidR="00FF76CD">
        <w:rPr>
          <w:i/>
          <w:iCs/>
        </w:rPr>
        <w:t>Georgia</w:t>
      </w:r>
      <w:r w:rsidRPr="00400001">
        <w:rPr>
          <w:i/>
          <w:iCs/>
        </w:rPr>
        <w:t>)</w:t>
      </w:r>
      <w:r>
        <w:t xml:space="preserve">, </w:t>
      </w:r>
      <w:r w:rsidR="006409B6">
        <w:t>MB Docket No. 2</w:t>
      </w:r>
      <w:r w:rsidR="00752E7E">
        <w:t>1-</w:t>
      </w:r>
      <w:r w:rsidR="00C65811">
        <w:t>7</w:t>
      </w:r>
      <w:r w:rsidR="00FF76CD">
        <w:t>0</w:t>
      </w:r>
      <w:r w:rsidR="006409B6">
        <w:t xml:space="preserve">, </w:t>
      </w:r>
      <w:r>
        <w:t>Notice of Proposed Rulemaking,</w:t>
      </w:r>
      <w:r w:rsidR="00C34A62">
        <w:t xml:space="preserve"> </w:t>
      </w:r>
      <w:r w:rsidR="00C65811">
        <w:t>DA 21-</w:t>
      </w:r>
      <w:r w:rsidR="00FF76CD">
        <w:t>267</w:t>
      </w:r>
      <w:r w:rsidR="00C65811">
        <w:t xml:space="preserve"> (rel. Mar. 4,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Report and Order, </w:t>
      </w:r>
      <w:r>
        <w:t xml:space="preserve">MB Docket No. 07-729, </w:t>
      </w:r>
      <w:r w:rsidRPr="00C43C45">
        <w:t>24 FCC Rcd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DC07CA" w14:paraId="77A2FE51" w14:textId="29E47164">
      <w:pPr>
        <w:pStyle w:val="FootnoteText"/>
      </w:pPr>
      <w:r>
        <w:rPr>
          <w:rStyle w:val="FootnoteReference"/>
        </w:rPr>
        <w:footnoteRef/>
      </w:r>
      <w:r>
        <w:t xml:space="preserve"> Comments of Jerry E. White (filed Apr. 6, 2021).</w:t>
      </w:r>
    </w:p>
  </w:footnote>
  <w:footnote w:id="7">
    <w:p w:rsidR="003C639A" w14:paraId="00281A31" w14:textId="37A9EF6A">
      <w:pPr>
        <w:pStyle w:val="FootnoteText"/>
      </w:pPr>
      <w:r>
        <w:rPr>
          <w:rStyle w:val="FootnoteReference"/>
        </w:rPr>
        <w:footnoteRef/>
      </w:r>
      <w:r>
        <w:t xml:space="preserve"> </w:t>
      </w:r>
      <w:r w:rsidRPr="00C869ED">
        <w:rPr>
          <w:i/>
          <w:iCs/>
        </w:rPr>
        <w:t>NPRM</w:t>
      </w:r>
      <w:r>
        <w:t xml:space="preserve"> at para. 2.</w:t>
      </w:r>
    </w:p>
  </w:footnote>
  <w:footnote w:id="8">
    <w:p w:rsidR="00EE0047" w:rsidP="00401855" w14:paraId="7D453698" w14:textId="00EFF648">
      <w:pPr>
        <w:pStyle w:val="FootnoteText"/>
        <w:keepNext/>
        <w:keepLines/>
      </w:pPr>
      <w:r>
        <w:rPr>
          <w:rStyle w:val="FootnoteReference"/>
        </w:rPr>
        <w:footnoteRef/>
      </w:r>
      <w:r>
        <w:t xml:space="preserve"> </w:t>
      </w:r>
      <w:r w:rsidRPr="00C869ED">
        <w:rPr>
          <w:i/>
          <w:iCs/>
        </w:rPr>
        <w:t>Id</w:t>
      </w:r>
      <w:r>
        <w:t>.</w:t>
      </w:r>
      <w:r w:rsidR="004403FC">
        <w:t xml:space="preserve">  </w:t>
      </w:r>
      <w:r w:rsidRPr="00DB1F56" w:rsidR="004403FC">
        <w:t>While</w:t>
      </w:r>
      <w:r w:rsidR="004403FC">
        <w:t xml:space="preserve"> the Licensee contends that the channel substitution would benefit ATSC 3.0 reception</w:t>
      </w:r>
      <w:r w:rsidRPr="00DB1F56" w:rsidR="004403FC">
        <w:t xml:space="preserve"> </w:t>
      </w:r>
      <w:r w:rsidR="004403FC">
        <w:t xml:space="preserve">in addition to ATSC 1.0 reception, </w:t>
      </w:r>
      <w:r w:rsidR="004403FC">
        <w:rPr>
          <w:i/>
          <w:iCs/>
        </w:rPr>
        <w:t>id.</w:t>
      </w:r>
      <w:r w:rsidR="004403FC">
        <w:t xml:space="preserve">, </w:t>
      </w:r>
      <w:r w:rsidRPr="00DB1F56" w:rsidR="004403FC">
        <w:t>we do not find that the Licensee’s arguments concerning ATSC 3.0 reception to be a controlling factor in our decision</w:t>
      </w:r>
      <w:r w:rsidR="004403FC">
        <w:t>, especially given the early stages of deployment and limited availability of consumer devices</w:t>
      </w:r>
      <w:r w:rsidRPr="00DB1F56" w:rsidR="004403FC">
        <w:t>.</w:t>
      </w:r>
    </w:p>
  </w:footnote>
  <w:footnote w:id="9">
    <w:p w:rsidR="00DC07CA" w14:paraId="45EEAA6E" w14:textId="013FA137">
      <w:pPr>
        <w:pStyle w:val="FootnoteText"/>
      </w:pPr>
      <w:r>
        <w:rPr>
          <w:rStyle w:val="FootnoteReference"/>
        </w:rPr>
        <w:footnoteRef/>
      </w:r>
      <w:r>
        <w:t xml:space="preserve"> </w:t>
      </w:r>
      <w:r w:rsidRPr="00DC07CA">
        <w:rPr>
          <w:i/>
          <w:iCs/>
        </w:rPr>
        <w:t>Id</w:t>
      </w:r>
      <w:r>
        <w:t>.</w:t>
      </w:r>
    </w:p>
  </w:footnote>
  <w:footnote w:id="10">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1">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2">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821" w14:paraId="041604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7DAD7C1E">
    <w:pPr>
      <w:pStyle w:val="Header"/>
      <w:rPr>
        <w:b w:val="0"/>
      </w:rPr>
    </w:pPr>
    <w:r>
      <w:tab/>
      <w:t>Federal Communications Commission</w:t>
    </w:r>
    <w:r>
      <w:tab/>
    </w:r>
    <w:r w:rsidR="00E97187">
      <w:t>DA 21-</w:t>
    </w:r>
    <w:r w:rsidR="00C55821">
      <w:t>582</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01BEB68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C55821">
      <w:rPr>
        <w:spacing w:val="-2"/>
      </w:rPr>
      <w:t>582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7F90"/>
    <w:rsid w:val="00050FD8"/>
    <w:rsid w:val="0005127D"/>
    <w:rsid w:val="00064BDF"/>
    <w:rsid w:val="000709BB"/>
    <w:rsid w:val="000875BF"/>
    <w:rsid w:val="00092AB5"/>
    <w:rsid w:val="00096D8C"/>
    <w:rsid w:val="000B6166"/>
    <w:rsid w:val="000C0B65"/>
    <w:rsid w:val="000E05FE"/>
    <w:rsid w:val="000E3D42"/>
    <w:rsid w:val="000E3EFF"/>
    <w:rsid w:val="001023E8"/>
    <w:rsid w:val="001032F9"/>
    <w:rsid w:val="00122BD5"/>
    <w:rsid w:val="00133F79"/>
    <w:rsid w:val="0017296B"/>
    <w:rsid w:val="00190580"/>
    <w:rsid w:val="00194A66"/>
    <w:rsid w:val="001A6147"/>
    <w:rsid w:val="001B10DB"/>
    <w:rsid w:val="001D6BCF"/>
    <w:rsid w:val="001E0027"/>
    <w:rsid w:val="001E01CA"/>
    <w:rsid w:val="001F5E8F"/>
    <w:rsid w:val="00206D86"/>
    <w:rsid w:val="00275CF5"/>
    <w:rsid w:val="0028301F"/>
    <w:rsid w:val="00285017"/>
    <w:rsid w:val="002A2D2E"/>
    <w:rsid w:val="002A79DD"/>
    <w:rsid w:val="002C00E8"/>
    <w:rsid w:val="003030F3"/>
    <w:rsid w:val="0031731D"/>
    <w:rsid w:val="00343749"/>
    <w:rsid w:val="003477E6"/>
    <w:rsid w:val="00351C35"/>
    <w:rsid w:val="003660ED"/>
    <w:rsid w:val="00367B19"/>
    <w:rsid w:val="00381DCA"/>
    <w:rsid w:val="003A688B"/>
    <w:rsid w:val="003B0550"/>
    <w:rsid w:val="003B694F"/>
    <w:rsid w:val="003C639A"/>
    <w:rsid w:val="003E1189"/>
    <w:rsid w:val="003F171C"/>
    <w:rsid w:val="00400001"/>
    <w:rsid w:val="0040157D"/>
    <w:rsid w:val="00401855"/>
    <w:rsid w:val="00412FC5"/>
    <w:rsid w:val="00422276"/>
    <w:rsid w:val="004242F1"/>
    <w:rsid w:val="00424EA6"/>
    <w:rsid w:val="004403FC"/>
    <w:rsid w:val="00445A00"/>
    <w:rsid w:val="00451B0F"/>
    <w:rsid w:val="00471E93"/>
    <w:rsid w:val="004A57F0"/>
    <w:rsid w:val="004C2EE3"/>
    <w:rsid w:val="004D4DB7"/>
    <w:rsid w:val="004E4A22"/>
    <w:rsid w:val="005077A3"/>
    <w:rsid w:val="00511968"/>
    <w:rsid w:val="00511E8C"/>
    <w:rsid w:val="0055614C"/>
    <w:rsid w:val="00566D06"/>
    <w:rsid w:val="00570E47"/>
    <w:rsid w:val="00590F45"/>
    <w:rsid w:val="005E14C2"/>
    <w:rsid w:val="005E21DB"/>
    <w:rsid w:val="00607BA5"/>
    <w:rsid w:val="0061180A"/>
    <w:rsid w:val="00616F89"/>
    <w:rsid w:val="00625FAE"/>
    <w:rsid w:val="00626EB6"/>
    <w:rsid w:val="006409B6"/>
    <w:rsid w:val="00643D09"/>
    <w:rsid w:val="00655D03"/>
    <w:rsid w:val="006777C5"/>
    <w:rsid w:val="00683388"/>
    <w:rsid w:val="00683F84"/>
    <w:rsid w:val="00691886"/>
    <w:rsid w:val="00693236"/>
    <w:rsid w:val="006945ED"/>
    <w:rsid w:val="006A6A81"/>
    <w:rsid w:val="006E2ABD"/>
    <w:rsid w:val="006F7393"/>
    <w:rsid w:val="0070224F"/>
    <w:rsid w:val="007115F7"/>
    <w:rsid w:val="00711A32"/>
    <w:rsid w:val="00716576"/>
    <w:rsid w:val="007469D2"/>
    <w:rsid w:val="00752E7E"/>
    <w:rsid w:val="00785689"/>
    <w:rsid w:val="0079754B"/>
    <w:rsid w:val="007A1E6D"/>
    <w:rsid w:val="007A7D14"/>
    <w:rsid w:val="007B0EB2"/>
    <w:rsid w:val="007C60E1"/>
    <w:rsid w:val="007E112A"/>
    <w:rsid w:val="007E31D4"/>
    <w:rsid w:val="007F6ED0"/>
    <w:rsid w:val="00810B6F"/>
    <w:rsid w:val="00822CE0"/>
    <w:rsid w:val="00841AB1"/>
    <w:rsid w:val="00852F57"/>
    <w:rsid w:val="0085773E"/>
    <w:rsid w:val="008A7F19"/>
    <w:rsid w:val="008C68F1"/>
    <w:rsid w:val="009078BE"/>
    <w:rsid w:val="00921803"/>
    <w:rsid w:val="00924BBC"/>
    <w:rsid w:val="00926503"/>
    <w:rsid w:val="00941655"/>
    <w:rsid w:val="00953030"/>
    <w:rsid w:val="009726D8"/>
    <w:rsid w:val="009919F5"/>
    <w:rsid w:val="009D7308"/>
    <w:rsid w:val="009F76DB"/>
    <w:rsid w:val="00A2491E"/>
    <w:rsid w:val="00A26DFA"/>
    <w:rsid w:val="00A32C3B"/>
    <w:rsid w:val="00A4439C"/>
    <w:rsid w:val="00A45F4F"/>
    <w:rsid w:val="00A556D7"/>
    <w:rsid w:val="00A600A9"/>
    <w:rsid w:val="00A651AA"/>
    <w:rsid w:val="00A91E59"/>
    <w:rsid w:val="00AA55B7"/>
    <w:rsid w:val="00AA5B9E"/>
    <w:rsid w:val="00AB2407"/>
    <w:rsid w:val="00AB53DF"/>
    <w:rsid w:val="00AE423E"/>
    <w:rsid w:val="00AE585E"/>
    <w:rsid w:val="00B07E5C"/>
    <w:rsid w:val="00B66A30"/>
    <w:rsid w:val="00B811F7"/>
    <w:rsid w:val="00BA5DC6"/>
    <w:rsid w:val="00BA6196"/>
    <w:rsid w:val="00BC6D8C"/>
    <w:rsid w:val="00BE3553"/>
    <w:rsid w:val="00BE6CEF"/>
    <w:rsid w:val="00BF0056"/>
    <w:rsid w:val="00C2185E"/>
    <w:rsid w:val="00C34006"/>
    <w:rsid w:val="00C34A62"/>
    <w:rsid w:val="00C36B4C"/>
    <w:rsid w:val="00C426B1"/>
    <w:rsid w:val="00C43C45"/>
    <w:rsid w:val="00C55821"/>
    <w:rsid w:val="00C65811"/>
    <w:rsid w:val="00C66160"/>
    <w:rsid w:val="00C721AC"/>
    <w:rsid w:val="00C738D7"/>
    <w:rsid w:val="00C802E6"/>
    <w:rsid w:val="00C85E24"/>
    <w:rsid w:val="00C869ED"/>
    <w:rsid w:val="00C90D6A"/>
    <w:rsid w:val="00CA247E"/>
    <w:rsid w:val="00CA4457"/>
    <w:rsid w:val="00CA6D21"/>
    <w:rsid w:val="00CC72B6"/>
    <w:rsid w:val="00CF65F3"/>
    <w:rsid w:val="00D0218D"/>
    <w:rsid w:val="00D25FB5"/>
    <w:rsid w:val="00D3417F"/>
    <w:rsid w:val="00D44223"/>
    <w:rsid w:val="00D711F6"/>
    <w:rsid w:val="00DA2529"/>
    <w:rsid w:val="00DB130A"/>
    <w:rsid w:val="00DB1F56"/>
    <w:rsid w:val="00DB2EBB"/>
    <w:rsid w:val="00DC024A"/>
    <w:rsid w:val="00DC07CA"/>
    <w:rsid w:val="00DC10A1"/>
    <w:rsid w:val="00DC655F"/>
    <w:rsid w:val="00DC699B"/>
    <w:rsid w:val="00DD0B59"/>
    <w:rsid w:val="00DD7EBD"/>
    <w:rsid w:val="00DE70C9"/>
    <w:rsid w:val="00DF62B6"/>
    <w:rsid w:val="00E07225"/>
    <w:rsid w:val="00E208EC"/>
    <w:rsid w:val="00E260F8"/>
    <w:rsid w:val="00E30008"/>
    <w:rsid w:val="00E5409F"/>
    <w:rsid w:val="00E70D96"/>
    <w:rsid w:val="00E9514A"/>
    <w:rsid w:val="00E97187"/>
    <w:rsid w:val="00EB6D5F"/>
    <w:rsid w:val="00EC2856"/>
    <w:rsid w:val="00EC5F55"/>
    <w:rsid w:val="00ED4AE2"/>
    <w:rsid w:val="00EE0047"/>
    <w:rsid w:val="00EE6488"/>
    <w:rsid w:val="00F021FA"/>
    <w:rsid w:val="00F13B4B"/>
    <w:rsid w:val="00F23FF8"/>
    <w:rsid w:val="00F372C7"/>
    <w:rsid w:val="00F466AA"/>
    <w:rsid w:val="00F62E97"/>
    <w:rsid w:val="00F64209"/>
    <w:rsid w:val="00F86933"/>
    <w:rsid w:val="00F9262B"/>
    <w:rsid w:val="00F93BF5"/>
    <w:rsid w:val="00FA4C43"/>
    <w:rsid w:val="00FB4302"/>
    <w:rsid w:val="00FE7B78"/>
    <w:rsid w:val="00FF76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59"/>
    <w:pPr>
      <w:widowControl w:val="0"/>
    </w:pPr>
    <w:rPr>
      <w:snapToGrid w:val="0"/>
      <w:kern w:val="28"/>
      <w:sz w:val="22"/>
    </w:rPr>
  </w:style>
  <w:style w:type="paragraph" w:styleId="Heading1">
    <w:name w:val="heading 1"/>
    <w:basedOn w:val="Normal"/>
    <w:next w:val="ParaNum"/>
    <w:qFormat/>
    <w:rsid w:val="00A91E5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1E59"/>
    <w:pPr>
      <w:keepNext/>
      <w:numPr>
        <w:ilvl w:val="1"/>
        <w:numId w:val="3"/>
      </w:numPr>
      <w:spacing w:after="120"/>
      <w:outlineLvl w:val="1"/>
    </w:pPr>
    <w:rPr>
      <w:b/>
    </w:rPr>
  </w:style>
  <w:style w:type="paragraph" w:styleId="Heading3">
    <w:name w:val="heading 3"/>
    <w:basedOn w:val="Normal"/>
    <w:next w:val="ParaNum"/>
    <w:qFormat/>
    <w:rsid w:val="00A91E59"/>
    <w:pPr>
      <w:keepNext/>
      <w:numPr>
        <w:ilvl w:val="2"/>
        <w:numId w:val="3"/>
      </w:numPr>
      <w:tabs>
        <w:tab w:val="left" w:pos="2160"/>
      </w:tabs>
      <w:spacing w:after="120"/>
      <w:outlineLvl w:val="2"/>
    </w:pPr>
    <w:rPr>
      <w:b/>
    </w:rPr>
  </w:style>
  <w:style w:type="paragraph" w:styleId="Heading4">
    <w:name w:val="heading 4"/>
    <w:basedOn w:val="Normal"/>
    <w:next w:val="ParaNum"/>
    <w:qFormat/>
    <w:rsid w:val="00A91E59"/>
    <w:pPr>
      <w:keepNext/>
      <w:numPr>
        <w:ilvl w:val="3"/>
        <w:numId w:val="3"/>
      </w:numPr>
      <w:tabs>
        <w:tab w:val="left" w:pos="2880"/>
      </w:tabs>
      <w:spacing w:after="120"/>
      <w:outlineLvl w:val="3"/>
    </w:pPr>
    <w:rPr>
      <w:b/>
    </w:rPr>
  </w:style>
  <w:style w:type="paragraph" w:styleId="Heading5">
    <w:name w:val="heading 5"/>
    <w:basedOn w:val="Normal"/>
    <w:next w:val="ParaNum"/>
    <w:qFormat/>
    <w:rsid w:val="00A91E5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1E59"/>
    <w:pPr>
      <w:numPr>
        <w:ilvl w:val="5"/>
        <w:numId w:val="3"/>
      </w:numPr>
      <w:tabs>
        <w:tab w:val="left" w:pos="4320"/>
      </w:tabs>
      <w:spacing w:after="120"/>
      <w:outlineLvl w:val="5"/>
    </w:pPr>
    <w:rPr>
      <w:b/>
    </w:rPr>
  </w:style>
  <w:style w:type="paragraph" w:styleId="Heading7">
    <w:name w:val="heading 7"/>
    <w:basedOn w:val="Normal"/>
    <w:next w:val="ParaNum"/>
    <w:qFormat/>
    <w:rsid w:val="00A91E5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1E5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1E5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1E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E59"/>
  </w:style>
  <w:style w:type="paragraph" w:customStyle="1" w:styleId="ParaNum">
    <w:name w:val="ParaNum"/>
    <w:basedOn w:val="Normal"/>
    <w:link w:val="ParaNumChar1"/>
    <w:rsid w:val="00A91E59"/>
    <w:pPr>
      <w:numPr>
        <w:numId w:val="2"/>
      </w:numPr>
      <w:tabs>
        <w:tab w:val="clear" w:pos="1080"/>
        <w:tab w:val="num" w:pos="1440"/>
      </w:tabs>
      <w:spacing w:after="120"/>
    </w:pPr>
  </w:style>
  <w:style w:type="paragraph" w:styleId="EndnoteText">
    <w:name w:val="endnote text"/>
    <w:basedOn w:val="Normal"/>
    <w:semiHidden/>
    <w:rsid w:val="00A91E59"/>
    <w:rPr>
      <w:sz w:val="20"/>
    </w:rPr>
  </w:style>
  <w:style w:type="character" w:styleId="EndnoteReference">
    <w:name w:val="endnote reference"/>
    <w:semiHidden/>
    <w:rsid w:val="00A91E59"/>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A91E5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91E59"/>
    <w:rPr>
      <w:rFonts w:ascii="Times New Roman" w:hAnsi="Times New Roman"/>
      <w:dstrike w:val="0"/>
      <w:color w:val="auto"/>
      <w:sz w:val="20"/>
      <w:vertAlign w:val="superscript"/>
    </w:rPr>
  </w:style>
  <w:style w:type="paragraph" w:styleId="TOC1">
    <w:name w:val="toc 1"/>
    <w:basedOn w:val="Normal"/>
    <w:next w:val="Normal"/>
    <w:semiHidden/>
    <w:rsid w:val="00A91E5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1E59"/>
    <w:pPr>
      <w:tabs>
        <w:tab w:val="left" w:pos="720"/>
        <w:tab w:val="right" w:leader="dot" w:pos="9360"/>
      </w:tabs>
      <w:suppressAutoHyphens/>
      <w:ind w:left="720" w:right="720" w:hanging="360"/>
    </w:pPr>
    <w:rPr>
      <w:noProof/>
    </w:rPr>
  </w:style>
  <w:style w:type="paragraph" w:styleId="TOC3">
    <w:name w:val="toc 3"/>
    <w:basedOn w:val="Normal"/>
    <w:next w:val="Normal"/>
    <w:semiHidden/>
    <w:rsid w:val="00A91E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1E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1E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1E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1E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1E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1E5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1E59"/>
    <w:pPr>
      <w:tabs>
        <w:tab w:val="right" w:pos="9360"/>
      </w:tabs>
      <w:suppressAutoHyphens/>
    </w:pPr>
  </w:style>
  <w:style w:type="character" w:customStyle="1" w:styleId="EquationCaption">
    <w:name w:val="_Equation Caption"/>
    <w:rsid w:val="00A91E59"/>
  </w:style>
  <w:style w:type="paragraph" w:styleId="Header">
    <w:name w:val="header"/>
    <w:basedOn w:val="Normal"/>
    <w:autoRedefine/>
    <w:rsid w:val="00A91E59"/>
    <w:pPr>
      <w:tabs>
        <w:tab w:val="center" w:pos="4680"/>
        <w:tab w:val="right" w:pos="9360"/>
      </w:tabs>
    </w:pPr>
    <w:rPr>
      <w:b/>
    </w:rPr>
  </w:style>
  <w:style w:type="paragraph" w:styleId="Footer">
    <w:name w:val="footer"/>
    <w:basedOn w:val="Normal"/>
    <w:link w:val="FooterChar"/>
    <w:uiPriority w:val="99"/>
    <w:rsid w:val="00A91E59"/>
    <w:pPr>
      <w:tabs>
        <w:tab w:val="center" w:pos="4320"/>
        <w:tab w:val="right" w:pos="8640"/>
      </w:tabs>
    </w:pPr>
  </w:style>
  <w:style w:type="character" w:styleId="PageNumber">
    <w:name w:val="page number"/>
    <w:basedOn w:val="DefaultParagraphFont"/>
    <w:rsid w:val="00A91E59"/>
  </w:style>
  <w:style w:type="paragraph" w:styleId="BlockText">
    <w:name w:val="Block Text"/>
    <w:basedOn w:val="Normal"/>
    <w:rsid w:val="00A91E59"/>
    <w:pPr>
      <w:spacing w:after="240"/>
      <w:ind w:left="1440" w:right="1440"/>
    </w:pPr>
  </w:style>
  <w:style w:type="paragraph" w:customStyle="1" w:styleId="Paratitle">
    <w:name w:val="Para title"/>
    <w:basedOn w:val="Normal"/>
    <w:rsid w:val="00A91E59"/>
    <w:pPr>
      <w:tabs>
        <w:tab w:val="center" w:pos="9270"/>
      </w:tabs>
      <w:spacing w:after="240"/>
    </w:pPr>
    <w:rPr>
      <w:spacing w:val="-2"/>
    </w:rPr>
  </w:style>
  <w:style w:type="paragraph" w:customStyle="1" w:styleId="Bullet">
    <w:name w:val="Bullet"/>
    <w:basedOn w:val="Normal"/>
    <w:rsid w:val="00A91E59"/>
    <w:pPr>
      <w:tabs>
        <w:tab w:val="left" w:pos="2160"/>
      </w:tabs>
      <w:spacing w:after="220"/>
      <w:ind w:left="2160" w:hanging="720"/>
    </w:pPr>
  </w:style>
  <w:style w:type="paragraph" w:customStyle="1" w:styleId="TableFormat">
    <w:name w:val="TableFormat"/>
    <w:basedOn w:val="Bullet"/>
    <w:rsid w:val="00A91E59"/>
    <w:pPr>
      <w:tabs>
        <w:tab w:val="clear" w:pos="2160"/>
        <w:tab w:val="left" w:pos="5040"/>
      </w:tabs>
      <w:ind w:left="5040" w:hanging="3600"/>
    </w:pPr>
  </w:style>
  <w:style w:type="paragraph" w:customStyle="1" w:styleId="TOCTitle">
    <w:name w:val="TOC Title"/>
    <w:basedOn w:val="Normal"/>
    <w:rsid w:val="00A91E5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1E59"/>
    <w:pPr>
      <w:jc w:val="center"/>
    </w:pPr>
    <w:rPr>
      <w:rFonts w:ascii="Times New Roman Bold" w:hAnsi="Times New Roman Bold"/>
      <w:b/>
      <w:bCs/>
      <w:caps/>
      <w:szCs w:val="22"/>
    </w:rPr>
  </w:style>
  <w:style w:type="character" w:styleId="Hyperlink">
    <w:name w:val="Hyperlink"/>
    <w:rsid w:val="00A91E59"/>
    <w:rPr>
      <w:color w:val="0000FF"/>
      <w:u w:val="single"/>
    </w:rPr>
  </w:style>
  <w:style w:type="character" w:customStyle="1" w:styleId="FooterChar">
    <w:name w:val="Footer Char"/>
    <w:link w:val="Footer"/>
    <w:uiPriority w:val="99"/>
    <w:rsid w:val="00A91E59"/>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