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C41C4" w:rsidP="002C41C4" w14:paraId="0A213E68" w14:textId="2DDCEEE6">
      <w:pPr>
        <w:jc w:val="center"/>
        <w:rPr>
          <w:b/>
        </w:rPr>
      </w:pPr>
      <w:r>
        <w:rPr>
          <w:rFonts w:ascii="Times New Roman Bold" w:hAnsi="Times New Roman Bold"/>
          <w:b/>
          <w:kern w:val="0"/>
          <w:szCs w:val="22"/>
        </w:rPr>
        <w:t>Before</w:t>
      </w:r>
      <w:r>
        <w:rPr>
          <w:b/>
        </w:rPr>
        <w:t xml:space="preserve"> the</w:t>
      </w:r>
    </w:p>
    <w:p w:rsidR="002C41C4" w:rsidP="002C41C4" w14:paraId="3863E0F1" w14:textId="77777777">
      <w:pPr>
        <w:pStyle w:val="StyleBoldCentered"/>
      </w:pPr>
      <w:r>
        <w:t>F</w:t>
      </w:r>
      <w:r>
        <w:rPr>
          <w:caps w:val="0"/>
        </w:rPr>
        <w:t>ederal Communications Commission</w:t>
      </w:r>
    </w:p>
    <w:p w:rsidR="002C41C4" w:rsidP="005C521E" w14:paraId="615D9FE4" w14:textId="3A475741">
      <w:pPr>
        <w:pStyle w:val="StyleBoldCentered"/>
      </w:pPr>
      <w:r>
        <w:rPr>
          <w:caps w:val="0"/>
        </w:rPr>
        <w:t>Washington, D.C. 20554</w:t>
      </w:r>
    </w:p>
    <w:p w:rsidR="002C41C4" w:rsidP="002C41C4" w14:paraId="5FCBC7BE" w14:textId="77777777"/>
    <w:tbl>
      <w:tblPr>
        <w:tblW w:w="0" w:type="auto"/>
        <w:tblLayout w:type="fixed"/>
        <w:tblLook w:val="0000"/>
      </w:tblPr>
      <w:tblGrid>
        <w:gridCol w:w="4698"/>
        <w:gridCol w:w="630"/>
        <w:gridCol w:w="4248"/>
      </w:tblGrid>
      <w:tr w14:paraId="2A5838F4" w14:textId="77777777" w:rsidTr="00C5034F">
        <w:tblPrEx>
          <w:tblW w:w="0" w:type="auto"/>
          <w:tblLayout w:type="fixed"/>
          <w:tblLook w:val="0000"/>
        </w:tblPrEx>
        <w:tc>
          <w:tcPr>
            <w:tcW w:w="4698" w:type="dxa"/>
          </w:tcPr>
          <w:p w:rsidR="002C41C4" w:rsidP="00C5034F" w14:paraId="27BA9CAA" w14:textId="77777777">
            <w:pPr>
              <w:tabs>
                <w:tab w:val="center" w:pos="4680"/>
              </w:tabs>
              <w:suppressAutoHyphens/>
              <w:rPr>
                <w:spacing w:val="-2"/>
              </w:rPr>
            </w:pPr>
            <w:r>
              <w:rPr>
                <w:spacing w:val="-2"/>
              </w:rPr>
              <w:t>In the Matter of</w:t>
            </w:r>
          </w:p>
          <w:p w:rsidR="002C41C4" w:rsidP="00C5034F" w14:paraId="3D18FB07" w14:textId="77777777">
            <w:pPr>
              <w:tabs>
                <w:tab w:val="center" w:pos="4680"/>
              </w:tabs>
              <w:suppressAutoHyphens/>
              <w:rPr>
                <w:spacing w:val="-2"/>
              </w:rPr>
            </w:pPr>
          </w:p>
          <w:p w:rsidR="002C41C4" w:rsidP="00C5034F" w14:paraId="02630A26" w14:textId="45DFBE1D">
            <w:pPr>
              <w:tabs>
                <w:tab w:val="center" w:pos="4680"/>
              </w:tabs>
              <w:suppressAutoHyphens/>
              <w:rPr>
                <w:spacing w:val="-2"/>
              </w:rPr>
            </w:pPr>
            <w:r>
              <w:rPr>
                <w:spacing w:val="-2"/>
              </w:rPr>
              <w:t>Amendment of Section 73.622(</w:t>
            </w:r>
            <w:r>
              <w:rPr>
                <w:spacing w:val="-2"/>
              </w:rPr>
              <w:t>i</w:t>
            </w:r>
            <w:r>
              <w:rPr>
                <w:spacing w:val="-2"/>
              </w:rPr>
              <w:t>),</w:t>
            </w:r>
            <w:r>
              <w:t xml:space="preserve"> </w:t>
            </w:r>
            <w:r>
              <w:rPr>
                <w:spacing w:val="-2"/>
              </w:rPr>
              <w:t>Post-Transition Table of DTV Allotments,</w:t>
            </w:r>
            <w:r>
              <w:t xml:space="preserve"> </w:t>
            </w:r>
            <w:r>
              <w:rPr>
                <w:spacing w:val="-2"/>
              </w:rPr>
              <w:t>Television Broadcast Stations (</w:t>
            </w:r>
            <w:r w:rsidR="004A3F4E">
              <w:rPr>
                <w:spacing w:val="-2"/>
              </w:rPr>
              <w:t>Quincy, Illinois</w:t>
            </w:r>
            <w:r>
              <w:rPr>
                <w:spacing w:val="-2"/>
              </w:rPr>
              <w:t>)</w:t>
            </w:r>
          </w:p>
          <w:p w:rsidR="002C41C4" w:rsidP="00C5034F" w14:paraId="2C88F5AC" w14:textId="77777777">
            <w:pPr>
              <w:tabs>
                <w:tab w:val="center" w:pos="4680"/>
              </w:tabs>
              <w:suppressAutoHyphens/>
              <w:rPr>
                <w:spacing w:val="-2"/>
              </w:rPr>
            </w:pPr>
          </w:p>
        </w:tc>
        <w:tc>
          <w:tcPr>
            <w:tcW w:w="630" w:type="dxa"/>
          </w:tcPr>
          <w:p w:rsidR="002C41C4" w:rsidP="00C5034F" w14:paraId="1D45A539" w14:textId="77777777">
            <w:pPr>
              <w:tabs>
                <w:tab w:val="center" w:pos="4680"/>
              </w:tabs>
              <w:suppressAutoHyphens/>
              <w:rPr>
                <w:b/>
                <w:spacing w:val="-2"/>
              </w:rPr>
            </w:pPr>
            <w:r>
              <w:rPr>
                <w:b/>
                <w:spacing w:val="-2"/>
              </w:rPr>
              <w:t>)</w:t>
            </w:r>
          </w:p>
          <w:p w:rsidR="002C41C4" w:rsidP="00C5034F" w14:paraId="13E04F1B" w14:textId="77777777">
            <w:pPr>
              <w:tabs>
                <w:tab w:val="center" w:pos="4680"/>
              </w:tabs>
              <w:suppressAutoHyphens/>
              <w:rPr>
                <w:b/>
                <w:spacing w:val="-2"/>
              </w:rPr>
            </w:pPr>
            <w:r>
              <w:rPr>
                <w:b/>
                <w:spacing w:val="-2"/>
              </w:rPr>
              <w:t>)</w:t>
            </w:r>
          </w:p>
          <w:p w:rsidR="002C41C4" w:rsidP="00C5034F" w14:paraId="1F4778A8" w14:textId="77777777">
            <w:pPr>
              <w:tabs>
                <w:tab w:val="center" w:pos="4680"/>
              </w:tabs>
              <w:suppressAutoHyphens/>
              <w:rPr>
                <w:b/>
                <w:spacing w:val="-2"/>
              </w:rPr>
            </w:pPr>
            <w:r>
              <w:rPr>
                <w:b/>
                <w:spacing w:val="-2"/>
              </w:rPr>
              <w:t>)</w:t>
            </w:r>
          </w:p>
          <w:p w:rsidR="002C41C4" w:rsidP="00C5034F" w14:paraId="13EC8134" w14:textId="77777777">
            <w:pPr>
              <w:tabs>
                <w:tab w:val="center" w:pos="4680"/>
              </w:tabs>
              <w:suppressAutoHyphens/>
              <w:rPr>
                <w:b/>
                <w:spacing w:val="-2"/>
              </w:rPr>
            </w:pPr>
            <w:r>
              <w:rPr>
                <w:b/>
                <w:spacing w:val="-2"/>
              </w:rPr>
              <w:t>)</w:t>
            </w:r>
          </w:p>
          <w:p w:rsidR="002C41C4" w:rsidP="00C5034F" w14:paraId="732555E5" w14:textId="77777777">
            <w:pPr>
              <w:tabs>
                <w:tab w:val="center" w:pos="4680"/>
              </w:tabs>
              <w:suppressAutoHyphens/>
              <w:rPr>
                <w:b/>
                <w:spacing w:val="-2"/>
              </w:rPr>
            </w:pPr>
            <w:r>
              <w:rPr>
                <w:b/>
                <w:spacing w:val="-2"/>
              </w:rPr>
              <w:t>)</w:t>
            </w:r>
          </w:p>
        </w:tc>
        <w:tc>
          <w:tcPr>
            <w:tcW w:w="4248" w:type="dxa"/>
          </w:tcPr>
          <w:p w:rsidR="002C41C4" w:rsidP="00C5034F" w14:paraId="7A5D2042" w14:textId="77777777">
            <w:pPr>
              <w:tabs>
                <w:tab w:val="center" w:pos="4680"/>
              </w:tabs>
              <w:suppressAutoHyphens/>
              <w:rPr>
                <w:spacing w:val="-2"/>
              </w:rPr>
            </w:pPr>
          </w:p>
          <w:p w:rsidR="002C41C4" w:rsidP="00C5034F" w14:paraId="61AB7DBC" w14:textId="77777777">
            <w:pPr>
              <w:pStyle w:val="TOAHeading"/>
              <w:tabs>
                <w:tab w:val="center" w:pos="4680"/>
                <w:tab w:val="clear" w:pos="9360"/>
              </w:tabs>
              <w:rPr>
                <w:spacing w:val="-2"/>
              </w:rPr>
            </w:pPr>
          </w:p>
          <w:p w:rsidR="002C41C4" w:rsidP="00C5034F" w14:paraId="0B037595" w14:textId="05F3B3D5">
            <w:pPr>
              <w:pStyle w:val="TOAHeading"/>
              <w:tabs>
                <w:tab w:val="center" w:pos="4680"/>
              </w:tabs>
              <w:rPr>
                <w:spacing w:val="-2"/>
              </w:rPr>
            </w:pPr>
            <w:r>
              <w:rPr>
                <w:spacing w:val="-2"/>
              </w:rPr>
              <w:t>MB Docket No. 21-</w:t>
            </w:r>
            <w:r w:rsidR="00BE25D4">
              <w:rPr>
                <w:spacing w:val="-2"/>
              </w:rPr>
              <w:t>219</w:t>
            </w:r>
          </w:p>
          <w:p w:rsidR="002C41C4" w:rsidP="00C5034F" w14:paraId="1EC29844" w14:textId="5B588B75">
            <w:pPr>
              <w:tabs>
                <w:tab w:val="center" w:pos="4680"/>
              </w:tabs>
              <w:suppressAutoHyphens/>
              <w:rPr>
                <w:spacing w:val="-2"/>
              </w:rPr>
            </w:pPr>
            <w:r>
              <w:rPr>
                <w:spacing w:val="-2"/>
              </w:rPr>
              <w:t>RM-11</w:t>
            </w:r>
            <w:r w:rsidR="00B625C0">
              <w:rPr>
                <w:spacing w:val="-2"/>
              </w:rPr>
              <w:t>9</w:t>
            </w:r>
            <w:r w:rsidR="00BE25D4">
              <w:rPr>
                <w:spacing w:val="-2"/>
              </w:rPr>
              <w:t>07</w:t>
            </w:r>
          </w:p>
        </w:tc>
      </w:tr>
    </w:tbl>
    <w:p w:rsidR="002C41C4" w:rsidP="002C41C4" w14:paraId="77C17901" w14:textId="77777777">
      <w:pPr>
        <w:pStyle w:val="StyleBoldCentered"/>
      </w:pPr>
      <w:r>
        <w:t>Notice of proposed rulemaking</w:t>
      </w:r>
    </w:p>
    <w:p w:rsidR="002C41C4" w:rsidP="002C41C4" w14:paraId="544C065C" w14:textId="77777777">
      <w:pPr>
        <w:tabs>
          <w:tab w:val="left" w:pos="-720"/>
        </w:tabs>
        <w:suppressAutoHyphens/>
        <w:spacing w:line="227" w:lineRule="auto"/>
        <w:rPr>
          <w:spacing w:val="-2"/>
        </w:rPr>
      </w:pPr>
    </w:p>
    <w:p w:rsidR="002C41C4" w:rsidP="002C41C4" w14:paraId="039CDFF3" w14:textId="3162C803">
      <w:pPr>
        <w:tabs>
          <w:tab w:val="left" w:pos="720"/>
          <w:tab w:val="right" w:pos="9360"/>
        </w:tabs>
        <w:suppressAutoHyphens/>
        <w:spacing w:line="227" w:lineRule="auto"/>
        <w:rPr>
          <w:b/>
          <w:spacing w:val="-2"/>
        </w:rPr>
      </w:pPr>
      <w:r>
        <w:rPr>
          <w:b/>
          <w:spacing w:val="-2"/>
        </w:rPr>
        <w:t xml:space="preserve">Adopted:  </w:t>
      </w:r>
      <w:r w:rsidR="004A3F4E">
        <w:rPr>
          <w:b/>
          <w:spacing w:val="-2"/>
        </w:rPr>
        <w:t xml:space="preserve">May </w:t>
      </w:r>
      <w:r w:rsidR="00BE25D4">
        <w:rPr>
          <w:b/>
          <w:spacing w:val="-2"/>
        </w:rPr>
        <w:t>17</w:t>
      </w:r>
      <w:r>
        <w:rPr>
          <w:b/>
          <w:spacing w:val="-2"/>
        </w:rPr>
        <w:t>, 2021</w:t>
      </w:r>
      <w:r>
        <w:rPr>
          <w:b/>
          <w:spacing w:val="-2"/>
        </w:rPr>
        <w:tab/>
        <w:t xml:space="preserve">Released: </w:t>
      </w:r>
      <w:r w:rsidR="000826D1">
        <w:rPr>
          <w:b/>
          <w:spacing w:val="-2"/>
        </w:rPr>
        <w:t xml:space="preserve"> </w:t>
      </w:r>
      <w:r w:rsidR="004A3F4E">
        <w:rPr>
          <w:b/>
          <w:spacing w:val="-2"/>
        </w:rPr>
        <w:t xml:space="preserve">May </w:t>
      </w:r>
      <w:r w:rsidR="00BE25D4">
        <w:rPr>
          <w:b/>
          <w:spacing w:val="-2"/>
        </w:rPr>
        <w:t>17</w:t>
      </w:r>
      <w:r>
        <w:rPr>
          <w:b/>
          <w:spacing w:val="-2"/>
        </w:rPr>
        <w:t>, 2021</w:t>
      </w:r>
    </w:p>
    <w:p w:rsidR="002C41C4" w:rsidP="002C41C4" w14:paraId="34482FAA" w14:textId="77777777">
      <w:pPr>
        <w:tabs>
          <w:tab w:val="left" w:pos="720"/>
          <w:tab w:val="right" w:pos="9360"/>
        </w:tabs>
        <w:suppressAutoHyphens/>
        <w:spacing w:line="227" w:lineRule="auto"/>
        <w:rPr>
          <w:b/>
          <w:spacing w:val="-2"/>
        </w:rPr>
      </w:pPr>
    </w:p>
    <w:p w:rsidR="002C41C4" w:rsidP="002C41C4" w14:paraId="5059640C"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106011A7"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5091FFB8" w14:textId="77777777"/>
    <w:p w:rsidR="002C41C4" w:rsidP="002C41C4" w14:paraId="0C0C1DB3" w14:textId="77777777">
      <w:pPr>
        <w:rPr>
          <w:spacing w:val="-2"/>
        </w:rPr>
      </w:pPr>
      <w:r>
        <w:t xml:space="preserve">By the </w:t>
      </w:r>
      <w:r>
        <w:rPr>
          <w:spacing w:val="-2"/>
        </w:rPr>
        <w:t>Chief, Video Division, Media Bureau:</w:t>
      </w:r>
    </w:p>
    <w:p w:rsidR="002C41C4" w:rsidP="002C41C4" w14:paraId="47DC0610" w14:textId="77777777">
      <w:pPr>
        <w:rPr>
          <w:spacing w:val="-2"/>
        </w:rPr>
      </w:pPr>
    </w:p>
    <w:p w:rsidR="002C41C4" w:rsidP="002C41C4" w14:paraId="5EE169D4" w14:textId="77777777">
      <w:pPr>
        <w:pStyle w:val="Heading1"/>
        <w:keepNext w:val="0"/>
        <w:suppressAutoHyphens w:val="0"/>
      </w:pPr>
      <w:r>
        <w:t>Introduction</w:t>
      </w:r>
    </w:p>
    <w:p w:rsidR="002C41C4" w:rsidP="002C41C4" w14:paraId="08A5D7F0" w14:textId="539719EF">
      <w:pPr>
        <w:pStyle w:val="ParaNum"/>
        <w:tabs>
          <w:tab w:val="clear" w:pos="1440"/>
        </w:tabs>
      </w:pPr>
      <w:r>
        <w:t xml:space="preserve">The Video Division, Media Bureau (Bureau), has before it a petition for rulemaking filed </w:t>
      </w:r>
      <w:r w:rsidR="004A3F4E">
        <w:t>May 4</w:t>
      </w:r>
      <w:r>
        <w:t>, 202</w:t>
      </w:r>
      <w:r w:rsidR="004A3F4E">
        <w:t>1</w:t>
      </w:r>
      <w:r>
        <w:t xml:space="preserve">, by </w:t>
      </w:r>
      <w:r w:rsidR="004A3F4E">
        <w:t>WGEM License,</w:t>
      </w:r>
      <w:r>
        <w:t xml:space="preserve"> LLC (Petitioner), the licensee of </w:t>
      </w:r>
      <w:r w:rsidR="004A3F4E">
        <w:t>WGEM-TV</w:t>
      </w:r>
      <w:r>
        <w:t xml:space="preserve"> (</w:t>
      </w:r>
      <w:r w:rsidR="00047FF8">
        <w:t>NBC</w:t>
      </w:r>
      <w:r>
        <w:t>), channel</w:t>
      </w:r>
      <w:r w:rsidR="000826D1">
        <w:t xml:space="preserve"> </w:t>
      </w:r>
      <w:r w:rsidR="004A3F4E">
        <w:t>10</w:t>
      </w:r>
      <w:r>
        <w:t xml:space="preserve">, </w:t>
      </w:r>
      <w:r w:rsidR="004A3F4E">
        <w:t>Quincy, Illinois</w:t>
      </w:r>
      <w:r>
        <w:t>.</w:t>
      </w:r>
      <w:r>
        <w:rPr>
          <w:rStyle w:val="FootnoteReference"/>
        </w:rPr>
        <w:footnoteReference w:id="3"/>
      </w:r>
      <w:r>
        <w:t xml:space="preserve">  The Petitioner requests the substitution of channel </w:t>
      </w:r>
      <w:r w:rsidR="004A3F4E">
        <w:t>19</w:t>
      </w:r>
      <w:r>
        <w:t xml:space="preserve"> for channel </w:t>
      </w:r>
      <w:r w:rsidR="004A3F4E">
        <w:t>10</w:t>
      </w:r>
      <w:r>
        <w:t xml:space="preserve"> at </w:t>
      </w:r>
      <w:r w:rsidR="004A3F4E">
        <w:t>Quincy</w:t>
      </w:r>
      <w:r>
        <w:t xml:space="preserve"> in the DTV Table of Allotments.</w:t>
      </w:r>
      <w:r>
        <w:rPr>
          <w:rStyle w:val="FootnoteReference"/>
        </w:rPr>
        <w:footnoteReference w:id="4"/>
      </w:r>
      <w:r>
        <w:t xml:space="preserve"> </w:t>
      </w:r>
    </w:p>
    <w:p w:rsidR="002C41C4" w:rsidP="005C521E" w14:paraId="5D59D792" w14:textId="77777777">
      <w:pPr>
        <w:pStyle w:val="Heading1"/>
        <w:keepNext w:val="0"/>
        <w:suppressAutoHyphens w:val="0"/>
      </w:pPr>
      <w:r>
        <w:t>Background</w:t>
      </w:r>
    </w:p>
    <w:p w:rsidR="002C41C4" w:rsidP="005C521E" w14:paraId="27D21D38" w14:textId="1F3D4C49">
      <w:pPr>
        <w:pStyle w:val="ParaNum"/>
      </w:pPr>
      <w:r w:rsidRPr="00BF1B4B">
        <w:t>In support of its channel substitution request, the Petitioner</w:t>
      </w:r>
      <w:r>
        <w:t xml:space="preserve"> states that the Commission has recognized that VHF channels have certain characteristics </w:t>
      </w:r>
      <w:r w:rsidR="001E2F73">
        <w:t>that pose challenges for their use in providing digital television service</w:t>
      </w:r>
      <w:r w:rsidR="005B2EDD">
        <w:t>,</w:t>
      </w:r>
      <w:r w:rsidR="00034252">
        <w:t xml:space="preserve"> </w:t>
      </w:r>
      <w:r w:rsidR="00C560F8">
        <w:t>including</w:t>
      </w:r>
      <w:r w:rsidR="006D6689">
        <w:t xml:space="preserve"> prop</w:t>
      </w:r>
      <w:r w:rsidR="00B825F9">
        <w:t>agation character</w:t>
      </w:r>
      <w:r w:rsidR="00C560F8">
        <w:t>istics</w:t>
      </w:r>
      <w:r w:rsidR="005B2EDD">
        <w:t xml:space="preserve"> t</w:t>
      </w:r>
      <w:r w:rsidR="00750411">
        <w:t>hat</w:t>
      </w:r>
      <w:r w:rsidR="00B825F9">
        <w:t xml:space="preserve"> allow</w:t>
      </w:r>
      <w:r w:rsidR="001E2F73">
        <w:t xml:space="preserve"> undesired signals and noise to be receivable </w:t>
      </w:r>
      <w:r w:rsidR="00750411">
        <w:t>at</w:t>
      </w:r>
      <w:r w:rsidR="001E2F73">
        <w:t xml:space="preserve"> relatively far distances</w:t>
      </w:r>
      <w:r w:rsidR="00C560F8">
        <w:t xml:space="preserve"> and </w:t>
      </w:r>
      <w:r w:rsidR="001E2F73">
        <w:t>near</w:t>
      </w:r>
      <w:r w:rsidR="005B2EDD">
        <w:t>by</w:t>
      </w:r>
      <w:r w:rsidR="001E2F73">
        <w:t xml:space="preserve"> electrical devices </w:t>
      </w:r>
      <w:r w:rsidR="005B2EDD">
        <w:t>to</w:t>
      </w:r>
      <w:r w:rsidR="001E2F73">
        <w:t xml:space="preserve"> cause interferenc</w:t>
      </w:r>
      <w:r w:rsidR="00034252">
        <w:t>e.</w:t>
      </w:r>
      <w:r>
        <w:rPr>
          <w:rStyle w:val="FootnoteReference"/>
        </w:rPr>
        <w:footnoteReference w:id="5"/>
      </w:r>
      <w:r>
        <w:t xml:space="preserve">  </w:t>
      </w:r>
      <w:r w:rsidR="00750411">
        <w:t>According to the Petitioner, it has attempted to address the station’s reception issues through multiple technical avenues, including requesting a waiver of the permissible power limits set forth in section 73.622(f) of the Commission’s rules (rules),</w:t>
      </w:r>
      <w:r>
        <w:rPr>
          <w:rStyle w:val="FootnoteReference"/>
        </w:rPr>
        <w:footnoteReference w:id="6"/>
      </w:r>
      <w:r w:rsidR="00750411">
        <w:t xml:space="preserve"> but continues to receive numerous complaints of poor or no reception from viewers.</w:t>
      </w:r>
      <w:r>
        <w:rPr>
          <w:rStyle w:val="FootnoteReference"/>
        </w:rPr>
        <w:footnoteReference w:id="7"/>
      </w:r>
      <w:r>
        <w:t xml:space="preserve"> </w:t>
      </w:r>
      <w:r w:rsidR="00336D5F">
        <w:t xml:space="preserve"> </w:t>
      </w:r>
      <w:r>
        <w:t xml:space="preserve">In addition, the Petitioner states that while the proposed channel </w:t>
      </w:r>
      <w:r w:rsidR="004F4061">
        <w:t>19</w:t>
      </w:r>
      <w:r>
        <w:t xml:space="preserve"> facility</w:t>
      </w:r>
      <w:r w:rsidR="004F4061">
        <w:t xml:space="preserve"> will </w:t>
      </w:r>
      <w:r w:rsidR="004F4061">
        <w:t>result in a slight reduction (approximately 9.4 kilometers) in WGEM-TV’s</w:t>
      </w:r>
      <w:r>
        <w:t xml:space="preserve"> noise limited contour</w:t>
      </w:r>
      <w:r w:rsidR="004F4061">
        <w:t>,</w:t>
      </w:r>
      <w:r w:rsidR="00535B91">
        <w:t xml:space="preserve"> us</w:t>
      </w:r>
      <w:r w:rsidR="008C3F4D">
        <w:t>e of</w:t>
      </w:r>
      <w:r w:rsidR="00535B91">
        <w:t xml:space="preserve"> the Longley-Rice propagation model </w:t>
      </w:r>
      <w:r w:rsidR="008C3F4D">
        <w:t>indicates that the proposed channel 19 facility will have an extended terrain-limited service throughout the gap area, and thus, there will be no loss of service</w:t>
      </w:r>
      <w:r w:rsidR="00535B91">
        <w:t>.</w:t>
      </w:r>
      <w:r>
        <w:rPr>
          <w:rStyle w:val="FootnoteReference"/>
        </w:rPr>
        <w:footnoteReference w:id="8"/>
      </w:r>
      <w:r>
        <w:t xml:space="preserve">    </w:t>
      </w:r>
    </w:p>
    <w:p w:rsidR="002C41C4" w:rsidP="005C521E" w14:paraId="42B7C862" w14:textId="77777777">
      <w:pPr>
        <w:pStyle w:val="Heading1"/>
        <w:keepNext w:val="0"/>
        <w:suppressAutoHyphens w:val="0"/>
      </w:pPr>
      <w:r>
        <w:t>DISCUSSION</w:t>
      </w:r>
    </w:p>
    <w:p w:rsidR="002C41C4" w:rsidP="005C521E" w14:paraId="1F8F25AE" w14:textId="1E0F38CF">
      <w:pPr>
        <w:pStyle w:val="ParaNum"/>
      </w:pPr>
      <w:r>
        <w:t xml:space="preserve">We believe that the Petitioner’s channel substitution proposal warrants consideration.  Channel </w:t>
      </w:r>
      <w:r w:rsidR="004A3F4E">
        <w:t>19</w:t>
      </w:r>
      <w:r>
        <w:t xml:space="preserve"> can be substituted for channel </w:t>
      </w:r>
      <w:r w:rsidR="004A3F4E">
        <w:t>10</w:t>
      </w:r>
      <w:r>
        <w:t xml:space="preserve"> at </w:t>
      </w:r>
      <w:r w:rsidR="004A3F4E">
        <w:t>Quincy, Illinois</w:t>
      </w:r>
      <w:r>
        <w:t>, as proposed, in compliance with the principal community coverage requirements of section 73.625(a) of the Commission’s rules</w:t>
      </w:r>
      <w:r w:rsidR="005C521E">
        <w:t xml:space="preserve"> (rules)</w:t>
      </w:r>
      <w:r>
        <w:t>,</w:t>
      </w:r>
      <w:r>
        <w:rPr>
          <w:vertAlign w:val="superscript"/>
        </w:rPr>
        <w:footnoteReference w:id="9"/>
      </w:r>
      <w:r>
        <w:t xml:space="preserve"> at </w:t>
      </w:r>
      <w:r w:rsidRPr="00BF1B4B">
        <w:t xml:space="preserve">coordinates </w:t>
      </w:r>
      <w:r w:rsidR="004A3F4E">
        <w:t>39-57-04</w:t>
      </w:r>
      <w:r w:rsidRPr="00BF1B4B">
        <w:t xml:space="preserve">.0 N and </w:t>
      </w:r>
      <w:r w:rsidR="004A3F4E">
        <w:t>91-19</w:t>
      </w:r>
      <w:r w:rsidR="004E7382">
        <w:t>-</w:t>
      </w:r>
      <w:r w:rsidR="004A3F4E">
        <w:t>54</w:t>
      </w:r>
      <w:r w:rsidRPr="00BF1B4B">
        <w:t>.0 W.  In addition, we find that this channel change meets the</w:t>
      </w:r>
      <w:r>
        <w:t xml:space="preserve"> technical requirements set forth in sections 73.616 and 73.623 of the rules.</w:t>
      </w:r>
      <w:r>
        <w:rPr>
          <w:vertAlign w:val="superscript"/>
        </w:rPr>
        <w:footnoteReference w:id="10"/>
      </w:r>
      <w:r>
        <w:t xml:space="preserve">  </w:t>
      </w:r>
    </w:p>
    <w:p w:rsidR="002C41C4" w:rsidP="005C521E" w14:paraId="51A54207" w14:textId="2C87D1B0">
      <w:pPr>
        <w:pStyle w:val="ParaNum"/>
      </w:pPr>
      <w:r>
        <w:t xml:space="preserve">We propose to substitute channel </w:t>
      </w:r>
      <w:r w:rsidR="009925D1">
        <w:t>19</w:t>
      </w:r>
      <w:r>
        <w:t xml:space="preserve"> for channel </w:t>
      </w:r>
      <w:r w:rsidR="009925D1">
        <w:t>10</w:t>
      </w:r>
      <w:r>
        <w:t xml:space="preserve"> for </w:t>
      </w:r>
      <w:r w:rsidR="009925D1">
        <w:t>WGEM</w:t>
      </w:r>
      <w:r>
        <w:t>-TV with the following specifications:</w:t>
      </w:r>
    </w:p>
    <w:p w:rsidR="002C41C4" w:rsidP="005C521E" w14:paraId="4BE2DAC3" w14:textId="77777777">
      <w:pPr>
        <w:pStyle w:val="ParaNum"/>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2C41C4" w:rsidP="005C521E" w14:paraId="58EF4AF9" w14:textId="78B3A59A">
      <w:pPr>
        <w:pStyle w:val="ParaNum"/>
        <w:numPr>
          <w:ilvl w:val="0"/>
          <w:numId w:val="0"/>
        </w:numPr>
        <w:ind w:firstLine="720"/>
      </w:pPr>
      <w:r>
        <w:t>Quincy, Illinois</w:t>
      </w:r>
      <w:r w:rsidR="002C2AF9">
        <w:tab/>
      </w:r>
      <w:r w:rsidR="002C2AF9">
        <w:tab/>
      </w:r>
      <w:r w:rsidR="002C2AF9">
        <w:tab/>
      </w:r>
      <w:r>
        <w:t>19</w:t>
      </w:r>
      <w:r w:rsidR="002C2AF9">
        <w:tab/>
      </w:r>
      <w:r w:rsidR="002C2AF9">
        <w:tab/>
        <w:t>1000</w:t>
      </w:r>
      <w:r w:rsidR="002C2AF9">
        <w:tab/>
      </w:r>
      <w:r w:rsidR="002C2AF9">
        <w:tab/>
      </w:r>
      <w:r w:rsidR="002C2AF9">
        <w:tab/>
      </w:r>
      <w:r>
        <w:t>238</w:t>
      </w:r>
    </w:p>
    <w:p w:rsidR="002C41C4" w:rsidP="005C521E" w14:paraId="6F1C0E04" w14:textId="77777777">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1"/>
      </w:r>
      <w:r>
        <w:t xml:space="preserve"> for the community listed below, to read as follows:</w:t>
      </w:r>
    </w:p>
    <w:p w:rsidR="002C41C4" w:rsidP="005C521E" w14:paraId="2252AE4F"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2C41C4" w:rsidP="005C521E" w14:paraId="58F5D41B"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5C521E" w14:paraId="69D6ED9E" w14:textId="5F4B222D">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Quincy, Illinois</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Pr>
          <w:rFonts w:ascii="Times New Roman" w:hAnsi="Times New Roman"/>
          <w:spacing w:val="-3"/>
          <w:sz w:val="22"/>
          <w:szCs w:val="22"/>
        </w:rPr>
        <w:t>10, 32, *34</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Pr>
          <w:rFonts w:ascii="Times New Roman" w:hAnsi="Times New Roman"/>
          <w:spacing w:val="-3"/>
          <w:sz w:val="22"/>
          <w:szCs w:val="22"/>
        </w:rPr>
        <w:t>19, 32</w:t>
      </w:r>
      <w:r w:rsidR="00CB1915">
        <w:rPr>
          <w:rFonts w:ascii="Times New Roman" w:hAnsi="Times New Roman"/>
          <w:spacing w:val="-3"/>
          <w:sz w:val="22"/>
          <w:szCs w:val="22"/>
        </w:rPr>
        <w:t>,</w:t>
      </w:r>
      <w:r>
        <w:rPr>
          <w:rFonts w:ascii="Times New Roman" w:hAnsi="Times New Roman"/>
          <w:spacing w:val="-3"/>
          <w:sz w:val="22"/>
          <w:szCs w:val="22"/>
        </w:rPr>
        <w:t xml:space="preserve"> *34</w:t>
      </w:r>
    </w:p>
    <w:bookmarkEnd w:id="1"/>
    <w:p w:rsidR="002C41C4" w:rsidP="005C521E" w14:paraId="7566B01F" w14:textId="77777777">
      <w:pPr>
        <w:pStyle w:val="Heading1"/>
      </w:pPr>
      <w:r>
        <w:t>Procedural matters</w:t>
      </w:r>
    </w:p>
    <w:p w:rsidR="002C41C4" w:rsidP="005C521E" w14:paraId="7F7F7A69"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2"/>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3"/>
      </w:r>
    </w:p>
    <w:p w:rsidR="002C41C4" w:rsidP="005C521E" w14:paraId="588816BD" w14:textId="77777777">
      <w:pPr>
        <w:pStyle w:val="ParaNum"/>
      </w:pPr>
      <w:r>
        <w:rPr>
          <w:i/>
          <w:iCs/>
        </w:rPr>
        <w:t>Cut-off Protection</w:t>
      </w:r>
      <w:r>
        <w:t>.  The following procedures will govern the consideration of the filings in this proceeding:</w:t>
      </w:r>
    </w:p>
    <w:p w:rsidR="002C41C4" w:rsidP="005C521E" w14:paraId="77DD2F97"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4"/>
      </w:r>
      <w:r>
        <w:t xml:space="preserve">  </w:t>
      </w:r>
    </w:p>
    <w:p w:rsidR="002C41C4" w:rsidP="005C521E" w14:paraId="7B77B960"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5"/>
      </w:r>
    </w:p>
    <w:p w:rsidR="002C41C4" w:rsidP="005C521E" w14:paraId="3B0F8C17"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6"/>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7"/>
      </w:r>
    </w:p>
    <w:p w:rsidR="002C41C4" w:rsidP="005C521E" w14:paraId="5E7E1DB4"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274669F1"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535B1D70"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69853830"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36C975DC"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
      </w:r>
    </w:p>
    <w:p w:rsidR="002C41C4" w:rsidP="005C521E" w14:paraId="69BB4C64"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C521E" w14:paraId="516E7F81" w14:textId="4BE72AF8">
      <w:pPr>
        <w:pStyle w:val="ParaNum"/>
      </w:pPr>
      <w:r>
        <w:rPr>
          <w:i/>
          <w:iCs/>
        </w:rPr>
        <w:t>Service.</w:t>
      </w:r>
      <w:r>
        <w:t xml:space="preserve">  Pursuant </w:t>
      </w:r>
      <w:r w:rsidR="00336D5F">
        <w:t xml:space="preserve">to </w:t>
      </w:r>
      <w:r>
        <w:t>section 1.420 of the rules,</w:t>
      </w:r>
      <w:r>
        <w:rPr>
          <w:rStyle w:val="FootnoteReference"/>
        </w:rPr>
        <w:footnoteReference w:id="19"/>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0"/>
      </w:r>
      <w:r>
        <w:t xml:space="preserve">  Additionally, a copy of such comments should be served on counsel for </w:t>
      </w:r>
      <w:r w:rsidR="006D6AC4">
        <w:t>the P</w:t>
      </w:r>
      <w:r>
        <w:t>etitioner, as follows:</w:t>
      </w:r>
    </w:p>
    <w:p w:rsidR="002C41C4" w:rsidP="005C521E" w14:paraId="171E5647" w14:textId="7338C862">
      <w:pPr>
        <w:pStyle w:val="ParaNum"/>
        <w:numPr>
          <w:ilvl w:val="0"/>
          <w:numId w:val="0"/>
        </w:numPr>
        <w:spacing w:after="0"/>
        <w:ind w:left="720"/>
      </w:pPr>
      <w:r>
        <w:t>Patrick Cross</w:t>
      </w:r>
      <w:r w:rsidR="002C2AF9">
        <w:t xml:space="preserve">, Esq. </w:t>
      </w:r>
    </w:p>
    <w:p w:rsidR="002C41C4" w:rsidP="005C521E" w14:paraId="01E0902D" w14:textId="646C575B">
      <w:pPr>
        <w:pStyle w:val="ParaNum"/>
        <w:numPr>
          <w:ilvl w:val="0"/>
          <w:numId w:val="0"/>
        </w:numPr>
        <w:spacing w:after="0"/>
        <w:ind w:left="720"/>
      </w:pPr>
      <w:r>
        <w:t>Brooks, Pierce, McLendon, Humphrey, &amp; Leonard, L.L.P.</w:t>
      </w:r>
    </w:p>
    <w:p w:rsidR="002C41C4" w:rsidP="005C521E" w14:paraId="1F07D289" w14:textId="2B60234A">
      <w:pPr>
        <w:pStyle w:val="ParaNum"/>
        <w:numPr>
          <w:ilvl w:val="0"/>
          <w:numId w:val="0"/>
        </w:numPr>
        <w:spacing w:after="0"/>
        <w:ind w:left="720"/>
      </w:pPr>
      <w:r>
        <w:t>Wells Fargo Capitol Center, Suite 1700</w:t>
      </w:r>
    </w:p>
    <w:p w:rsidR="002C41C4" w:rsidP="005C521E" w14:paraId="0A24907E" w14:textId="738DE5D1">
      <w:pPr>
        <w:pStyle w:val="ParaNum"/>
        <w:numPr>
          <w:ilvl w:val="0"/>
          <w:numId w:val="0"/>
        </w:numPr>
        <w:spacing w:after="0"/>
        <w:ind w:firstLine="720"/>
      </w:pPr>
      <w:r>
        <w:t>Raleigh, North Carolina 27601</w:t>
      </w:r>
    </w:p>
    <w:p w:rsidR="002C41C4" w:rsidP="005C521E" w14:paraId="0896323D"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1"/>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2"/>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3"/>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4"/>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w:t>
      </w:r>
      <w:r>
        <w:t>presentation</w:t>
      </w:r>
      <w:r>
        <w:t xml:space="preserve"> and shall not be considered in the proceeding. </w:t>
      </w:r>
    </w:p>
    <w:p w:rsidR="002C41C4" w:rsidP="005C521E" w14:paraId="051208AF"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1FE3CFBB"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5"/>
      </w:r>
      <w:r>
        <w:t xml:space="preserve"> do not apply to a rulemaking proceeding to amend the DTV Table of Allotments, section 73.622(</w:t>
      </w:r>
      <w:r>
        <w:t>i</w:t>
      </w:r>
      <w:r>
        <w:t>) of the rules.</w:t>
      </w:r>
      <w:r>
        <w:rPr>
          <w:rStyle w:val="FootnoteReference"/>
        </w:rPr>
        <w:footnoteReference w:id="26"/>
      </w:r>
      <w:r>
        <w:t xml:space="preserve">  This document does not contain proposed information collection requirements subject to the Paperwork Reduction Act of 1995.</w:t>
      </w:r>
      <w:r>
        <w:rPr>
          <w:rStyle w:val="FootnoteReference"/>
        </w:rPr>
        <w:footnoteReference w:id="27"/>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8"/>
      </w:r>
    </w:p>
    <w:p w:rsidR="002C41C4" w:rsidP="005C521E" w14:paraId="01A50E95"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342D0ED8"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3F9F4E76" w14:textId="77777777">
      <w:pPr>
        <w:pStyle w:val="Heading1"/>
        <w:keepLines/>
        <w:suppressAutoHyphens w:val="0"/>
      </w:pPr>
      <w:r>
        <w:t>Ordering clauses</w:t>
      </w:r>
    </w:p>
    <w:p w:rsidR="002C41C4" w:rsidP="005C521E" w14:paraId="5D91C99D" w14:textId="77777777">
      <w:pPr>
        <w:pStyle w:val="ParaNum"/>
        <w:keepNext/>
        <w:keepLines/>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Post-Transition Table of DTV Allotments, section 73.622(</w:t>
      </w:r>
      <w:r>
        <w:t>i</w:t>
      </w:r>
      <w:r>
        <w:t>) of the rules, 47 CFR § 73.622(</w:t>
      </w:r>
      <w:r>
        <w:t>i</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3CF06BCB" w14:textId="7D660B54">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BE25D4">
        <w:rPr>
          <w:szCs w:val="22"/>
        </w:rPr>
        <w:t>21-219</w:t>
      </w:r>
      <w:r>
        <w:rPr>
          <w:szCs w:val="22"/>
        </w:rPr>
        <w:t xml:space="preserve"> and </w:t>
      </w:r>
      <w:r w:rsidRPr="00B625C0">
        <w:rPr>
          <w:szCs w:val="22"/>
        </w:rPr>
        <w:t>RM-</w:t>
      </w:r>
      <w:r w:rsidR="00BE25D4">
        <w:rPr>
          <w:szCs w:val="22"/>
        </w:rPr>
        <w:t>11907</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5C521E" w14:paraId="6E6429D4" w14:textId="77777777">
      <w:r>
        <w:tab/>
      </w:r>
      <w:r>
        <w:tab/>
      </w:r>
      <w:r>
        <w:tab/>
      </w:r>
      <w:r>
        <w:tab/>
      </w:r>
      <w:r>
        <w:tab/>
      </w:r>
      <w:r>
        <w:tab/>
        <w:t>FEDERAL COMMUNICATIONS COMMISSION</w:t>
      </w:r>
    </w:p>
    <w:p w:rsidR="002C41C4" w:rsidP="005C521E" w14:paraId="13A5971D" w14:textId="77777777"/>
    <w:p w:rsidR="002C41C4" w:rsidP="005C521E" w14:paraId="52A2F8FE" w14:textId="77777777"/>
    <w:p w:rsidR="002C41C4" w:rsidP="005C521E" w14:paraId="513710B9" w14:textId="77777777"/>
    <w:p w:rsidR="002C41C4" w:rsidP="005C521E" w14:paraId="48896AFD" w14:textId="77777777"/>
    <w:p w:rsidR="002C41C4" w:rsidP="005C521E" w14:paraId="5ADA4752" w14:textId="77777777">
      <w:r>
        <w:tab/>
      </w:r>
      <w:r>
        <w:tab/>
      </w:r>
      <w:r>
        <w:tab/>
      </w:r>
      <w:r>
        <w:tab/>
      </w:r>
      <w:r>
        <w:tab/>
      </w:r>
      <w:r>
        <w:tab/>
        <w:t>Barbara A. Kreisman</w:t>
      </w:r>
    </w:p>
    <w:p w:rsidR="002C41C4" w:rsidP="005C521E" w14:paraId="02EF05B6" w14:textId="77777777">
      <w:r>
        <w:tab/>
      </w:r>
      <w:r>
        <w:tab/>
      </w:r>
      <w:r>
        <w:tab/>
      </w:r>
      <w:r>
        <w:tab/>
      </w:r>
      <w:r>
        <w:tab/>
      </w:r>
      <w:r>
        <w:tab/>
        <w:t>Chief, Video Division</w:t>
      </w:r>
    </w:p>
    <w:p w:rsidR="00412FC5" w:rsidRPr="002C41C4" w:rsidP="005C521E" w14:paraId="65712C9C" w14:textId="330E8596">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6111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EA3B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10A604CC" w14:textId="5055EA6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96491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41C94233" w14:textId="77777777">
      <w:r>
        <w:separator/>
      </w:r>
    </w:p>
  </w:footnote>
  <w:footnote w:type="continuationSeparator" w:id="1">
    <w:p w:rsidR="00477CC1" w:rsidP="00C721AC" w14:paraId="77B497AB"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2E6BC236" w14:textId="77777777">
      <w:pPr>
        <w:jc w:val="right"/>
        <w:rPr>
          <w:sz w:val="20"/>
        </w:rPr>
      </w:pPr>
      <w:r>
        <w:rPr>
          <w:sz w:val="20"/>
        </w:rPr>
        <w:t>(continued….)</w:t>
      </w:r>
    </w:p>
  </w:footnote>
  <w:footnote w:id="3">
    <w:p w:rsidR="002C41C4" w:rsidP="005C521E" w14:paraId="4DED376D" w14:textId="42966450">
      <w:pPr>
        <w:pStyle w:val="FootnoteText"/>
        <w:widowControl w:val="0"/>
      </w:pPr>
      <w:r>
        <w:rPr>
          <w:rStyle w:val="FootnoteReference"/>
        </w:rPr>
        <w:footnoteRef/>
      </w:r>
      <w:r>
        <w:t xml:space="preserve"> Petition of </w:t>
      </w:r>
      <w:r w:rsidR="004A3F4E">
        <w:t>KGEM License</w:t>
      </w:r>
      <w:r>
        <w:t xml:space="preserve">, LLC for Rulemaking (filed </w:t>
      </w:r>
      <w:r w:rsidR="004A3F4E">
        <w:t>May 4</w:t>
      </w:r>
      <w:r>
        <w:t>, 202</w:t>
      </w:r>
      <w:r w:rsidR="004A3F4E">
        <w:t>1</w:t>
      </w:r>
      <w:r>
        <w:t>), LMS File No. 0000</w:t>
      </w:r>
      <w:r w:rsidR="004A3F4E">
        <w:t>144525</w:t>
      </w:r>
      <w:r>
        <w:t xml:space="preserve"> (Petition).  </w:t>
      </w:r>
    </w:p>
  </w:footnote>
  <w:footnote w:id="4">
    <w:p w:rsidR="002C41C4" w:rsidP="005C521E" w14:paraId="20742EB6" w14:textId="77777777">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xml:space="preserve">, GN Docket No. 12-268, Public Notice, 32 FCC </w:t>
      </w:r>
      <w:r>
        <w:rPr>
          <w:sz w:val="20"/>
        </w:rPr>
        <w:t>Rcd</w:t>
      </w:r>
      <w:r>
        <w:rPr>
          <w:sz w:val="20"/>
        </w:rPr>
        <w:t xml:space="preserve"> 2786 (2017).  The post-incentive auction transition period ended on July 13, 2020.  The Media Bureau will amend the rules to reflect all new full power channel assignments in a revised Table of Allotments.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1F339C" w:rsidP="005C521E" w14:paraId="651ECEBD" w14:textId="4AC4CBCE">
      <w:pPr>
        <w:pStyle w:val="FootnoteText"/>
        <w:widowControl w:val="0"/>
      </w:pPr>
      <w:r>
        <w:rPr>
          <w:rStyle w:val="FootnoteReference"/>
        </w:rPr>
        <w:footnoteRef/>
      </w:r>
      <w:r>
        <w:t xml:space="preserve"> Petition at 2, citing </w:t>
      </w:r>
      <w:r>
        <w:rPr>
          <w:i/>
          <w:iCs/>
        </w:rPr>
        <w:t>Innovation in the Broadcast Television Bands: Allocations, Channel Sharing and Improvements to VHF</w:t>
      </w:r>
      <w:r>
        <w:t xml:space="preserve">, ET Docket No. 10-235, Notice of Proposed Rulemaking, 25 FCC </w:t>
      </w:r>
      <w:r>
        <w:t>Rcd</w:t>
      </w:r>
      <w:r>
        <w:t xml:space="preserve"> 16498, 16511, paras. 42, 44 (2010).</w:t>
      </w:r>
    </w:p>
  </w:footnote>
  <w:footnote w:id="6">
    <w:p w:rsidR="00750411" w:rsidP="005C521E" w14:paraId="06B9E780" w14:textId="1B118EAF">
      <w:pPr>
        <w:pStyle w:val="FootnoteText"/>
        <w:widowControl w:val="0"/>
      </w:pPr>
      <w:r>
        <w:rPr>
          <w:rStyle w:val="FootnoteReference"/>
        </w:rPr>
        <w:footnoteRef/>
      </w:r>
      <w:r>
        <w:t xml:space="preserve"> 47 CFR § 73.622(f).</w:t>
      </w:r>
    </w:p>
  </w:footnote>
  <w:footnote w:id="7">
    <w:p w:rsidR="00750411" w:rsidP="005C521E" w14:paraId="205B0D7C" w14:textId="06E4930C">
      <w:pPr>
        <w:pStyle w:val="FootnoteText"/>
        <w:widowControl w:val="0"/>
      </w:pPr>
      <w:r>
        <w:rPr>
          <w:rStyle w:val="FootnoteReference"/>
        </w:rPr>
        <w:footnoteRef/>
      </w:r>
      <w:r>
        <w:t xml:space="preserve"> Petition at 2-3</w:t>
      </w:r>
      <w:r w:rsidR="00622F0E">
        <w:t>.</w:t>
      </w:r>
      <w:r>
        <w:t xml:space="preserve"> </w:t>
      </w:r>
    </w:p>
  </w:footnote>
  <w:footnote w:id="8">
    <w:p w:rsidR="00535B91" w:rsidP="005C521E" w14:paraId="24B11975" w14:textId="265495B0">
      <w:pPr>
        <w:pStyle w:val="FootnoteText"/>
        <w:widowControl w:val="0"/>
      </w:pPr>
      <w:r>
        <w:rPr>
          <w:rStyle w:val="FootnoteReference"/>
        </w:rPr>
        <w:footnoteRef/>
      </w:r>
      <w:r>
        <w:t xml:space="preserve"> </w:t>
      </w:r>
      <w:r w:rsidRPr="00622F0E">
        <w:rPr>
          <w:i/>
          <w:iCs/>
        </w:rPr>
        <w:t>Id</w:t>
      </w:r>
      <w:r>
        <w:t>. at 4, Engineering Statement at 3-4 and Figure 3.</w:t>
      </w:r>
    </w:p>
  </w:footnote>
  <w:footnote w:id="9">
    <w:p w:rsidR="002C41C4" w:rsidP="005C521E" w14:paraId="3E5A096A" w14:textId="77777777">
      <w:pPr>
        <w:pStyle w:val="FootnoteText"/>
        <w:widowControl w:val="0"/>
      </w:pPr>
      <w:r>
        <w:rPr>
          <w:rStyle w:val="FootnoteReference"/>
        </w:rPr>
        <w:footnoteRef/>
      </w:r>
      <w:r>
        <w:t xml:space="preserve"> 47 CFR § 73.625(a).</w:t>
      </w:r>
      <w:bookmarkStart w:id="0" w:name="SR;334"/>
      <w:bookmarkEnd w:id="0"/>
    </w:p>
  </w:footnote>
  <w:footnote w:id="10">
    <w:p w:rsidR="002C41C4" w:rsidP="005C521E" w14:paraId="1F27F6B6" w14:textId="77777777">
      <w:pPr>
        <w:pStyle w:val="FootnoteText"/>
        <w:widowControl w:val="0"/>
      </w:pPr>
      <w:r>
        <w:rPr>
          <w:rStyle w:val="FootnoteReference"/>
        </w:rPr>
        <w:footnoteRef/>
      </w:r>
      <w:r>
        <w:t xml:space="preserve"> 47 CFR §§ 73.616, 73.623.</w:t>
      </w:r>
    </w:p>
  </w:footnote>
  <w:footnote w:id="11">
    <w:p w:rsidR="002C41C4" w:rsidP="005C521E" w14:paraId="68949447" w14:textId="77777777">
      <w:pPr>
        <w:pStyle w:val="FootnoteText"/>
        <w:widowControl w:val="0"/>
      </w:pPr>
      <w:r>
        <w:rPr>
          <w:rStyle w:val="FootnoteReference"/>
        </w:rPr>
        <w:footnoteRef/>
      </w:r>
      <w:r>
        <w:t xml:space="preserve"> 47 CFR § 73.622(</w:t>
      </w:r>
      <w:r>
        <w:t>i</w:t>
      </w:r>
      <w:r>
        <w:t>).</w:t>
      </w:r>
    </w:p>
  </w:footnote>
  <w:footnote w:id="12">
    <w:p w:rsidR="002C41C4" w:rsidP="005C521E" w14:paraId="27094D8C"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3">
    <w:p w:rsidR="002C41C4" w:rsidP="005C521E" w14:paraId="2AF0C0F6" w14:textId="77777777">
      <w:pPr>
        <w:pStyle w:val="FootnoteText"/>
        <w:widowControl w:val="0"/>
      </w:pPr>
      <w:r>
        <w:rPr>
          <w:rStyle w:val="FootnoteReference"/>
        </w:rPr>
        <w:footnoteRef/>
      </w:r>
      <w:r>
        <w:t xml:space="preserve"> 47 CFR § 1.420(j).</w:t>
      </w:r>
    </w:p>
  </w:footnote>
  <w:footnote w:id="14">
    <w:p w:rsidR="002C41C4" w:rsidP="005C521E" w14:paraId="712773AF" w14:textId="77777777">
      <w:pPr>
        <w:pStyle w:val="FootnoteText"/>
        <w:widowControl w:val="0"/>
      </w:pPr>
      <w:r>
        <w:rPr>
          <w:rStyle w:val="FootnoteReference"/>
        </w:rPr>
        <w:footnoteRef/>
      </w:r>
      <w:r>
        <w:t xml:space="preserve"> 47 CFR §</w:t>
      </w:r>
      <w:r w:rsidR="006D6AC4">
        <w:t xml:space="preserve"> </w:t>
      </w:r>
      <w:r>
        <w:t>1.420(d).</w:t>
      </w:r>
    </w:p>
  </w:footnote>
  <w:footnote w:id="15">
    <w:p w:rsidR="002C41C4" w:rsidP="005C521E" w14:paraId="118DE402" w14:textId="77777777">
      <w:pPr>
        <w:pStyle w:val="FootnoteText"/>
        <w:widowControl w:val="0"/>
      </w:pPr>
      <w:r>
        <w:rPr>
          <w:rStyle w:val="FootnoteReference"/>
        </w:rPr>
        <w:footnoteRef/>
      </w:r>
      <w:r>
        <w:t xml:space="preserve"> 47 CFR § 1.420(g)(2).</w:t>
      </w:r>
    </w:p>
  </w:footnote>
  <w:footnote w:id="16">
    <w:p w:rsidR="002C41C4" w:rsidP="005C521E" w14:paraId="0B70D5B4" w14:textId="77777777">
      <w:pPr>
        <w:pStyle w:val="FootnoteText"/>
        <w:widowControl w:val="0"/>
      </w:pPr>
      <w:r>
        <w:rPr>
          <w:rStyle w:val="FootnoteReference"/>
        </w:rPr>
        <w:footnoteRef/>
      </w:r>
      <w:r>
        <w:t xml:space="preserve"> 47 CFR §§ 1.415, 1.419, and 1.420.</w:t>
      </w:r>
    </w:p>
  </w:footnote>
  <w:footnote w:id="17">
    <w:p w:rsidR="002C41C4" w:rsidP="005C521E" w14:paraId="02C31DFB"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8">
    <w:p w:rsidR="002C41C4" w:rsidP="005C521E" w14:paraId="1261D385"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19">
    <w:p w:rsidR="002C41C4" w:rsidP="005C521E" w14:paraId="4DFC44AC" w14:textId="77777777">
      <w:pPr>
        <w:pStyle w:val="FootnoteText"/>
        <w:widowControl w:val="0"/>
      </w:pPr>
      <w:r>
        <w:rPr>
          <w:rStyle w:val="FootnoteReference"/>
        </w:rPr>
        <w:footnoteRef/>
      </w:r>
      <w:r>
        <w:t xml:space="preserve"> 47 CFR § 1.420.</w:t>
      </w:r>
    </w:p>
  </w:footnote>
  <w:footnote w:id="20">
    <w:p w:rsidR="002C41C4" w:rsidP="005C521E" w14:paraId="61E36388"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1">
    <w:p w:rsidR="002C41C4" w:rsidP="005C521E" w14:paraId="6B6E4B92" w14:textId="77777777">
      <w:pPr>
        <w:pStyle w:val="FootnoteText"/>
        <w:widowControl w:val="0"/>
        <w:rPr>
          <w:i/>
          <w:iCs/>
        </w:rPr>
      </w:pPr>
      <w:r>
        <w:rPr>
          <w:rStyle w:val="FootnoteReference"/>
        </w:rPr>
        <w:footnoteRef/>
      </w:r>
      <w:r>
        <w:t xml:space="preserve"> 47 CFR §§ 1.1200 </w:t>
      </w:r>
      <w:r>
        <w:rPr>
          <w:i/>
          <w:iCs/>
        </w:rPr>
        <w:t>et seq.</w:t>
      </w:r>
    </w:p>
  </w:footnote>
  <w:footnote w:id="22">
    <w:p w:rsidR="002C41C4" w:rsidP="005C521E" w14:paraId="015600DA" w14:textId="77777777">
      <w:pPr>
        <w:pStyle w:val="FootnoteText"/>
        <w:widowControl w:val="0"/>
      </w:pPr>
      <w:r>
        <w:rPr>
          <w:rStyle w:val="FootnoteReference"/>
        </w:rPr>
        <w:footnoteRef/>
      </w:r>
      <w:r>
        <w:t xml:space="preserve"> 47 CFR § 1.1208.</w:t>
      </w:r>
    </w:p>
  </w:footnote>
  <w:footnote w:id="23">
    <w:p w:rsidR="002C41C4" w:rsidP="005C521E" w14:paraId="5B6B5262" w14:textId="77777777">
      <w:pPr>
        <w:pStyle w:val="FootnoteText"/>
        <w:widowControl w:val="0"/>
      </w:pPr>
      <w:r>
        <w:rPr>
          <w:rStyle w:val="FootnoteReference"/>
        </w:rPr>
        <w:footnoteRef/>
      </w:r>
      <w:r>
        <w:t xml:space="preserve"> 47 CFR § 1.1204(a)(10).</w:t>
      </w:r>
    </w:p>
  </w:footnote>
  <w:footnote w:id="24">
    <w:p w:rsidR="002C41C4" w:rsidP="005C521E" w14:paraId="3F44535E"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5">
    <w:p w:rsidR="002C41C4" w:rsidP="005C521E" w14:paraId="3B3F1351"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6">
    <w:p w:rsidR="002C41C4" w:rsidP="005C521E" w14:paraId="7DD4DFEA" w14:textId="77777777">
      <w:pPr>
        <w:pStyle w:val="FootnoteText"/>
        <w:widowControl w:val="0"/>
      </w:pPr>
      <w:r>
        <w:rPr>
          <w:rStyle w:val="FootnoteReference"/>
        </w:rPr>
        <w:footnoteRef/>
      </w:r>
      <w:r>
        <w:t xml:space="preserve"> 47 CFR § 73.622(</w:t>
      </w:r>
      <w:r>
        <w:t>i</w:t>
      </w:r>
      <w:r>
        <w:t>).</w:t>
      </w:r>
    </w:p>
  </w:footnote>
  <w:footnote w:id="27">
    <w:p w:rsidR="002C41C4" w:rsidP="005C521E" w14:paraId="6A9F1DE0"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8">
    <w:p w:rsidR="002C41C4" w:rsidP="005C521E" w14:paraId="7549FC9A"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478CBA" w14:textId="5441C818">
    <w:pPr>
      <w:pStyle w:val="Header"/>
      <w:rPr>
        <w:b w:val="0"/>
      </w:rPr>
    </w:pPr>
    <w:r>
      <w:tab/>
      <w:t>Federal Communications Commission</w:t>
    </w:r>
    <w:r>
      <w:tab/>
    </w:r>
    <w:r w:rsidR="008671E1">
      <w:t>DA 21-</w:t>
    </w:r>
    <w:r w:rsidR="00BE25D4">
      <w:t>583</w:t>
    </w:r>
  </w:p>
  <w:p w:rsidR="00D25FB5" w14:paraId="13EEA24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4D518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4402B8" w14:textId="1B0D510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1E1">
      <w:rPr>
        <w:spacing w:val="-2"/>
      </w:rPr>
      <w:t>DA 21-</w:t>
    </w:r>
    <w:r w:rsidR="00BE25D4">
      <w:rPr>
        <w:spacing w:val="-2"/>
      </w:rPr>
      <w:t>583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10D18"/>
    <w:rsid w:val="00034252"/>
    <w:rsid w:val="00036039"/>
    <w:rsid w:val="00037F90"/>
    <w:rsid w:val="00047FF8"/>
    <w:rsid w:val="00081A21"/>
    <w:rsid w:val="000826D1"/>
    <w:rsid w:val="000875BF"/>
    <w:rsid w:val="00096D8C"/>
    <w:rsid w:val="000C0B65"/>
    <w:rsid w:val="000E05FE"/>
    <w:rsid w:val="000E3D42"/>
    <w:rsid w:val="0010278A"/>
    <w:rsid w:val="00105AB9"/>
    <w:rsid w:val="00122BD5"/>
    <w:rsid w:val="00133F79"/>
    <w:rsid w:val="00194A66"/>
    <w:rsid w:val="001B3094"/>
    <w:rsid w:val="001B714C"/>
    <w:rsid w:val="001D6BCF"/>
    <w:rsid w:val="001E01CA"/>
    <w:rsid w:val="001E2F73"/>
    <w:rsid w:val="001F339C"/>
    <w:rsid w:val="00246BE0"/>
    <w:rsid w:val="00275CF5"/>
    <w:rsid w:val="0028301F"/>
    <w:rsid w:val="00285017"/>
    <w:rsid w:val="002A2D2E"/>
    <w:rsid w:val="002C00E8"/>
    <w:rsid w:val="002C2AF9"/>
    <w:rsid w:val="002C41C4"/>
    <w:rsid w:val="00336D5F"/>
    <w:rsid w:val="00343749"/>
    <w:rsid w:val="003660ED"/>
    <w:rsid w:val="0038442D"/>
    <w:rsid w:val="0038788F"/>
    <w:rsid w:val="0039399B"/>
    <w:rsid w:val="003B0550"/>
    <w:rsid w:val="003B2442"/>
    <w:rsid w:val="003B694F"/>
    <w:rsid w:val="003F171C"/>
    <w:rsid w:val="00412FC5"/>
    <w:rsid w:val="00422276"/>
    <w:rsid w:val="004242F1"/>
    <w:rsid w:val="00445A00"/>
    <w:rsid w:val="00451B0F"/>
    <w:rsid w:val="00477CC1"/>
    <w:rsid w:val="004A2B13"/>
    <w:rsid w:val="004A3F4E"/>
    <w:rsid w:val="004C2EE3"/>
    <w:rsid w:val="004E4A22"/>
    <w:rsid w:val="004E7382"/>
    <w:rsid w:val="004F4061"/>
    <w:rsid w:val="00511968"/>
    <w:rsid w:val="00535B91"/>
    <w:rsid w:val="0055614C"/>
    <w:rsid w:val="00566D06"/>
    <w:rsid w:val="005B2EDD"/>
    <w:rsid w:val="005B7C2F"/>
    <w:rsid w:val="005C521E"/>
    <w:rsid w:val="005E14C2"/>
    <w:rsid w:val="0060329F"/>
    <w:rsid w:val="00606691"/>
    <w:rsid w:val="00607BA5"/>
    <w:rsid w:val="0061180A"/>
    <w:rsid w:val="00622F0E"/>
    <w:rsid w:val="00626EB6"/>
    <w:rsid w:val="00655D03"/>
    <w:rsid w:val="00683388"/>
    <w:rsid w:val="00683F84"/>
    <w:rsid w:val="006A6A81"/>
    <w:rsid w:val="006D6689"/>
    <w:rsid w:val="006D6AC4"/>
    <w:rsid w:val="006D7755"/>
    <w:rsid w:val="006F7393"/>
    <w:rsid w:val="0070224F"/>
    <w:rsid w:val="007115F7"/>
    <w:rsid w:val="00750411"/>
    <w:rsid w:val="00785689"/>
    <w:rsid w:val="0079754B"/>
    <w:rsid w:val="007A1E6D"/>
    <w:rsid w:val="007B0EB2"/>
    <w:rsid w:val="00810B6F"/>
    <w:rsid w:val="00822CE0"/>
    <w:rsid w:val="00841AB1"/>
    <w:rsid w:val="008671E1"/>
    <w:rsid w:val="008C3F4D"/>
    <w:rsid w:val="008C68F1"/>
    <w:rsid w:val="00921803"/>
    <w:rsid w:val="00926503"/>
    <w:rsid w:val="00961260"/>
    <w:rsid w:val="00961859"/>
    <w:rsid w:val="009726D8"/>
    <w:rsid w:val="009925D1"/>
    <w:rsid w:val="009D7308"/>
    <w:rsid w:val="009F76DB"/>
    <w:rsid w:val="00A32C3B"/>
    <w:rsid w:val="00A45F4F"/>
    <w:rsid w:val="00A50D70"/>
    <w:rsid w:val="00A600A9"/>
    <w:rsid w:val="00A75ACB"/>
    <w:rsid w:val="00A97B35"/>
    <w:rsid w:val="00AA55B7"/>
    <w:rsid w:val="00AA5B9E"/>
    <w:rsid w:val="00AB2407"/>
    <w:rsid w:val="00AB53DF"/>
    <w:rsid w:val="00AD024F"/>
    <w:rsid w:val="00B07E5C"/>
    <w:rsid w:val="00B625C0"/>
    <w:rsid w:val="00B811F7"/>
    <w:rsid w:val="00B825F9"/>
    <w:rsid w:val="00BA5DC6"/>
    <w:rsid w:val="00BA6196"/>
    <w:rsid w:val="00BC4BE1"/>
    <w:rsid w:val="00BC6D8C"/>
    <w:rsid w:val="00BE25D4"/>
    <w:rsid w:val="00BF1032"/>
    <w:rsid w:val="00BF1B4B"/>
    <w:rsid w:val="00C34006"/>
    <w:rsid w:val="00C36B4C"/>
    <w:rsid w:val="00C426B1"/>
    <w:rsid w:val="00C43C45"/>
    <w:rsid w:val="00C5034F"/>
    <w:rsid w:val="00C51F65"/>
    <w:rsid w:val="00C560F8"/>
    <w:rsid w:val="00C629C1"/>
    <w:rsid w:val="00C65232"/>
    <w:rsid w:val="00C66160"/>
    <w:rsid w:val="00C721AC"/>
    <w:rsid w:val="00C87627"/>
    <w:rsid w:val="00C90D6A"/>
    <w:rsid w:val="00CA247E"/>
    <w:rsid w:val="00CA6D21"/>
    <w:rsid w:val="00CB1915"/>
    <w:rsid w:val="00CC72B6"/>
    <w:rsid w:val="00D0218D"/>
    <w:rsid w:val="00D25FB5"/>
    <w:rsid w:val="00D44223"/>
    <w:rsid w:val="00D6194D"/>
    <w:rsid w:val="00DA2529"/>
    <w:rsid w:val="00DB130A"/>
    <w:rsid w:val="00DB2EBB"/>
    <w:rsid w:val="00DC10A1"/>
    <w:rsid w:val="00DC655F"/>
    <w:rsid w:val="00DD0B59"/>
    <w:rsid w:val="00DD7EBD"/>
    <w:rsid w:val="00DE5368"/>
    <w:rsid w:val="00DF40E1"/>
    <w:rsid w:val="00DF62B6"/>
    <w:rsid w:val="00E02754"/>
    <w:rsid w:val="00E07225"/>
    <w:rsid w:val="00E434C0"/>
    <w:rsid w:val="00E5409F"/>
    <w:rsid w:val="00E727BF"/>
    <w:rsid w:val="00E807B9"/>
    <w:rsid w:val="00EB77AA"/>
    <w:rsid w:val="00EE6488"/>
    <w:rsid w:val="00F021FA"/>
    <w:rsid w:val="00F62E97"/>
    <w:rsid w:val="00F64209"/>
    <w:rsid w:val="00F73A13"/>
    <w:rsid w:val="00F77830"/>
    <w:rsid w:val="00F93BF5"/>
    <w:rsid w:val="00FB3577"/>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27CF20"/>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