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6BBF6D3"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3F8B7C5" w14:textId="77777777">
      <w:pPr>
        <w:pStyle w:val="StyleBoldCentered"/>
      </w:pPr>
      <w:r>
        <w:t>F</w:t>
      </w:r>
      <w:r>
        <w:rPr>
          <w:caps w:val="0"/>
        </w:rPr>
        <w:t>ederal Communications Commission</w:t>
      </w:r>
    </w:p>
    <w:p w:rsidR="004C2EE3" w:rsidP="00096D8C" w14:paraId="27AEE678" w14:textId="77777777">
      <w:pPr>
        <w:pStyle w:val="StyleBoldCentered"/>
      </w:pPr>
      <w:r>
        <w:rPr>
          <w:caps w:val="0"/>
        </w:rPr>
        <w:t>Washington, D.C. 20554</w:t>
      </w:r>
    </w:p>
    <w:p w:rsidR="004C2EE3" w:rsidP="0070224F" w14:paraId="7BCC64A1" w14:textId="77777777"/>
    <w:p w:rsidR="004C2EE3" w:rsidP="0070224F" w14:paraId="6B3D68ED" w14:textId="77777777"/>
    <w:tbl>
      <w:tblPr>
        <w:tblW w:w="0" w:type="auto"/>
        <w:tblLayout w:type="fixed"/>
        <w:tblLook w:val="0000"/>
      </w:tblPr>
      <w:tblGrid>
        <w:gridCol w:w="4698"/>
        <w:gridCol w:w="630"/>
        <w:gridCol w:w="4248"/>
      </w:tblGrid>
      <w:tr w14:paraId="2E6AAB64" w14:textId="77777777">
        <w:tblPrEx>
          <w:tblW w:w="0" w:type="auto"/>
          <w:tblLayout w:type="fixed"/>
          <w:tblLook w:val="0000"/>
        </w:tblPrEx>
        <w:tc>
          <w:tcPr>
            <w:tcW w:w="4698" w:type="dxa"/>
          </w:tcPr>
          <w:p w:rsidR="004C2EE3" w14:paraId="2DEF306E" w14:textId="77777777">
            <w:pPr>
              <w:tabs>
                <w:tab w:val="center" w:pos="4680"/>
              </w:tabs>
              <w:suppressAutoHyphens/>
              <w:rPr>
                <w:spacing w:val="-2"/>
              </w:rPr>
            </w:pPr>
            <w:r>
              <w:rPr>
                <w:spacing w:val="-2"/>
              </w:rPr>
              <w:t>In the Matter of</w:t>
            </w:r>
          </w:p>
          <w:p w:rsidR="004C2EE3" w14:paraId="4C21A7D4" w14:textId="77777777">
            <w:pPr>
              <w:tabs>
                <w:tab w:val="center" w:pos="4680"/>
              </w:tabs>
              <w:suppressAutoHyphens/>
              <w:rPr>
                <w:spacing w:val="-2"/>
              </w:rPr>
            </w:pPr>
          </w:p>
          <w:p w:rsidR="004C2EE3" w:rsidRPr="007115F7" w:rsidP="00900FC7" w14:paraId="42304EE0" w14:textId="77287D89">
            <w:pPr>
              <w:tabs>
                <w:tab w:val="center" w:pos="4680"/>
              </w:tabs>
              <w:suppressAutoHyphens/>
              <w:rPr>
                <w:spacing w:val="-2"/>
              </w:rPr>
            </w:pPr>
            <w:r w:rsidRPr="00900FC7">
              <w:rPr>
                <w:spacing w:val="-2"/>
              </w:rPr>
              <w:t>AURA Network Systems OpCo, LLC and</w:t>
            </w:r>
            <w:r>
              <w:rPr>
                <w:spacing w:val="-2"/>
              </w:rPr>
              <w:t xml:space="preserve"> </w:t>
            </w:r>
            <w:r w:rsidRPr="00900FC7">
              <w:rPr>
                <w:spacing w:val="-2"/>
              </w:rPr>
              <w:t>A2G Communications, LLC</w:t>
            </w:r>
            <w:r>
              <w:rPr>
                <w:spacing w:val="-2"/>
              </w:rPr>
              <w:t xml:space="preserve"> </w:t>
            </w:r>
            <w:r w:rsidRPr="00900FC7">
              <w:rPr>
                <w:spacing w:val="-2"/>
              </w:rPr>
              <w:t>Request for Waiver</w:t>
            </w:r>
          </w:p>
        </w:tc>
        <w:tc>
          <w:tcPr>
            <w:tcW w:w="630" w:type="dxa"/>
          </w:tcPr>
          <w:p w:rsidR="004C2EE3" w14:paraId="524EBF91" w14:textId="77777777">
            <w:pPr>
              <w:tabs>
                <w:tab w:val="center" w:pos="4680"/>
              </w:tabs>
              <w:suppressAutoHyphens/>
              <w:rPr>
                <w:b/>
                <w:spacing w:val="-2"/>
              </w:rPr>
            </w:pPr>
            <w:r>
              <w:rPr>
                <w:b/>
                <w:spacing w:val="-2"/>
              </w:rPr>
              <w:t>)</w:t>
            </w:r>
          </w:p>
          <w:p w:rsidR="004C2EE3" w14:paraId="3217EF80" w14:textId="77777777">
            <w:pPr>
              <w:tabs>
                <w:tab w:val="center" w:pos="4680"/>
              </w:tabs>
              <w:suppressAutoHyphens/>
              <w:rPr>
                <w:b/>
                <w:spacing w:val="-2"/>
              </w:rPr>
            </w:pPr>
            <w:r>
              <w:rPr>
                <w:b/>
                <w:spacing w:val="-2"/>
              </w:rPr>
              <w:t>)</w:t>
            </w:r>
          </w:p>
          <w:p w:rsidR="004C2EE3" w14:paraId="5B4BC276" w14:textId="77777777">
            <w:pPr>
              <w:tabs>
                <w:tab w:val="center" w:pos="4680"/>
              </w:tabs>
              <w:suppressAutoHyphens/>
              <w:rPr>
                <w:b/>
                <w:spacing w:val="-2"/>
              </w:rPr>
            </w:pPr>
            <w:r>
              <w:rPr>
                <w:b/>
                <w:spacing w:val="-2"/>
              </w:rPr>
              <w:t>)</w:t>
            </w:r>
          </w:p>
          <w:p w:rsidR="004C2EE3" w14:paraId="5F2D23AF" w14:textId="77777777">
            <w:pPr>
              <w:tabs>
                <w:tab w:val="center" w:pos="4680"/>
              </w:tabs>
              <w:suppressAutoHyphens/>
              <w:rPr>
                <w:b/>
                <w:spacing w:val="-2"/>
              </w:rPr>
            </w:pPr>
            <w:r>
              <w:rPr>
                <w:b/>
                <w:spacing w:val="-2"/>
              </w:rPr>
              <w:t>)</w:t>
            </w:r>
          </w:p>
          <w:p w:rsidR="004C2EE3" w14:paraId="61BED055" w14:textId="77777777">
            <w:pPr>
              <w:tabs>
                <w:tab w:val="center" w:pos="4680"/>
              </w:tabs>
              <w:suppressAutoHyphens/>
              <w:rPr>
                <w:spacing w:val="-2"/>
              </w:rPr>
            </w:pPr>
            <w:r>
              <w:rPr>
                <w:b/>
                <w:spacing w:val="-2"/>
              </w:rPr>
              <w:t>)</w:t>
            </w:r>
          </w:p>
        </w:tc>
        <w:tc>
          <w:tcPr>
            <w:tcW w:w="4248" w:type="dxa"/>
          </w:tcPr>
          <w:p w:rsidR="004C2EE3" w14:paraId="704B2BF6" w14:textId="77777777">
            <w:pPr>
              <w:tabs>
                <w:tab w:val="center" w:pos="4680"/>
              </w:tabs>
              <w:suppressAutoHyphens/>
              <w:rPr>
                <w:spacing w:val="-2"/>
              </w:rPr>
            </w:pPr>
          </w:p>
          <w:p w:rsidR="004C2EE3" w14:paraId="0EE26977" w14:textId="77777777">
            <w:pPr>
              <w:pStyle w:val="TOAHeading"/>
              <w:tabs>
                <w:tab w:val="center" w:pos="4680"/>
                <w:tab w:val="clear" w:pos="9360"/>
              </w:tabs>
              <w:rPr>
                <w:spacing w:val="-2"/>
              </w:rPr>
            </w:pPr>
          </w:p>
          <w:p w:rsidR="004C2EE3" w14:paraId="1EF4BFB1" w14:textId="03458019">
            <w:pPr>
              <w:tabs>
                <w:tab w:val="center" w:pos="4680"/>
              </w:tabs>
              <w:suppressAutoHyphens/>
              <w:rPr>
                <w:spacing w:val="-2"/>
              </w:rPr>
            </w:pPr>
            <w:r>
              <w:rPr>
                <w:spacing w:val="-2"/>
              </w:rPr>
              <w:t>WT Docket No. 20-185</w:t>
            </w:r>
          </w:p>
        </w:tc>
      </w:tr>
    </w:tbl>
    <w:p w:rsidR="004C2EE3" w:rsidP="0070224F" w14:paraId="4D3DD6BF" w14:textId="77777777"/>
    <w:p w:rsidR="00841AB1" w:rsidP="00F021FA" w14:paraId="586438CC" w14:textId="7E0C44ED">
      <w:pPr>
        <w:pStyle w:val="StyleBoldCentered"/>
      </w:pPr>
      <w:r>
        <w:t>ORDER</w:t>
      </w:r>
    </w:p>
    <w:p w:rsidR="004C2EE3" w14:paraId="17E3DB07" w14:textId="77777777">
      <w:pPr>
        <w:tabs>
          <w:tab w:val="left" w:pos="-720"/>
        </w:tabs>
        <w:suppressAutoHyphens/>
        <w:spacing w:line="227" w:lineRule="auto"/>
        <w:rPr>
          <w:spacing w:val="-2"/>
        </w:rPr>
      </w:pPr>
    </w:p>
    <w:p w:rsidR="004C2EE3" w:rsidP="00133F79" w14:paraId="1B566B1F" w14:textId="77DCEFB4">
      <w:pPr>
        <w:tabs>
          <w:tab w:val="left" w:pos="720"/>
          <w:tab w:val="right" w:pos="9360"/>
        </w:tabs>
        <w:suppressAutoHyphens/>
        <w:spacing w:line="227" w:lineRule="auto"/>
        <w:rPr>
          <w:b/>
          <w:spacing w:val="-2"/>
        </w:rPr>
      </w:pPr>
      <w:r>
        <w:rPr>
          <w:b/>
          <w:spacing w:val="-2"/>
        </w:rPr>
        <w:t xml:space="preserve">Adopted:  </w:t>
      </w:r>
      <w:r w:rsidR="009C1AB9">
        <w:rPr>
          <w:b/>
          <w:spacing w:val="-2"/>
        </w:rPr>
        <w:t>January 14,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C1AB9">
        <w:rPr>
          <w:b/>
          <w:spacing w:val="-2"/>
        </w:rPr>
        <w:t>January 14, 2021</w:t>
      </w:r>
    </w:p>
    <w:p w:rsidR="00EA0D30" w:rsidP="00133F79" w14:paraId="06C18327" w14:textId="48D11F32">
      <w:pPr>
        <w:tabs>
          <w:tab w:val="left" w:pos="720"/>
          <w:tab w:val="right" w:pos="9360"/>
        </w:tabs>
        <w:suppressAutoHyphens/>
        <w:spacing w:line="227" w:lineRule="auto"/>
        <w:rPr>
          <w:b/>
          <w:spacing w:val="-2"/>
        </w:rPr>
      </w:pPr>
    </w:p>
    <w:p w:rsidR="00822CE0" w14:paraId="5D5833FD" w14:textId="20D690A5">
      <w:r>
        <w:t xml:space="preserve">By the </w:t>
      </w:r>
      <w:r w:rsidR="008D17D5">
        <w:t xml:space="preserve">Mobility Division, </w:t>
      </w:r>
      <w:r>
        <w:t>Wireless Telecommunications Bureau:</w:t>
      </w:r>
    </w:p>
    <w:p w:rsidR="00822CE0" w:rsidP="00004C2C" w14:paraId="7E812ABB" w14:textId="5DF8A223">
      <w:pPr>
        <w:pStyle w:val="TOCTitle"/>
      </w:pPr>
      <w:bookmarkStart w:id="1" w:name="TOChere"/>
      <w:r>
        <w:t>Table of Contents</w:t>
      </w:r>
    </w:p>
    <w:p w:rsidR="00004C2C" w:rsidP="00004C2C" w14:paraId="2670F242" w14:textId="425E1927">
      <w:pPr>
        <w:pStyle w:val="Paratitle"/>
      </w:pPr>
      <w:r>
        <w:t>Heading</w:t>
      </w:r>
      <w:r>
        <w:tab/>
        <w:t>Paragraph #</w:t>
      </w:r>
      <w:bookmarkStart w:id="2" w:name="start_here"/>
      <w:bookmarkEnd w:id="2"/>
    </w:p>
    <w:p w:rsidR="00004C2C" w:rsidP="00004C2C" w14:paraId="1E27433D" w14:textId="4DFC72D7">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004C2C" w:rsidP="00004C2C" w14:paraId="634B469C" w14:textId="4541C218">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004C2C" w:rsidP="00004C2C" w14:paraId="59E0CB80" w14:textId="74187234">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9</w:t>
      </w:r>
    </w:p>
    <w:p w:rsidR="00004C2C" w:rsidP="00004C2C" w14:paraId="1FEBDEDE" w14:textId="167315C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Waivers of rules requiring provision of general aviation air-ground service.</w:t>
      </w:r>
      <w:r>
        <w:tab/>
        <w:t>14</w:t>
      </w:r>
    </w:p>
    <w:p w:rsidR="00004C2C" w:rsidP="00004C2C" w14:paraId="36D1BDAB" w14:textId="09279F7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Waiver of channel policies.</w:t>
      </w:r>
      <w:r>
        <w:tab/>
        <w:t>18</w:t>
      </w:r>
    </w:p>
    <w:p w:rsidR="00004C2C" w:rsidP="00004C2C" w14:paraId="27662CDA" w14:textId="6B06AE6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Process and Conditions for Implementing the Waiver</w:t>
      </w:r>
      <w:r>
        <w:tab/>
        <w:t>24</w:t>
      </w:r>
    </w:p>
    <w:p w:rsidR="00004C2C" w:rsidP="00004C2C" w14:paraId="15D377F9" w14:textId="79B8FE34">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ORDERING CLAUSES</w:t>
      </w:r>
      <w:r>
        <w:tab/>
        <w:t>33</w:t>
      </w:r>
    </w:p>
    <w:bookmarkEnd w:id="1"/>
    <w:p w:rsidR="00004C2C" w14:paraId="13051153" w14:textId="77777777">
      <w:pPr>
        <w:rPr>
          <w:spacing w:val="-2"/>
        </w:rPr>
      </w:pPr>
    </w:p>
    <w:p w:rsidR="00412FC5" w:rsidP="00C36B4C" w14:paraId="3C515027" w14:textId="271BA2C4">
      <w:pPr>
        <w:pStyle w:val="Heading1"/>
      </w:pPr>
      <w:bookmarkStart w:id="3" w:name="_Toc58853842"/>
      <w:bookmarkStart w:id="4" w:name="_Toc58853895"/>
      <w:bookmarkStart w:id="5" w:name="_Toc61528487"/>
      <w:r>
        <w:t>INTRODUCTION</w:t>
      </w:r>
      <w:bookmarkEnd w:id="3"/>
      <w:bookmarkEnd w:id="4"/>
      <w:bookmarkEnd w:id="5"/>
    </w:p>
    <w:p w:rsidR="00EE43D2" w:rsidP="00656E75" w14:paraId="392F35F0" w14:textId="053029D4">
      <w:pPr>
        <w:pStyle w:val="ParaNum"/>
        <w:widowControl/>
        <w:tabs>
          <w:tab w:val="clear" w:pos="1080"/>
          <w:tab w:val="num" w:pos="1440"/>
        </w:tabs>
      </w:pPr>
      <w:r>
        <w:t>This Order grants a request for waiver</w:t>
      </w:r>
      <w:r w:rsidR="00053829">
        <w:t xml:space="preserve"> jointly filed by </w:t>
      </w:r>
      <w:r w:rsidRPr="00656E75" w:rsidR="00053829">
        <w:rPr>
          <w:spacing w:val="-2"/>
        </w:rPr>
        <w:t>AURA Network Systems OpCo, LLC (AURA)</w:t>
      </w:r>
      <w:r w:rsidRPr="00DA4025" w:rsidR="00053829">
        <w:rPr>
          <w:spacing w:val="-2"/>
        </w:rPr>
        <w:t xml:space="preserve"> and</w:t>
      </w:r>
      <w:r w:rsidRPr="00656E75" w:rsidR="00053829">
        <w:rPr>
          <w:spacing w:val="-2"/>
        </w:rPr>
        <w:t xml:space="preserve"> A2G Communications, LLC (A2G) (</w:t>
      </w:r>
      <w:r w:rsidR="00053829">
        <w:t>collectively, Petitioners),</w:t>
      </w:r>
      <w:r>
        <w:rPr>
          <w:rStyle w:val="FootnoteReference"/>
        </w:rPr>
        <w:footnoteReference w:id="3"/>
      </w:r>
      <w:r w:rsidR="00053829">
        <w:t xml:space="preserve"> seeking waiver</w:t>
      </w:r>
      <w:r>
        <w:t xml:space="preserve"> of </w:t>
      </w:r>
      <w:r w:rsidR="00053829">
        <w:t>three</w:t>
      </w:r>
      <w:r w:rsidR="00410C42">
        <w:t xml:space="preserve"> </w:t>
      </w:r>
      <w:r>
        <w:t>of the Commission’s rules governing the general aviation air-ground radiotelephone service</w:t>
      </w:r>
      <w:r w:rsidR="00410C42">
        <w:t>.</w:t>
      </w:r>
      <w:r>
        <w:rPr>
          <w:rStyle w:val="FootnoteReference"/>
        </w:rPr>
        <w:footnoteReference w:id="4"/>
      </w:r>
      <w:r w:rsidR="00656E75">
        <w:t xml:space="preserve"> </w:t>
      </w:r>
      <w:r>
        <w:t xml:space="preserve"> </w:t>
      </w:r>
      <w:r w:rsidRPr="006B2905" w:rsidR="00410C42">
        <w:t xml:space="preserve">Petitioners request </w:t>
      </w:r>
      <w:r w:rsidR="00410C42">
        <w:t>waiver relief</w:t>
      </w:r>
      <w:r w:rsidRPr="006B2905" w:rsidR="00410C42">
        <w:t xml:space="preserve"> to allow them to provide additional, non-general aviation air-ground radiotelephone services, such as service to unmanned aircraft systems (UAS), over their existing network</w:t>
      </w:r>
      <w:r w:rsidR="00410C42">
        <w:t>.</w:t>
      </w:r>
      <w:r w:rsidRPr="006B2905" w:rsidR="00410C42">
        <w:t xml:space="preserve"> </w:t>
      </w:r>
      <w:r w:rsidR="00410C42">
        <w:t xml:space="preserve"> </w:t>
      </w:r>
      <w:r w:rsidR="00AA42BD">
        <w:t>W</w:t>
      </w:r>
      <w:r w:rsidRPr="006B2905" w:rsidR="00410C42">
        <w:t>e grant Petitioners’ Waiver Request to the extent described herein,</w:t>
      </w:r>
      <w:r w:rsidR="00410C42">
        <w:t xml:space="preserve"> and </w:t>
      </w:r>
      <w:r w:rsidR="0017329E">
        <w:t xml:space="preserve">we </w:t>
      </w:r>
      <w:r w:rsidR="00410C42">
        <w:t>waive additional rules on</w:t>
      </w:r>
      <w:r w:rsidR="00AA42BD">
        <w:t xml:space="preserve"> our</w:t>
      </w:r>
      <w:r w:rsidR="00410C42">
        <w:t xml:space="preserve"> own motion</w:t>
      </w:r>
      <w:r w:rsidR="00413B0B">
        <w:t xml:space="preserve"> to enable Petitioners </w:t>
      </w:r>
      <w:r w:rsidR="008D17D5">
        <w:t>to provide these additional service offerings</w:t>
      </w:r>
      <w:r w:rsidR="00410C42">
        <w:t>.</w:t>
      </w:r>
      <w:r>
        <w:rPr>
          <w:rStyle w:val="FootnoteReference"/>
        </w:rPr>
        <w:footnoteReference w:id="5"/>
      </w:r>
      <w:r w:rsidR="00410C42">
        <w:t xml:space="preserve">  The relief granted is subject to Petitioners</w:t>
      </w:r>
      <w:r w:rsidR="0034433D">
        <w:t>’</w:t>
      </w:r>
      <w:r w:rsidR="00410C42">
        <w:t xml:space="preserve"> meeting certain specified conditions, including a requirement </w:t>
      </w:r>
      <w:r w:rsidR="0034433D">
        <w:t xml:space="preserve">that they </w:t>
      </w:r>
      <w:r w:rsidR="00410C42">
        <w:t>file a petition for rulemaking seeking rule changes for more flexible use of this band.</w:t>
      </w:r>
    </w:p>
    <w:p w:rsidR="00900FC7" w:rsidP="00900FC7" w14:paraId="08E8D30B" w14:textId="36A07D7D">
      <w:pPr>
        <w:pStyle w:val="Heading1"/>
      </w:pPr>
      <w:bookmarkStart w:id="6" w:name="_Toc58853843"/>
      <w:bookmarkStart w:id="7" w:name="_Toc58853896"/>
      <w:bookmarkStart w:id="8" w:name="_Toc61528488"/>
      <w:r>
        <w:t>BACKGROUND</w:t>
      </w:r>
      <w:bookmarkEnd w:id="6"/>
      <w:bookmarkEnd w:id="7"/>
      <w:bookmarkEnd w:id="8"/>
    </w:p>
    <w:p w:rsidR="008A4B6B" w:rsidP="008A4B6B" w14:paraId="68C707A6" w14:textId="145C9903">
      <w:pPr>
        <w:pStyle w:val="ParaNum"/>
        <w:widowControl/>
        <w:tabs>
          <w:tab w:val="clear" w:pos="1080"/>
          <w:tab w:val="num" w:pos="1440"/>
        </w:tabs>
      </w:pPr>
      <w:r>
        <w:t>The Commission has allocated 12 communication channel pairs in the 454.700-454.975 MHz and 459.700-459.975 MHz bands for general aviation air-ground use</w:t>
      </w:r>
      <w:r w:rsidR="00DC1FBB">
        <w:t xml:space="preserve"> (450 MHz band)</w:t>
      </w:r>
      <w:r>
        <w:t>.</w:t>
      </w:r>
      <w:r w:rsidR="0010435C">
        <w:t xml:space="preserve">  The </w:t>
      </w:r>
      <w:r w:rsidR="0012587F">
        <w:t xml:space="preserve">twelve </w:t>
      </w:r>
      <w:r w:rsidR="00074DE9">
        <w:t xml:space="preserve">20 </w:t>
      </w:r>
      <w:r w:rsidR="0010435C">
        <w:t xml:space="preserve">kilohertz-wide communication channel pairs, along with a signaling channel pair, provide </w:t>
      </w:r>
      <w:r w:rsidR="00074DE9">
        <w:t xml:space="preserve">520 </w:t>
      </w:r>
      <w:r w:rsidR="0010435C">
        <w:t>kilohertz of</w:t>
      </w:r>
      <w:r w:rsidR="00A620CB">
        <w:t xml:space="preserve"> spectrum for such use.</w:t>
      </w:r>
      <w:r>
        <w:rPr>
          <w:rStyle w:val="FootnoteReference"/>
        </w:rPr>
        <w:footnoteReference w:id="6"/>
      </w:r>
      <w:r>
        <w:t xml:space="preserve">  The Commission’s Universal Licensing System (ULS) database shows that, as of </w:t>
      </w:r>
      <w:r w:rsidR="005F71C9">
        <w:t xml:space="preserve">January </w:t>
      </w:r>
      <w:r w:rsidR="001A162B">
        <w:t>14</w:t>
      </w:r>
      <w:r>
        <w:t>, 202</w:t>
      </w:r>
      <w:r w:rsidR="005F71C9">
        <w:t>1</w:t>
      </w:r>
      <w:r>
        <w:t xml:space="preserve">, there </w:t>
      </w:r>
      <w:r w:rsidR="00120146">
        <w:t xml:space="preserve">were </w:t>
      </w:r>
      <w:r w:rsidR="00812028">
        <w:t>50</w:t>
      </w:r>
      <w:r>
        <w:t xml:space="preserve"> active general aviation air-ground licenses/call signs, all of which are held </w:t>
      </w:r>
      <w:r w:rsidR="00E53CCE">
        <w:t xml:space="preserve">or controlled </w:t>
      </w:r>
      <w:r>
        <w:t>by Petitioners.</w:t>
      </w:r>
      <w:r w:rsidR="00A04054">
        <w:t xml:space="preserve">  </w:t>
      </w:r>
      <w:r w:rsidR="00DC1FBB">
        <w:t xml:space="preserve">A2G is the licensee of </w:t>
      </w:r>
      <w:r w:rsidR="00812028">
        <w:t>49</w:t>
      </w:r>
      <w:r w:rsidR="00DC1FBB">
        <w:t xml:space="preserve"> general aviation air-ground licenses, all of which are leased to AURA, and one additional license is held by an officer of AURA.</w:t>
      </w:r>
      <w:r>
        <w:rPr>
          <w:rStyle w:val="FootnoteReference"/>
        </w:rPr>
        <w:footnoteReference w:id="7"/>
      </w:r>
      <w:r w:rsidR="00DC1FBB">
        <w:t xml:space="preserve">  Petitioners are therefore the only incumbent licensees</w:t>
      </w:r>
      <w:r w:rsidR="00120146">
        <w:t>,</w:t>
      </w:r>
      <w:r w:rsidR="00DC1FBB">
        <w:t xml:space="preserve"> and AURA is the only operator in the 450 MHz general aviation air-ground band.</w:t>
      </w:r>
    </w:p>
    <w:p w:rsidR="00DC1FBB" w:rsidP="008A4B6B" w14:paraId="168375B8" w14:textId="469274C5">
      <w:pPr>
        <w:pStyle w:val="ParaNum"/>
        <w:widowControl/>
        <w:tabs>
          <w:tab w:val="clear" w:pos="1080"/>
          <w:tab w:val="num" w:pos="1440"/>
        </w:tabs>
      </w:pPr>
      <w:r>
        <w:t xml:space="preserve">In 2010, the Mobility Division (Division) of the Wireless Telecommunications Bureau </w:t>
      </w:r>
      <w:r w:rsidR="008E64B1">
        <w:t xml:space="preserve">(Bureau) </w:t>
      </w:r>
      <w:r>
        <w:t>granted a waiver of various part 22 rules to Petitioners’ predecessor entities</w:t>
      </w:r>
      <w:r w:rsidR="00120146">
        <w:t>, which</w:t>
      </w:r>
      <w:r>
        <w:t xml:space="preserve"> enabl</w:t>
      </w:r>
      <w:r w:rsidR="00120146">
        <w:t>ed</w:t>
      </w:r>
      <w:r>
        <w:t xml:space="preserve"> them to upgrade their Air-Ground Radiotelephone Automated Service (AGRAS)-based facilities and to fill in their existing networks.</w:t>
      </w:r>
      <w:r>
        <w:rPr>
          <w:rStyle w:val="FootnoteReference"/>
        </w:rPr>
        <w:footnoteReference w:id="8"/>
      </w:r>
      <w:r w:rsidR="00647C33">
        <w:t xml:space="preserve">  Specifically, the Division waived: (1) </w:t>
      </w:r>
      <w:r w:rsidR="00E53CCE">
        <w:t>the</w:t>
      </w:r>
      <w:r w:rsidR="007447B5">
        <w:t xml:space="preserve"> distance separation requirement for ground transmitters operating on the same channel; (2) </w:t>
      </w:r>
      <w:r w:rsidR="00E53CCE">
        <w:t>a</w:t>
      </w:r>
      <w:r w:rsidR="007447B5">
        <w:t xml:space="preserve"> limitation of six channel pair assignments within a 320 kilometer (199 mile) radius; (3) the construction requirement; and (4) </w:t>
      </w:r>
      <w:r w:rsidR="00E53CCE">
        <w:t>a</w:t>
      </w:r>
      <w:r w:rsidR="007447B5">
        <w:t xml:space="preserve"> channel assignment polic</w:t>
      </w:r>
      <w:r w:rsidR="00E53CCE">
        <w:t>y</w:t>
      </w:r>
      <w:r w:rsidR="007447B5">
        <w:t xml:space="preserve"> limit</w:t>
      </w:r>
      <w:r w:rsidR="00E53CCE">
        <w:t>ing</w:t>
      </w:r>
      <w:r w:rsidR="007447B5">
        <w:t xml:space="preserve"> assignment of one channel in an area to a given carrier per application cycle, up to a maximum of 6 channels per carrier within the same area.</w:t>
      </w:r>
      <w:r>
        <w:rPr>
          <w:rStyle w:val="FootnoteReference"/>
        </w:rPr>
        <w:footnoteReference w:id="9"/>
      </w:r>
      <w:r w:rsidR="00DE6DE9">
        <w:t xml:space="preserve">  The Division found that, because Petitioners’ predecessor entities held nearly all the active licenses in the band at the time, and in light of the </w:t>
      </w:r>
      <w:r w:rsidR="00812028">
        <w:t>outdated</w:t>
      </w:r>
      <w:r w:rsidR="00DE6DE9">
        <w:t xml:space="preserve"> and declining state of AGRAS-based service offerings, the unavailability of equipment, and the policies underlying the rules at issue, the public interest, convenience, and necessity would be served by granting limited waiver relief in order to</w:t>
      </w:r>
      <w:r w:rsidR="001F5A5C">
        <w:t xml:space="preserve"> enable modernization of networks and more efficient use of the general aviation air-ground spectrum.</w:t>
      </w:r>
      <w:r>
        <w:rPr>
          <w:rStyle w:val="FootnoteReference"/>
        </w:rPr>
        <w:footnoteReference w:id="10"/>
      </w:r>
    </w:p>
    <w:p w:rsidR="001F5A5C" w:rsidP="008A4B6B" w14:paraId="2ED48804" w14:textId="518C35E6">
      <w:pPr>
        <w:pStyle w:val="ParaNum"/>
        <w:widowControl/>
        <w:tabs>
          <w:tab w:val="clear" w:pos="1080"/>
          <w:tab w:val="num" w:pos="1440"/>
        </w:tabs>
      </w:pPr>
      <w:r>
        <w:t xml:space="preserve">Since the </w:t>
      </w:r>
      <w:r>
        <w:rPr>
          <w:i/>
          <w:iCs/>
        </w:rPr>
        <w:t>2010 Order</w:t>
      </w:r>
      <w:r>
        <w:t xml:space="preserve">, Petitioners have constructed a nationwide network providing general aviation air-to-ground services from </w:t>
      </w:r>
      <w:r w:rsidRPr="00AD132B">
        <w:t>52</w:t>
      </w:r>
      <w:r>
        <w:t xml:space="preserve"> sites across the United States and its territories.  </w:t>
      </w:r>
      <w:r w:rsidR="0046475C">
        <w:t xml:space="preserve">As </w:t>
      </w:r>
      <w:r w:rsidR="008140C5">
        <w:t xml:space="preserve">the </w:t>
      </w:r>
      <w:r w:rsidR="0012587F">
        <w:t>Division</w:t>
      </w:r>
      <w:r w:rsidR="008140C5">
        <w:t xml:space="preserve"> </w:t>
      </w:r>
      <w:r w:rsidR="0046475C">
        <w:t xml:space="preserve">recognized previously, the distance separation and channel assignment policies contained in the Commission’s rules for this band </w:t>
      </w:r>
      <w:r w:rsidR="008140C5">
        <w:t xml:space="preserve">effectively </w:t>
      </w:r>
      <w:r w:rsidR="0046475C">
        <w:t xml:space="preserve">prohibit any other parties from receiving a license, </w:t>
      </w:r>
      <w:r w:rsidR="008140C5">
        <w:t xml:space="preserve">which, in </w:t>
      </w:r>
      <w:r w:rsidR="008140C5">
        <w:t xml:space="preserve">turn, gives </w:t>
      </w:r>
      <w:r w:rsidR="0046475C">
        <w:t xml:space="preserve">Petitioners exclusive </w:t>
      </w:r>
      <w:r w:rsidR="00042CB4">
        <w:t>use of the band nationwide</w:t>
      </w:r>
      <w:r w:rsidR="0046475C">
        <w:t>.</w:t>
      </w:r>
      <w:r>
        <w:rPr>
          <w:rStyle w:val="FootnoteReference"/>
        </w:rPr>
        <w:footnoteReference w:id="11"/>
      </w:r>
      <w:r w:rsidR="0046475C">
        <w:t xml:space="preserve">  </w:t>
      </w:r>
      <w:r w:rsidR="00DE7DE0">
        <w:t xml:space="preserve">Petitioners now seek waiver of certain part 22 rules to enable </w:t>
      </w:r>
      <w:r w:rsidR="00BE2ED6">
        <w:t xml:space="preserve">AURA </w:t>
      </w:r>
      <w:r w:rsidR="00DE7DE0">
        <w:t xml:space="preserve">to </w:t>
      </w:r>
      <w:r w:rsidR="00E960CB">
        <w:t xml:space="preserve">better manage its existing network and to </w:t>
      </w:r>
      <w:r w:rsidR="00DE7DE0">
        <w:t>provide additional services, such as service to public safety, commercial, and large UAS for beyond visual line of sight and other expanded operations.</w:t>
      </w:r>
      <w:r>
        <w:rPr>
          <w:rStyle w:val="FootnoteReference"/>
        </w:rPr>
        <w:footnoteReference w:id="12"/>
      </w:r>
      <w:r w:rsidR="00DE7DE0">
        <w:t xml:space="preserve">  Petitioners argue that the 450 MHz general aviation air-ground band’s propagation characteristics, bandwidth, and lack of other incumbents “make it perfectly suited for command and control and non-payload” communications.</w:t>
      </w:r>
      <w:r>
        <w:rPr>
          <w:rStyle w:val="FootnoteReference"/>
        </w:rPr>
        <w:footnoteReference w:id="13"/>
      </w:r>
    </w:p>
    <w:p w:rsidR="0046475C" w:rsidP="00BA7592" w14:paraId="778D68DC" w14:textId="49812C14">
      <w:pPr>
        <w:pStyle w:val="ParaNum"/>
        <w:widowControl/>
        <w:tabs>
          <w:tab w:val="clear" w:pos="1080"/>
          <w:tab w:val="num" w:pos="1440"/>
        </w:tabs>
      </w:pPr>
      <w:r>
        <w:t xml:space="preserve">Petitioners seek waiver of section 22.805 of the Commission’s rules to enable </w:t>
      </w:r>
      <w:r w:rsidR="00BE2ED6">
        <w:t>AURA</w:t>
      </w:r>
      <w:r w:rsidR="00306CF5">
        <w:t xml:space="preserve"> </w:t>
      </w:r>
      <w:r>
        <w:t xml:space="preserve">to provide additional services beyond traditional general aviation air-ground radiotelephone services.  Section 22.805 </w:t>
      </w:r>
      <w:r w:rsidR="0012587F">
        <w:t xml:space="preserve">provides </w:t>
      </w:r>
      <w:r w:rsidR="00ED422F">
        <w:t>that</w:t>
      </w:r>
      <w:r>
        <w:t xml:space="preserve"> the channel</w:t>
      </w:r>
      <w:r w:rsidR="00C744AC">
        <w:t xml:space="preserve"> pair</w:t>
      </w:r>
      <w:r>
        <w:t xml:space="preserve">s </w:t>
      </w:r>
      <w:r w:rsidR="00C744AC">
        <w:t xml:space="preserve">in the </w:t>
      </w:r>
      <w:r>
        <w:t>45</w:t>
      </w:r>
      <w:r w:rsidR="00C744AC">
        <w:t>0 MHz band</w:t>
      </w:r>
      <w:r>
        <w:t xml:space="preserve"> </w:t>
      </w:r>
      <w:r w:rsidR="00ED422F">
        <w:t>are allocated “for the provision of radiotelephone service to airborne mobile subscribers in general aviation aircraft.”</w:t>
      </w:r>
      <w:r>
        <w:rPr>
          <w:rStyle w:val="FootnoteReference"/>
        </w:rPr>
        <w:footnoteReference w:id="14"/>
      </w:r>
      <w:r w:rsidR="00ED422F">
        <w:t xml:space="preserve">  Petitioners seek waiver of two elements of this rule: (1) the requirement </w:t>
      </w:r>
      <w:r w:rsidR="008140C5">
        <w:t>that the licensee</w:t>
      </w:r>
      <w:r w:rsidR="00ED422F">
        <w:t xml:space="preserve"> provide “radiotelephone service,” which is defined as the transmission of sound from one place to another by means of radio;</w:t>
      </w:r>
      <w:r>
        <w:rPr>
          <w:rStyle w:val="FootnoteReference"/>
        </w:rPr>
        <w:footnoteReference w:id="15"/>
      </w:r>
      <w:r w:rsidR="00ED422F">
        <w:t xml:space="preserve"> and (2) the requirement that operators transmit communications to “airborne mobile subscribers in general aviation aircraft.”</w:t>
      </w:r>
      <w:r>
        <w:rPr>
          <w:rStyle w:val="FootnoteReference"/>
        </w:rPr>
        <w:footnoteReference w:id="16"/>
      </w:r>
      <w:r w:rsidR="00ED422F">
        <w:t xml:space="preserve">  Petitioners seek waiver of both of these elements so that they </w:t>
      </w:r>
      <w:r w:rsidR="008140C5">
        <w:t xml:space="preserve">also </w:t>
      </w:r>
      <w:r w:rsidR="00ED422F">
        <w:t>may provide data services to a broader range of aviation subscribers, not just airborne general aviation subscribers.  Petitioners argue that such relief “would allow AURA to offer service expeditiously to the broadest base of aviation subscribers</w:t>
      </w:r>
      <w:r w:rsidR="0039716C">
        <w:t xml:space="preserve"> possible,” including UAS operators, Urban Air Mobility operators, High-Altitude Long Endurance operators, and public aircraft operators.</w:t>
      </w:r>
      <w:r>
        <w:rPr>
          <w:rStyle w:val="FootnoteReference"/>
        </w:rPr>
        <w:footnoteReference w:id="17"/>
      </w:r>
    </w:p>
    <w:p w:rsidR="0039716C" w:rsidP="00BA7592" w14:paraId="79C2E78D" w14:textId="3553E1AE">
      <w:pPr>
        <w:pStyle w:val="ParaNum"/>
        <w:widowControl/>
        <w:tabs>
          <w:tab w:val="clear" w:pos="1080"/>
          <w:tab w:val="num" w:pos="1440"/>
        </w:tabs>
      </w:pPr>
      <w:r>
        <w:t>Petitioners further seek waiver of section 22.809’s minimum transmitting power requirements in order to support operation of its new services.  Section 22.809 establishes a 50-watt minimum effective radiated power requirement for ground station transmitters and a 4-watt minimum transmitter power output requirement for airborne mobile transmitters.</w:t>
      </w:r>
      <w:r>
        <w:rPr>
          <w:rStyle w:val="FootnoteReference"/>
        </w:rPr>
        <w:footnoteReference w:id="18"/>
      </w:r>
      <w:r>
        <w:t xml:space="preserve">  Petitioners state that advancements in technology “have rendered these minimum power requirements unnecessary,” and that modern digital technologies feature dynamic power controls that provide required quality of service at lower power levels.</w:t>
      </w:r>
      <w:r>
        <w:rPr>
          <w:rStyle w:val="FootnoteReference"/>
        </w:rPr>
        <w:footnoteReference w:id="19"/>
      </w:r>
      <w:r>
        <w:t xml:space="preserve">  Petitioners argue that strict application of section 22.809 would therefore limit “the number of subscribers that can be served by the system and </w:t>
      </w:r>
      <w:r w:rsidRPr="0039716C">
        <w:t>would prevent the network from achieving the full benefits of the digital technology</w:t>
      </w:r>
      <w:r>
        <w:t>” that they have installed on their new nationwide network.</w:t>
      </w:r>
    </w:p>
    <w:p w:rsidR="00BA7592" w:rsidP="00BA7592" w14:paraId="6E05AA59" w14:textId="64C39E5E">
      <w:pPr>
        <w:pStyle w:val="ParaNum"/>
        <w:widowControl/>
        <w:tabs>
          <w:tab w:val="clear" w:pos="1080"/>
          <w:tab w:val="num" w:pos="1440"/>
        </w:tabs>
      </w:pPr>
      <w:r w:rsidRPr="00BA7592">
        <w:t>Finally, Petitioners seek waiver of section 22.813’s co-channel distance separation and dispersion requirements so that they can relocate certain existing sites and add new sites for the operation of their non-general aviation air-ground services.</w:t>
      </w:r>
      <w:r>
        <w:rPr>
          <w:vertAlign w:val="superscript"/>
        </w:rPr>
        <w:footnoteReference w:id="20"/>
      </w:r>
      <w:r w:rsidRPr="00BA7592">
        <w:t xml:space="preserve">  </w:t>
      </w:r>
      <w:r>
        <w:t>Section 22.813(a) prohibits the Commission from granting applications for proposed ground transmitter locations unless the ground transmitter location is “at least 800 kilometers (497 miles) from the antenna location of the nearest co-channel ground transmitter in the United States.”</w:t>
      </w:r>
      <w:r>
        <w:rPr>
          <w:rStyle w:val="FootnoteReference"/>
        </w:rPr>
        <w:footnoteReference w:id="21"/>
      </w:r>
      <w:r>
        <w:t xml:space="preserve">  </w:t>
      </w:r>
      <w:r w:rsidRPr="00BA7592">
        <w:t>Section 22.813(b) states that the</w:t>
      </w:r>
      <w:r>
        <w:t xml:space="preserve"> </w:t>
      </w:r>
      <w:r w:rsidRPr="00BA7592">
        <w:t>Commission “may grant an application requesting assignment of a communication channel pair</w:t>
      </w:r>
      <w:r>
        <w:t xml:space="preserve"> </w:t>
      </w:r>
      <w:r w:rsidRPr="00BA7592">
        <w:t xml:space="preserve">. . . if there are no more than five </w:t>
      </w:r>
      <w:r w:rsidRPr="00BA7592">
        <w:t>different communication channel pairs already assigned to</w:t>
      </w:r>
      <w:r>
        <w:t xml:space="preserve"> </w:t>
      </w:r>
      <w:r w:rsidRPr="00BA7592">
        <w:t>ground transmitters . . . within a 320 kilometer (199 mile) radius of the proposed antenna</w:t>
      </w:r>
      <w:r>
        <w:t xml:space="preserve"> location.”</w:t>
      </w:r>
      <w:r>
        <w:rPr>
          <w:rStyle w:val="FootnoteReference"/>
        </w:rPr>
        <w:footnoteReference w:id="22"/>
      </w:r>
      <w:r>
        <w:t xml:space="preserve">  Consistent with the previous waiver granted in the </w:t>
      </w:r>
      <w:r w:rsidRPr="00BA7592">
        <w:rPr>
          <w:i/>
          <w:iCs/>
        </w:rPr>
        <w:t>2010 Order</w:t>
      </w:r>
      <w:r>
        <w:t>, Petitioners seek waiver of section 22.813’s provisions “</w:t>
      </w:r>
      <w:r w:rsidRPr="00BA7592">
        <w:t>to enable efficient ongoing development and operation of the new</w:t>
      </w:r>
      <w:r>
        <w:t xml:space="preserve"> </w:t>
      </w:r>
      <w:r w:rsidRPr="00BA7592">
        <w:t>network on a prospective basis.</w:t>
      </w:r>
      <w:r>
        <w:t>”</w:t>
      </w:r>
      <w:r>
        <w:rPr>
          <w:rStyle w:val="FootnoteReference"/>
        </w:rPr>
        <w:footnoteReference w:id="23"/>
      </w:r>
    </w:p>
    <w:p w:rsidR="003C65D5" w:rsidRPr="003C65D5" w:rsidP="00BA7592" w14:paraId="45FAE419" w14:textId="57DAE1A9">
      <w:pPr>
        <w:pStyle w:val="ParaNum"/>
        <w:widowControl/>
        <w:tabs>
          <w:tab w:val="clear" w:pos="1080"/>
          <w:tab w:val="num" w:pos="1440"/>
        </w:tabs>
      </w:pPr>
      <w:r>
        <w:t>On June 24, 2020, the Bureau released a p</w:t>
      </w:r>
      <w:r w:rsidR="003E3502">
        <w:t xml:space="preserve">ublic notice seeking comment on </w:t>
      </w:r>
      <w:r>
        <w:t>Petitioners’ Waiver Request</w:t>
      </w:r>
      <w:r w:rsidR="003E3502">
        <w:t>.</w:t>
      </w:r>
      <w:r>
        <w:rPr>
          <w:rStyle w:val="FootnoteReference"/>
        </w:rPr>
        <w:footnoteReference w:id="24"/>
      </w:r>
      <w:r w:rsidR="003E3502">
        <w:t xml:space="preserve"> </w:t>
      </w:r>
      <w:r>
        <w:t xml:space="preserve"> The Bureau received </w:t>
      </w:r>
      <w:r w:rsidR="00306CF5">
        <w:t xml:space="preserve">seventeen </w:t>
      </w:r>
      <w:r w:rsidR="003E3502">
        <w:t xml:space="preserve">comments and </w:t>
      </w:r>
      <w:r>
        <w:t>four</w:t>
      </w:r>
      <w:r w:rsidR="003E3502">
        <w:t xml:space="preserve"> reply comments</w:t>
      </w:r>
      <w:r>
        <w:t>, all but one of which supported grant of the Waiver Request</w:t>
      </w:r>
      <w:r w:rsidR="003E3502">
        <w:t>.</w:t>
      </w:r>
      <w:r w:rsidR="00D73222">
        <w:t xml:space="preserve">  A variety of aviation entities, such as the Aerospace Industry Association (AIA)</w:t>
      </w:r>
      <w:r w:rsidR="008D6F08">
        <w:t>, Commercial Drone Alliance,</w:t>
      </w:r>
      <w:r w:rsidR="00D73222">
        <w:t xml:space="preserve"> and Metro Aviation, Inc. (Metro Aviation), argue that the Waiver Request would allow AURA to “provide an enhanced air/ground communications network for emerging and future aviation technologies.”</w:t>
      </w:r>
      <w:r>
        <w:rPr>
          <w:rStyle w:val="FootnoteReference"/>
        </w:rPr>
        <w:footnoteReference w:id="25"/>
      </w:r>
      <w:r w:rsidR="00D73222">
        <w:t xml:space="preserve"> </w:t>
      </w:r>
      <w:r w:rsidR="008D6F08">
        <w:t xml:space="preserve"> Other commenters, including the </w:t>
      </w:r>
      <w:r w:rsidRPr="008D6F08" w:rsidR="008D6F08">
        <w:t>National Public Safety Telecommunications Council (NPSTC)</w:t>
      </w:r>
      <w:r w:rsidR="008D6F08">
        <w:t xml:space="preserve">, </w:t>
      </w:r>
      <w:r w:rsidR="00FC4507">
        <w:t xml:space="preserve">DRONERESPONDERS Public Safety Alliance, </w:t>
      </w:r>
      <w:r w:rsidR="008D6F08">
        <w:t xml:space="preserve">and Crown Castle International Corp. (Crown Castle) support Petitioners’ planned use of the 450 MHz band channels for operation of UAS command and control, which they claim will be a </w:t>
      </w:r>
      <w:r w:rsidR="00FC4507">
        <w:t xml:space="preserve">particularly </w:t>
      </w:r>
      <w:r w:rsidR="008D6F08">
        <w:t>useful tool</w:t>
      </w:r>
      <w:r w:rsidR="00FC4507">
        <w:t xml:space="preserve"> for the public safety sector.</w:t>
      </w:r>
      <w:r>
        <w:rPr>
          <w:rStyle w:val="FootnoteReference"/>
        </w:rPr>
        <w:footnoteReference w:id="26"/>
      </w:r>
      <w:r w:rsidR="00FC4507">
        <w:t xml:space="preserve">  Boeing</w:t>
      </w:r>
      <w:r w:rsidR="004B7982">
        <w:t>, the only party not supporting grant of the Waiver Request,</w:t>
      </w:r>
      <w:r w:rsidR="00FC4507">
        <w:t xml:space="preserve"> agrees that </w:t>
      </w:r>
      <w:r w:rsidR="00FC4303">
        <w:t xml:space="preserve">the </w:t>
      </w:r>
      <w:r w:rsidR="004B7982">
        <w:t>Petitioners’ proposal</w:t>
      </w:r>
      <w:r w:rsidR="00FC4507">
        <w:t xml:space="preserve"> offers a promising solution to meet UAS spectrum needs, but argues</w:t>
      </w:r>
      <w:r w:rsidR="004B7982">
        <w:t xml:space="preserve"> against proceeding by waiver, suggesting instead</w:t>
      </w:r>
      <w:r w:rsidR="00FC4507">
        <w:t xml:space="preserve"> that the Commission should address Petitioners’ requests via a rulemaking addressing the 450 MHz band as a whole.</w:t>
      </w:r>
      <w:r>
        <w:rPr>
          <w:rStyle w:val="FootnoteReference"/>
        </w:rPr>
        <w:footnoteReference w:id="27"/>
      </w:r>
    </w:p>
    <w:p w:rsidR="00900FC7" w:rsidP="00900FC7" w14:paraId="3D59A1EE" w14:textId="328AA96E">
      <w:pPr>
        <w:pStyle w:val="Heading1"/>
      </w:pPr>
      <w:bookmarkStart w:id="9" w:name="_Toc58853844"/>
      <w:bookmarkStart w:id="10" w:name="_Toc58853897"/>
      <w:bookmarkStart w:id="11" w:name="_Toc61528489"/>
      <w:r>
        <w:t>DISCUSSION</w:t>
      </w:r>
      <w:bookmarkEnd w:id="9"/>
      <w:bookmarkEnd w:id="10"/>
      <w:bookmarkEnd w:id="11"/>
    </w:p>
    <w:p w:rsidR="00485882" w:rsidP="00BA7592" w14:paraId="0C92A333" w14:textId="2579FF31">
      <w:pPr>
        <w:pStyle w:val="ParaNum"/>
        <w:widowControl/>
        <w:tabs>
          <w:tab w:val="clear" w:pos="1080"/>
          <w:tab w:val="num" w:pos="1440"/>
        </w:tabs>
      </w:pPr>
      <w:r>
        <w:t>Section 1.925(b)(3) of the Commission’s rules states that the Commission may grant a waiver when either (i) “[t]he underlying purpose of the rule(s) would not be served or would be frustrated by application to the instant case, and . . .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8"/>
      </w:r>
      <w:r>
        <w:t xml:space="preserve">  </w:t>
      </w:r>
      <w:r w:rsidR="00FC4303">
        <w:t>Further, s</w:t>
      </w:r>
      <w:r>
        <w:t>ection 1.3 allows the Commission, on its own motion, to waive rules for good cause shown.</w:t>
      </w:r>
      <w:r>
        <w:rPr>
          <w:rStyle w:val="FootnoteReference"/>
        </w:rPr>
        <w:footnoteReference w:id="29"/>
      </w:r>
    </w:p>
    <w:p w:rsidR="00591352" w:rsidP="00591352" w14:paraId="32EF956E" w14:textId="3F66CE73">
      <w:pPr>
        <w:pStyle w:val="ParaNum"/>
        <w:widowControl/>
        <w:tabs>
          <w:tab w:val="clear" w:pos="1080"/>
          <w:tab w:val="num" w:pos="1440"/>
        </w:tabs>
      </w:pPr>
      <w:r>
        <w:t>W</w:t>
      </w:r>
      <w:r w:rsidR="00120420">
        <w:t>e find that</w:t>
      </w:r>
      <w:r>
        <w:t xml:space="preserve"> it would serve</w:t>
      </w:r>
      <w:r w:rsidR="00120420">
        <w:t xml:space="preserve"> the public interest, convenience</w:t>
      </w:r>
      <w:r w:rsidR="00803630">
        <w:t>,</w:t>
      </w:r>
      <w:r w:rsidR="00120420">
        <w:t xml:space="preserve"> and necessity </w:t>
      </w:r>
      <w:r>
        <w:t xml:space="preserve">to </w:t>
      </w:r>
      <w:r w:rsidR="00120420">
        <w:t xml:space="preserve">grant limited waiver relief, as described below.  </w:t>
      </w:r>
      <w:r>
        <w:t xml:space="preserve">In the </w:t>
      </w:r>
      <w:r>
        <w:rPr>
          <w:i/>
          <w:iCs/>
        </w:rPr>
        <w:t>2010 Order</w:t>
      </w:r>
      <w:r>
        <w:t>,</w:t>
      </w:r>
      <w:r>
        <w:rPr>
          <w:i/>
          <w:iCs/>
        </w:rPr>
        <w:t xml:space="preserve"> </w:t>
      </w:r>
      <w:r w:rsidR="004B7982">
        <w:t xml:space="preserve">the Division </w:t>
      </w:r>
      <w:r>
        <w:t>recognized the Commission’s statutory mandate to “generally encourage the larger and more effective use of radio in the public interest,”</w:t>
      </w:r>
      <w:r>
        <w:rPr>
          <w:rStyle w:val="FootnoteReference"/>
        </w:rPr>
        <w:footnoteReference w:id="30"/>
      </w:r>
      <w:r>
        <w:t xml:space="preserve"> and specifically to “encourage the provision of new technologies and services to the public</w:t>
      </w:r>
      <w:r w:rsidR="005C69F7">
        <w:t>.</w:t>
      </w:r>
      <w:r>
        <w:t>”</w:t>
      </w:r>
      <w:r>
        <w:rPr>
          <w:rStyle w:val="FootnoteReference"/>
        </w:rPr>
        <w:footnoteReference w:id="31"/>
      </w:r>
      <w:r>
        <w:t xml:space="preserve"> </w:t>
      </w:r>
      <w:r w:rsidR="005C69F7">
        <w:t xml:space="preserve"> We </w:t>
      </w:r>
      <w:r>
        <w:t xml:space="preserve">found that the modernized competitive system </w:t>
      </w:r>
      <w:r w:rsidR="005C69F7">
        <w:t>envisioned by Petitioners’ predecessors could “</w:t>
      </w:r>
      <w:r>
        <w:t>stimulate the growth of additional products and services</w:t>
      </w:r>
      <w:r w:rsidR="005C69F7">
        <w:t>,” a result falling squarely within the spirit of our statutory mandate</w:t>
      </w:r>
      <w:r>
        <w:t>.</w:t>
      </w:r>
      <w:r>
        <w:rPr>
          <w:rStyle w:val="FootnoteReference"/>
        </w:rPr>
        <w:footnoteReference w:id="32"/>
      </w:r>
      <w:r>
        <w:t xml:space="preserve">  </w:t>
      </w:r>
      <w:r w:rsidR="005C69F7">
        <w:t xml:space="preserve">Petitioners now seek limited waiver relief to provide additional products and services that </w:t>
      </w:r>
      <w:r w:rsidR="00FE0AAA">
        <w:t xml:space="preserve">is </w:t>
      </w:r>
      <w:r w:rsidR="00FE2BF7">
        <w:t xml:space="preserve">in line with </w:t>
      </w:r>
      <w:r w:rsidR="005C69F7">
        <w:t>our prior action</w:t>
      </w:r>
      <w:r w:rsidR="00FE2BF7">
        <w:t xml:space="preserve">, and </w:t>
      </w:r>
      <w:r w:rsidR="00697063">
        <w:t xml:space="preserve">that </w:t>
      </w:r>
      <w:r w:rsidR="00FE2BF7">
        <w:t>further our goals of encouraging the provision of new technologies and services</w:t>
      </w:r>
      <w:r w:rsidR="005C69F7">
        <w:t>.</w:t>
      </w:r>
    </w:p>
    <w:p w:rsidR="00FC4303" w:rsidP="00BA7592" w14:paraId="6BB7424B" w14:textId="799DD113">
      <w:pPr>
        <w:pStyle w:val="ParaNum"/>
        <w:widowControl/>
        <w:tabs>
          <w:tab w:val="clear" w:pos="1080"/>
          <w:tab w:val="num" w:pos="1440"/>
        </w:tabs>
      </w:pPr>
      <w:r>
        <w:t>Furthermore</w:t>
      </w:r>
      <w:r w:rsidR="00120420">
        <w:t xml:space="preserve">, as we did in the </w:t>
      </w:r>
      <w:r w:rsidR="00120420">
        <w:rPr>
          <w:i/>
          <w:iCs/>
        </w:rPr>
        <w:t>2010 Order</w:t>
      </w:r>
      <w:r w:rsidR="00120420">
        <w:t>, we find that the underlying purpose of the part 22 rules</w:t>
      </w:r>
      <w:r w:rsidR="0034433D">
        <w:t xml:space="preserve"> that are</w:t>
      </w:r>
      <w:r w:rsidR="00120420">
        <w:t xml:space="preserve"> subject to the waiver request would not be served by </w:t>
      </w:r>
      <w:r w:rsidR="00697063">
        <w:t xml:space="preserve">their </w:t>
      </w:r>
      <w:r w:rsidR="00120420">
        <w:t>strict application in the instant case.</w:t>
      </w:r>
      <w:r>
        <w:rPr>
          <w:rStyle w:val="FootnoteReference"/>
        </w:rPr>
        <w:footnoteReference w:id="33"/>
      </w:r>
      <w:r w:rsidR="00120420">
        <w:t xml:space="preserve">  </w:t>
      </w:r>
      <w:r>
        <w:t>When the Commission adopted the additional channel policy and technical channel assignment criteria for the general aviation air-ground service, it provided the following underlying purposes for the rules:</w:t>
      </w:r>
    </w:p>
    <w:p w:rsidR="00FC4303" w:rsidRPr="00FC4303" w:rsidP="00FC4303" w14:paraId="25CB48CE" w14:textId="2BA36C09">
      <w:pPr>
        <w:pStyle w:val="ParaNum"/>
        <w:widowControl/>
        <w:numPr>
          <w:ilvl w:val="0"/>
          <w:numId w:val="0"/>
        </w:numPr>
        <w:ind w:left="720" w:right="720"/>
        <w:rPr>
          <w:szCs w:val="22"/>
        </w:rPr>
      </w:pPr>
      <w:r w:rsidRPr="00FC4303">
        <w:rPr>
          <w:szCs w:val="22"/>
        </w:rPr>
        <w:t xml:space="preserve">(1) to </w:t>
      </w:r>
      <w:r w:rsidRPr="00FC4303">
        <w:rPr>
          <w:i/>
          <w:iCs/>
          <w:szCs w:val="22"/>
        </w:rPr>
        <w:t>maintain a nationwide in-route coverage</w:t>
      </w:r>
      <w:r w:rsidRPr="00FC4303">
        <w:rPr>
          <w:szCs w:val="22"/>
        </w:rPr>
        <w:t xml:space="preserve">, by prohibiting the future assignment of more than half of the channels in any general geographic area; (2) to </w:t>
      </w:r>
      <w:r w:rsidRPr="00FC4303">
        <w:rPr>
          <w:i/>
          <w:iCs/>
          <w:szCs w:val="22"/>
        </w:rPr>
        <w:t>limit co-channel interference</w:t>
      </w:r>
      <w:r w:rsidRPr="00FC4303">
        <w:rPr>
          <w:szCs w:val="22"/>
        </w:rPr>
        <w:t xml:space="preserve"> for aircraft flying at low and moderate altitudes, by maintain spacing between co-channel ground stations; (3) to </w:t>
      </w:r>
      <w:r w:rsidRPr="00FC4303">
        <w:rPr>
          <w:i/>
          <w:iCs/>
          <w:szCs w:val="22"/>
        </w:rPr>
        <w:t>establish and preserve competition among air-ground carriers</w:t>
      </w:r>
      <w:r w:rsidRPr="00FC4303">
        <w:rPr>
          <w:szCs w:val="22"/>
        </w:rPr>
        <w:t xml:space="preserve">, by allowing the possibility of multiple providers at any location and by preventing any one carrier from obtaining exclusive use of more than half of the channels in any general geographic area; and (4) within the constraints of the first three goals, to </w:t>
      </w:r>
      <w:r w:rsidRPr="00120420">
        <w:rPr>
          <w:i/>
          <w:iCs/>
          <w:szCs w:val="22"/>
        </w:rPr>
        <w:t>allow flexibility</w:t>
      </w:r>
      <w:r w:rsidRPr="00FC4303">
        <w:rPr>
          <w:szCs w:val="22"/>
        </w:rPr>
        <w:t xml:space="preserve"> in ground station locations to </w:t>
      </w:r>
      <w:r w:rsidRPr="00120420">
        <w:rPr>
          <w:i/>
          <w:iCs/>
          <w:szCs w:val="22"/>
        </w:rPr>
        <w:t>meet demand for general aviation air-ground radiotelephone service</w:t>
      </w:r>
      <w:r w:rsidRPr="00FC4303">
        <w:rPr>
          <w:szCs w:val="22"/>
        </w:rPr>
        <w:t>, by eliminating the allotment table and requirement for rule making proceedings to amend it.</w:t>
      </w:r>
      <w:r>
        <w:rPr>
          <w:rStyle w:val="FootnoteReference"/>
          <w:sz w:val="22"/>
          <w:szCs w:val="22"/>
        </w:rPr>
        <w:footnoteReference w:id="34"/>
      </w:r>
    </w:p>
    <w:p w:rsidR="00FC4303" w:rsidP="00BA7592" w14:paraId="543FB3BF" w14:textId="7901EF99">
      <w:pPr>
        <w:pStyle w:val="ParaNum"/>
        <w:widowControl/>
        <w:tabs>
          <w:tab w:val="clear" w:pos="1080"/>
          <w:tab w:val="num" w:pos="1440"/>
        </w:tabs>
      </w:pPr>
      <w:r>
        <w:t xml:space="preserve">Here, </w:t>
      </w:r>
      <w:r w:rsidR="008613BD">
        <w:t>AURA</w:t>
      </w:r>
      <w:r w:rsidR="00697063">
        <w:t xml:space="preserve"> currently is operating a nationwide general aviation air-ground service, and its nationwide network </w:t>
      </w:r>
      <w:r>
        <w:t xml:space="preserve">effectively </w:t>
      </w:r>
      <w:r w:rsidR="00E37A56">
        <w:t xml:space="preserve">gives </w:t>
      </w:r>
      <w:r w:rsidR="00697063">
        <w:t xml:space="preserve">Petitioners </w:t>
      </w:r>
      <w:r>
        <w:t>exclusive use of the band</w:t>
      </w:r>
      <w:r w:rsidR="00697063">
        <w:t>.</w:t>
      </w:r>
      <w:r w:rsidR="00697063">
        <w:t xml:space="preserve"> </w:t>
      </w:r>
      <w:r w:rsidR="00E1436D">
        <w:t xml:space="preserve">As Petitioners point out, </w:t>
      </w:r>
      <w:r w:rsidR="00D2152F">
        <w:t xml:space="preserve">in the last ten years, </w:t>
      </w:r>
      <w:r w:rsidR="00E1436D">
        <w:t>other parties have not shown interest in operating in the band</w:t>
      </w:r>
      <w:r w:rsidR="00D2152F">
        <w:t xml:space="preserve"> and have overwhelmingly supported Petitioners’ steps to grow and modernize their existing network.</w:t>
      </w:r>
      <w:r>
        <w:rPr>
          <w:rStyle w:val="FootnoteReference"/>
        </w:rPr>
        <w:footnoteReference w:id="35"/>
      </w:r>
      <w:r w:rsidR="00D2152F">
        <w:t xml:space="preserve">  As the </w:t>
      </w:r>
      <w:r w:rsidR="00BE2ED6">
        <w:t xml:space="preserve">only </w:t>
      </w:r>
      <w:r w:rsidR="00D2152F">
        <w:t xml:space="preserve">licensee and operator in the band, </w:t>
      </w:r>
      <w:r>
        <w:t xml:space="preserve">Petitioners have established </w:t>
      </w:r>
      <w:r w:rsidR="00E34E9F">
        <w:t xml:space="preserve">their ability to meet market </w:t>
      </w:r>
      <w:r>
        <w:t xml:space="preserve">demand for general aviation air-ground service </w:t>
      </w:r>
      <w:r w:rsidR="00E34E9F">
        <w:t xml:space="preserve">over the existing </w:t>
      </w:r>
      <w:r w:rsidR="00D2152F">
        <w:t xml:space="preserve">nationwide </w:t>
      </w:r>
      <w:r w:rsidR="00E34E9F">
        <w:t xml:space="preserve">network, and now </w:t>
      </w:r>
      <w:r w:rsidR="00697063">
        <w:t xml:space="preserve">they </w:t>
      </w:r>
      <w:r w:rsidR="00E34E9F">
        <w:t xml:space="preserve">seek </w:t>
      </w:r>
      <w:r w:rsidR="00697063">
        <w:t xml:space="preserve">a </w:t>
      </w:r>
      <w:r w:rsidR="00E34E9F">
        <w:t>waiver in order to provide additional services to meet the increasing demand for more modern data services to manned and unmanned aircraft.</w:t>
      </w:r>
      <w:r>
        <w:rPr>
          <w:rStyle w:val="FootnoteReference"/>
        </w:rPr>
        <w:footnoteReference w:id="36"/>
      </w:r>
      <w:r w:rsidR="00E34E9F">
        <w:t xml:space="preserve">  </w:t>
      </w:r>
      <w:r w:rsidR="00E1436D">
        <w:t xml:space="preserve">Petitioners argue that grant of limited waiver relief would provide the flexibility necessary to satisfy this market demand and expand services to aviation subscribers.  </w:t>
      </w:r>
      <w:r>
        <w:t xml:space="preserve">We are persuaded that, absent such relief, the aviation industry will be deprived of </w:t>
      </w:r>
      <w:r w:rsidR="00E1436D">
        <w:t xml:space="preserve">the opportunity to </w:t>
      </w:r>
      <w:r>
        <w:t>“</w:t>
      </w:r>
      <w:r w:rsidR="00E1436D">
        <w:t>offer services that keep pace with technological innovation</w:t>
      </w:r>
      <w:r>
        <w:t>,”</w:t>
      </w:r>
      <w:r>
        <w:rPr>
          <w:rStyle w:val="FootnoteReference"/>
        </w:rPr>
        <w:footnoteReference w:id="37"/>
      </w:r>
      <w:r>
        <w:t xml:space="preserve"> and </w:t>
      </w:r>
      <w:r w:rsidR="00D2152F">
        <w:t xml:space="preserve">use of </w:t>
      </w:r>
      <w:r>
        <w:t>the general aviation air-ground spectrum will</w:t>
      </w:r>
      <w:r w:rsidR="00D2152F">
        <w:t xml:space="preserve"> not be optimized to the greatest extent possible</w:t>
      </w:r>
      <w:r>
        <w:t>.</w:t>
      </w:r>
    </w:p>
    <w:p w:rsidR="00D2152F" w:rsidP="00BA7592" w14:paraId="224122BD" w14:textId="660ADAC1">
      <w:pPr>
        <w:pStyle w:val="ParaNum"/>
        <w:widowControl/>
        <w:tabs>
          <w:tab w:val="clear" w:pos="1080"/>
          <w:tab w:val="num" w:pos="1440"/>
        </w:tabs>
      </w:pPr>
      <w:r>
        <w:t xml:space="preserve">We find that </w:t>
      </w:r>
      <w:r w:rsidR="005F71C9">
        <w:t xml:space="preserve">limited </w:t>
      </w:r>
      <w:r>
        <w:t>w</w:t>
      </w:r>
      <w:r>
        <w:t xml:space="preserve">aiver relief in this case is consistent </w:t>
      </w:r>
      <w:r w:rsidR="00685359">
        <w:t>with court decisions</w:t>
      </w:r>
      <w:r>
        <w:rPr>
          <w:rStyle w:val="FootnoteReference"/>
        </w:rPr>
        <w:footnoteReference w:id="38"/>
      </w:r>
      <w:r w:rsidR="00685359">
        <w:t xml:space="preserve"> and </w:t>
      </w:r>
      <w:r>
        <w:t>Commission precedent</w:t>
      </w:r>
      <w:r w:rsidR="00534500">
        <w:t xml:space="preserve">, particularly with respect to </w:t>
      </w:r>
      <w:r w:rsidR="00122C7D">
        <w:t>p</w:t>
      </w:r>
      <w:r w:rsidR="00534500">
        <w:t>art 22 licenses</w:t>
      </w:r>
      <w:r>
        <w:t>.</w:t>
      </w:r>
      <w:r>
        <w:rPr>
          <w:rStyle w:val="FootnoteReference"/>
        </w:rPr>
        <w:footnoteReference w:id="39"/>
      </w:r>
      <w:r>
        <w:t xml:space="preserve">  </w:t>
      </w:r>
      <w:r w:rsidR="00534500">
        <w:t xml:space="preserve">For example, </w:t>
      </w:r>
      <w:r w:rsidR="00412D55">
        <w:t>since</w:t>
      </w:r>
      <w:r w:rsidR="00534500">
        <w:t xml:space="preserve"> 1983 the Commission</w:t>
      </w:r>
      <w:r w:rsidR="00412D55">
        <w:t xml:space="preserve"> has allowed</w:t>
      </w:r>
      <w:r w:rsidR="00534500">
        <w:t xml:space="preserve"> </w:t>
      </w:r>
      <w:r w:rsidR="00122C7D">
        <w:t>p</w:t>
      </w:r>
      <w:r w:rsidR="00534500">
        <w:t>art 22 licensees to</w:t>
      </w:r>
      <w:r w:rsidRPr="008C7FB7" w:rsidR="00534500">
        <w:t xml:space="preserve"> </w:t>
      </w:r>
      <w:r w:rsidR="00534500">
        <w:t>provide other communications services incidental to the primary public mobile service</w:t>
      </w:r>
      <w:r w:rsidR="00412D55">
        <w:t>, based on the belief that such ancillary services “meet a public demand and can be fashioned so as to make more efficient use of spectrum without interfering with the growth or availability” of the primary service</w:t>
      </w:r>
      <w:r w:rsidR="00A87908">
        <w:t>.</w:t>
      </w:r>
      <w:r>
        <w:rPr>
          <w:rStyle w:val="FootnoteReference"/>
        </w:rPr>
        <w:footnoteReference w:id="40"/>
      </w:r>
      <w:r w:rsidR="00534500">
        <w:t xml:space="preserve"> </w:t>
      </w:r>
      <w:r w:rsidR="00412D55">
        <w:t xml:space="preserve"> </w:t>
      </w:r>
      <w:r w:rsidR="00AA616B">
        <w:t>The original part 22 rules permitting incidental services were subject to certain conditions designed to ensure that the provision of such service did not compromise the quality of the primary public mobile service or increase costs to subscribers.</w:t>
      </w:r>
      <w:r>
        <w:rPr>
          <w:rStyle w:val="FootnoteReference"/>
        </w:rPr>
        <w:footnoteReference w:id="41"/>
      </w:r>
      <w:r w:rsidR="00AA616B">
        <w:t xml:space="preserve">  Here, </w:t>
      </w:r>
      <w:r>
        <w:t xml:space="preserve">Petitioners propose to </w:t>
      </w:r>
      <w:r>
        <w:t>continue using their existing nationwide network to provide the general aviation air-ground service originally envisioned by the</w:t>
      </w:r>
      <w:r w:rsidR="00AA616B">
        <w:t xml:space="preserve"> part 22</w:t>
      </w:r>
      <w:r>
        <w:t xml:space="preserve"> rules, but seek waiver relief in order to provide additional, ancillary services, including </w:t>
      </w:r>
      <w:r w:rsidR="00693974">
        <w:t xml:space="preserve">services to </w:t>
      </w:r>
      <w:r>
        <w:t>UAS, to meet the needs of a broader base of aviation subscribers</w:t>
      </w:r>
      <w:r>
        <w:t xml:space="preserve">.  </w:t>
      </w:r>
      <w:r w:rsidR="00591352">
        <w:t>We find that such use is consistent with the Commission’s long-standing precedent permitting innovative and efficient use of spectrum for supplemental service so long as such use does not compromise the provision of the primary public mobile service.</w:t>
      </w:r>
      <w:r>
        <w:rPr>
          <w:rStyle w:val="FootnoteReference"/>
        </w:rPr>
        <w:footnoteReference w:id="42"/>
      </w:r>
    </w:p>
    <w:p w:rsidR="00485882" w:rsidP="00485882" w14:paraId="66E0CF5A" w14:textId="1EDB9F30">
      <w:pPr>
        <w:pStyle w:val="Heading2"/>
      </w:pPr>
      <w:bookmarkStart w:id="12" w:name="_Toc58853845"/>
      <w:bookmarkStart w:id="13" w:name="_Toc58853898"/>
      <w:bookmarkStart w:id="14" w:name="_Toc61528490"/>
      <w:r>
        <w:t>Waiver</w:t>
      </w:r>
      <w:r w:rsidR="00042BCA">
        <w:t>s</w:t>
      </w:r>
      <w:r>
        <w:t xml:space="preserve"> of rules requiring provision of general aviation air-ground service</w:t>
      </w:r>
      <w:r w:rsidR="00042BCA">
        <w:t>.</w:t>
      </w:r>
      <w:bookmarkEnd w:id="12"/>
      <w:bookmarkEnd w:id="13"/>
      <w:bookmarkEnd w:id="14"/>
      <w:r w:rsidR="00042BCA">
        <w:t xml:space="preserve">  </w:t>
      </w:r>
    </w:p>
    <w:p w:rsidR="005C69F7" w:rsidP="00BA7592" w14:paraId="1EC5105A" w14:textId="3F1097F2">
      <w:pPr>
        <w:pStyle w:val="ParaNum"/>
        <w:widowControl/>
        <w:tabs>
          <w:tab w:val="clear" w:pos="1080"/>
          <w:tab w:val="num" w:pos="1440"/>
        </w:tabs>
      </w:pPr>
      <w:r>
        <w:t>We grant Petitioners a limited waiver of certain</w:t>
      </w:r>
      <w:r w:rsidR="00CB0EE7">
        <w:t xml:space="preserve"> of the Commission’s rules requiring provision of general aviation air-ground radiotelephone service.  Specifically, we grant</w:t>
      </w:r>
      <w:r w:rsidR="005F71C9">
        <w:t xml:space="preserve"> </w:t>
      </w:r>
      <w:r w:rsidR="00CB0EE7">
        <w:t>Petitioners’ request for waiver of sections 22.805 and 22.809 in order to provide additional, data-based services to non-airborne subscribers on both manned and unmanned aircrafts.  Consistent with this relief, we also waive, on our own motion, relevant portions of sections 2.106, 22.99, and 22.107 of the Commission’s rules.</w:t>
      </w:r>
    </w:p>
    <w:p w:rsidR="000B34C2" w:rsidP="00643100" w14:paraId="0F487995" w14:textId="145961BD">
      <w:pPr>
        <w:pStyle w:val="ParaNum"/>
        <w:widowControl/>
        <w:tabs>
          <w:tab w:val="clear" w:pos="1080"/>
          <w:tab w:val="num" w:pos="1440"/>
        </w:tabs>
      </w:pPr>
      <w:r>
        <w:t>Section 2.106, non-Federal Government footnote 32 provides that frequencies in the 450 MHz band may be assigned to domestic public land and mobile stations to provide two-way air-ground public radio telephone service.</w:t>
      </w:r>
      <w:r>
        <w:rPr>
          <w:rStyle w:val="FootnoteReference"/>
        </w:rPr>
        <w:footnoteReference w:id="43"/>
      </w:r>
      <w:r>
        <w:t xml:space="preserve">  Section 22.805 dictates that the channels in the 450 MHz band are allocated “for the </w:t>
      </w:r>
      <w:r w:rsidRPr="000B34C2">
        <w:t>provision of radiotelephone service to airborne mobile subscribers in general aviation aircraft</w:t>
      </w:r>
      <w:r w:rsidR="007D2EEF">
        <w:t>,</w:t>
      </w:r>
      <w:r w:rsidRPr="000B34C2">
        <w:t>”</w:t>
      </w:r>
      <w:r>
        <w:rPr>
          <w:rStyle w:val="FootnoteReference"/>
        </w:rPr>
        <w:footnoteReference w:id="44"/>
      </w:r>
      <w:r w:rsidR="007D2EEF">
        <w:t xml:space="preserve"> and section 22.99 defines “radiotelephone service” as the </w:t>
      </w:r>
      <w:r w:rsidR="00643100">
        <w:t>“transmission of sound” by radio.</w:t>
      </w:r>
      <w:r>
        <w:rPr>
          <w:rStyle w:val="FootnoteReference"/>
        </w:rPr>
        <w:footnoteReference w:id="45"/>
      </w:r>
      <w:r w:rsidR="007D2EEF">
        <w:t xml:space="preserve">  The general application requirements contained in section 22.107(d) require all applicants </w:t>
      </w:r>
      <w:r w:rsidRPr="007D2EEF" w:rsidR="007D2EEF">
        <w:t>to “propose operation of a facility in compliance with all rules governing the Public Mobile Service.”</w:t>
      </w:r>
      <w:r w:rsidR="00643100">
        <w:t xml:space="preserve">  </w:t>
      </w:r>
      <w:r w:rsidR="00492D76">
        <w:t>Under section 22.815, 450 MHz band licensees have one year to construct ground stations, which section 22.99 defines</w:t>
      </w:r>
      <w:r w:rsidR="005A078A">
        <w:t xml:space="preserve"> as “a stationary transmitter that provides service to airborne mobile subscribers.”</w:t>
      </w:r>
      <w:r>
        <w:rPr>
          <w:rStyle w:val="FootnoteReference"/>
        </w:rPr>
        <w:footnoteReference w:id="46"/>
      </w:r>
      <w:r w:rsidR="005A078A">
        <w:t xml:space="preserve">  </w:t>
      </w:r>
      <w:r w:rsidR="00643100">
        <w:t>Finally, consistent with the general operating parameters of general aviation air-ground radiotelephone service, section 22.809 establishes a 50-watt minimum effective radiated power requirement for ground station transmitters and a 4-watt minimum transmitter power output requirement for airborne mobile transmitters.</w:t>
      </w:r>
      <w:r>
        <w:rPr>
          <w:rStyle w:val="FootnoteReference"/>
        </w:rPr>
        <w:footnoteReference w:id="47"/>
      </w:r>
    </w:p>
    <w:p w:rsidR="005A078A" w:rsidP="00643100" w14:paraId="54B84C55" w14:textId="555C762E">
      <w:pPr>
        <w:pStyle w:val="ParaNum"/>
        <w:widowControl/>
        <w:tabs>
          <w:tab w:val="clear" w:pos="1080"/>
          <w:tab w:val="num" w:pos="1440"/>
        </w:tabs>
      </w:pPr>
      <w:r>
        <w:t xml:space="preserve">We waive these rules for the limited purpose of allowing Petitioners to deploy </w:t>
      </w:r>
      <w:r w:rsidR="00122C7D">
        <w:t>additional ground stations</w:t>
      </w:r>
      <w:r>
        <w:t>, within their existing 450 MHz nationwide footprint,</w:t>
      </w:r>
      <w:r>
        <w:rPr>
          <w:rStyle w:val="FootnoteReference"/>
        </w:rPr>
        <w:footnoteReference w:id="48"/>
      </w:r>
      <w:r>
        <w:t xml:space="preserve"> on which they intend to provide data services to non-airborne aviation subscribers, including unmanned aircraft operators.</w:t>
      </w:r>
      <w:r w:rsidR="00520A48">
        <w:t xml:space="preserve">  Similar to C</w:t>
      </w:r>
      <w:r w:rsidR="00492D76">
        <w:t xml:space="preserve">ommission precedent that allowed licensees in the Commercial Mobile Radio Service to provide ancillary services, we find that the public interest will be served by allowing Petitioners to provide an additional service to a broader base of aviation subscribers, while also maintaining its existing primary general aviation air-ground service.  </w:t>
      </w:r>
      <w:r>
        <w:t>The record overwhelmingly support</w:t>
      </w:r>
      <w:r w:rsidR="002F49AC">
        <w:t xml:space="preserve">s Petitioners’ proposed supplemental use of the band for expanded operations such as UAS and </w:t>
      </w:r>
      <w:r w:rsidR="001B1641">
        <w:t xml:space="preserve">other </w:t>
      </w:r>
      <w:r w:rsidR="002F49AC">
        <w:t>beyond visual line of sight</w:t>
      </w:r>
      <w:r w:rsidR="001B1641">
        <w:t xml:space="preserve"> uses</w:t>
      </w:r>
      <w:r w:rsidR="002F49AC">
        <w:t>, noting that such services offer extensive public interest benefits, including wide-ranging medical, public safety, and environmental applications.</w:t>
      </w:r>
      <w:r>
        <w:rPr>
          <w:rStyle w:val="FootnoteReference"/>
        </w:rPr>
        <w:footnoteReference w:id="49"/>
      </w:r>
      <w:r w:rsidR="002F49AC">
        <w:t xml:space="preserve">  Commenters argue that the 450 MHz band has propagation characteristics and sufficient bandwidth that make it well-suited for command and control non-payload communications with aviation subscribers at low altitudes.</w:t>
      </w:r>
      <w:r>
        <w:rPr>
          <w:rStyle w:val="FootnoteReference"/>
        </w:rPr>
        <w:footnoteReference w:id="50"/>
      </w:r>
      <w:r w:rsidR="00E53188">
        <w:t xml:space="preserve">  </w:t>
      </w:r>
      <w:r w:rsidR="00074DE9">
        <w:t>While Boeing argues that waiver is not appropriate given the potential impacts on aviation safety that might result from UAS command and control operations in the band,</w:t>
      </w:r>
      <w:r>
        <w:rPr>
          <w:rStyle w:val="FootnoteReference"/>
        </w:rPr>
        <w:footnoteReference w:id="51"/>
      </w:r>
      <w:r w:rsidR="00074DE9">
        <w:t xml:space="preserve"> we note that the Federal Aviation Administration (FAA) is the agency responsible for ensuring the safe </w:t>
      </w:r>
      <w:r w:rsidR="00F94F50">
        <w:t xml:space="preserve">operation </w:t>
      </w:r>
      <w:r w:rsidR="00074DE9">
        <w:t xml:space="preserve">of </w:t>
      </w:r>
      <w:r w:rsidR="008F1ED2">
        <w:t>manned and unmanned aircraft</w:t>
      </w:r>
      <w:r w:rsidR="00F94F50">
        <w:t xml:space="preserve"> in the national airspace</w:t>
      </w:r>
      <w:r w:rsidR="00074DE9">
        <w:t>, and AURA will have to receive the requisite FAA authorizations before commencing its planned UAS service.</w:t>
      </w:r>
      <w:r>
        <w:rPr>
          <w:rStyle w:val="FootnoteReference"/>
        </w:rPr>
        <w:footnoteReference w:id="52"/>
      </w:r>
      <w:r w:rsidR="00074DE9">
        <w:t xml:space="preserve">  </w:t>
      </w:r>
      <w:r w:rsidR="00E53188">
        <w:t xml:space="preserve">Furthermore, because Petitioners are the only licensee and operator in the band and can manage the new </w:t>
      </w:r>
      <w:r w:rsidR="00150581">
        <w:t xml:space="preserve">non-traditional </w:t>
      </w:r>
      <w:r w:rsidR="00376A7A">
        <w:t xml:space="preserve">service </w:t>
      </w:r>
      <w:r w:rsidR="00150581">
        <w:t xml:space="preserve">ground stations </w:t>
      </w:r>
      <w:r w:rsidR="00E53188">
        <w:t>in a manner that ensure</w:t>
      </w:r>
      <w:r w:rsidR="005F71C9">
        <w:t>s</w:t>
      </w:r>
      <w:r w:rsidR="00E53188">
        <w:t xml:space="preserve"> </w:t>
      </w:r>
      <w:r w:rsidR="00843E39">
        <w:t xml:space="preserve">they </w:t>
      </w:r>
      <w:r w:rsidR="00E53188">
        <w:t>do not cause interference to the existing general aviation air-ground service, we find that waiver is unlikely to result in harms to others.</w:t>
      </w:r>
      <w:r>
        <w:rPr>
          <w:rStyle w:val="FootnoteReference"/>
        </w:rPr>
        <w:footnoteReference w:id="53"/>
      </w:r>
      <w:r w:rsidR="00074DE9">
        <w:t xml:space="preserve">  </w:t>
      </w:r>
    </w:p>
    <w:p w:rsidR="00643100" w:rsidRPr="005C69F7" w:rsidP="00643100" w14:paraId="2150DAF4" w14:textId="5AA466F6">
      <w:pPr>
        <w:pStyle w:val="ParaNum"/>
        <w:widowControl/>
        <w:tabs>
          <w:tab w:val="clear" w:pos="1080"/>
          <w:tab w:val="num" w:pos="1440"/>
        </w:tabs>
      </w:pPr>
      <w:r>
        <w:t>Accordingly, w</w:t>
      </w:r>
      <w:r w:rsidR="00492D76">
        <w:t xml:space="preserve">e will allow Petitioners to file modification applications on existing 450 MHz band licenses to add new ground transmitters to operate on authorized channels </w:t>
      </w:r>
      <w:r>
        <w:t xml:space="preserve">and provide </w:t>
      </w:r>
      <w:r w:rsidR="003E59A0">
        <w:t xml:space="preserve">additional, non-traditional general aviation air-ground services, including </w:t>
      </w:r>
      <w:r>
        <w:t>data services to non-airborne aviation subscribers operating unmanned aircraft.</w:t>
      </w:r>
      <w:r w:rsidR="0001002B">
        <w:t xml:space="preserve">  We will waive the relevant portions of sections 2.106, 22.99, 22.107(d), and 22.805, so that Petitioners may file such modification applications</w:t>
      </w:r>
      <w:r w:rsidR="00074DE9">
        <w:t xml:space="preserve"> to operate additional ground stations to provide such supplemental service</w:t>
      </w:r>
      <w:r w:rsidR="0001002B">
        <w:t xml:space="preserve">.  Solely with respect to ground stations and mobile transmitters </w:t>
      </w:r>
      <w:r w:rsidR="00150581">
        <w:t>authorized</w:t>
      </w:r>
      <w:r w:rsidR="00EC6CC0">
        <w:t xml:space="preserve"> </w:t>
      </w:r>
      <w:r w:rsidR="00150581">
        <w:t xml:space="preserve">and deployed for the purpose of </w:t>
      </w:r>
      <w:r w:rsidR="00EC6CC0">
        <w:t>provid</w:t>
      </w:r>
      <w:r w:rsidR="00150581">
        <w:t>ing</w:t>
      </w:r>
      <w:r w:rsidR="00EC6CC0">
        <w:t xml:space="preserve"> UAS services</w:t>
      </w:r>
      <w:r w:rsidR="0001002B">
        <w:t>, we will waive the section 22.809 minimum power requirements so that they may operate at lower power</w:t>
      </w:r>
      <w:r w:rsidR="00555765">
        <w:t xml:space="preserve"> level</w:t>
      </w:r>
      <w:r w:rsidR="0001002B">
        <w:t>s</w:t>
      </w:r>
      <w:r w:rsidR="00555765">
        <w:t>,</w:t>
      </w:r>
      <w:r w:rsidR="0001002B">
        <w:t xml:space="preserve"> consistent with the demands of </w:t>
      </w:r>
      <w:r w:rsidR="00C63676">
        <w:t xml:space="preserve">AURA’s </w:t>
      </w:r>
      <w:r w:rsidR="0001002B">
        <w:t xml:space="preserve">new </w:t>
      </w:r>
      <w:r w:rsidR="00150581">
        <w:t>supplemental service</w:t>
      </w:r>
      <w:r w:rsidR="0001002B">
        <w:t xml:space="preserve">.  Finally, </w:t>
      </w:r>
      <w:r w:rsidR="003B4BF5">
        <w:t xml:space="preserve">while any new ground stations authorized pursuant to this waiver will remain subject to the section 22.817 construction requirement, </w:t>
      </w:r>
      <w:r w:rsidR="0001002B">
        <w:t xml:space="preserve">we waive the section 22.99 definition of “ground station” so that Petitioners may </w:t>
      </w:r>
      <w:r w:rsidR="003B4BF5">
        <w:t xml:space="preserve">demonstrate compliance with the construction requirement with provision of service to either airborne or non-airborne </w:t>
      </w:r>
      <w:r w:rsidR="001B1641">
        <w:t xml:space="preserve">aviation </w:t>
      </w:r>
      <w:r w:rsidR="003B4BF5">
        <w:t>subscribers.</w:t>
      </w:r>
    </w:p>
    <w:p w:rsidR="00485882" w:rsidP="00485882" w14:paraId="17F15F9A" w14:textId="74598B40">
      <w:pPr>
        <w:pStyle w:val="Heading2"/>
      </w:pPr>
      <w:bookmarkStart w:id="15" w:name="_Toc58853846"/>
      <w:bookmarkStart w:id="16" w:name="_Toc58853899"/>
      <w:bookmarkStart w:id="17" w:name="_Toc61528491"/>
      <w:r>
        <w:t xml:space="preserve">Waiver of </w:t>
      </w:r>
      <w:r w:rsidR="00300BAD">
        <w:t>channel policies</w:t>
      </w:r>
      <w:r>
        <w:t>.</w:t>
      </w:r>
      <w:bookmarkEnd w:id="15"/>
      <w:bookmarkEnd w:id="16"/>
      <w:bookmarkEnd w:id="17"/>
    </w:p>
    <w:p w:rsidR="0010691D" w:rsidP="00BA7592" w14:paraId="0E7717EB" w14:textId="3AE1696C">
      <w:pPr>
        <w:pStyle w:val="ParaNum"/>
        <w:widowControl/>
        <w:tabs>
          <w:tab w:val="clear" w:pos="1080"/>
          <w:tab w:val="num" w:pos="1440"/>
        </w:tabs>
      </w:pPr>
      <w:r>
        <w:t xml:space="preserve">We grant Petitioners’ request for waiver of the part 22 channel assignment policies for licenses in the 450 MHz band.  </w:t>
      </w:r>
      <w:r w:rsidR="0060773B">
        <w:t xml:space="preserve">Specifically, we grant Petitioners’ request for waiver of the technical channel pair assignment criteria in section 22.813 of the Commission’s rules for the limited purpose of allowing Petitioners to modify certain licenses to </w:t>
      </w:r>
      <w:r w:rsidR="00F90E4A">
        <w:t>engage in ongoing site and channel management of their existing nationwide network</w:t>
      </w:r>
      <w:r w:rsidR="0060773B">
        <w:t xml:space="preserve"> and to add additional sites to existing channel authorizations for Petitioners’ proposed new </w:t>
      </w:r>
      <w:r w:rsidR="007E05BA">
        <w:t xml:space="preserve">supplemental service </w:t>
      </w:r>
      <w:r w:rsidR="0060773B">
        <w:t xml:space="preserve">deployment.  Consistent with this relief, we also waive, on our own motion, </w:t>
      </w:r>
      <w:r w:rsidR="00685359">
        <w:t xml:space="preserve">certain provisions contained in </w:t>
      </w:r>
      <w:r w:rsidR="0060773B">
        <w:t>section 22.817’s additional channel policies.</w:t>
      </w:r>
    </w:p>
    <w:p w:rsidR="00AE5EB1" w:rsidP="00AE5EB1" w14:paraId="27F3C0BE" w14:textId="54D26794">
      <w:pPr>
        <w:pStyle w:val="ParaNum"/>
        <w:widowControl/>
        <w:tabs>
          <w:tab w:val="clear" w:pos="1080"/>
          <w:tab w:val="num" w:pos="1440"/>
        </w:tabs>
      </w:pPr>
      <w:r>
        <w:t xml:space="preserve">Petitioners request waiver of </w:t>
      </w:r>
      <w:r w:rsidR="00771AE6">
        <w:t>section 22.813’s</w:t>
      </w:r>
      <w:r>
        <w:t xml:space="preserve"> provisions for </w:t>
      </w:r>
      <w:r w:rsidR="004B4897">
        <w:t>three</w:t>
      </w:r>
      <w:r>
        <w:t xml:space="preserve"> purposes.  First, </w:t>
      </w:r>
      <w:r w:rsidR="004B4897">
        <w:t xml:space="preserve">Petitioners request that we extend the </w:t>
      </w:r>
      <w:r w:rsidR="004B4897">
        <w:rPr>
          <w:i/>
          <w:iCs/>
        </w:rPr>
        <w:t>2010 Order</w:t>
      </w:r>
      <w:r w:rsidR="004B4897">
        <w:t xml:space="preserve">’s waiver of 22.813 on a prospective basis to all of </w:t>
      </w:r>
      <w:r w:rsidR="00DD5FE2">
        <w:t>their</w:t>
      </w:r>
      <w:r w:rsidR="004B4897">
        <w:t xml:space="preserve"> existing licenses</w:t>
      </w:r>
      <w:r w:rsidR="00DD5FE2">
        <w:t xml:space="preserve"> in order to enable efficient construction, management, and operation of their existing nationwide network.</w:t>
      </w:r>
      <w:r>
        <w:rPr>
          <w:rStyle w:val="FootnoteReference"/>
        </w:rPr>
        <w:footnoteReference w:id="54"/>
      </w:r>
      <w:r w:rsidR="00DD5FE2">
        <w:t xml:space="preserve">  </w:t>
      </w:r>
      <w:r>
        <w:t xml:space="preserve">Waiver would enable Petitioners to respond to dynamic network needs </w:t>
      </w:r>
      <w:r w:rsidR="001F41B2">
        <w:t xml:space="preserve">by relocating </w:t>
      </w:r>
      <w:r w:rsidR="00A75296">
        <w:t xml:space="preserve">existing </w:t>
      </w:r>
      <w:r w:rsidR="001F41B2">
        <w:t>ground stations and seeking additional authorization</w:t>
      </w:r>
      <w:r w:rsidR="00A75296">
        <w:t xml:space="preserve"> </w:t>
      </w:r>
      <w:r>
        <w:t xml:space="preserve">at locations where they do not already hold all </w:t>
      </w:r>
      <w:r w:rsidR="00102F1C">
        <w:t xml:space="preserve">available </w:t>
      </w:r>
      <w:r>
        <w:t xml:space="preserve">channels.  </w:t>
      </w:r>
      <w:r w:rsidR="00DD5FE2">
        <w:t>Second, Petitioners seek waiver of section 22.813</w:t>
      </w:r>
      <w:r w:rsidR="00CA0D72">
        <w:t xml:space="preserve">(a)’s co-channel distance separation requirements </w:t>
      </w:r>
      <w:r w:rsidR="00DD5FE2">
        <w:t>to enable them to</w:t>
      </w:r>
      <w:r>
        <w:t xml:space="preserve"> deploy their proposed supplemental service by adding</w:t>
      </w:r>
      <w:r w:rsidR="00DD5FE2">
        <w:t xml:space="preserve"> ground stations </w:t>
      </w:r>
      <w:r>
        <w:t>that will operate on</w:t>
      </w:r>
      <w:r w:rsidR="00DD5FE2">
        <w:t xml:space="preserve"> existing </w:t>
      </w:r>
      <w:r w:rsidRPr="00DD5FE2" w:rsidR="00DD5FE2">
        <w:t>authorized channel</w:t>
      </w:r>
      <w:r w:rsidR="00DD5FE2">
        <w:t>s</w:t>
      </w:r>
      <w:r>
        <w:t>.</w:t>
      </w:r>
      <w:r>
        <w:rPr>
          <w:rStyle w:val="FootnoteReference"/>
        </w:rPr>
        <w:footnoteReference w:id="55"/>
      </w:r>
      <w:r>
        <w:t xml:space="preserve">  While Petitioners did not seek waiver of section 22.817</w:t>
      </w:r>
      <w:r w:rsidR="00685359">
        <w:t>(f)</w:t>
      </w:r>
      <w:r>
        <w:t>’s limit of six channel assignments per carrier in a given 350 kilometer area, waiver of those provisions would also be necessary at any locations where Petitioners seek to add new channels exceeding the maximum of six channels at a given ground station location.</w:t>
      </w:r>
    </w:p>
    <w:p w:rsidR="005614B8" w:rsidP="00BA7592" w14:paraId="55F4FAFE" w14:textId="42364E1B">
      <w:pPr>
        <w:pStyle w:val="ParaNum"/>
        <w:widowControl/>
        <w:tabs>
          <w:tab w:val="clear" w:pos="1080"/>
          <w:tab w:val="num" w:pos="1440"/>
        </w:tabs>
      </w:pPr>
      <w:r>
        <w:t xml:space="preserve">Consistent with the relief we granted </w:t>
      </w:r>
      <w:r w:rsidR="004903A5">
        <w:t xml:space="preserve">to Petitioners’ predecessor entities </w:t>
      </w:r>
      <w:r>
        <w:t xml:space="preserve">in the </w:t>
      </w:r>
      <w:r>
        <w:rPr>
          <w:i/>
          <w:iCs/>
        </w:rPr>
        <w:t>2010 Order</w:t>
      </w:r>
      <w:r w:rsidR="004903A5">
        <w:t xml:space="preserve"> to enable more efficient and intensive use of the 450 MHz band spectrum</w:t>
      </w:r>
      <w:r>
        <w:t>, we find that waiver of section</w:t>
      </w:r>
      <w:r w:rsidR="004903A5">
        <w:t>s</w:t>
      </w:r>
      <w:r>
        <w:t xml:space="preserve"> 22.813 and 22.817</w:t>
      </w:r>
      <w:r w:rsidR="00685359">
        <w:t>(f)</w:t>
      </w:r>
      <w:r>
        <w:t xml:space="preserve">, to the extent described herein, is warranted to support Petitioners’ ongoing management of their existing nationwide network and enable deployment of </w:t>
      </w:r>
      <w:r w:rsidR="00346011">
        <w:t>additional ground stations to provide</w:t>
      </w:r>
      <w:r>
        <w:t xml:space="preserve"> supplemental services.</w:t>
      </w:r>
      <w:r>
        <w:rPr>
          <w:rStyle w:val="FootnoteReference"/>
        </w:rPr>
        <w:footnoteReference w:id="56"/>
      </w:r>
      <w:r w:rsidR="004903A5">
        <w:t xml:space="preserve">  </w:t>
      </w:r>
      <w:r w:rsidR="006A337D">
        <w:t xml:space="preserve">As noted, the </w:t>
      </w:r>
      <w:r w:rsidR="004903A5">
        <w:t>technical channel assignment criteria set forth in section 22.813</w:t>
      </w:r>
      <w:r>
        <w:t xml:space="preserve"> are intended to ensure “</w:t>
      </w:r>
      <w:r w:rsidRPr="005614B8">
        <w:t>substantial service volumes over areas</w:t>
      </w:r>
      <w:r>
        <w:t>” with high demand, while also maintaining “continuous nationwide in-route coverage” to general aviation air-ground subscribers.</w:t>
      </w:r>
      <w:r>
        <w:rPr>
          <w:vertAlign w:val="superscript"/>
        </w:rPr>
        <w:footnoteReference w:id="57"/>
      </w:r>
      <w:r>
        <w:t xml:space="preserve">  Section 22.817’s additional channel policies are designed to foster competition among multiple carriers in the band.  We find that neither of these goals will be undermined by grant of waiver in this case.</w:t>
      </w:r>
    </w:p>
    <w:p w:rsidR="00D5444B" w:rsidP="00BA7592" w14:paraId="3261BB97" w14:textId="67619C05">
      <w:pPr>
        <w:pStyle w:val="ParaNum"/>
        <w:widowControl/>
        <w:tabs>
          <w:tab w:val="clear" w:pos="1080"/>
          <w:tab w:val="num" w:pos="1440"/>
        </w:tabs>
      </w:pPr>
      <w:r>
        <w:t>First, waiver of section</w:t>
      </w:r>
      <w:r w:rsidR="00CA0D72">
        <w:t>s</w:t>
      </w:r>
      <w:r>
        <w:t xml:space="preserve"> 22.813</w:t>
      </w:r>
      <w:r w:rsidR="00CA0D72">
        <w:t xml:space="preserve"> and 22.817</w:t>
      </w:r>
      <w:r w:rsidR="00685359">
        <w:t>(f)</w:t>
      </w:r>
      <w:r>
        <w:t xml:space="preserve"> to enable Petitioners to relocate </w:t>
      </w:r>
      <w:r w:rsidR="00AE5EB1">
        <w:t>certain existing</w:t>
      </w:r>
      <w:r>
        <w:t xml:space="preserve"> </w:t>
      </w:r>
      <w:r w:rsidR="00272A21">
        <w:t xml:space="preserve">general aviation air-ground </w:t>
      </w:r>
      <w:r>
        <w:t xml:space="preserve">stations </w:t>
      </w:r>
      <w:r w:rsidR="00A61ACA">
        <w:t xml:space="preserve">and to seek additional channel authorizations </w:t>
      </w:r>
      <w:r w:rsidR="00102F1C">
        <w:t xml:space="preserve">at new locations </w:t>
      </w:r>
      <w:r w:rsidR="00A61ACA">
        <w:t xml:space="preserve">in </w:t>
      </w:r>
      <w:r w:rsidR="00102F1C">
        <w:t>order to optimize re-use of the spectrum</w:t>
      </w:r>
      <w:r>
        <w:t xml:space="preserve"> is precisely the type of dynamic, efficient spectrum management we </w:t>
      </w:r>
      <w:r w:rsidR="00CC00FF">
        <w:t xml:space="preserve">envisioned when we originally granted waiver to Petitioners’ predecessor entities in the </w:t>
      </w:r>
      <w:r w:rsidR="00CC00FF">
        <w:rPr>
          <w:i/>
          <w:iCs/>
        </w:rPr>
        <w:t>2010 Order</w:t>
      </w:r>
      <w:r w:rsidR="00CC00FF">
        <w:t>.  In fact, we found that the ability to “effectively manage and operate” their network was a primary public interest benefit supporting waiver of section 22.813, and</w:t>
      </w:r>
      <w:r w:rsidR="00A61ACA">
        <w:t xml:space="preserve"> we therefore</w:t>
      </w:r>
      <w:r w:rsidR="00CC00FF">
        <w:t xml:space="preserve"> conditioned relief on Petitioners’ predecessor entities</w:t>
      </w:r>
      <w:r w:rsidR="00883340">
        <w:t>’</w:t>
      </w:r>
      <w:r w:rsidR="00CC00FF">
        <w:t xml:space="preserve"> commitment to “shift use of channels as demand shifts” and ensure the network is “managed in such a way that the system can meet demand nationwide on general aviation aircraft.”</w:t>
      </w:r>
      <w:r>
        <w:rPr>
          <w:rStyle w:val="FootnoteReference"/>
        </w:rPr>
        <w:footnoteReference w:id="58"/>
      </w:r>
      <w:r w:rsidRPr="005614B8">
        <w:t xml:space="preserve">  </w:t>
      </w:r>
      <w:r w:rsidR="003E59A0">
        <w:t>S</w:t>
      </w:r>
      <w:r w:rsidR="00CC00FF">
        <w:t>trict application of section 22.813</w:t>
      </w:r>
      <w:r w:rsidR="004B4897">
        <w:t xml:space="preserve"> </w:t>
      </w:r>
      <w:r w:rsidR="006A232A">
        <w:t xml:space="preserve">here </w:t>
      </w:r>
      <w:r w:rsidR="004B4897">
        <w:t>would not serve the public interest</w:t>
      </w:r>
      <w:r w:rsidR="00CA0D72">
        <w:t>,</w:t>
      </w:r>
      <w:r w:rsidR="004B4897">
        <w:t xml:space="preserve"> as it would directly undermine Petitioners’ ability to engage in the dynamic network management upon which we conditioned our previous relief, and waiver</w:t>
      </w:r>
      <w:r w:rsidR="003E59A0">
        <w:t xml:space="preserve"> of section 22.813 </w:t>
      </w:r>
      <w:r w:rsidR="004B4897">
        <w:t>is therefore warranted.</w:t>
      </w:r>
    </w:p>
    <w:p w:rsidR="003E59A0" w:rsidP="00B9515B" w14:paraId="4E6372D8" w14:textId="163DA748">
      <w:pPr>
        <w:pStyle w:val="ParaNum"/>
        <w:widowControl/>
        <w:tabs>
          <w:tab w:val="clear" w:pos="1080"/>
          <w:tab w:val="num" w:pos="1440"/>
        </w:tabs>
      </w:pPr>
      <w:r>
        <w:t xml:space="preserve">Furthermore, Petitioners point out that the site relocations contained in </w:t>
      </w:r>
      <w:r w:rsidR="00C97946">
        <w:t>recently granted</w:t>
      </w:r>
      <w:r>
        <w:t xml:space="preserve"> modification applications reflect the typical “network design changes in all large-scale wireless network deployments,” and demonstrate the flexibility required for Petitioners to respond </w:t>
      </w:r>
      <w:r w:rsidR="00883340">
        <w:t xml:space="preserve">efficiently and expeditiously </w:t>
      </w:r>
      <w:r>
        <w:t>to network demands.  Petitioners argue that waiver of the part 22 channel assignment policies on a prospective, rather than ad hoc, basis would enable them to respond to such demands with the necessary speed and efficiency.</w:t>
      </w:r>
      <w:r w:rsidR="001E7ABA">
        <w:t xml:space="preserve">  We agree</w:t>
      </w:r>
      <w:r w:rsidR="00F90E4A">
        <w:t xml:space="preserve">.  </w:t>
      </w:r>
      <w:r w:rsidR="001E7ABA">
        <w:t xml:space="preserve">Importantly, as was the case at the time of the </w:t>
      </w:r>
      <w:r w:rsidRPr="00B9515B" w:rsidR="001E7ABA">
        <w:rPr>
          <w:i/>
          <w:iCs/>
        </w:rPr>
        <w:t>2010 Order</w:t>
      </w:r>
      <w:r w:rsidR="001E7ABA">
        <w:t>, Petitioners have licenses</w:t>
      </w:r>
      <w:r w:rsidR="00C97946">
        <w:t xml:space="preserve"> that</w:t>
      </w:r>
      <w:r w:rsidR="001E7ABA">
        <w:t xml:space="preserve"> effectively </w:t>
      </w:r>
      <w:r w:rsidR="00C97946">
        <w:t>constitute</w:t>
      </w:r>
      <w:r w:rsidR="001E7ABA">
        <w:t xml:space="preserve"> exclusive nationwide use of the 450 MHz band</w:t>
      </w:r>
      <w:r w:rsidR="00FA5FDD">
        <w:t xml:space="preserve">.  As the only operator in the band, AURA can manage its network in a manner that avoids the potential co-channel interference that section 22.813(a) is designed to prevent.  The regional gaps in service that section 22.813(b)’s dispersion requirement is designed to prevent have already been addressed by Petitioners’ established operation of a nationwide general aviation air-ground service on their existing network.  </w:t>
      </w:r>
      <w:r w:rsidR="00F90E4A">
        <w:t>T</w:t>
      </w:r>
      <w:r w:rsidR="00FA5FDD">
        <w:t>he competition objectives of section 22.817 are unlikely to be served by strict application in this case, since section 22.813(a)’s co-channel distance separation requirements would limit the ability of third parties to apply for new channels and put into operation a viable network.</w:t>
      </w:r>
      <w:r>
        <w:rPr>
          <w:rStyle w:val="FootnoteReference"/>
        </w:rPr>
        <w:footnoteReference w:id="59"/>
      </w:r>
      <w:r w:rsidR="00F90E4A">
        <w:t xml:space="preserve">  We therefore find that the underlying purposes of sections 22.813 and 22.817</w:t>
      </w:r>
      <w:r w:rsidR="00685359">
        <w:t>(f)</w:t>
      </w:r>
      <w:r w:rsidR="00F90E4A">
        <w:t xml:space="preserve"> will not be undermined by grant of waiver as described herein and </w:t>
      </w:r>
      <w:r w:rsidR="00CD3F03">
        <w:t xml:space="preserve">that </w:t>
      </w:r>
      <w:r w:rsidR="00F90E4A">
        <w:t>extension of our previous waiver relief is therefore warranted.</w:t>
      </w:r>
      <w:r>
        <w:rPr>
          <w:rStyle w:val="FootnoteReference"/>
        </w:rPr>
        <w:footnoteReference w:id="60"/>
      </w:r>
    </w:p>
    <w:p w:rsidR="00521E3A" w:rsidRPr="00BC76D6" w:rsidP="00BC76D6" w14:paraId="7D4D5003" w14:textId="7588517C">
      <w:pPr>
        <w:pStyle w:val="ParaNum"/>
        <w:widowControl/>
        <w:tabs>
          <w:tab w:val="clear" w:pos="1080"/>
          <w:tab w:val="num" w:pos="1440"/>
        </w:tabs>
      </w:pPr>
      <w:r>
        <w:t>Second, waiver of section</w:t>
      </w:r>
      <w:r w:rsidR="004A4E50">
        <w:t xml:space="preserve"> 22.813</w:t>
      </w:r>
      <w:r w:rsidR="00483A03">
        <w:t xml:space="preserve"> provisions—</w:t>
      </w:r>
      <w:r>
        <w:t>co-channel distance separation requirements</w:t>
      </w:r>
      <w:r w:rsidR="009E3D73">
        <w:t xml:space="preserve"> and </w:t>
      </w:r>
      <w:r w:rsidR="00B21D6E">
        <w:t xml:space="preserve">limits on the number of transmitters </w:t>
      </w:r>
      <w:r w:rsidR="007E39CA">
        <w:t>permitted within an area</w:t>
      </w:r>
      <w:r w:rsidR="00483A03">
        <w:t>—</w:t>
      </w:r>
      <w:r w:rsidR="003E59A0">
        <w:t xml:space="preserve">to enable Petitioners’ proposed deployment of </w:t>
      </w:r>
      <w:r w:rsidR="00F90E4A">
        <w:t xml:space="preserve">a </w:t>
      </w:r>
      <w:r w:rsidR="003E59A0">
        <w:t>new</w:t>
      </w:r>
      <w:r w:rsidR="00F90E4A">
        <w:t>, non-traditional general aviation air-ground service</w:t>
      </w:r>
      <w:r w:rsidR="00C01C20">
        <w:t xml:space="preserve"> is consistent with the Commission’s statutory mandate to “encourage the provision of new technologies and services to the public.”</w:t>
      </w:r>
      <w:r>
        <w:rPr>
          <w:rStyle w:val="FootnoteReference"/>
        </w:rPr>
        <w:footnoteReference w:id="61"/>
      </w:r>
      <w:r w:rsidR="00C01C20">
        <w:t xml:space="preserve">  </w:t>
      </w:r>
      <w:r w:rsidR="002656D4">
        <w:t xml:space="preserve">Our waiver of part 22’s channel assignment policies in the </w:t>
      </w:r>
      <w:r w:rsidR="00C01C20">
        <w:rPr>
          <w:i/>
          <w:iCs/>
        </w:rPr>
        <w:t>2010 Order</w:t>
      </w:r>
      <w:r w:rsidR="00C01C20">
        <w:t xml:space="preserve"> </w:t>
      </w:r>
      <w:r w:rsidR="002656D4">
        <w:t>was based in part on the anticipation that such relief would “increase the scope and quality of services offered,” and “stimulate the growth of additional products and services.”</w:t>
      </w:r>
      <w:r>
        <w:rPr>
          <w:rStyle w:val="FootnoteReference"/>
        </w:rPr>
        <w:footnoteReference w:id="62"/>
      </w:r>
      <w:r w:rsidR="002656D4">
        <w:t xml:space="preserve">  The proposed new services Petitioners now seek to deploy would provide those exact public interest benefits on which we based our prior relief.  </w:t>
      </w:r>
      <w:r w:rsidR="00BC76D6">
        <w:t xml:space="preserve">We further find that there is little risk of co-channel interference from the new </w:t>
      </w:r>
      <w:r w:rsidR="004B2B0E">
        <w:t>service offerings</w:t>
      </w:r>
      <w:r w:rsidR="00BC76D6">
        <w:t>, since AURA will be able to avoid such risk as the sole operator in the band.</w:t>
      </w:r>
      <w:r>
        <w:rPr>
          <w:rStyle w:val="FootnoteReference"/>
        </w:rPr>
        <w:footnoteReference w:id="63"/>
      </w:r>
      <w:r w:rsidR="00BC76D6">
        <w:t xml:space="preserve">  We therefore waive section 22.813’s co-channel distance separation requirements</w:t>
      </w:r>
      <w:r w:rsidR="00B56FE5">
        <w:t xml:space="preserve"> and limits on</w:t>
      </w:r>
      <w:r w:rsidR="00D61262">
        <w:t xml:space="preserve"> the number of</w:t>
      </w:r>
      <w:r w:rsidR="00B56FE5">
        <w:t xml:space="preserve"> transmitters </w:t>
      </w:r>
      <w:r w:rsidR="005F5A85">
        <w:t xml:space="preserve">permitted </w:t>
      </w:r>
      <w:r w:rsidR="007E39CA">
        <w:t>within</w:t>
      </w:r>
      <w:r w:rsidR="00B56FE5">
        <w:t xml:space="preserve"> a 320-kilometer radius</w:t>
      </w:r>
      <w:r w:rsidR="00BC76D6">
        <w:t xml:space="preserve"> to allow Petitioners </w:t>
      </w:r>
      <w:r w:rsidRPr="00BC76D6" w:rsidR="00BC76D6">
        <w:t>to add new antenna locations for ground transmitters to operate on authorized channels and provide additional, non-traditional general aviation air-ground services, including data services to non-airborne aviation subscribers operating unmanned aircraft</w:t>
      </w:r>
      <w:r w:rsidR="00BC76D6">
        <w:t>.</w:t>
      </w:r>
    </w:p>
    <w:p w:rsidR="008F109C" w:rsidP="008F109C" w14:paraId="5B8BF5D8" w14:textId="273D497B">
      <w:pPr>
        <w:pStyle w:val="Heading2"/>
      </w:pPr>
      <w:bookmarkStart w:id="18" w:name="_Toc61528492"/>
      <w:bookmarkStart w:id="19" w:name="_Toc58853847"/>
      <w:bookmarkStart w:id="20" w:name="_Toc58853900"/>
      <w:r>
        <w:t xml:space="preserve">Process and </w:t>
      </w:r>
      <w:r w:rsidR="00685359">
        <w:t xml:space="preserve">Conditions for </w:t>
      </w:r>
      <w:r>
        <w:t xml:space="preserve">Implementing the </w:t>
      </w:r>
      <w:r w:rsidR="00BC76D6">
        <w:t>Waiver</w:t>
      </w:r>
      <w:bookmarkEnd w:id="18"/>
      <w:r w:rsidR="00BC76D6">
        <w:t xml:space="preserve"> </w:t>
      </w:r>
      <w:bookmarkEnd w:id="19"/>
      <w:bookmarkEnd w:id="20"/>
    </w:p>
    <w:p w:rsidR="0067231A" w:rsidP="007A0D11" w14:paraId="30692096" w14:textId="7538AB6D">
      <w:pPr>
        <w:pStyle w:val="ParaNum"/>
        <w:widowControl/>
        <w:tabs>
          <w:tab w:val="clear" w:pos="1080"/>
          <w:tab w:val="num" w:pos="1440"/>
        </w:tabs>
      </w:pPr>
      <w:r>
        <w:t xml:space="preserve">Below, we describe the </w:t>
      </w:r>
      <w:r w:rsidR="00A878AE">
        <w:t xml:space="preserve">process </w:t>
      </w:r>
      <w:r>
        <w:t>by which the waiver relief will be applied to both the existing general aviation air-ground deployment as well as the supplemental services that Petitioners seek to provide.  The following also describes the conditions</w:t>
      </w:r>
      <w:r w:rsidR="001D0503">
        <w:t xml:space="preserve"> that Petitioners must meet, </w:t>
      </w:r>
      <w:r w:rsidR="00042507">
        <w:t xml:space="preserve">which </w:t>
      </w:r>
      <w:r w:rsidR="001D0503">
        <w:t>consist</w:t>
      </w:r>
      <w:r w:rsidR="00042507">
        <w:t xml:space="preserve"> </w:t>
      </w:r>
      <w:r w:rsidR="001D0503">
        <w:t xml:space="preserve">of waiver and other </w:t>
      </w:r>
      <w:r w:rsidR="000C7687">
        <w:t xml:space="preserve">standard </w:t>
      </w:r>
      <w:r w:rsidR="001D0503">
        <w:t xml:space="preserve">Commission requirements as well as a provision </w:t>
      </w:r>
      <w:r w:rsidR="00412412">
        <w:t>that</w:t>
      </w:r>
      <w:r w:rsidR="001D0503">
        <w:t xml:space="preserve"> m</w:t>
      </w:r>
      <w:r w:rsidR="00DE55F1">
        <w:t>ay set the stage for</w:t>
      </w:r>
      <w:r w:rsidR="00BF291B">
        <w:t xml:space="preserve"> even greater flexibility for the operations in this band.  </w:t>
      </w:r>
    </w:p>
    <w:p w:rsidR="00BC76D6" w:rsidP="00BA7592" w14:paraId="693F1C29" w14:textId="0D2E2BEE">
      <w:pPr>
        <w:pStyle w:val="ParaNum"/>
        <w:widowControl/>
        <w:tabs>
          <w:tab w:val="clear" w:pos="1080"/>
          <w:tab w:val="num" w:pos="1440"/>
        </w:tabs>
      </w:pPr>
      <w:r>
        <w:t xml:space="preserve">We will apply </w:t>
      </w:r>
      <w:r w:rsidR="00886106">
        <w:t xml:space="preserve">a </w:t>
      </w:r>
      <w:r>
        <w:t>waiver of section</w:t>
      </w:r>
      <w:r w:rsidR="00685359">
        <w:t>s</w:t>
      </w:r>
      <w:r>
        <w:t xml:space="preserve"> 22.813 and 22.817</w:t>
      </w:r>
      <w:r w:rsidR="00685359">
        <w:t>(f)</w:t>
      </w:r>
      <w:r>
        <w:t xml:space="preserve"> to all of Petitioners’ existing 450 MHz band</w:t>
      </w:r>
      <w:r w:rsidR="00C133D0">
        <w:t xml:space="preserve"> general aviation air-ground</w:t>
      </w:r>
      <w:r>
        <w:t xml:space="preserve"> licenses.</w:t>
      </w:r>
      <w:r>
        <w:rPr>
          <w:rStyle w:val="FootnoteReference"/>
        </w:rPr>
        <w:footnoteReference w:id="64"/>
      </w:r>
      <w:r w:rsidR="00816F7E">
        <w:t xml:space="preserve">  Petitioners may relocate existing </w:t>
      </w:r>
      <w:r w:rsidR="00BA496E">
        <w:t xml:space="preserve">general aviation air-ground </w:t>
      </w:r>
      <w:r w:rsidR="00816F7E">
        <w:t xml:space="preserve">ground stations as necessary to effectively manage </w:t>
      </w:r>
      <w:r w:rsidR="00F97531">
        <w:t>the</w:t>
      </w:r>
      <w:r w:rsidR="00816F7E">
        <w:t xml:space="preserve"> existing nationwide network and seek authorization for additional ground stations, even where such ground stations would </w:t>
      </w:r>
      <w:r w:rsidR="00A878AE">
        <w:t xml:space="preserve">be inconsistent with </w:t>
      </w:r>
      <w:r w:rsidR="00816F7E">
        <w:t xml:space="preserve">the co-channel distance separation and dispersion requirements of section 22.813. </w:t>
      </w:r>
      <w:r w:rsidR="00F97531">
        <w:t xml:space="preserve"> </w:t>
      </w:r>
      <w:r w:rsidR="00F4733B">
        <w:t xml:space="preserve">However, because relief is based largely on Petitioners’ effectively having exclusive use of the band by virtue of their existing network deployment, to </w:t>
      </w:r>
      <w:r w:rsidRPr="00F4733B" w:rsidR="00F4733B">
        <w:t xml:space="preserve">the extent that Petitioners relocate ground stations or </w:t>
      </w:r>
      <w:r w:rsidR="00736D57">
        <w:t>modifies or ceases</w:t>
      </w:r>
      <w:r w:rsidRPr="00F4733B" w:rsidR="00736D57">
        <w:t xml:space="preserve"> </w:t>
      </w:r>
      <w:r w:rsidRPr="00F4733B" w:rsidR="00F4733B">
        <w:t>operations in a manner that reduces their existing general aviation air-ground footprint, the waiver relief we grant herein would be terminated, with respect to both the general aviation air-ground network as well as the corresponding supplemental UAS operations, in the area in which the existing footprint has been reduced</w:t>
      </w:r>
      <w:r w:rsidRPr="00F4733B" w:rsidR="00A0039E">
        <w:t>.</w:t>
      </w:r>
      <w:r>
        <w:rPr>
          <w:rStyle w:val="FootnoteReference"/>
        </w:rPr>
        <w:footnoteReference w:id="65"/>
      </w:r>
      <w:r w:rsidRPr="00F4733B" w:rsidR="00F97531">
        <w:t xml:space="preserve">  </w:t>
      </w:r>
      <w:r w:rsidRPr="00F4733B" w:rsidR="00816F7E">
        <w:t xml:space="preserve">Petitioners may also seek authorization for additional channels within the same area as an existing authorized </w:t>
      </w:r>
      <w:r w:rsidRPr="00F4733B" w:rsidR="00CD2060">
        <w:t>general aviation air</w:t>
      </w:r>
      <w:r w:rsidR="00CD2060">
        <w:t xml:space="preserve">-ground </w:t>
      </w:r>
      <w:r w:rsidR="00816F7E">
        <w:t>ground station, even where grant of such an application would result in assignment to Petitioners of more than six channels in the same area.  We note</w:t>
      </w:r>
      <w:r w:rsidR="00E92612">
        <w:t>,</w:t>
      </w:r>
      <w:r w:rsidR="00816F7E">
        <w:t xml:space="preserve"> however, that the provisions of section 22.817 limiting channel assignments to one channel in the same area at a time</w:t>
      </w:r>
      <w:r>
        <w:rPr>
          <w:rStyle w:val="FootnoteReference"/>
        </w:rPr>
        <w:footnoteReference w:id="66"/>
      </w:r>
      <w:r w:rsidR="00816F7E">
        <w:t xml:space="preserve"> and </w:t>
      </w:r>
      <w:r w:rsidR="00115058">
        <w:t xml:space="preserve">requiring </w:t>
      </w:r>
      <w:r w:rsidR="00816F7E">
        <w:t>licensees to construct authorized channels prior to seeking additional channel</w:t>
      </w:r>
      <w:r w:rsidR="00F97531">
        <w:t xml:space="preserve"> authorization</w:t>
      </w:r>
      <w:r w:rsidR="00816F7E">
        <w:t>s in the same area</w:t>
      </w:r>
      <w:r>
        <w:rPr>
          <w:rStyle w:val="FootnoteReference"/>
        </w:rPr>
        <w:footnoteReference w:id="67"/>
      </w:r>
      <w:r w:rsidR="00816F7E">
        <w:t xml:space="preserve"> will continue to apply to any such applications.  </w:t>
      </w:r>
      <w:r w:rsidR="00B56AE7">
        <w:t xml:space="preserve">We also note that, consistent with the Commission’s statutory requirements and general application rules, any applications to add or relocate ground stations or for additional channel authorizations would be deemed major </w:t>
      </w:r>
      <w:r w:rsidR="00115058">
        <w:t xml:space="preserve">modifications </w:t>
      </w:r>
      <w:r w:rsidR="00B56AE7">
        <w:t>and therefore subject to 30-day notice prior to grant.</w:t>
      </w:r>
      <w:r>
        <w:rPr>
          <w:rStyle w:val="FootnoteReference"/>
        </w:rPr>
        <w:footnoteReference w:id="68"/>
      </w:r>
      <w:r w:rsidR="00B56AE7">
        <w:t xml:space="preserve">  </w:t>
      </w:r>
    </w:p>
    <w:p w:rsidR="008F109C" w:rsidP="00BA7592" w14:paraId="1E857F1F" w14:textId="5EC58628">
      <w:pPr>
        <w:pStyle w:val="ParaNum"/>
        <w:widowControl/>
        <w:tabs>
          <w:tab w:val="clear" w:pos="1080"/>
          <w:tab w:val="num" w:pos="1440"/>
        </w:tabs>
      </w:pPr>
      <w:bookmarkStart w:id="21" w:name="_Hlk58925555"/>
      <w:r>
        <w:t>W</w:t>
      </w:r>
      <w:r w:rsidR="00996F50">
        <w:t xml:space="preserve">e </w:t>
      </w:r>
      <w:r w:rsidR="00115058">
        <w:t xml:space="preserve">also </w:t>
      </w:r>
      <w:r w:rsidR="00996F50">
        <w:t xml:space="preserve">will apply </w:t>
      </w:r>
      <w:r w:rsidR="00886106">
        <w:t xml:space="preserve">a </w:t>
      </w:r>
      <w:r w:rsidR="00996F50">
        <w:t>waiver of sections 2.106, 22.99, 22.107(d), 22.805</w:t>
      </w:r>
      <w:r w:rsidR="00B56AE7">
        <w:t>, 22.809, and 22.813</w:t>
      </w:r>
      <w:r w:rsidR="00996F50">
        <w:t xml:space="preserve"> </w:t>
      </w:r>
      <w:r w:rsidR="004A4E50">
        <w:t xml:space="preserve">for the limited purpose of allowing </w:t>
      </w:r>
      <w:r w:rsidR="00996F50">
        <w:t xml:space="preserve">Petitioners </w:t>
      </w:r>
      <w:r w:rsidR="004A4E50">
        <w:t>to</w:t>
      </w:r>
      <w:r w:rsidR="00996F50">
        <w:t xml:space="preserve"> seek authorization for additional co-channel ground stations for the provision </w:t>
      </w:r>
      <w:r w:rsidR="00C00888">
        <w:t xml:space="preserve">of </w:t>
      </w:r>
      <w:r w:rsidR="00996F50">
        <w:t>new</w:t>
      </w:r>
      <w:r w:rsidRPr="00BC76D6" w:rsidR="00996F50">
        <w:t xml:space="preserve">, non-traditional general aviation air-ground services </w:t>
      </w:r>
      <w:r w:rsidR="00BF291B">
        <w:t>on all authorized channels for which Petitioners are providing general aviation air-ground service</w:t>
      </w:r>
      <w:r w:rsidR="00996F50">
        <w:t xml:space="preserve">.  </w:t>
      </w:r>
      <w:bookmarkEnd w:id="21"/>
      <w:r w:rsidR="00996F50">
        <w:t>Specifically, where Petitioners hold channel authorizations for a given location and have demonstrated provision of general aviation air-ground service to subscribers,</w:t>
      </w:r>
      <w:r>
        <w:rPr>
          <w:rStyle w:val="FootnoteReference"/>
        </w:rPr>
        <w:footnoteReference w:id="69"/>
      </w:r>
      <w:r w:rsidR="00996F50">
        <w:t xml:space="preserve"> Petitioners may file modification applications that seek authorization for</w:t>
      </w:r>
      <w:r w:rsidR="00B56AE7">
        <w:t xml:space="preserve"> an additional ground station to operate on any channels authorized by the license, so long as the new ground station is within 800 kilometers of the existing</w:t>
      </w:r>
      <w:r w:rsidR="004A4E50">
        <w:t xml:space="preserve"> authorized</w:t>
      </w:r>
      <w:r w:rsidR="00B56AE7">
        <w:t xml:space="preserve"> ground station.  </w:t>
      </w:r>
      <w:r w:rsidR="004A4E50">
        <w:t xml:space="preserve">Ground stations authorized pursuant to such a modification application will be permitted to operate aviation services other than general aviation air-ground services, including data services to non-airborne aviation subscribers operating unmanned aircraft.  </w:t>
      </w:r>
      <w:r w:rsidR="00B56AE7">
        <w:t xml:space="preserve">We note that such applications would be deemed major modifications and therefore subject to </w:t>
      </w:r>
      <w:r w:rsidR="00AA63B2">
        <w:t xml:space="preserve">a </w:t>
      </w:r>
      <w:r w:rsidR="00B56AE7">
        <w:t xml:space="preserve">30-day </w:t>
      </w:r>
      <w:r w:rsidR="00A760FB">
        <w:t xml:space="preserve">petition to deny period </w:t>
      </w:r>
      <w:r w:rsidR="00B56AE7">
        <w:t>prior to grant.</w:t>
      </w:r>
      <w:r>
        <w:rPr>
          <w:rStyle w:val="FootnoteReference"/>
        </w:rPr>
        <w:footnoteReference w:id="70"/>
      </w:r>
      <w:r w:rsidR="00B56AE7">
        <w:t xml:space="preserve">  </w:t>
      </w:r>
      <w:r w:rsidR="00592CE4">
        <w:t xml:space="preserve">Further, </w:t>
      </w:r>
      <w:r w:rsidR="004A4E50">
        <w:t>any additional stations will remain subject</w:t>
      </w:r>
      <w:r w:rsidR="00C00888">
        <w:t xml:space="preserve"> to</w:t>
      </w:r>
      <w:r w:rsidR="004A4E50">
        <w:t xml:space="preserve"> </w:t>
      </w:r>
      <w:r w:rsidR="00AA63B2">
        <w:t>the</w:t>
      </w:r>
      <w:r w:rsidR="004A4E50">
        <w:t xml:space="preserve"> construction requirements</w:t>
      </w:r>
      <w:r w:rsidR="000775ED">
        <w:t xml:space="preserve"> and additional channel policies</w:t>
      </w:r>
      <w:r w:rsidR="00AA63B2">
        <w:t xml:space="preserve"> in section 22.815 and 22.817, respectively</w:t>
      </w:r>
      <w:r w:rsidR="004A4E50">
        <w:t xml:space="preserve">, but </w:t>
      </w:r>
      <w:r w:rsidR="00AA63B2">
        <w:t xml:space="preserve">Petitioners </w:t>
      </w:r>
      <w:r w:rsidR="004A4E50">
        <w:t xml:space="preserve">may demonstrate compliance with such requirements </w:t>
      </w:r>
      <w:r w:rsidR="000775ED">
        <w:t xml:space="preserve">with services they provide pursuant to our waivers of the general aviation air-ground service requirements herein.  </w:t>
      </w:r>
    </w:p>
    <w:p w:rsidR="00EA6A7B" w:rsidP="00BA7592" w14:paraId="43CFDD76" w14:textId="588CA418">
      <w:pPr>
        <w:pStyle w:val="ParaNum"/>
        <w:widowControl/>
        <w:tabs>
          <w:tab w:val="clear" w:pos="1080"/>
          <w:tab w:val="num" w:pos="1440"/>
        </w:tabs>
      </w:pPr>
      <w:r>
        <w:t>We note that any new or relocated ground stations, whether used to support the existing general aviation air-ground service or a supplemental service, must comply with all existing and any future international coordination requirements applicable to operations in the 450 MHz band.  Additionally, in</w:t>
      </w:r>
      <w:r w:rsidRPr="00EF59AF">
        <w:t xml:space="preserve"> </w:t>
      </w:r>
      <w:r>
        <w:t xml:space="preserve">the event Petitioners seek to assign some or all of </w:t>
      </w:r>
      <w:r w:rsidR="00C32B45">
        <w:t xml:space="preserve">their </w:t>
      </w:r>
      <w:r>
        <w:t xml:space="preserve">licenses, Petitioners </w:t>
      </w:r>
      <w:r w:rsidR="00EE11E4">
        <w:t xml:space="preserve">or their assignee </w:t>
      </w:r>
      <w:r>
        <w:t xml:space="preserve">will be required to seek separate approval for this waiver relief to be extended to the assignee.  The </w:t>
      </w:r>
      <w:r w:rsidR="00EE11E4">
        <w:t>applicant</w:t>
      </w:r>
      <w:r>
        <w:t xml:space="preserve"> will be required to demonstrate that extension of the waiver relief is warranted</w:t>
      </w:r>
      <w:r w:rsidR="00651207">
        <w:t xml:space="preserve"> and is consistent with the underlying basis and purpose of this waiver</w:t>
      </w:r>
      <w:r>
        <w:t>.</w:t>
      </w:r>
    </w:p>
    <w:p w:rsidR="00B8216A" w:rsidP="00C229C0" w14:paraId="2F895D50" w14:textId="178F4E4C">
      <w:pPr>
        <w:pStyle w:val="ParaNum"/>
        <w:widowControl/>
        <w:tabs>
          <w:tab w:val="clear" w:pos="1080"/>
          <w:tab w:val="num" w:pos="1440"/>
        </w:tabs>
      </w:pPr>
      <w:r>
        <w:t>For illustration purposes, we provide an example of how the above waivers will operate.  If Petitioners hold authorizations for channels 1</w:t>
      </w:r>
      <w:r w:rsidR="009F16F7">
        <w:t xml:space="preserve"> through </w:t>
      </w:r>
      <w:r>
        <w:t>6 at ground station A, and ha</w:t>
      </w:r>
      <w:r w:rsidR="00EE11E4">
        <w:t>ve</w:t>
      </w:r>
      <w:r>
        <w:t xml:space="preserve"> demonstrated general aviation air-ground service to subscribers from that ground station operating on those channels, they may file a modification application to operate on </w:t>
      </w:r>
      <w:r w:rsidR="00010181">
        <w:t>a given channel 1</w:t>
      </w:r>
      <w:r w:rsidR="009F16F7">
        <w:t xml:space="preserve"> through </w:t>
      </w:r>
      <w:r w:rsidR="00010181">
        <w:t>6</w:t>
      </w:r>
      <w:r>
        <w:t xml:space="preserve"> at ground station B, so long as ground station B is within 800 kilometers of ground station A.  </w:t>
      </w:r>
      <w:r w:rsidR="00010181">
        <w:t>Petitioners may use non-traditional general aviation air-ground services to demonstrate compliance with the construction requirement for ground station B, and once they have done so, may seek additional channel authorization for operation of ground station B on a given channel 1</w:t>
      </w:r>
      <w:r w:rsidR="009F16F7">
        <w:t xml:space="preserve"> through </w:t>
      </w:r>
      <w:r w:rsidR="00010181">
        <w:t>6.  Petitioners may seek additional channel authorizations for ground station A, e.g., for channel 7, and</w:t>
      </w:r>
      <w:r w:rsidR="00AA63B2">
        <w:t>—</w:t>
      </w:r>
      <w:r w:rsidR="00010181">
        <w:t>once it has demonstrated general aviation air-ground service to subscribers from ground station A</w:t>
      </w:r>
      <w:r w:rsidR="00AA63B2">
        <w:t>—</w:t>
      </w:r>
      <w:r w:rsidR="00010181">
        <w:t>may file a modification application to operate ground station B on channel 7.  If Petitioners permanently discontinue general aviation air-ground service from ground station A on any authorized channels, they would also lose authorization to operate ground station B on those channels.</w:t>
      </w:r>
    </w:p>
    <w:p w:rsidR="00042BCA" w:rsidP="00651290" w14:paraId="40E83233" w14:textId="7C6802D0">
      <w:pPr>
        <w:pStyle w:val="ParaNum"/>
        <w:widowControl/>
        <w:tabs>
          <w:tab w:val="clear" w:pos="1080"/>
          <w:tab w:val="num" w:pos="1440"/>
        </w:tabs>
      </w:pPr>
      <w:r>
        <w:t xml:space="preserve">We disagree with Boeing’s argument that we must first initiate a rulemaking on the AIA Petition before taking action on Petitioners’ request.  </w:t>
      </w:r>
      <w:r w:rsidR="002768B4">
        <w:t xml:space="preserve">Boeing argues that the Commission should act on the pending AIA Petition for Rulemaking asking the Commission to establish service rules to enable UAS </w:t>
      </w:r>
      <w:r w:rsidR="00C3212F">
        <w:t>command and control</w:t>
      </w:r>
      <w:r w:rsidR="002768B4">
        <w:t xml:space="preserve"> operations in the 5030-5091 MHz</w:t>
      </w:r>
      <w:r w:rsidR="00C3212F">
        <w:t xml:space="preserve"> band</w:t>
      </w:r>
      <w:r w:rsidR="002768B4">
        <w:t xml:space="preserve"> before it resolves Petitioners’ request.</w:t>
      </w:r>
      <w:r>
        <w:rPr>
          <w:rStyle w:val="FootnoteReference"/>
        </w:rPr>
        <w:footnoteReference w:id="71"/>
      </w:r>
      <w:r w:rsidR="002768B4">
        <w:t xml:space="preserve">  </w:t>
      </w:r>
      <w:r w:rsidR="0080662C">
        <w:t>The issue of UAS-based service rules for the 5030-5091 MHz band—as well as the timing for initiating a rulemaking on changes to that band—is entirely distinct and separate from the issues presented in this request, and we are under no obligation to act in one preceding as a prerequisite to affording relief in response to AURA’s waiver petition.</w:t>
      </w:r>
      <w:r>
        <w:rPr>
          <w:rStyle w:val="FootnoteReference"/>
        </w:rPr>
        <w:footnoteReference w:id="72"/>
      </w:r>
      <w:r w:rsidR="0080662C">
        <w:t xml:space="preserve">  </w:t>
      </w:r>
      <w:r w:rsidR="00C7064A">
        <w:t xml:space="preserve">  </w:t>
      </w:r>
      <w:r w:rsidR="00074DE9">
        <w:t xml:space="preserve">   </w:t>
      </w:r>
    </w:p>
    <w:p w:rsidR="004861DD" w:rsidP="00651290" w14:paraId="78CBEB08" w14:textId="761F3FC5">
      <w:pPr>
        <w:pStyle w:val="ParaNum"/>
        <w:widowControl/>
        <w:tabs>
          <w:tab w:val="clear" w:pos="1080"/>
          <w:tab w:val="num" w:pos="1440"/>
        </w:tabs>
      </w:pPr>
      <w:r>
        <w:t xml:space="preserve">Boeing further </w:t>
      </w:r>
      <w:r w:rsidR="001A4EB9">
        <w:t xml:space="preserve">raises concerns related to the safety of UAS operations in the 450 MHz band and </w:t>
      </w:r>
      <w:r>
        <w:t>argues that</w:t>
      </w:r>
      <w:r w:rsidR="001A4EB9">
        <w:t xml:space="preserve"> </w:t>
      </w:r>
      <w:r>
        <w:t xml:space="preserve">such issues are more appropriately </w:t>
      </w:r>
      <w:r w:rsidR="001A4EB9">
        <w:t xml:space="preserve">considered and </w:t>
      </w:r>
      <w:r>
        <w:t>addressed via rulemaking.</w:t>
      </w:r>
      <w:r>
        <w:rPr>
          <w:rStyle w:val="FootnoteReference"/>
        </w:rPr>
        <w:footnoteReference w:id="73"/>
      </w:r>
      <w:r>
        <w:t xml:space="preserve">  Boeing does not cite any authority for this proposition, however, and several other commenting parties disagree that we are so constrained.</w:t>
      </w:r>
      <w:r>
        <w:rPr>
          <w:rStyle w:val="FootnoteReference"/>
        </w:rPr>
        <w:footnoteReference w:id="74"/>
      </w:r>
      <w:r>
        <w:t xml:space="preserve">  We disagree with Boeing that a rulemaking is necessary to evaluate the safe use of this band for purposes of operating pursuant to waiver authority.  </w:t>
      </w:r>
      <w:r w:rsidR="007036E6">
        <w:t>Here, the record demonstrates AURA’s ability to safely operate new UAS services and manage its network in a manner that provides wide ranging public interest benefits warranting relief.</w:t>
      </w:r>
      <w:r>
        <w:rPr>
          <w:rStyle w:val="FootnoteReference"/>
        </w:rPr>
        <w:footnoteReference w:id="75"/>
      </w:r>
      <w:r w:rsidR="007036E6">
        <w:t xml:space="preserve">  Moreover</w:t>
      </w:r>
      <w:r w:rsidR="00182324">
        <w:t>, w</w:t>
      </w:r>
      <w:r>
        <w:t>e agree with AIA that AURA must, before commencing any new UAS operations, seek appropriate approval for such operation from the FAA to ensure “that operations meet the required reliability requirements in order to operate and ensure the safety of people and property.”</w:t>
      </w:r>
      <w:r>
        <w:rPr>
          <w:rStyle w:val="FootnoteReference"/>
        </w:rPr>
        <w:footnoteReference w:id="76"/>
      </w:r>
      <w:r>
        <w:t xml:space="preserve">  Petitioners indicate that AURA has already been consulting with the FAA and intends to continue doing so “to address potential aviation-related matters arising from the use of this band” for command and control UAS links.</w:t>
      </w:r>
      <w:r>
        <w:rPr>
          <w:rStyle w:val="FootnoteReference"/>
        </w:rPr>
        <w:footnoteReference w:id="77"/>
      </w:r>
      <w:r>
        <w:t xml:space="preserve">  </w:t>
      </w:r>
      <w:r w:rsidR="00EE11E4">
        <w:t xml:space="preserve">Petitioners </w:t>
      </w:r>
      <w:r>
        <w:t xml:space="preserve">state that </w:t>
      </w:r>
      <w:r w:rsidR="00EE11E4">
        <w:t xml:space="preserve">AURA </w:t>
      </w:r>
      <w:r>
        <w:t>is working with the Radio Technical Commission for Aeronautics (RTCA) Special Committee 228, the group designated by the FAA for developing safety standards for UAS command and control links, to develop a standard for airborne UAS terminals operating in the 450 MHz band.</w:t>
      </w:r>
      <w:r>
        <w:rPr>
          <w:rStyle w:val="FootnoteReference"/>
        </w:rPr>
        <w:footnoteReference w:id="78"/>
      </w:r>
      <w:r>
        <w:t xml:space="preserve">  </w:t>
      </w:r>
      <w:r w:rsidR="00EE11E4">
        <w:t xml:space="preserve">They </w:t>
      </w:r>
      <w:r>
        <w:t xml:space="preserve">further state that </w:t>
      </w:r>
      <w:r w:rsidR="00BE2ED6">
        <w:t xml:space="preserve">AURA </w:t>
      </w:r>
      <w:r>
        <w:t>is planning “a comprehensive testing and analysis program” to demonstrate compliance with relevant RTCA safety standards.</w:t>
      </w:r>
      <w:r>
        <w:rPr>
          <w:rStyle w:val="FootnoteReference"/>
        </w:rPr>
        <w:footnoteReference w:id="79"/>
      </w:r>
      <w:r>
        <w:t xml:space="preserve">  While we support these planned measures, we note that the waiver relief being granted here is separate and apart from the FAA’s approval processes.  </w:t>
      </w:r>
      <w:r w:rsidR="00A92970">
        <w:t>As noted above</w:t>
      </w:r>
      <w:r>
        <w:t xml:space="preserve">, AURA will not be able to commence any UAS operations using 450 MHz general aviation air-ground spectrum until it has received the requisite authorization from the FAA and </w:t>
      </w:r>
      <w:r w:rsidR="00B66540">
        <w:t xml:space="preserve">has </w:t>
      </w:r>
      <w:r>
        <w:t>met all applicable requirements.</w:t>
      </w:r>
    </w:p>
    <w:p w:rsidR="00FD7023" w:rsidP="00651290" w14:paraId="551B3059" w14:textId="4D3DA9C2">
      <w:pPr>
        <w:pStyle w:val="ParaNum"/>
        <w:widowControl/>
        <w:tabs>
          <w:tab w:val="clear" w:pos="1080"/>
          <w:tab w:val="num" w:pos="1440"/>
        </w:tabs>
      </w:pPr>
      <w:r>
        <w:t>We</w:t>
      </w:r>
      <w:r w:rsidR="00E06321">
        <w:t xml:space="preserve"> find that </w:t>
      </w:r>
      <w:r>
        <w:t>the current licensing status of the band, the limited amount of spectrum involved, and the present use of the frequencies all create unique circumstances in favor of granting the requested waiver and that, for the reasons set forth above, doing so would advance the public interest in making more efficient use of this spectrum and allowing for the deployment of new and innovative services</w:t>
      </w:r>
      <w:r w:rsidR="00182324">
        <w:t>.</w:t>
      </w:r>
      <w:r w:rsidR="007036E6">
        <w:t xml:space="preserve">  Notwithstanding the public interest benefit in providing the instant relief, however, we find that </w:t>
      </w:r>
      <w:r>
        <w:t xml:space="preserve">certain of </w:t>
      </w:r>
      <w:r w:rsidR="007036E6">
        <w:t>the issues presented herein warrant a larger examination of the uses and rules associated with this band.</w:t>
      </w:r>
      <w:r w:rsidR="008B645D">
        <w:t xml:space="preserve">  </w:t>
      </w:r>
      <w:r w:rsidRPr="008B645D" w:rsidR="008B645D">
        <w:t>While we waive on our own motion these rules to allow for the limited operations contemplated by the waiver request, Boeing has argued that the services Petitioners seek to provide may require an aeronautical mobile or mobile allocation.</w:t>
      </w:r>
      <w:r>
        <w:rPr>
          <w:rStyle w:val="FootnoteReference"/>
        </w:rPr>
        <w:footnoteReference w:id="80"/>
      </w:r>
      <w:r w:rsidRPr="008B645D" w:rsidR="008B645D">
        <w:t xml:space="preserve">  </w:t>
      </w:r>
      <w:r w:rsidR="008B645D">
        <w:t xml:space="preserve">A rulemaking proceeding would afford an additional opportunity for the Commission to receive comment on </w:t>
      </w:r>
      <w:r w:rsidRPr="008B645D" w:rsidR="008B645D">
        <w:t xml:space="preserve">the legal, policy, and public interest implications associated with potentially allowing for more flexible use of the 450 MHz band </w:t>
      </w:r>
      <w:r w:rsidR="006F4EAF">
        <w:t>via</w:t>
      </w:r>
      <w:r w:rsidRPr="008B645D" w:rsidR="008B645D">
        <w:t xml:space="preserve"> permanent </w:t>
      </w:r>
      <w:r w:rsidR="006F4EAF">
        <w:t>rule changes</w:t>
      </w:r>
      <w:r w:rsidRPr="008B645D" w:rsidR="008B645D">
        <w:t>.</w:t>
      </w:r>
      <w:r w:rsidR="007036E6">
        <w:t xml:space="preserve">  Accordingly, we condition the relief granted in this Order on Petitioners filing a Petition for Rulemaking, within 30 days from release of this Order, seeking rule changes that would permit more flexible use of the band, including for UAS.</w:t>
      </w:r>
      <w:r>
        <w:t xml:space="preserve">  Specifically, any rulemaking petition should, at a minimum, </w:t>
      </w:r>
      <w:r>
        <w:t xml:space="preserve">request any and all rule changes that may be necessary to allow for UAS command and control services to be provided over this spectrum.  Petitioners’ operation under this limited waiver will be contingent upon Petitioners filing a Petition for Rulemaking within 30 days of release of this Order.  </w:t>
      </w:r>
    </w:p>
    <w:p w:rsidR="00182324" w:rsidRPr="00C76DB8" w:rsidP="00651290" w14:paraId="5274DF02" w14:textId="4077680F">
      <w:pPr>
        <w:pStyle w:val="ParaNum"/>
        <w:widowControl/>
        <w:tabs>
          <w:tab w:val="clear" w:pos="1080"/>
          <w:tab w:val="num" w:pos="1440"/>
        </w:tabs>
      </w:pPr>
      <w:r w:rsidRPr="00C76DB8">
        <w:t xml:space="preserve">Finally, </w:t>
      </w:r>
      <w:r w:rsidRPr="00C76DB8" w:rsidR="00B4071D">
        <w:t>and as a further express condition on the grant of relief afforded herein, Petitioners’ operations pursuant to this waiver grant are subject to their acknowledgement and acceptance that</w:t>
      </w:r>
      <w:r w:rsidR="0034433D">
        <w:t>:</w:t>
      </w:r>
      <w:r w:rsidRPr="00C76DB8" w:rsidR="00B4071D">
        <w:t xml:space="preserve"> (1) Petitioners’ operations pursuant to this waiver are undertaken at their own risk, that the Bureau or the Commission could revise o</w:t>
      </w:r>
      <w:r w:rsidR="00F135D0">
        <w:t>u</w:t>
      </w:r>
      <w:r w:rsidRPr="00C76DB8" w:rsidR="00B4071D">
        <w:t xml:space="preserve">r rules for this band at any time, and that nothing in this order creates an enforceable reliance interest in this waiver relief; and (2) in the event the Bureau or the Commission </w:t>
      </w:r>
      <w:r w:rsidR="00874BBD">
        <w:t xml:space="preserve">terminates </w:t>
      </w:r>
      <w:r w:rsidR="00C56A66">
        <w:t xml:space="preserve">or </w:t>
      </w:r>
      <w:r w:rsidRPr="00C76DB8" w:rsidR="00B4071D">
        <w:t xml:space="preserve">modifies the terms of this waiver, whether through a rulemaking proceeding or through some other means, such </w:t>
      </w:r>
      <w:r w:rsidR="00874BBD">
        <w:t xml:space="preserve">termination or </w:t>
      </w:r>
      <w:r w:rsidRPr="00C76DB8" w:rsidR="00B4071D">
        <w:t xml:space="preserve">modification would not effectuate a fundamental change to Petitioners’ licenses </w:t>
      </w:r>
      <w:r w:rsidRPr="00C76DB8" w:rsidR="00DB706A">
        <w:t>subject to section 316 of the Communications Act</w:t>
      </w:r>
      <w:r w:rsidRPr="00C76DB8" w:rsidR="008B645D">
        <w:t>.</w:t>
      </w:r>
      <w:r>
        <w:rPr>
          <w:rStyle w:val="FootnoteReference"/>
        </w:rPr>
        <w:footnoteReference w:id="81"/>
      </w:r>
      <w:r w:rsidRPr="00C76DB8">
        <w:t xml:space="preserve">  </w:t>
      </w:r>
    </w:p>
    <w:p w:rsidR="00900FC7" w:rsidP="00900FC7" w14:paraId="7E9DF647" w14:textId="29B4F511">
      <w:pPr>
        <w:pStyle w:val="Heading1"/>
      </w:pPr>
      <w:bookmarkStart w:id="22" w:name="_Toc58853848"/>
      <w:bookmarkStart w:id="23" w:name="_Toc58853901"/>
      <w:bookmarkStart w:id="24" w:name="_Toc61528493"/>
      <w:r>
        <w:t>ORDERING CLAUSES</w:t>
      </w:r>
      <w:bookmarkEnd w:id="22"/>
      <w:bookmarkEnd w:id="23"/>
      <w:bookmarkEnd w:id="24"/>
    </w:p>
    <w:p w:rsidR="001C228A" w:rsidRPr="001C228A" w:rsidP="001C228A" w14:paraId="4650C2E2" w14:textId="5868F23C">
      <w:pPr>
        <w:pStyle w:val="ParaNum"/>
        <w:widowControl/>
        <w:tabs>
          <w:tab w:val="clear" w:pos="1080"/>
          <w:tab w:val="num" w:pos="1440"/>
        </w:tabs>
      </w:pPr>
      <w:r>
        <w:t>Accordingly, IT IS ORDERED, pursuant to Section 4(i) of the Communications Act of 1934, as amended, 47 U.S.C. § 154(i),</w:t>
      </w:r>
      <w:r>
        <w:rPr>
          <w:i/>
        </w:rPr>
        <w:t xml:space="preserve"> </w:t>
      </w:r>
      <w:r>
        <w:t>and section</w:t>
      </w:r>
      <w:r w:rsidR="00D16205">
        <w:t xml:space="preserve">s 1.3 and </w:t>
      </w:r>
      <w:r>
        <w:t xml:space="preserve"> 1.925 of the Commission’s rules, 47 CFR §</w:t>
      </w:r>
      <w:r w:rsidR="00D16205">
        <w:t>§ 1.3,</w:t>
      </w:r>
      <w:r>
        <w:t xml:space="preserve"> 1.925, that the request jointly filed by </w:t>
      </w:r>
      <w:r w:rsidRPr="00900FC7">
        <w:rPr>
          <w:spacing w:val="-2"/>
        </w:rPr>
        <w:t>AURA Network Systems OpCo, LLC</w:t>
      </w:r>
      <w:r w:rsidR="00CE5764">
        <w:rPr>
          <w:spacing w:val="-2"/>
        </w:rPr>
        <w:t xml:space="preserve"> </w:t>
      </w:r>
      <w:r w:rsidRPr="00900FC7">
        <w:rPr>
          <w:spacing w:val="-2"/>
        </w:rPr>
        <w:t>and</w:t>
      </w:r>
      <w:r>
        <w:rPr>
          <w:spacing w:val="-2"/>
        </w:rPr>
        <w:t xml:space="preserve"> </w:t>
      </w:r>
      <w:r w:rsidRPr="00900FC7">
        <w:rPr>
          <w:spacing w:val="-2"/>
        </w:rPr>
        <w:t>A2G Communications, LLC</w:t>
      </w:r>
      <w:r>
        <w:rPr>
          <w:spacing w:val="-2"/>
        </w:rPr>
        <w:t xml:space="preserve"> </w:t>
      </w:r>
      <w:r>
        <w:t>for waiver of sections 22.805, 22.809, and 22.813 of the Commission’s rules, 47 CFR §§ 22.805, 22.809, 22.813, is GRANTED to the extent described, and with the conditions specified, herein.</w:t>
      </w:r>
    </w:p>
    <w:p w:rsidR="001C228A" w:rsidP="001C228A" w14:paraId="7E48ECF5" w14:textId="79700047">
      <w:pPr>
        <w:pStyle w:val="ParaNum"/>
        <w:widowControl/>
        <w:tabs>
          <w:tab w:val="clear" w:pos="1080"/>
          <w:tab w:val="num" w:pos="1440"/>
        </w:tabs>
      </w:pPr>
      <w:r w:rsidRPr="001C228A">
        <w:t>IT IS FURTHER ORDERED, pursuant to Section 4(i) of the Communications Act of 1934, as amended, 47 U.S.C. § 154(i), and section</w:t>
      </w:r>
      <w:r>
        <w:t>s 1.3 and</w:t>
      </w:r>
      <w:r w:rsidRPr="001C228A">
        <w:t xml:space="preserve"> 1.925(a) of the Commission’s rules, 47 CFR §§ </w:t>
      </w:r>
      <w:r>
        <w:t xml:space="preserve">1.3, </w:t>
      </w:r>
      <w:r w:rsidRPr="001C228A">
        <w:t>1.925,  that the Wireless Telecommunications Bureau GRANTS ON ITS OWN MOTION a waiver of section</w:t>
      </w:r>
      <w:r>
        <w:t>s 2.106 NG32, 22.99, 22.107(f), and 22.817 of the Commission’s rules, 47 CFR §§ 2.106 NG32, 22.99, 22.107(f), 22.817</w:t>
      </w:r>
      <w:r w:rsidR="006834D1">
        <w:t xml:space="preserve">, </w:t>
      </w:r>
      <w:r>
        <w:t>to the extent described, and with the conditions specified, herein.</w:t>
      </w:r>
    </w:p>
    <w:p w:rsidR="001C228A" w:rsidP="001C228A" w14:paraId="4EB77F32" w14:textId="10404F22">
      <w:pPr>
        <w:pStyle w:val="ParaNum"/>
        <w:widowControl/>
        <w:tabs>
          <w:tab w:val="clear" w:pos="1080"/>
          <w:tab w:val="num" w:pos="1440"/>
        </w:tabs>
      </w:pPr>
      <w:r>
        <w:t>These actions are taken under delegated authority pursuant to sections 0.11, 0.231, 0.131, and 0.331 of the Commission’s rules, 47 CFR §§ 0.11, 0.231, 0.131, and 0.331.</w:t>
      </w:r>
    </w:p>
    <w:p w:rsidR="00004C2C" w:rsidP="001C228A" w14:paraId="5F1A994F" w14:textId="77777777">
      <w:pPr>
        <w:ind w:left="4320"/>
        <w:rPr>
          <w:szCs w:val="22"/>
        </w:rPr>
      </w:pPr>
    </w:p>
    <w:p w:rsidR="001C228A" w:rsidP="001C228A" w14:paraId="7097754E" w14:textId="78F4B6ED">
      <w:pPr>
        <w:ind w:left="4320"/>
        <w:rPr>
          <w:szCs w:val="22"/>
        </w:rPr>
      </w:pPr>
      <w:r>
        <w:rPr>
          <w:szCs w:val="22"/>
        </w:rPr>
        <w:t>FEDERAL COMMUNICATIONS COMMISSION</w:t>
      </w:r>
    </w:p>
    <w:p w:rsidR="001C228A" w:rsidP="001C228A" w14:paraId="7D7C30DC" w14:textId="77777777">
      <w:pPr>
        <w:keepNext/>
        <w:keepLines/>
        <w:tabs>
          <w:tab w:val="left" w:pos="-1440"/>
          <w:tab w:val="left" w:pos="-720"/>
          <w:tab w:val="left" w:pos="0"/>
          <w:tab w:val="left" w:pos="720"/>
          <w:tab w:val="left" w:pos="1080"/>
          <w:tab w:val="left" w:pos="1440"/>
        </w:tabs>
        <w:suppressAutoHyphens/>
        <w:ind w:left="720"/>
        <w:rPr>
          <w:szCs w:val="22"/>
        </w:rPr>
      </w:pPr>
      <w:r>
        <w:rPr>
          <w:szCs w:val="22"/>
        </w:rPr>
        <w:tab/>
      </w:r>
      <w:r>
        <w:rPr>
          <w:szCs w:val="22"/>
        </w:rPr>
        <w:tab/>
      </w:r>
      <w:r>
        <w:rPr>
          <w:szCs w:val="22"/>
        </w:rPr>
        <w:tab/>
      </w:r>
      <w:r>
        <w:rPr>
          <w:szCs w:val="22"/>
        </w:rPr>
        <w:tab/>
      </w:r>
    </w:p>
    <w:p w:rsidR="001C228A" w:rsidP="001C228A" w14:paraId="206B6E1F" w14:textId="77777777">
      <w:pPr>
        <w:keepNext/>
        <w:keepLines/>
        <w:tabs>
          <w:tab w:val="left" w:pos="-1440"/>
          <w:tab w:val="left" w:pos="-720"/>
          <w:tab w:val="left" w:pos="0"/>
          <w:tab w:val="left" w:pos="720"/>
          <w:tab w:val="left" w:pos="1080"/>
          <w:tab w:val="left" w:pos="1440"/>
        </w:tabs>
        <w:suppressAutoHyphens/>
        <w:ind w:left="720"/>
        <w:rPr>
          <w:szCs w:val="22"/>
        </w:rPr>
      </w:pPr>
    </w:p>
    <w:p w:rsidR="001C228A" w:rsidP="001C228A" w14:paraId="546C5B06" w14:textId="77777777">
      <w:pPr>
        <w:keepNext/>
        <w:keepLines/>
        <w:tabs>
          <w:tab w:val="left" w:pos="-1440"/>
          <w:tab w:val="left" w:pos="-720"/>
          <w:tab w:val="left" w:pos="0"/>
          <w:tab w:val="left" w:pos="720"/>
          <w:tab w:val="left" w:pos="1080"/>
          <w:tab w:val="left" w:pos="1440"/>
        </w:tabs>
        <w:suppressAutoHyphens/>
        <w:ind w:left="720"/>
        <w:rPr>
          <w:szCs w:val="22"/>
        </w:rPr>
      </w:pPr>
    </w:p>
    <w:p w:rsidR="001C228A" w:rsidP="001C228A" w14:paraId="5BECE51F" w14:textId="77777777">
      <w:pPr>
        <w:keepNext/>
        <w:keepLines/>
        <w:tabs>
          <w:tab w:val="left" w:pos="-1440"/>
          <w:tab w:val="left" w:pos="-720"/>
          <w:tab w:val="left" w:pos="0"/>
          <w:tab w:val="left" w:pos="720"/>
          <w:tab w:val="left" w:pos="1080"/>
          <w:tab w:val="left" w:pos="1440"/>
        </w:tabs>
        <w:suppressAutoHyphens/>
        <w:ind w:left="720"/>
        <w:rPr>
          <w:szCs w:val="22"/>
        </w:rPr>
      </w:pPr>
    </w:p>
    <w:p w:rsidR="001C228A" w:rsidP="001C228A" w14:paraId="2A1EBE57" w14:textId="77777777">
      <w:pPr>
        <w:keepNext/>
        <w:keepLines/>
        <w:tabs>
          <w:tab w:val="left" w:pos="-1440"/>
          <w:tab w:val="left" w:pos="-720"/>
          <w:tab w:val="left" w:pos="0"/>
          <w:tab w:val="left" w:pos="720"/>
          <w:tab w:val="left" w:pos="1080"/>
          <w:tab w:val="left" w:pos="1440"/>
        </w:tabs>
        <w:suppressAutoHyphens/>
        <w:ind w:left="720"/>
        <w:rPr>
          <w:szCs w:val="22"/>
        </w:rPr>
      </w:pPr>
      <w:r>
        <w:rPr>
          <w:szCs w:val="22"/>
        </w:rPr>
        <w:tab/>
      </w:r>
      <w:r>
        <w:rPr>
          <w:szCs w:val="22"/>
        </w:rPr>
        <w:tab/>
      </w:r>
      <w:r>
        <w:rPr>
          <w:szCs w:val="22"/>
        </w:rPr>
        <w:tab/>
      </w:r>
      <w:r>
        <w:rPr>
          <w:szCs w:val="22"/>
        </w:rPr>
        <w:tab/>
      </w:r>
      <w:r>
        <w:rPr>
          <w:szCs w:val="22"/>
        </w:rPr>
        <w:tab/>
      </w:r>
      <w:r>
        <w:rPr>
          <w:szCs w:val="22"/>
        </w:rPr>
        <w:tab/>
        <w:t>Roger Noel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Chief, Mobility Division</w:t>
      </w:r>
    </w:p>
    <w:p w:rsidR="00A75296" w:rsidP="001C228A" w14:paraId="1E2A55A2" w14:textId="0F9769AD">
      <w:pPr>
        <w:keepNext/>
        <w:keepLines/>
        <w:tabs>
          <w:tab w:val="left" w:pos="-1440"/>
          <w:tab w:val="left" w:pos="-720"/>
          <w:tab w:val="left" w:pos="0"/>
          <w:tab w:val="left" w:pos="720"/>
          <w:tab w:val="left" w:pos="1080"/>
          <w:tab w:val="left" w:pos="1440"/>
        </w:tabs>
        <w:suppressAutoHyphens/>
        <w:ind w:left="720"/>
        <w:rPr>
          <w:szCs w:val="22"/>
        </w:rPr>
      </w:pPr>
      <w:r>
        <w:rPr>
          <w:szCs w:val="22"/>
        </w:rPr>
        <w:tab/>
      </w:r>
      <w:r>
        <w:rPr>
          <w:szCs w:val="22"/>
        </w:rPr>
        <w:tab/>
      </w:r>
      <w:r>
        <w:rPr>
          <w:szCs w:val="22"/>
        </w:rPr>
        <w:tab/>
      </w:r>
      <w:r>
        <w:rPr>
          <w:szCs w:val="22"/>
        </w:rPr>
        <w:tab/>
      </w:r>
      <w:r>
        <w:rPr>
          <w:szCs w:val="22"/>
        </w:rPr>
        <w:tab/>
      </w:r>
      <w:r>
        <w:rPr>
          <w:szCs w:val="22"/>
        </w:rPr>
        <w:tab/>
        <w:t>Wireless Telecommunications Bureau</w:t>
      </w:r>
    </w:p>
    <w:p w:rsidR="001C228A" w:rsidP="00A75296" w14:paraId="050AEF9F" w14:textId="3807C339">
      <w:pPr>
        <w:keepNext/>
        <w:keepLines/>
        <w:tabs>
          <w:tab w:val="left" w:pos="-1440"/>
          <w:tab w:val="left" w:pos="-720"/>
          <w:tab w:val="left" w:pos="0"/>
          <w:tab w:val="left" w:pos="720"/>
          <w:tab w:val="left" w:pos="1080"/>
          <w:tab w:val="left" w:pos="1440"/>
        </w:tabs>
        <w:suppressAutoHyphens/>
        <w:ind w:left="720"/>
        <w:jc w:val="center"/>
        <w:rPr>
          <w:b/>
          <w:bCs/>
          <w:szCs w:val="22"/>
        </w:rPr>
      </w:pPr>
      <w:r>
        <w:rPr>
          <w:szCs w:val="22"/>
        </w:rPr>
        <w:br w:type="page"/>
      </w:r>
      <w:r>
        <w:rPr>
          <w:b/>
          <w:bCs/>
          <w:szCs w:val="22"/>
        </w:rPr>
        <w:t>APPENDIX A</w:t>
      </w:r>
    </w:p>
    <w:p w:rsidR="00A75296" w:rsidP="00A75296" w14:paraId="021ECC32" w14:textId="77777777">
      <w:pPr>
        <w:keepNext/>
        <w:keepLines/>
        <w:tabs>
          <w:tab w:val="left" w:pos="-1440"/>
          <w:tab w:val="left" w:pos="-720"/>
          <w:tab w:val="left" w:pos="0"/>
          <w:tab w:val="left" w:pos="720"/>
          <w:tab w:val="left" w:pos="1080"/>
          <w:tab w:val="left" w:pos="1440"/>
        </w:tabs>
        <w:suppressAutoHyphens/>
        <w:ind w:left="720"/>
        <w:jc w:val="center"/>
        <w:rPr>
          <w:b/>
          <w:bCs/>
          <w:szCs w:val="22"/>
        </w:rPr>
      </w:pPr>
    </w:p>
    <w:p w:rsidR="00A75296" w:rsidP="0045128E" w14:paraId="25303850" w14:textId="48953306">
      <w:pPr>
        <w:keepNext/>
        <w:keepLines/>
        <w:tabs>
          <w:tab w:val="left" w:pos="-1440"/>
          <w:tab w:val="left" w:pos="-720"/>
          <w:tab w:val="left" w:pos="0"/>
          <w:tab w:val="left" w:pos="720"/>
          <w:tab w:val="left" w:pos="1080"/>
          <w:tab w:val="left" w:pos="1440"/>
        </w:tabs>
        <w:suppressAutoHyphens/>
        <w:spacing w:after="120"/>
        <w:ind w:left="720"/>
        <w:jc w:val="center"/>
        <w:rPr>
          <w:b/>
          <w:bCs/>
          <w:szCs w:val="22"/>
        </w:rPr>
      </w:pPr>
      <w:r>
        <w:rPr>
          <w:b/>
          <w:bCs/>
          <w:szCs w:val="22"/>
        </w:rPr>
        <w:t>Licenses Subject to Waiver</w:t>
      </w:r>
    </w:p>
    <w:tbl>
      <w:tblPr>
        <w:tblW w:w="5600" w:type="dxa"/>
        <w:jc w:val="center"/>
        <w:tblLook w:val="04A0"/>
      </w:tblPr>
      <w:tblGrid>
        <w:gridCol w:w="960"/>
        <w:gridCol w:w="1800"/>
        <w:gridCol w:w="2840"/>
      </w:tblGrid>
      <w:tr w14:paraId="2AE2524C" w14:textId="77777777" w:rsidTr="0045128E">
        <w:tblPrEx>
          <w:tblW w:w="5600" w:type="dxa"/>
          <w:jc w:val="center"/>
          <w:tblLook w:val="04A0"/>
        </w:tblPrEx>
        <w:trPr>
          <w:trHeight w:val="300"/>
          <w:jc w:val="center"/>
        </w:trPr>
        <w:tc>
          <w:tcPr>
            <w:tcW w:w="960" w:type="dxa"/>
            <w:tcBorders>
              <w:top w:val="single" w:sz="8" w:space="0" w:color="auto"/>
              <w:left w:val="single" w:sz="8" w:space="0" w:color="auto"/>
              <w:bottom w:val="nil"/>
              <w:right w:val="single" w:sz="8" w:space="0" w:color="auto"/>
            </w:tcBorders>
            <w:shd w:val="clear" w:color="000000" w:fill="E7E6E6"/>
            <w:noWrap/>
            <w:vAlign w:val="center"/>
            <w:hideMark/>
          </w:tcPr>
          <w:p w:rsidR="0045128E" w:rsidRPr="0045128E" w:rsidP="0045128E" w14:paraId="57C929FF" w14:textId="77777777">
            <w:pPr>
              <w:widowControl/>
              <w:jc w:val="center"/>
              <w:rPr>
                <w:snapToGrid/>
                <w:color w:val="000000"/>
                <w:kern w:val="0"/>
                <w:szCs w:val="22"/>
              </w:rPr>
            </w:pPr>
            <w:r w:rsidRPr="0045128E">
              <w:rPr>
                <w:snapToGrid/>
                <w:color w:val="000000"/>
                <w:kern w:val="0"/>
                <w:szCs w:val="22"/>
              </w:rPr>
              <w:t> </w:t>
            </w:r>
          </w:p>
        </w:tc>
        <w:tc>
          <w:tcPr>
            <w:tcW w:w="1800" w:type="dxa"/>
            <w:tcBorders>
              <w:top w:val="single" w:sz="8" w:space="0" w:color="auto"/>
              <w:left w:val="nil"/>
              <w:bottom w:val="nil"/>
              <w:right w:val="single" w:sz="8" w:space="0" w:color="auto"/>
            </w:tcBorders>
            <w:shd w:val="clear" w:color="000000" w:fill="E7E6E6"/>
            <w:noWrap/>
            <w:vAlign w:val="center"/>
            <w:hideMark/>
          </w:tcPr>
          <w:p w:rsidR="0045128E" w:rsidRPr="0045128E" w:rsidP="0045128E" w14:paraId="5B5D06DC" w14:textId="77777777">
            <w:pPr>
              <w:widowControl/>
              <w:jc w:val="center"/>
              <w:rPr>
                <w:b/>
                <w:bCs/>
                <w:snapToGrid/>
                <w:color w:val="000000"/>
                <w:kern w:val="0"/>
                <w:szCs w:val="22"/>
              </w:rPr>
            </w:pPr>
            <w:r w:rsidRPr="0045128E">
              <w:rPr>
                <w:b/>
                <w:bCs/>
                <w:snapToGrid/>
                <w:kern w:val="0"/>
                <w:szCs w:val="22"/>
              </w:rPr>
              <w:t>Call Sign</w:t>
            </w:r>
          </w:p>
        </w:tc>
        <w:tc>
          <w:tcPr>
            <w:tcW w:w="2840" w:type="dxa"/>
            <w:tcBorders>
              <w:top w:val="single" w:sz="8" w:space="0" w:color="auto"/>
              <w:left w:val="nil"/>
              <w:bottom w:val="nil"/>
              <w:right w:val="single" w:sz="8" w:space="0" w:color="auto"/>
            </w:tcBorders>
            <w:shd w:val="clear" w:color="000000" w:fill="E7E6E6"/>
            <w:noWrap/>
            <w:vAlign w:val="center"/>
            <w:hideMark/>
          </w:tcPr>
          <w:p w:rsidR="0045128E" w:rsidRPr="0045128E" w:rsidP="0045128E" w14:paraId="1ADCFCFE" w14:textId="77777777">
            <w:pPr>
              <w:widowControl/>
              <w:jc w:val="center"/>
              <w:rPr>
                <w:b/>
                <w:bCs/>
                <w:snapToGrid/>
                <w:color w:val="000000"/>
                <w:kern w:val="0"/>
                <w:szCs w:val="22"/>
              </w:rPr>
            </w:pPr>
            <w:r w:rsidRPr="0045128E">
              <w:rPr>
                <w:b/>
                <w:bCs/>
                <w:snapToGrid/>
                <w:kern w:val="0"/>
                <w:szCs w:val="22"/>
              </w:rPr>
              <w:t>Licensee</w:t>
            </w:r>
          </w:p>
        </w:tc>
      </w:tr>
      <w:tr w14:paraId="6A8A4524" w14:textId="77777777" w:rsidTr="0045128E">
        <w:tblPrEx>
          <w:tblW w:w="5600" w:type="dxa"/>
          <w:jc w:val="center"/>
          <w:tblLook w:val="04A0"/>
        </w:tblPrEx>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28E" w:rsidRPr="0045128E" w:rsidP="0045128E" w14:paraId="477C0606" w14:textId="77777777">
            <w:pPr>
              <w:widowControl/>
              <w:jc w:val="center"/>
              <w:rPr>
                <w:snapToGrid/>
                <w:color w:val="000000"/>
                <w:kern w:val="0"/>
                <w:szCs w:val="22"/>
              </w:rPr>
            </w:pPr>
            <w:r w:rsidRPr="0045128E">
              <w:rPr>
                <w:snapToGrid/>
                <w:color w:val="000000"/>
                <w:kern w:val="0"/>
                <w:szCs w:val="22"/>
              </w:rPr>
              <w:t>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45128E" w:rsidRPr="0045128E" w:rsidP="0045128E" w14:paraId="7BFFFAE7" w14:textId="77777777">
            <w:pPr>
              <w:widowControl/>
              <w:jc w:val="center"/>
              <w:rPr>
                <w:snapToGrid/>
                <w:color w:val="000000"/>
                <w:kern w:val="0"/>
                <w:szCs w:val="22"/>
              </w:rPr>
            </w:pPr>
            <w:r w:rsidRPr="0045128E">
              <w:rPr>
                <w:snapToGrid/>
                <w:color w:val="000000"/>
                <w:kern w:val="0"/>
                <w:szCs w:val="22"/>
              </w:rPr>
              <w:t>KCC793</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45128E" w:rsidRPr="0045128E" w:rsidP="0045128E" w14:paraId="2649713F" w14:textId="77777777">
            <w:pPr>
              <w:widowControl/>
              <w:jc w:val="center"/>
              <w:rPr>
                <w:snapToGrid/>
                <w:color w:val="000000"/>
                <w:kern w:val="0"/>
                <w:szCs w:val="22"/>
              </w:rPr>
            </w:pPr>
            <w:r w:rsidRPr="0045128E">
              <w:rPr>
                <w:snapToGrid/>
                <w:color w:val="000000"/>
                <w:kern w:val="0"/>
                <w:szCs w:val="22"/>
              </w:rPr>
              <w:t>A2G Communications LLC</w:t>
            </w:r>
          </w:p>
        </w:tc>
      </w:tr>
      <w:tr w14:paraId="1D01200A"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558B6C50" w14:textId="77777777">
            <w:pPr>
              <w:widowControl/>
              <w:jc w:val="center"/>
              <w:rPr>
                <w:snapToGrid/>
                <w:color w:val="000000"/>
                <w:kern w:val="0"/>
                <w:szCs w:val="22"/>
              </w:rPr>
            </w:pPr>
            <w:r w:rsidRPr="0045128E">
              <w:rPr>
                <w:snapToGrid/>
                <w:color w:val="000000"/>
                <w:kern w:val="0"/>
                <w:szCs w:val="22"/>
              </w:rPr>
              <w:t>2</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60C72B07" w14:textId="77777777">
            <w:pPr>
              <w:widowControl/>
              <w:jc w:val="center"/>
              <w:rPr>
                <w:snapToGrid/>
                <w:color w:val="000000"/>
                <w:kern w:val="0"/>
                <w:szCs w:val="22"/>
              </w:rPr>
            </w:pPr>
            <w:r w:rsidRPr="0045128E">
              <w:rPr>
                <w:snapToGrid/>
                <w:color w:val="000000"/>
                <w:kern w:val="0"/>
                <w:szCs w:val="22"/>
              </w:rPr>
              <w:t>KEC932</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3CA8FF2" w14:textId="77777777">
            <w:pPr>
              <w:widowControl/>
              <w:jc w:val="center"/>
              <w:rPr>
                <w:snapToGrid/>
                <w:color w:val="000000"/>
                <w:kern w:val="0"/>
                <w:szCs w:val="22"/>
              </w:rPr>
            </w:pPr>
            <w:r w:rsidRPr="0045128E">
              <w:rPr>
                <w:snapToGrid/>
                <w:color w:val="000000"/>
                <w:kern w:val="0"/>
                <w:szCs w:val="22"/>
              </w:rPr>
              <w:t>A2G Communications LLC</w:t>
            </w:r>
          </w:p>
        </w:tc>
      </w:tr>
      <w:tr w14:paraId="14BC428B"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F36F367" w14:textId="77777777">
            <w:pPr>
              <w:widowControl/>
              <w:jc w:val="center"/>
              <w:rPr>
                <w:snapToGrid/>
                <w:color w:val="000000"/>
                <w:kern w:val="0"/>
                <w:szCs w:val="22"/>
              </w:rPr>
            </w:pPr>
            <w:r w:rsidRPr="0045128E">
              <w:rPr>
                <w:snapToGrid/>
                <w:color w:val="000000"/>
                <w:kern w:val="0"/>
                <w:szCs w:val="22"/>
              </w:rPr>
              <w:t>3</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A24931C" w14:textId="77777777">
            <w:pPr>
              <w:widowControl/>
              <w:jc w:val="center"/>
              <w:rPr>
                <w:snapToGrid/>
                <w:color w:val="000000"/>
                <w:kern w:val="0"/>
                <w:szCs w:val="22"/>
              </w:rPr>
            </w:pPr>
            <w:r w:rsidRPr="0045128E">
              <w:rPr>
                <w:snapToGrid/>
                <w:color w:val="000000"/>
                <w:kern w:val="0"/>
                <w:szCs w:val="22"/>
              </w:rPr>
              <w:t>KED350</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82C40BC" w14:textId="77777777">
            <w:pPr>
              <w:widowControl/>
              <w:jc w:val="center"/>
              <w:rPr>
                <w:snapToGrid/>
                <w:color w:val="000000"/>
                <w:kern w:val="0"/>
                <w:szCs w:val="22"/>
              </w:rPr>
            </w:pPr>
            <w:r w:rsidRPr="0045128E">
              <w:rPr>
                <w:snapToGrid/>
                <w:color w:val="000000"/>
                <w:kern w:val="0"/>
                <w:szCs w:val="22"/>
              </w:rPr>
              <w:t>A2G Communications LLC</w:t>
            </w:r>
          </w:p>
        </w:tc>
      </w:tr>
      <w:tr w14:paraId="2DF94490"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15518499" w14:textId="77777777">
            <w:pPr>
              <w:widowControl/>
              <w:jc w:val="center"/>
              <w:rPr>
                <w:snapToGrid/>
                <w:color w:val="000000"/>
                <w:kern w:val="0"/>
                <w:szCs w:val="22"/>
              </w:rPr>
            </w:pPr>
            <w:r w:rsidRPr="0045128E">
              <w:rPr>
                <w:snapToGrid/>
                <w:color w:val="000000"/>
                <w:kern w:val="0"/>
                <w:szCs w:val="22"/>
              </w:rPr>
              <w:t>4</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3589A9A" w14:textId="77777777">
            <w:pPr>
              <w:widowControl/>
              <w:jc w:val="center"/>
              <w:rPr>
                <w:snapToGrid/>
                <w:color w:val="000000"/>
                <w:kern w:val="0"/>
                <w:szCs w:val="22"/>
              </w:rPr>
            </w:pPr>
            <w:r w:rsidRPr="0045128E">
              <w:rPr>
                <w:snapToGrid/>
                <w:color w:val="000000"/>
                <w:kern w:val="0"/>
                <w:szCs w:val="22"/>
              </w:rPr>
              <w:t>KGC406</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92FE88D" w14:textId="77777777">
            <w:pPr>
              <w:widowControl/>
              <w:jc w:val="center"/>
              <w:rPr>
                <w:snapToGrid/>
                <w:color w:val="000000"/>
                <w:kern w:val="0"/>
                <w:szCs w:val="22"/>
              </w:rPr>
            </w:pPr>
            <w:r w:rsidRPr="0045128E">
              <w:rPr>
                <w:snapToGrid/>
                <w:color w:val="000000"/>
                <w:kern w:val="0"/>
                <w:szCs w:val="22"/>
              </w:rPr>
              <w:t>A2G Communications LLC</w:t>
            </w:r>
          </w:p>
        </w:tc>
      </w:tr>
      <w:tr w14:paraId="61605223"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EC80BE6" w14:textId="77777777">
            <w:pPr>
              <w:widowControl/>
              <w:jc w:val="center"/>
              <w:rPr>
                <w:snapToGrid/>
                <w:color w:val="000000"/>
                <w:kern w:val="0"/>
                <w:szCs w:val="22"/>
              </w:rPr>
            </w:pPr>
            <w:r w:rsidRPr="0045128E">
              <w:rPr>
                <w:snapToGrid/>
                <w:color w:val="000000"/>
                <w:kern w:val="0"/>
                <w:szCs w:val="22"/>
              </w:rPr>
              <w:t>5</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6B7D4A3F" w14:textId="77777777">
            <w:pPr>
              <w:widowControl/>
              <w:jc w:val="center"/>
              <w:rPr>
                <w:snapToGrid/>
                <w:color w:val="000000"/>
                <w:kern w:val="0"/>
                <w:szCs w:val="22"/>
              </w:rPr>
            </w:pPr>
            <w:r w:rsidRPr="0045128E">
              <w:rPr>
                <w:snapToGrid/>
                <w:color w:val="000000"/>
                <w:kern w:val="0"/>
                <w:szCs w:val="22"/>
              </w:rPr>
              <w:t>KNKC473</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40964EF8" w14:textId="77777777">
            <w:pPr>
              <w:widowControl/>
              <w:jc w:val="center"/>
              <w:rPr>
                <w:snapToGrid/>
                <w:color w:val="000000"/>
                <w:kern w:val="0"/>
                <w:szCs w:val="22"/>
              </w:rPr>
            </w:pPr>
            <w:r w:rsidRPr="0045128E">
              <w:rPr>
                <w:snapToGrid/>
                <w:color w:val="000000"/>
                <w:kern w:val="0"/>
                <w:szCs w:val="22"/>
              </w:rPr>
              <w:t>A2G Communications LLC</w:t>
            </w:r>
          </w:p>
        </w:tc>
      </w:tr>
      <w:tr w14:paraId="50356571"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73C04F2" w14:textId="77777777">
            <w:pPr>
              <w:widowControl/>
              <w:jc w:val="center"/>
              <w:rPr>
                <w:snapToGrid/>
                <w:color w:val="000000"/>
                <w:kern w:val="0"/>
                <w:szCs w:val="22"/>
              </w:rPr>
            </w:pPr>
            <w:r w:rsidRPr="0045128E">
              <w:rPr>
                <w:snapToGrid/>
                <w:color w:val="000000"/>
                <w:kern w:val="0"/>
                <w:szCs w:val="22"/>
              </w:rPr>
              <w:t>6</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649697E5" w14:textId="77777777">
            <w:pPr>
              <w:widowControl/>
              <w:jc w:val="center"/>
              <w:rPr>
                <w:snapToGrid/>
                <w:color w:val="000000"/>
                <w:kern w:val="0"/>
                <w:szCs w:val="22"/>
              </w:rPr>
            </w:pPr>
            <w:r w:rsidRPr="0045128E">
              <w:rPr>
                <w:snapToGrid/>
                <w:color w:val="000000"/>
                <w:kern w:val="0"/>
                <w:szCs w:val="22"/>
              </w:rPr>
              <w:t>KNKI632</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04E202F" w14:textId="77777777">
            <w:pPr>
              <w:widowControl/>
              <w:jc w:val="center"/>
              <w:rPr>
                <w:snapToGrid/>
                <w:color w:val="000000"/>
                <w:kern w:val="0"/>
                <w:szCs w:val="22"/>
              </w:rPr>
            </w:pPr>
            <w:r w:rsidRPr="0045128E">
              <w:rPr>
                <w:snapToGrid/>
                <w:color w:val="000000"/>
                <w:kern w:val="0"/>
                <w:szCs w:val="22"/>
              </w:rPr>
              <w:t>A2G Communications LLC</w:t>
            </w:r>
          </w:p>
        </w:tc>
      </w:tr>
      <w:tr w14:paraId="7BAE0BC3"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2B818D00" w14:textId="77777777">
            <w:pPr>
              <w:widowControl/>
              <w:jc w:val="center"/>
              <w:rPr>
                <w:snapToGrid/>
                <w:color w:val="000000"/>
                <w:kern w:val="0"/>
                <w:szCs w:val="22"/>
              </w:rPr>
            </w:pPr>
            <w:r w:rsidRPr="0045128E">
              <w:rPr>
                <w:snapToGrid/>
                <w:color w:val="000000"/>
                <w:kern w:val="0"/>
                <w:szCs w:val="22"/>
              </w:rPr>
              <w:t>7</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40AFEE9" w14:textId="77777777">
            <w:pPr>
              <w:widowControl/>
              <w:jc w:val="center"/>
              <w:rPr>
                <w:snapToGrid/>
                <w:color w:val="000000"/>
                <w:kern w:val="0"/>
                <w:szCs w:val="22"/>
              </w:rPr>
            </w:pPr>
            <w:r w:rsidRPr="0045128E">
              <w:rPr>
                <w:snapToGrid/>
                <w:color w:val="000000"/>
                <w:kern w:val="0"/>
                <w:szCs w:val="22"/>
              </w:rPr>
              <w:t>KNKI838</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4E1F62D" w14:textId="77777777">
            <w:pPr>
              <w:widowControl/>
              <w:jc w:val="center"/>
              <w:rPr>
                <w:snapToGrid/>
                <w:color w:val="000000"/>
                <w:kern w:val="0"/>
                <w:szCs w:val="22"/>
              </w:rPr>
            </w:pPr>
            <w:r w:rsidRPr="0045128E">
              <w:rPr>
                <w:snapToGrid/>
                <w:color w:val="000000"/>
                <w:kern w:val="0"/>
                <w:szCs w:val="22"/>
              </w:rPr>
              <w:t>A2G Communications LLC</w:t>
            </w:r>
          </w:p>
        </w:tc>
      </w:tr>
      <w:tr w14:paraId="46E6B9F0"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5F063BDD" w14:textId="77777777">
            <w:pPr>
              <w:widowControl/>
              <w:jc w:val="center"/>
              <w:rPr>
                <w:snapToGrid/>
                <w:color w:val="000000"/>
                <w:kern w:val="0"/>
                <w:szCs w:val="22"/>
              </w:rPr>
            </w:pPr>
            <w:r w:rsidRPr="0045128E">
              <w:rPr>
                <w:snapToGrid/>
                <w:color w:val="000000"/>
                <w:kern w:val="0"/>
                <w:szCs w:val="22"/>
              </w:rPr>
              <w:t>8</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D33693A" w14:textId="77777777">
            <w:pPr>
              <w:widowControl/>
              <w:jc w:val="center"/>
              <w:rPr>
                <w:snapToGrid/>
                <w:color w:val="000000"/>
                <w:kern w:val="0"/>
                <w:szCs w:val="22"/>
              </w:rPr>
            </w:pPr>
            <w:r w:rsidRPr="0045128E">
              <w:rPr>
                <w:snapToGrid/>
                <w:color w:val="000000"/>
                <w:kern w:val="0"/>
                <w:szCs w:val="22"/>
              </w:rPr>
              <w:t>KNKJ550</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85884AE" w14:textId="77777777">
            <w:pPr>
              <w:widowControl/>
              <w:jc w:val="center"/>
              <w:rPr>
                <w:snapToGrid/>
                <w:color w:val="000000"/>
                <w:kern w:val="0"/>
                <w:szCs w:val="22"/>
              </w:rPr>
            </w:pPr>
            <w:r w:rsidRPr="0045128E">
              <w:rPr>
                <w:snapToGrid/>
                <w:color w:val="000000"/>
                <w:kern w:val="0"/>
                <w:szCs w:val="22"/>
              </w:rPr>
              <w:t>A2G Communications LLC</w:t>
            </w:r>
          </w:p>
        </w:tc>
      </w:tr>
      <w:tr w14:paraId="43871EB2"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1C7804E8" w14:textId="77777777">
            <w:pPr>
              <w:widowControl/>
              <w:jc w:val="center"/>
              <w:rPr>
                <w:snapToGrid/>
                <w:color w:val="000000"/>
                <w:kern w:val="0"/>
                <w:szCs w:val="22"/>
              </w:rPr>
            </w:pPr>
            <w:r w:rsidRPr="0045128E">
              <w:rPr>
                <w:snapToGrid/>
                <w:color w:val="000000"/>
                <w:kern w:val="0"/>
                <w:szCs w:val="22"/>
              </w:rPr>
              <w:t>9</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4360EE28" w14:textId="77777777">
            <w:pPr>
              <w:widowControl/>
              <w:jc w:val="center"/>
              <w:rPr>
                <w:snapToGrid/>
                <w:color w:val="000000"/>
                <w:kern w:val="0"/>
                <w:szCs w:val="22"/>
              </w:rPr>
            </w:pPr>
            <w:r w:rsidRPr="0045128E">
              <w:rPr>
                <w:snapToGrid/>
                <w:color w:val="000000"/>
                <w:kern w:val="0"/>
                <w:szCs w:val="22"/>
              </w:rPr>
              <w:t>KNKK614</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89D3F02" w14:textId="77777777">
            <w:pPr>
              <w:widowControl/>
              <w:jc w:val="center"/>
              <w:rPr>
                <w:snapToGrid/>
                <w:color w:val="000000"/>
                <w:kern w:val="0"/>
                <w:szCs w:val="22"/>
              </w:rPr>
            </w:pPr>
            <w:r w:rsidRPr="0045128E">
              <w:rPr>
                <w:snapToGrid/>
                <w:color w:val="000000"/>
                <w:kern w:val="0"/>
                <w:szCs w:val="22"/>
              </w:rPr>
              <w:t>A2G Communications LLC</w:t>
            </w:r>
          </w:p>
        </w:tc>
      </w:tr>
      <w:tr w14:paraId="79860368"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31B16CF4" w14:textId="77777777">
            <w:pPr>
              <w:widowControl/>
              <w:jc w:val="center"/>
              <w:rPr>
                <w:snapToGrid/>
                <w:color w:val="000000"/>
                <w:kern w:val="0"/>
                <w:szCs w:val="22"/>
              </w:rPr>
            </w:pPr>
            <w:r w:rsidRPr="0045128E">
              <w:rPr>
                <w:snapToGrid/>
                <w:color w:val="000000"/>
                <w:kern w:val="0"/>
                <w:szCs w:val="22"/>
              </w:rPr>
              <w:t>10</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EADA1C1" w14:textId="77777777">
            <w:pPr>
              <w:widowControl/>
              <w:jc w:val="center"/>
              <w:rPr>
                <w:snapToGrid/>
                <w:color w:val="000000"/>
                <w:kern w:val="0"/>
                <w:szCs w:val="22"/>
              </w:rPr>
            </w:pPr>
            <w:r w:rsidRPr="0045128E">
              <w:rPr>
                <w:snapToGrid/>
                <w:color w:val="000000"/>
                <w:kern w:val="0"/>
                <w:szCs w:val="22"/>
              </w:rPr>
              <w:t>KNLW652</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66237680" w14:textId="77777777">
            <w:pPr>
              <w:widowControl/>
              <w:jc w:val="center"/>
              <w:rPr>
                <w:snapToGrid/>
                <w:color w:val="000000"/>
                <w:kern w:val="0"/>
                <w:szCs w:val="22"/>
              </w:rPr>
            </w:pPr>
            <w:r w:rsidRPr="0045128E">
              <w:rPr>
                <w:snapToGrid/>
                <w:color w:val="000000"/>
                <w:kern w:val="0"/>
                <w:szCs w:val="22"/>
              </w:rPr>
              <w:t>A2G Communications LLC</w:t>
            </w:r>
          </w:p>
        </w:tc>
      </w:tr>
      <w:tr w14:paraId="3D059BAD"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253DB71A" w14:textId="77777777">
            <w:pPr>
              <w:widowControl/>
              <w:jc w:val="center"/>
              <w:rPr>
                <w:snapToGrid/>
                <w:color w:val="000000"/>
                <w:kern w:val="0"/>
                <w:szCs w:val="22"/>
              </w:rPr>
            </w:pPr>
            <w:r w:rsidRPr="0045128E">
              <w:rPr>
                <w:snapToGrid/>
                <w:color w:val="000000"/>
                <w:kern w:val="0"/>
                <w:szCs w:val="22"/>
              </w:rPr>
              <w:t>11</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4BA61FE9" w14:textId="77777777">
            <w:pPr>
              <w:widowControl/>
              <w:jc w:val="center"/>
              <w:rPr>
                <w:snapToGrid/>
                <w:color w:val="000000"/>
                <w:kern w:val="0"/>
                <w:szCs w:val="22"/>
              </w:rPr>
            </w:pPr>
            <w:r w:rsidRPr="0045128E">
              <w:rPr>
                <w:snapToGrid/>
                <w:color w:val="000000"/>
                <w:kern w:val="0"/>
                <w:szCs w:val="22"/>
              </w:rPr>
              <w:t>KOR443</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F2301B7" w14:textId="77777777">
            <w:pPr>
              <w:widowControl/>
              <w:jc w:val="center"/>
              <w:rPr>
                <w:snapToGrid/>
                <w:color w:val="000000"/>
                <w:kern w:val="0"/>
                <w:szCs w:val="22"/>
              </w:rPr>
            </w:pPr>
            <w:r w:rsidRPr="0045128E">
              <w:rPr>
                <w:snapToGrid/>
                <w:color w:val="000000"/>
                <w:kern w:val="0"/>
                <w:szCs w:val="22"/>
              </w:rPr>
              <w:t>A2G Communications LLC</w:t>
            </w:r>
          </w:p>
        </w:tc>
      </w:tr>
      <w:tr w14:paraId="55CED328"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1B321FA8" w14:textId="77777777">
            <w:pPr>
              <w:widowControl/>
              <w:jc w:val="center"/>
              <w:rPr>
                <w:snapToGrid/>
                <w:color w:val="000000"/>
                <w:kern w:val="0"/>
                <w:szCs w:val="22"/>
              </w:rPr>
            </w:pPr>
            <w:r w:rsidRPr="0045128E">
              <w:rPr>
                <w:snapToGrid/>
                <w:color w:val="000000"/>
                <w:kern w:val="0"/>
                <w:szCs w:val="22"/>
              </w:rPr>
              <w:t>12</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6CF52168" w14:textId="77777777">
            <w:pPr>
              <w:widowControl/>
              <w:jc w:val="center"/>
              <w:rPr>
                <w:snapToGrid/>
                <w:color w:val="000000"/>
                <w:kern w:val="0"/>
                <w:szCs w:val="22"/>
              </w:rPr>
            </w:pPr>
            <w:r w:rsidRPr="0045128E">
              <w:rPr>
                <w:snapToGrid/>
                <w:color w:val="000000"/>
                <w:kern w:val="0"/>
                <w:szCs w:val="22"/>
              </w:rPr>
              <w:t>KPE495</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130F8786" w14:textId="77777777">
            <w:pPr>
              <w:widowControl/>
              <w:jc w:val="center"/>
              <w:rPr>
                <w:snapToGrid/>
                <w:color w:val="000000"/>
                <w:kern w:val="0"/>
                <w:szCs w:val="22"/>
              </w:rPr>
            </w:pPr>
            <w:r w:rsidRPr="0045128E">
              <w:rPr>
                <w:snapToGrid/>
                <w:color w:val="000000"/>
                <w:kern w:val="0"/>
                <w:szCs w:val="22"/>
              </w:rPr>
              <w:t>A2G Communications LLC</w:t>
            </w:r>
          </w:p>
        </w:tc>
      </w:tr>
      <w:tr w14:paraId="1E26AA3A"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7A877733" w14:textId="77777777">
            <w:pPr>
              <w:widowControl/>
              <w:jc w:val="center"/>
              <w:rPr>
                <w:snapToGrid/>
                <w:color w:val="000000"/>
                <w:kern w:val="0"/>
                <w:szCs w:val="22"/>
              </w:rPr>
            </w:pPr>
            <w:r w:rsidRPr="0045128E">
              <w:rPr>
                <w:snapToGrid/>
                <w:color w:val="000000"/>
                <w:kern w:val="0"/>
                <w:szCs w:val="22"/>
              </w:rPr>
              <w:t>13</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9F4DF48" w14:textId="77777777">
            <w:pPr>
              <w:widowControl/>
              <w:jc w:val="center"/>
              <w:rPr>
                <w:snapToGrid/>
                <w:color w:val="000000"/>
                <w:kern w:val="0"/>
                <w:szCs w:val="22"/>
              </w:rPr>
            </w:pPr>
            <w:r w:rsidRPr="0045128E">
              <w:rPr>
                <w:snapToGrid/>
                <w:color w:val="000000"/>
                <w:kern w:val="0"/>
                <w:szCs w:val="22"/>
              </w:rPr>
              <w:t>KQD306</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2269B76" w14:textId="77777777">
            <w:pPr>
              <w:widowControl/>
              <w:jc w:val="center"/>
              <w:rPr>
                <w:snapToGrid/>
                <w:color w:val="000000"/>
                <w:kern w:val="0"/>
                <w:szCs w:val="22"/>
              </w:rPr>
            </w:pPr>
            <w:r w:rsidRPr="0045128E">
              <w:rPr>
                <w:snapToGrid/>
                <w:color w:val="000000"/>
                <w:kern w:val="0"/>
                <w:szCs w:val="22"/>
              </w:rPr>
              <w:t>A2G Communications LLC</w:t>
            </w:r>
          </w:p>
        </w:tc>
      </w:tr>
      <w:tr w14:paraId="2F068FEC"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C5D3AEE" w14:textId="77777777">
            <w:pPr>
              <w:widowControl/>
              <w:jc w:val="center"/>
              <w:rPr>
                <w:snapToGrid/>
                <w:color w:val="000000"/>
                <w:kern w:val="0"/>
                <w:szCs w:val="22"/>
              </w:rPr>
            </w:pPr>
            <w:r w:rsidRPr="0045128E">
              <w:rPr>
                <w:snapToGrid/>
                <w:color w:val="000000"/>
                <w:kern w:val="0"/>
                <w:szCs w:val="22"/>
              </w:rPr>
              <w:t>14</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FAA8E5C" w14:textId="77777777">
            <w:pPr>
              <w:widowControl/>
              <w:jc w:val="center"/>
              <w:rPr>
                <w:snapToGrid/>
                <w:color w:val="000000"/>
                <w:kern w:val="0"/>
                <w:szCs w:val="22"/>
              </w:rPr>
            </w:pPr>
            <w:r w:rsidRPr="0045128E">
              <w:rPr>
                <w:snapToGrid/>
                <w:color w:val="000000"/>
                <w:kern w:val="0"/>
                <w:szCs w:val="22"/>
              </w:rPr>
              <w:t>KRS662</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D24275B" w14:textId="77777777">
            <w:pPr>
              <w:widowControl/>
              <w:jc w:val="center"/>
              <w:rPr>
                <w:snapToGrid/>
                <w:color w:val="000000"/>
                <w:kern w:val="0"/>
                <w:szCs w:val="22"/>
              </w:rPr>
            </w:pPr>
            <w:r w:rsidRPr="0045128E">
              <w:rPr>
                <w:snapToGrid/>
                <w:color w:val="000000"/>
                <w:kern w:val="0"/>
                <w:szCs w:val="22"/>
              </w:rPr>
              <w:t>A2G Communications LLC</w:t>
            </w:r>
          </w:p>
        </w:tc>
      </w:tr>
      <w:tr w14:paraId="6903B564"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29CC1D9D" w14:textId="77777777">
            <w:pPr>
              <w:widowControl/>
              <w:jc w:val="center"/>
              <w:rPr>
                <w:snapToGrid/>
                <w:color w:val="000000"/>
                <w:kern w:val="0"/>
                <w:szCs w:val="22"/>
              </w:rPr>
            </w:pPr>
            <w:r w:rsidRPr="0045128E">
              <w:rPr>
                <w:snapToGrid/>
                <w:color w:val="000000"/>
                <w:kern w:val="0"/>
                <w:szCs w:val="22"/>
              </w:rPr>
              <w:t>15</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1698D173" w14:textId="77777777">
            <w:pPr>
              <w:widowControl/>
              <w:jc w:val="center"/>
              <w:rPr>
                <w:snapToGrid/>
                <w:color w:val="000000"/>
                <w:kern w:val="0"/>
                <w:szCs w:val="22"/>
              </w:rPr>
            </w:pPr>
            <w:r w:rsidRPr="0045128E">
              <w:rPr>
                <w:snapToGrid/>
                <w:color w:val="000000"/>
                <w:kern w:val="0"/>
                <w:szCs w:val="22"/>
              </w:rPr>
              <w:t>KSC881</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FA7F234" w14:textId="77777777">
            <w:pPr>
              <w:widowControl/>
              <w:jc w:val="center"/>
              <w:rPr>
                <w:snapToGrid/>
                <w:color w:val="000000"/>
                <w:kern w:val="0"/>
                <w:szCs w:val="22"/>
              </w:rPr>
            </w:pPr>
            <w:r w:rsidRPr="0045128E">
              <w:rPr>
                <w:snapToGrid/>
                <w:color w:val="000000"/>
                <w:kern w:val="0"/>
                <w:szCs w:val="22"/>
              </w:rPr>
              <w:t>A2G Communications LLC</w:t>
            </w:r>
          </w:p>
        </w:tc>
      </w:tr>
      <w:tr w14:paraId="67077CF8"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E52AAF3" w14:textId="77777777">
            <w:pPr>
              <w:widowControl/>
              <w:jc w:val="center"/>
              <w:rPr>
                <w:snapToGrid/>
                <w:color w:val="000000"/>
                <w:kern w:val="0"/>
                <w:szCs w:val="22"/>
              </w:rPr>
            </w:pPr>
            <w:r w:rsidRPr="0045128E">
              <w:rPr>
                <w:snapToGrid/>
                <w:color w:val="000000"/>
                <w:kern w:val="0"/>
                <w:szCs w:val="22"/>
              </w:rPr>
              <w:t>16</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474FC26" w14:textId="77777777">
            <w:pPr>
              <w:widowControl/>
              <w:jc w:val="center"/>
              <w:rPr>
                <w:snapToGrid/>
                <w:color w:val="000000"/>
                <w:kern w:val="0"/>
                <w:szCs w:val="22"/>
              </w:rPr>
            </w:pPr>
            <w:r w:rsidRPr="0045128E">
              <w:rPr>
                <w:snapToGrid/>
                <w:color w:val="000000"/>
                <w:kern w:val="0"/>
                <w:szCs w:val="22"/>
              </w:rPr>
              <w:t>KSJ612</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6FA2FC6" w14:textId="77777777">
            <w:pPr>
              <w:widowControl/>
              <w:jc w:val="center"/>
              <w:rPr>
                <w:snapToGrid/>
                <w:color w:val="000000"/>
                <w:kern w:val="0"/>
                <w:szCs w:val="22"/>
              </w:rPr>
            </w:pPr>
            <w:r w:rsidRPr="0045128E">
              <w:rPr>
                <w:snapToGrid/>
                <w:color w:val="000000"/>
                <w:kern w:val="0"/>
                <w:szCs w:val="22"/>
              </w:rPr>
              <w:t>A2G Communications LLC</w:t>
            </w:r>
          </w:p>
        </w:tc>
      </w:tr>
      <w:tr w14:paraId="24072CA2"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25521F38" w14:textId="77777777">
            <w:pPr>
              <w:widowControl/>
              <w:jc w:val="center"/>
              <w:rPr>
                <w:snapToGrid/>
                <w:color w:val="000000"/>
                <w:kern w:val="0"/>
                <w:szCs w:val="22"/>
              </w:rPr>
            </w:pPr>
            <w:r w:rsidRPr="0045128E">
              <w:rPr>
                <w:snapToGrid/>
                <w:color w:val="000000"/>
                <w:kern w:val="0"/>
                <w:szCs w:val="22"/>
              </w:rPr>
              <w:t>17</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A847B1D" w14:textId="77777777">
            <w:pPr>
              <w:widowControl/>
              <w:jc w:val="center"/>
              <w:rPr>
                <w:snapToGrid/>
                <w:color w:val="000000"/>
                <w:kern w:val="0"/>
                <w:szCs w:val="22"/>
              </w:rPr>
            </w:pPr>
            <w:r w:rsidRPr="0045128E">
              <w:rPr>
                <w:snapToGrid/>
                <w:color w:val="000000"/>
                <w:kern w:val="0"/>
                <w:szCs w:val="22"/>
              </w:rPr>
              <w:t>KSW213</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773E439" w14:textId="77777777">
            <w:pPr>
              <w:widowControl/>
              <w:jc w:val="center"/>
              <w:rPr>
                <w:snapToGrid/>
                <w:color w:val="000000"/>
                <w:kern w:val="0"/>
                <w:szCs w:val="22"/>
              </w:rPr>
            </w:pPr>
            <w:r w:rsidRPr="0045128E">
              <w:rPr>
                <w:snapToGrid/>
                <w:color w:val="000000"/>
                <w:kern w:val="0"/>
                <w:szCs w:val="22"/>
              </w:rPr>
              <w:t>A2G Communications LLC</w:t>
            </w:r>
          </w:p>
        </w:tc>
      </w:tr>
      <w:tr w14:paraId="4B940953"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2481918" w14:textId="77777777">
            <w:pPr>
              <w:widowControl/>
              <w:jc w:val="center"/>
              <w:rPr>
                <w:snapToGrid/>
                <w:color w:val="000000"/>
                <w:kern w:val="0"/>
                <w:szCs w:val="22"/>
              </w:rPr>
            </w:pPr>
            <w:r w:rsidRPr="0045128E">
              <w:rPr>
                <w:snapToGrid/>
                <w:color w:val="000000"/>
                <w:kern w:val="0"/>
                <w:szCs w:val="22"/>
              </w:rPr>
              <w:t>18</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62F78A2E" w14:textId="77777777">
            <w:pPr>
              <w:widowControl/>
              <w:jc w:val="center"/>
              <w:rPr>
                <w:snapToGrid/>
                <w:color w:val="000000"/>
                <w:kern w:val="0"/>
                <w:szCs w:val="22"/>
              </w:rPr>
            </w:pPr>
            <w:r w:rsidRPr="0045128E">
              <w:rPr>
                <w:snapToGrid/>
                <w:color w:val="000000"/>
                <w:kern w:val="0"/>
                <w:szCs w:val="22"/>
              </w:rPr>
              <w:t>KUC859</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4D7CE618" w14:textId="77777777">
            <w:pPr>
              <w:widowControl/>
              <w:jc w:val="center"/>
              <w:rPr>
                <w:snapToGrid/>
                <w:color w:val="000000"/>
                <w:kern w:val="0"/>
                <w:szCs w:val="22"/>
              </w:rPr>
            </w:pPr>
            <w:r w:rsidRPr="0045128E">
              <w:rPr>
                <w:snapToGrid/>
                <w:color w:val="000000"/>
                <w:kern w:val="0"/>
                <w:szCs w:val="22"/>
              </w:rPr>
              <w:t>A2G Communications LLC</w:t>
            </w:r>
          </w:p>
        </w:tc>
      </w:tr>
      <w:tr w14:paraId="2944BA9E"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0936907E" w14:textId="77777777">
            <w:pPr>
              <w:widowControl/>
              <w:jc w:val="center"/>
              <w:rPr>
                <w:snapToGrid/>
                <w:color w:val="000000"/>
                <w:kern w:val="0"/>
                <w:szCs w:val="22"/>
              </w:rPr>
            </w:pPr>
            <w:r w:rsidRPr="0045128E">
              <w:rPr>
                <w:snapToGrid/>
                <w:color w:val="000000"/>
                <w:kern w:val="0"/>
                <w:szCs w:val="22"/>
              </w:rPr>
              <w:t>19</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D51F55D" w14:textId="77777777">
            <w:pPr>
              <w:widowControl/>
              <w:jc w:val="center"/>
              <w:rPr>
                <w:snapToGrid/>
                <w:color w:val="000000"/>
                <w:kern w:val="0"/>
                <w:szCs w:val="22"/>
              </w:rPr>
            </w:pPr>
            <w:r w:rsidRPr="0045128E">
              <w:rPr>
                <w:snapToGrid/>
                <w:color w:val="000000"/>
                <w:kern w:val="0"/>
                <w:szCs w:val="22"/>
              </w:rPr>
              <w:t>KUC941</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1C3E9E1F" w14:textId="77777777">
            <w:pPr>
              <w:widowControl/>
              <w:jc w:val="center"/>
              <w:rPr>
                <w:snapToGrid/>
                <w:color w:val="000000"/>
                <w:kern w:val="0"/>
                <w:szCs w:val="22"/>
              </w:rPr>
            </w:pPr>
            <w:r w:rsidRPr="0045128E">
              <w:rPr>
                <w:snapToGrid/>
                <w:color w:val="000000"/>
                <w:kern w:val="0"/>
                <w:szCs w:val="22"/>
              </w:rPr>
              <w:t>A2G Communications LLC</w:t>
            </w:r>
          </w:p>
        </w:tc>
      </w:tr>
      <w:tr w14:paraId="7BC3CCB3"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CB81172" w14:textId="77777777">
            <w:pPr>
              <w:widowControl/>
              <w:jc w:val="center"/>
              <w:rPr>
                <w:snapToGrid/>
                <w:color w:val="000000"/>
                <w:kern w:val="0"/>
                <w:szCs w:val="22"/>
              </w:rPr>
            </w:pPr>
            <w:r w:rsidRPr="0045128E">
              <w:rPr>
                <w:snapToGrid/>
                <w:color w:val="000000"/>
                <w:kern w:val="0"/>
                <w:szCs w:val="22"/>
              </w:rPr>
              <w:t>20</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4C821848" w14:textId="77777777">
            <w:pPr>
              <w:widowControl/>
              <w:jc w:val="center"/>
              <w:rPr>
                <w:snapToGrid/>
                <w:color w:val="000000"/>
                <w:kern w:val="0"/>
                <w:szCs w:val="22"/>
              </w:rPr>
            </w:pPr>
            <w:r w:rsidRPr="0045128E">
              <w:rPr>
                <w:snapToGrid/>
                <w:color w:val="000000"/>
                <w:kern w:val="0"/>
                <w:szCs w:val="22"/>
              </w:rPr>
              <w:t>KUC982</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5EA6224" w14:textId="77777777">
            <w:pPr>
              <w:widowControl/>
              <w:jc w:val="center"/>
              <w:rPr>
                <w:snapToGrid/>
                <w:color w:val="000000"/>
                <w:kern w:val="0"/>
                <w:szCs w:val="22"/>
              </w:rPr>
            </w:pPr>
            <w:r w:rsidRPr="0045128E">
              <w:rPr>
                <w:snapToGrid/>
                <w:color w:val="000000"/>
                <w:kern w:val="0"/>
                <w:szCs w:val="22"/>
              </w:rPr>
              <w:t>A2G Communications LLC</w:t>
            </w:r>
          </w:p>
        </w:tc>
      </w:tr>
      <w:tr w14:paraId="483C3C4C"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2190F620" w14:textId="77777777">
            <w:pPr>
              <w:widowControl/>
              <w:jc w:val="center"/>
              <w:rPr>
                <w:snapToGrid/>
                <w:color w:val="000000"/>
                <w:kern w:val="0"/>
                <w:szCs w:val="22"/>
              </w:rPr>
            </w:pPr>
            <w:r w:rsidRPr="0045128E">
              <w:rPr>
                <w:snapToGrid/>
                <w:color w:val="000000"/>
                <w:kern w:val="0"/>
                <w:szCs w:val="22"/>
              </w:rPr>
              <w:t>21</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13EF048" w14:textId="77777777">
            <w:pPr>
              <w:widowControl/>
              <w:jc w:val="center"/>
              <w:rPr>
                <w:snapToGrid/>
                <w:color w:val="000000"/>
                <w:kern w:val="0"/>
                <w:szCs w:val="22"/>
              </w:rPr>
            </w:pPr>
            <w:r w:rsidRPr="0045128E">
              <w:rPr>
                <w:snapToGrid/>
                <w:color w:val="000000"/>
                <w:kern w:val="0"/>
                <w:szCs w:val="22"/>
              </w:rPr>
              <w:t>KUC995</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694DF02" w14:textId="77777777">
            <w:pPr>
              <w:widowControl/>
              <w:jc w:val="center"/>
              <w:rPr>
                <w:snapToGrid/>
                <w:color w:val="000000"/>
                <w:kern w:val="0"/>
                <w:szCs w:val="22"/>
              </w:rPr>
            </w:pPr>
            <w:r w:rsidRPr="0045128E">
              <w:rPr>
                <w:snapToGrid/>
                <w:color w:val="000000"/>
                <w:kern w:val="0"/>
                <w:szCs w:val="22"/>
              </w:rPr>
              <w:t>A2G Communications LLC</w:t>
            </w:r>
          </w:p>
        </w:tc>
      </w:tr>
      <w:tr w14:paraId="5D2A3787"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9E21117" w14:textId="77777777">
            <w:pPr>
              <w:widowControl/>
              <w:jc w:val="center"/>
              <w:rPr>
                <w:snapToGrid/>
                <w:color w:val="000000"/>
                <w:kern w:val="0"/>
                <w:szCs w:val="22"/>
              </w:rPr>
            </w:pPr>
            <w:r w:rsidRPr="0045128E">
              <w:rPr>
                <w:snapToGrid/>
                <w:color w:val="000000"/>
                <w:kern w:val="0"/>
                <w:szCs w:val="22"/>
              </w:rPr>
              <w:t>22</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0B68543" w14:textId="77777777">
            <w:pPr>
              <w:widowControl/>
              <w:jc w:val="center"/>
              <w:rPr>
                <w:snapToGrid/>
                <w:color w:val="000000"/>
                <w:kern w:val="0"/>
                <w:szCs w:val="22"/>
              </w:rPr>
            </w:pPr>
            <w:r w:rsidRPr="0045128E">
              <w:rPr>
                <w:snapToGrid/>
                <w:color w:val="000000"/>
                <w:kern w:val="0"/>
                <w:szCs w:val="22"/>
              </w:rPr>
              <w:t>KUO576</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5231003" w14:textId="77777777">
            <w:pPr>
              <w:widowControl/>
              <w:jc w:val="center"/>
              <w:rPr>
                <w:snapToGrid/>
                <w:color w:val="000000"/>
                <w:kern w:val="0"/>
                <w:szCs w:val="22"/>
              </w:rPr>
            </w:pPr>
            <w:r w:rsidRPr="0045128E">
              <w:rPr>
                <w:snapToGrid/>
                <w:color w:val="000000"/>
                <w:kern w:val="0"/>
                <w:szCs w:val="22"/>
              </w:rPr>
              <w:t>A2G Communications LLC</w:t>
            </w:r>
          </w:p>
        </w:tc>
      </w:tr>
      <w:tr w14:paraId="330C9639"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37A125C3" w14:textId="77777777">
            <w:pPr>
              <w:widowControl/>
              <w:jc w:val="center"/>
              <w:rPr>
                <w:snapToGrid/>
                <w:color w:val="000000"/>
                <w:kern w:val="0"/>
                <w:szCs w:val="22"/>
              </w:rPr>
            </w:pPr>
            <w:r w:rsidRPr="0045128E">
              <w:rPr>
                <w:snapToGrid/>
                <w:color w:val="000000"/>
                <w:kern w:val="0"/>
                <w:szCs w:val="22"/>
              </w:rPr>
              <w:t>23</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C327D03" w14:textId="77777777">
            <w:pPr>
              <w:widowControl/>
              <w:jc w:val="center"/>
              <w:rPr>
                <w:snapToGrid/>
                <w:color w:val="000000"/>
                <w:kern w:val="0"/>
                <w:szCs w:val="22"/>
              </w:rPr>
            </w:pPr>
            <w:r w:rsidRPr="0045128E">
              <w:rPr>
                <w:snapToGrid/>
                <w:color w:val="000000"/>
                <w:kern w:val="0"/>
                <w:szCs w:val="22"/>
              </w:rPr>
              <w:t>KWB376</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7F2A764" w14:textId="77777777">
            <w:pPr>
              <w:widowControl/>
              <w:jc w:val="center"/>
              <w:rPr>
                <w:snapToGrid/>
                <w:color w:val="000000"/>
                <w:kern w:val="0"/>
                <w:szCs w:val="22"/>
              </w:rPr>
            </w:pPr>
            <w:r w:rsidRPr="0045128E">
              <w:rPr>
                <w:snapToGrid/>
                <w:color w:val="000000"/>
                <w:kern w:val="0"/>
                <w:szCs w:val="22"/>
              </w:rPr>
              <w:t>A2G Communications LLC</w:t>
            </w:r>
          </w:p>
        </w:tc>
      </w:tr>
      <w:tr w14:paraId="5EEE767D"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04EBDBF5" w14:textId="77777777">
            <w:pPr>
              <w:widowControl/>
              <w:jc w:val="center"/>
              <w:rPr>
                <w:snapToGrid/>
                <w:color w:val="000000"/>
                <w:kern w:val="0"/>
                <w:szCs w:val="22"/>
              </w:rPr>
            </w:pPr>
            <w:r w:rsidRPr="0045128E">
              <w:rPr>
                <w:snapToGrid/>
                <w:color w:val="000000"/>
                <w:kern w:val="0"/>
                <w:szCs w:val="22"/>
              </w:rPr>
              <w:t>24</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6761F1E9" w14:textId="77777777">
            <w:pPr>
              <w:widowControl/>
              <w:jc w:val="center"/>
              <w:rPr>
                <w:snapToGrid/>
                <w:color w:val="000000"/>
                <w:kern w:val="0"/>
                <w:szCs w:val="22"/>
              </w:rPr>
            </w:pPr>
            <w:r w:rsidRPr="0045128E">
              <w:rPr>
                <w:snapToGrid/>
                <w:color w:val="000000"/>
                <w:kern w:val="0"/>
                <w:szCs w:val="22"/>
              </w:rPr>
              <w:t>KWH337</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38A626B" w14:textId="77777777">
            <w:pPr>
              <w:widowControl/>
              <w:jc w:val="center"/>
              <w:rPr>
                <w:snapToGrid/>
                <w:color w:val="000000"/>
                <w:kern w:val="0"/>
                <w:szCs w:val="22"/>
              </w:rPr>
            </w:pPr>
            <w:r w:rsidRPr="0045128E">
              <w:rPr>
                <w:snapToGrid/>
                <w:color w:val="000000"/>
                <w:kern w:val="0"/>
                <w:szCs w:val="22"/>
              </w:rPr>
              <w:t>A2G Communications LLC</w:t>
            </w:r>
          </w:p>
        </w:tc>
      </w:tr>
      <w:tr w14:paraId="70D54565"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7D448E85" w14:textId="77777777">
            <w:pPr>
              <w:widowControl/>
              <w:jc w:val="center"/>
              <w:rPr>
                <w:snapToGrid/>
                <w:color w:val="000000"/>
                <w:kern w:val="0"/>
                <w:szCs w:val="22"/>
              </w:rPr>
            </w:pPr>
            <w:r w:rsidRPr="0045128E">
              <w:rPr>
                <w:snapToGrid/>
                <w:color w:val="000000"/>
                <w:kern w:val="0"/>
                <w:szCs w:val="22"/>
              </w:rPr>
              <w:t>25</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4A1C80D9" w14:textId="77777777">
            <w:pPr>
              <w:widowControl/>
              <w:jc w:val="center"/>
              <w:rPr>
                <w:snapToGrid/>
                <w:color w:val="000000"/>
                <w:kern w:val="0"/>
                <w:szCs w:val="22"/>
              </w:rPr>
            </w:pPr>
            <w:r w:rsidRPr="0045128E">
              <w:rPr>
                <w:snapToGrid/>
                <w:color w:val="000000"/>
                <w:kern w:val="0"/>
                <w:szCs w:val="22"/>
              </w:rPr>
              <w:t>KWT848</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4287DA7A" w14:textId="77777777">
            <w:pPr>
              <w:widowControl/>
              <w:jc w:val="center"/>
              <w:rPr>
                <w:snapToGrid/>
                <w:color w:val="000000"/>
                <w:kern w:val="0"/>
                <w:szCs w:val="22"/>
              </w:rPr>
            </w:pPr>
            <w:r w:rsidRPr="0045128E">
              <w:rPr>
                <w:snapToGrid/>
                <w:color w:val="000000"/>
                <w:kern w:val="0"/>
                <w:szCs w:val="22"/>
              </w:rPr>
              <w:t>A2G Communications LLC</w:t>
            </w:r>
          </w:p>
        </w:tc>
      </w:tr>
      <w:tr w14:paraId="597B315E"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0D4340B" w14:textId="77777777">
            <w:pPr>
              <w:widowControl/>
              <w:jc w:val="center"/>
              <w:rPr>
                <w:snapToGrid/>
                <w:color w:val="000000"/>
                <w:kern w:val="0"/>
                <w:szCs w:val="22"/>
              </w:rPr>
            </w:pPr>
            <w:r w:rsidRPr="0045128E">
              <w:rPr>
                <w:snapToGrid/>
                <w:color w:val="000000"/>
                <w:kern w:val="0"/>
                <w:szCs w:val="22"/>
              </w:rPr>
              <w:t>26</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7DD69AE" w14:textId="77777777">
            <w:pPr>
              <w:widowControl/>
              <w:jc w:val="center"/>
              <w:rPr>
                <w:snapToGrid/>
                <w:color w:val="000000"/>
                <w:kern w:val="0"/>
                <w:szCs w:val="22"/>
              </w:rPr>
            </w:pPr>
            <w:r w:rsidRPr="0045128E">
              <w:rPr>
                <w:snapToGrid/>
                <w:color w:val="000000"/>
                <w:kern w:val="0"/>
                <w:szCs w:val="22"/>
              </w:rPr>
              <w:t>KWT849</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42C1053" w14:textId="77777777">
            <w:pPr>
              <w:widowControl/>
              <w:jc w:val="center"/>
              <w:rPr>
                <w:snapToGrid/>
                <w:color w:val="000000"/>
                <w:kern w:val="0"/>
                <w:szCs w:val="22"/>
              </w:rPr>
            </w:pPr>
            <w:r w:rsidRPr="0045128E">
              <w:rPr>
                <w:snapToGrid/>
                <w:color w:val="000000"/>
                <w:kern w:val="0"/>
                <w:szCs w:val="22"/>
              </w:rPr>
              <w:t>A2G Communications LLC</w:t>
            </w:r>
          </w:p>
        </w:tc>
      </w:tr>
      <w:tr w14:paraId="5B5C8465"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6621CEAB" w14:textId="77777777">
            <w:pPr>
              <w:widowControl/>
              <w:jc w:val="center"/>
              <w:rPr>
                <w:snapToGrid/>
                <w:color w:val="000000"/>
                <w:kern w:val="0"/>
                <w:szCs w:val="22"/>
              </w:rPr>
            </w:pPr>
            <w:r w:rsidRPr="0045128E">
              <w:rPr>
                <w:snapToGrid/>
                <w:color w:val="000000"/>
                <w:kern w:val="0"/>
                <w:szCs w:val="22"/>
              </w:rPr>
              <w:t>27</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A026910" w14:textId="77777777">
            <w:pPr>
              <w:widowControl/>
              <w:jc w:val="center"/>
              <w:rPr>
                <w:snapToGrid/>
                <w:color w:val="000000"/>
                <w:kern w:val="0"/>
                <w:szCs w:val="22"/>
              </w:rPr>
            </w:pPr>
            <w:r w:rsidRPr="0045128E">
              <w:rPr>
                <w:snapToGrid/>
                <w:color w:val="000000"/>
                <w:kern w:val="0"/>
                <w:szCs w:val="22"/>
              </w:rPr>
              <w:t>KWU423</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98556B8" w14:textId="77777777">
            <w:pPr>
              <w:widowControl/>
              <w:jc w:val="center"/>
              <w:rPr>
                <w:snapToGrid/>
                <w:color w:val="000000"/>
                <w:kern w:val="0"/>
                <w:szCs w:val="22"/>
              </w:rPr>
            </w:pPr>
            <w:r w:rsidRPr="0045128E">
              <w:rPr>
                <w:snapToGrid/>
                <w:color w:val="000000"/>
                <w:kern w:val="0"/>
                <w:szCs w:val="22"/>
              </w:rPr>
              <w:t>A2G Communications LLC</w:t>
            </w:r>
          </w:p>
        </w:tc>
      </w:tr>
      <w:tr w14:paraId="59FA2B03"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074FEF56" w14:textId="77777777">
            <w:pPr>
              <w:widowControl/>
              <w:jc w:val="center"/>
              <w:rPr>
                <w:snapToGrid/>
                <w:color w:val="000000"/>
                <w:kern w:val="0"/>
                <w:szCs w:val="22"/>
              </w:rPr>
            </w:pPr>
            <w:r w:rsidRPr="0045128E">
              <w:rPr>
                <w:snapToGrid/>
                <w:color w:val="000000"/>
                <w:kern w:val="0"/>
                <w:szCs w:val="22"/>
              </w:rPr>
              <w:t>28</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09D6526" w14:textId="77777777">
            <w:pPr>
              <w:widowControl/>
              <w:jc w:val="center"/>
              <w:rPr>
                <w:snapToGrid/>
                <w:color w:val="000000"/>
                <w:kern w:val="0"/>
                <w:szCs w:val="22"/>
              </w:rPr>
            </w:pPr>
            <w:r w:rsidRPr="0045128E">
              <w:rPr>
                <w:snapToGrid/>
                <w:color w:val="000000"/>
                <w:kern w:val="0"/>
                <w:szCs w:val="22"/>
              </w:rPr>
              <w:t>KWU424</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13E3167" w14:textId="77777777">
            <w:pPr>
              <w:widowControl/>
              <w:jc w:val="center"/>
              <w:rPr>
                <w:snapToGrid/>
                <w:color w:val="000000"/>
                <w:kern w:val="0"/>
                <w:szCs w:val="22"/>
              </w:rPr>
            </w:pPr>
            <w:r w:rsidRPr="0045128E">
              <w:rPr>
                <w:snapToGrid/>
                <w:color w:val="000000"/>
                <w:kern w:val="0"/>
                <w:szCs w:val="22"/>
              </w:rPr>
              <w:t>A2G Communications LLC</w:t>
            </w:r>
          </w:p>
        </w:tc>
      </w:tr>
      <w:tr w14:paraId="79C3D188"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6D50EFD3" w14:textId="77777777">
            <w:pPr>
              <w:widowControl/>
              <w:jc w:val="center"/>
              <w:rPr>
                <w:snapToGrid/>
                <w:color w:val="000000"/>
                <w:kern w:val="0"/>
                <w:szCs w:val="22"/>
              </w:rPr>
            </w:pPr>
            <w:r w:rsidRPr="0045128E">
              <w:rPr>
                <w:snapToGrid/>
                <w:color w:val="000000"/>
                <w:kern w:val="0"/>
                <w:szCs w:val="22"/>
              </w:rPr>
              <w:t>29</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50D5468" w14:textId="77777777">
            <w:pPr>
              <w:widowControl/>
              <w:jc w:val="center"/>
              <w:rPr>
                <w:snapToGrid/>
                <w:color w:val="000000"/>
                <w:kern w:val="0"/>
                <w:szCs w:val="22"/>
              </w:rPr>
            </w:pPr>
            <w:r w:rsidRPr="0045128E">
              <w:rPr>
                <w:snapToGrid/>
                <w:color w:val="000000"/>
                <w:kern w:val="0"/>
                <w:szCs w:val="22"/>
              </w:rPr>
              <w:t>KWU425</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B6C0334" w14:textId="77777777">
            <w:pPr>
              <w:widowControl/>
              <w:jc w:val="center"/>
              <w:rPr>
                <w:snapToGrid/>
                <w:color w:val="000000"/>
                <w:kern w:val="0"/>
                <w:szCs w:val="22"/>
              </w:rPr>
            </w:pPr>
            <w:r w:rsidRPr="0045128E">
              <w:rPr>
                <w:snapToGrid/>
                <w:color w:val="000000"/>
                <w:kern w:val="0"/>
                <w:szCs w:val="22"/>
              </w:rPr>
              <w:t>A2G Communications LLC</w:t>
            </w:r>
          </w:p>
        </w:tc>
      </w:tr>
      <w:tr w14:paraId="243CAA0B"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684A411F" w14:textId="77777777">
            <w:pPr>
              <w:widowControl/>
              <w:jc w:val="center"/>
              <w:rPr>
                <w:snapToGrid/>
                <w:color w:val="000000"/>
                <w:kern w:val="0"/>
                <w:szCs w:val="22"/>
              </w:rPr>
            </w:pPr>
            <w:r w:rsidRPr="0045128E">
              <w:rPr>
                <w:snapToGrid/>
                <w:color w:val="000000"/>
                <w:kern w:val="0"/>
                <w:szCs w:val="22"/>
              </w:rPr>
              <w:t>30</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3B11FB4" w14:textId="77777777">
            <w:pPr>
              <w:widowControl/>
              <w:jc w:val="center"/>
              <w:rPr>
                <w:snapToGrid/>
                <w:color w:val="000000"/>
                <w:kern w:val="0"/>
                <w:szCs w:val="22"/>
              </w:rPr>
            </w:pPr>
            <w:r w:rsidRPr="0045128E">
              <w:rPr>
                <w:snapToGrid/>
                <w:color w:val="000000"/>
                <w:kern w:val="0"/>
                <w:szCs w:val="22"/>
              </w:rPr>
              <w:t>KWU426</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D19DCE9" w14:textId="77777777">
            <w:pPr>
              <w:widowControl/>
              <w:jc w:val="center"/>
              <w:rPr>
                <w:snapToGrid/>
                <w:color w:val="000000"/>
                <w:kern w:val="0"/>
                <w:szCs w:val="22"/>
              </w:rPr>
            </w:pPr>
            <w:r w:rsidRPr="0045128E">
              <w:rPr>
                <w:snapToGrid/>
                <w:color w:val="000000"/>
                <w:kern w:val="0"/>
                <w:szCs w:val="22"/>
              </w:rPr>
              <w:t>A2G Communications LLC</w:t>
            </w:r>
          </w:p>
        </w:tc>
      </w:tr>
      <w:tr w14:paraId="5459EE33"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65421D7" w14:textId="77777777">
            <w:pPr>
              <w:widowControl/>
              <w:jc w:val="center"/>
              <w:rPr>
                <w:snapToGrid/>
                <w:color w:val="000000"/>
                <w:kern w:val="0"/>
                <w:szCs w:val="22"/>
              </w:rPr>
            </w:pPr>
            <w:r w:rsidRPr="0045128E">
              <w:rPr>
                <w:snapToGrid/>
                <w:color w:val="000000"/>
                <w:kern w:val="0"/>
                <w:szCs w:val="22"/>
              </w:rPr>
              <w:t>31</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4A317A3" w14:textId="77777777">
            <w:pPr>
              <w:widowControl/>
              <w:jc w:val="center"/>
              <w:rPr>
                <w:snapToGrid/>
                <w:color w:val="000000"/>
                <w:kern w:val="0"/>
                <w:szCs w:val="22"/>
              </w:rPr>
            </w:pPr>
            <w:r w:rsidRPr="0045128E">
              <w:rPr>
                <w:snapToGrid/>
                <w:color w:val="000000"/>
                <w:kern w:val="0"/>
                <w:szCs w:val="22"/>
              </w:rPr>
              <w:t>KWU427</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1FCE9C96" w14:textId="77777777">
            <w:pPr>
              <w:widowControl/>
              <w:jc w:val="center"/>
              <w:rPr>
                <w:snapToGrid/>
                <w:color w:val="000000"/>
                <w:kern w:val="0"/>
                <w:szCs w:val="22"/>
              </w:rPr>
            </w:pPr>
            <w:r w:rsidRPr="0045128E">
              <w:rPr>
                <w:snapToGrid/>
                <w:color w:val="000000"/>
                <w:kern w:val="0"/>
                <w:szCs w:val="22"/>
              </w:rPr>
              <w:t>A2G Communications LLC</w:t>
            </w:r>
          </w:p>
        </w:tc>
      </w:tr>
      <w:tr w14:paraId="1D052FCC"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1913EDDA" w14:textId="77777777">
            <w:pPr>
              <w:widowControl/>
              <w:jc w:val="center"/>
              <w:rPr>
                <w:snapToGrid/>
                <w:color w:val="000000"/>
                <w:kern w:val="0"/>
                <w:szCs w:val="22"/>
              </w:rPr>
            </w:pPr>
            <w:r w:rsidRPr="0045128E">
              <w:rPr>
                <w:snapToGrid/>
                <w:color w:val="000000"/>
                <w:kern w:val="0"/>
                <w:szCs w:val="22"/>
              </w:rPr>
              <w:t>32</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C987713" w14:textId="77777777">
            <w:pPr>
              <w:widowControl/>
              <w:jc w:val="center"/>
              <w:rPr>
                <w:snapToGrid/>
                <w:color w:val="000000"/>
                <w:kern w:val="0"/>
                <w:szCs w:val="22"/>
              </w:rPr>
            </w:pPr>
            <w:r w:rsidRPr="0045128E">
              <w:rPr>
                <w:snapToGrid/>
                <w:color w:val="000000"/>
                <w:kern w:val="0"/>
                <w:szCs w:val="22"/>
              </w:rPr>
              <w:t>KWU428</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01CD430" w14:textId="77777777">
            <w:pPr>
              <w:widowControl/>
              <w:jc w:val="center"/>
              <w:rPr>
                <w:snapToGrid/>
                <w:color w:val="000000"/>
                <w:kern w:val="0"/>
                <w:szCs w:val="22"/>
              </w:rPr>
            </w:pPr>
            <w:r w:rsidRPr="0045128E">
              <w:rPr>
                <w:snapToGrid/>
                <w:color w:val="000000"/>
                <w:kern w:val="0"/>
                <w:szCs w:val="22"/>
              </w:rPr>
              <w:t>A2G Communications LLC</w:t>
            </w:r>
          </w:p>
        </w:tc>
      </w:tr>
      <w:tr w14:paraId="4EF4C702"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6B077069" w14:textId="77777777">
            <w:pPr>
              <w:widowControl/>
              <w:jc w:val="center"/>
              <w:rPr>
                <w:snapToGrid/>
                <w:color w:val="000000"/>
                <w:kern w:val="0"/>
                <w:szCs w:val="22"/>
              </w:rPr>
            </w:pPr>
            <w:r w:rsidRPr="0045128E">
              <w:rPr>
                <w:snapToGrid/>
                <w:color w:val="000000"/>
                <w:kern w:val="0"/>
                <w:szCs w:val="22"/>
              </w:rPr>
              <w:t>33</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17705B0B" w14:textId="77777777">
            <w:pPr>
              <w:widowControl/>
              <w:jc w:val="center"/>
              <w:rPr>
                <w:snapToGrid/>
                <w:color w:val="000000"/>
                <w:kern w:val="0"/>
                <w:szCs w:val="22"/>
              </w:rPr>
            </w:pPr>
            <w:r w:rsidRPr="0045128E">
              <w:rPr>
                <w:snapToGrid/>
                <w:color w:val="000000"/>
                <w:kern w:val="0"/>
                <w:szCs w:val="22"/>
              </w:rPr>
              <w:t>KWU429</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4C6161E1" w14:textId="77777777">
            <w:pPr>
              <w:widowControl/>
              <w:jc w:val="center"/>
              <w:rPr>
                <w:snapToGrid/>
                <w:color w:val="000000"/>
                <w:kern w:val="0"/>
                <w:szCs w:val="22"/>
              </w:rPr>
            </w:pPr>
            <w:r w:rsidRPr="0045128E">
              <w:rPr>
                <w:snapToGrid/>
                <w:color w:val="000000"/>
                <w:kern w:val="0"/>
                <w:szCs w:val="22"/>
              </w:rPr>
              <w:t>A2G Communications LLC</w:t>
            </w:r>
          </w:p>
        </w:tc>
      </w:tr>
      <w:tr w14:paraId="74598941"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1F838280" w14:textId="77777777">
            <w:pPr>
              <w:widowControl/>
              <w:jc w:val="center"/>
              <w:rPr>
                <w:snapToGrid/>
                <w:color w:val="000000"/>
                <w:kern w:val="0"/>
                <w:szCs w:val="22"/>
              </w:rPr>
            </w:pPr>
            <w:r w:rsidRPr="0045128E">
              <w:rPr>
                <w:snapToGrid/>
                <w:color w:val="000000"/>
                <w:kern w:val="0"/>
                <w:szCs w:val="22"/>
              </w:rPr>
              <w:t>34</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13323C1F" w14:textId="77777777">
            <w:pPr>
              <w:widowControl/>
              <w:jc w:val="center"/>
              <w:rPr>
                <w:snapToGrid/>
                <w:color w:val="000000"/>
                <w:kern w:val="0"/>
                <w:szCs w:val="22"/>
              </w:rPr>
            </w:pPr>
            <w:r w:rsidRPr="0045128E">
              <w:rPr>
                <w:snapToGrid/>
                <w:color w:val="000000"/>
                <w:kern w:val="0"/>
                <w:szCs w:val="22"/>
              </w:rPr>
              <w:t>KWU431</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9394004" w14:textId="77777777">
            <w:pPr>
              <w:widowControl/>
              <w:jc w:val="center"/>
              <w:rPr>
                <w:snapToGrid/>
                <w:color w:val="000000"/>
                <w:kern w:val="0"/>
                <w:szCs w:val="22"/>
              </w:rPr>
            </w:pPr>
            <w:r w:rsidRPr="0045128E">
              <w:rPr>
                <w:snapToGrid/>
                <w:color w:val="000000"/>
                <w:kern w:val="0"/>
                <w:szCs w:val="22"/>
              </w:rPr>
              <w:t>A2G Communications LLC</w:t>
            </w:r>
          </w:p>
        </w:tc>
      </w:tr>
      <w:tr w14:paraId="33614FD0"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29F37E79" w14:textId="77777777">
            <w:pPr>
              <w:widowControl/>
              <w:jc w:val="center"/>
              <w:rPr>
                <w:snapToGrid/>
                <w:color w:val="000000"/>
                <w:kern w:val="0"/>
                <w:szCs w:val="22"/>
              </w:rPr>
            </w:pPr>
            <w:r w:rsidRPr="0045128E">
              <w:rPr>
                <w:snapToGrid/>
                <w:color w:val="000000"/>
                <w:kern w:val="0"/>
                <w:szCs w:val="22"/>
              </w:rPr>
              <w:t>35</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D47A52C" w14:textId="77777777">
            <w:pPr>
              <w:widowControl/>
              <w:jc w:val="center"/>
              <w:rPr>
                <w:snapToGrid/>
                <w:color w:val="000000"/>
                <w:kern w:val="0"/>
                <w:szCs w:val="22"/>
              </w:rPr>
            </w:pPr>
            <w:r w:rsidRPr="0045128E">
              <w:rPr>
                <w:snapToGrid/>
                <w:color w:val="000000"/>
                <w:kern w:val="0"/>
                <w:szCs w:val="22"/>
              </w:rPr>
              <w:t>KWU510</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4098722F" w14:textId="77777777">
            <w:pPr>
              <w:widowControl/>
              <w:jc w:val="center"/>
              <w:rPr>
                <w:snapToGrid/>
                <w:color w:val="000000"/>
                <w:kern w:val="0"/>
                <w:szCs w:val="22"/>
              </w:rPr>
            </w:pPr>
            <w:r w:rsidRPr="0045128E">
              <w:rPr>
                <w:snapToGrid/>
                <w:color w:val="000000"/>
                <w:kern w:val="0"/>
                <w:szCs w:val="22"/>
              </w:rPr>
              <w:t>A2G Communications LLC</w:t>
            </w:r>
          </w:p>
        </w:tc>
      </w:tr>
      <w:tr w14:paraId="4B4FFA2A"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373FB721" w14:textId="77777777">
            <w:pPr>
              <w:widowControl/>
              <w:jc w:val="center"/>
              <w:rPr>
                <w:snapToGrid/>
                <w:color w:val="000000"/>
                <w:kern w:val="0"/>
                <w:szCs w:val="22"/>
              </w:rPr>
            </w:pPr>
            <w:r w:rsidRPr="0045128E">
              <w:rPr>
                <w:snapToGrid/>
                <w:color w:val="000000"/>
                <w:kern w:val="0"/>
                <w:szCs w:val="22"/>
              </w:rPr>
              <w:t>36</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2613B4A" w14:textId="77777777">
            <w:pPr>
              <w:widowControl/>
              <w:jc w:val="center"/>
              <w:rPr>
                <w:snapToGrid/>
                <w:color w:val="000000"/>
                <w:kern w:val="0"/>
                <w:szCs w:val="22"/>
              </w:rPr>
            </w:pPr>
            <w:r w:rsidRPr="0045128E">
              <w:rPr>
                <w:snapToGrid/>
                <w:color w:val="000000"/>
                <w:kern w:val="0"/>
                <w:szCs w:val="22"/>
              </w:rPr>
              <w:t>WPON853</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72C589C" w14:textId="77777777">
            <w:pPr>
              <w:widowControl/>
              <w:jc w:val="center"/>
              <w:rPr>
                <w:snapToGrid/>
                <w:color w:val="000000"/>
                <w:kern w:val="0"/>
                <w:szCs w:val="22"/>
              </w:rPr>
            </w:pPr>
            <w:r w:rsidRPr="0045128E">
              <w:rPr>
                <w:snapToGrid/>
                <w:color w:val="000000"/>
                <w:kern w:val="0"/>
                <w:szCs w:val="22"/>
              </w:rPr>
              <w:t>A2G Communications LLC</w:t>
            </w:r>
          </w:p>
        </w:tc>
      </w:tr>
      <w:tr w14:paraId="42879B2A"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563CFE84" w14:textId="77777777">
            <w:pPr>
              <w:widowControl/>
              <w:jc w:val="center"/>
              <w:rPr>
                <w:snapToGrid/>
                <w:color w:val="000000"/>
                <w:kern w:val="0"/>
                <w:szCs w:val="22"/>
              </w:rPr>
            </w:pPr>
            <w:r w:rsidRPr="0045128E">
              <w:rPr>
                <w:snapToGrid/>
                <w:color w:val="000000"/>
                <w:kern w:val="0"/>
                <w:szCs w:val="22"/>
              </w:rPr>
              <w:t>37</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CFCDEF2" w14:textId="77777777">
            <w:pPr>
              <w:widowControl/>
              <w:jc w:val="center"/>
              <w:rPr>
                <w:snapToGrid/>
                <w:color w:val="000000"/>
                <w:kern w:val="0"/>
                <w:szCs w:val="22"/>
              </w:rPr>
            </w:pPr>
            <w:r w:rsidRPr="0045128E">
              <w:rPr>
                <w:snapToGrid/>
                <w:color w:val="000000"/>
                <w:kern w:val="0"/>
                <w:szCs w:val="22"/>
              </w:rPr>
              <w:t>WQKQ290</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C01F7AF" w14:textId="77777777">
            <w:pPr>
              <w:widowControl/>
              <w:jc w:val="center"/>
              <w:rPr>
                <w:snapToGrid/>
                <w:color w:val="000000"/>
                <w:kern w:val="0"/>
                <w:szCs w:val="22"/>
              </w:rPr>
            </w:pPr>
            <w:r w:rsidRPr="0045128E">
              <w:rPr>
                <w:snapToGrid/>
                <w:color w:val="000000"/>
                <w:kern w:val="0"/>
                <w:szCs w:val="22"/>
              </w:rPr>
              <w:t>A2G Communications LLC</w:t>
            </w:r>
          </w:p>
        </w:tc>
      </w:tr>
    </w:tbl>
    <w:p w:rsidR="0045128E" w14:paraId="70FF3D84" w14:textId="77777777">
      <w:r>
        <w:br w:type="page"/>
      </w:r>
    </w:p>
    <w:tbl>
      <w:tblPr>
        <w:tblW w:w="5600" w:type="dxa"/>
        <w:jc w:val="center"/>
        <w:tblLook w:val="04A0"/>
      </w:tblPr>
      <w:tblGrid>
        <w:gridCol w:w="960"/>
        <w:gridCol w:w="1800"/>
        <w:gridCol w:w="2840"/>
      </w:tblGrid>
      <w:tr w14:paraId="51C108D8" w14:textId="77777777" w:rsidTr="0045128E">
        <w:tblPrEx>
          <w:tblW w:w="5600" w:type="dxa"/>
          <w:jc w:val="center"/>
          <w:tblLook w:val="04A0"/>
        </w:tblPrEx>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45128E" w:rsidRPr="0045128E" w:rsidP="0045128E" w14:paraId="675862A3" w14:textId="013EA3B3">
            <w:pPr>
              <w:widowControl/>
              <w:jc w:val="center"/>
              <w:rPr>
                <w:snapToGrid/>
                <w:color w:val="000000"/>
                <w:kern w:val="0"/>
                <w:szCs w:val="22"/>
              </w:rPr>
            </w:pPr>
          </w:p>
        </w:tc>
        <w:tc>
          <w:tcPr>
            <w:tcW w:w="1800"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45128E" w:rsidRPr="0045128E" w:rsidP="0045128E" w14:paraId="44CCF2E3" w14:textId="1CAD9831">
            <w:pPr>
              <w:widowControl/>
              <w:jc w:val="center"/>
              <w:rPr>
                <w:b/>
                <w:bCs/>
                <w:snapToGrid/>
                <w:color w:val="000000"/>
                <w:kern w:val="0"/>
                <w:szCs w:val="22"/>
              </w:rPr>
            </w:pPr>
            <w:r>
              <w:rPr>
                <w:b/>
                <w:bCs/>
                <w:snapToGrid/>
                <w:color w:val="000000"/>
                <w:kern w:val="0"/>
                <w:szCs w:val="22"/>
              </w:rPr>
              <w:t>Call Sign</w:t>
            </w:r>
          </w:p>
        </w:tc>
        <w:tc>
          <w:tcPr>
            <w:tcW w:w="2840"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45128E" w:rsidRPr="0045128E" w:rsidP="0045128E" w14:paraId="058EC8FB" w14:textId="0F569ED5">
            <w:pPr>
              <w:widowControl/>
              <w:jc w:val="center"/>
              <w:rPr>
                <w:b/>
                <w:bCs/>
                <w:snapToGrid/>
                <w:color w:val="000000"/>
                <w:kern w:val="0"/>
                <w:szCs w:val="22"/>
              </w:rPr>
            </w:pPr>
            <w:r>
              <w:rPr>
                <w:b/>
                <w:bCs/>
                <w:snapToGrid/>
                <w:color w:val="000000"/>
                <w:kern w:val="0"/>
                <w:szCs w:val="22"/>
              </w:rPr>
              <w:t>Licensee</w:t>
            </w:r>
          </w:p>
        </w:tc>
      </w:tr>
      <w:tr w14:paraId="3851C06F" w14:textId="77777777" w:rsidTr="0045128E">
        <w:tblPrEx>
          <w:tblW w:w="5600" w:type="dxa"/>
          <w:jc w:val="center"/>
          <w:tblLook w:val="04A0"/>
        </w:tblPrEx>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28E" w:rsidRPr="0045128E" w:rsidP="0045128E" w14:paraId="53C82D01" w14:textId="2A6C407B">
            <w:pPr>
              <w:widowControl/>
              <w:jc w:val="center"/>
              <w:rPr>
                <w:snapToGrid/>
                <w:color w:val="000000"/>
                <w:kern w:val="0"/>
                <w:szCs w:val="22"/>
              </w:rPr>
            </w:pPr>
            <w:r>
              <w:rPr>
                <w:snapToGrid/>
                <w:color w:val="000000"/>
                <w:kern w:val="0"/>
                <w:szCs w:val="22"/>
              </w:rPr>
              <w:t>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45128E" w:rsidRPr="0045128E" w:rsidP="0045128E" w14:paraId="4173736D" w14:textId="4FCEFFF2">
            <w:pPr>
              <w:widowControl/>
              <w:jc w:val="center"/>
              <w:rPr>
                <w:snapToGrid/>
                <w:color w:val="000000"/>
                <w:kern w:val="0"/>
                <w:szCs w:val="22"/>
              </w:rPr>
            </w:pPr>
            <w:r w:rsidRPr="0045128E">
              <w:rPr>
                <w:snapToGrid/>
                <w:color w:val="000000"/>
                <w:kern w:val="0"/>
                <w:szCs w:val="22"/>
              </w:rPr>
              <w:t>WQZP762</w:t>
            </w:r>
          </w:p>
        </w:tc>
        <w:tc>
          <w:tcPr>
            <w:tcW w:w="2840" w:type="dxa"/>
            <w:tcBorders>
              <w:top w:val="single" w:sz="4" w:space="0" w:color="auto"/>
              <w:left w:val="nil"/>
              <w:bottom w:val="single" w:sz="4" w:space="0" w:color="auto"/>
              <w:right w:val="single" w:sz="4" w:space="0" w:color="auto"/>
            </w:tcBorders>
            <w:shd w:val="clear" w:color="auto" w:fill="auto"/>
            <w:noWrap/>
            <w:vAlign w:val="center"/>
          </w:tcPr>
          <w:p w:rsidR="0045128E" w:rsidRPr="0045128E" w:rsidP="0045128E" w14:paraId="0520044D" w14:textId="586BF0A7">
            <w:pPr>
              <w:widowControl/>
              <w:jc w:val="center"/>
              <w:rPr>
                <w:snapToGrid/>
                <w:color w:val="000000"/>
                <w:kern w:val="0"/>
                <w:szCs w:val="22"/>
              </w:rPr>
            </w:pPr>
            <w:r w:rsidRPr="0045128E">
              <w:rPr>
                <w:snapToGrid/>
                <w:color w:val="000000"/>
                <w:kern w:val="0"/>
                <w:szCs w:val="22"/>
              </w:rPr>
              <w:t>A2G Communications LLC</w:t>
            </w:r>
          </w:p>
        </w:tc>
      </w:tr>
      <w:tr w14:paraId="5C43E73E"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757D2121" w14:textId="77777777">
            <w:pPr>
              <w:widowControl/>
              <w:jc w:val="center"/>
              <w:rPr>
                <w:snapToGrid/>
                <w:color w:val="000000"/>
                <w:kern w:val="0"/>
                <w:szCs w:val="22"/>
              </w:rPr>
            </w:pPr>
            <w:r w:rsidRPr="0045128E">
              <w:rPr>
                <w:snapToGrid/>
                <w:color w:val="000000"/>
                <w:kern w:val="0"/>
                <w:szCs w:val="22"/>
              </w:rPr>
              <w:t>39</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C6CE6F2" w14:textId="77777777">
            <w:pPr>
              <w:widowControl/>
              <w:jc w:val="center"/>
              <w:rPr>
                <w:snapToGrid/>
                <w:color w:val="000000"/>
                <w:kern w:val="0"/>
                <w:szCs w:val="22"/>
              </w:rPr>
            </w:pPr>
            <w:r w:rsidRPr="0045128E">
              <w:rPr>
                <w:snapToGrid/>
                <w:color w:val="000000"/>
                <w:kern w:val="0"/>
                <w:szCs w:val="22"/>
              </w:rPr>
              <w:t>WQZP763</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8E4CAC6" w14:textId="77777777">
            <w:pPr>
              <w:widowControl/>
              <w:jc w:val="center"/>
              <w:rPr>
                <w:snapToGrid/>
                <w:color w:val="000000"/>
                <w:kern w:val="0"/>
                <w:szCs w:val="22"/>
              </w:rPr>
            </w:pPr>
            <w:r w:rsidRPr="0045128E">
              <w:rPr>
                <w:snapToGrid/>
                <w:color w:val="000000"/>
                <w:kern w:val="0"/>
                <w:szCs w:val="22"/>
              </w:rPr>
              <w:t>A2G Communications LLC</w:t>
            </w:r>
          </w:p>
        </w:tc>
      </w:tr>
      <w:tr w14:paraId="6ABEE5F2"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340B2325" w14:textId="77777777">
            <w:pPr>
              <w:widowControl/>
              <w:jc w:val="center"/>
              <w:rPr>
                <w:snapToGrid/>
                <w:color w:val="000000"/>
                <w:kern w:val="0"/>
                <w:szCs w:val="22"/>
              </w:rPr>
            </w:pPr>
            <w:r w:rsidRPr="0045128E">
              <w:rPr>
                <w:snapToGrid/>
                <w:color w:val="000000"/>
                <w:kern w:val="0"/>
                <w:szCs w:val="22"/>
              </w:rPr>
              <w:t>40</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A501251" w14:textId="77777777">
            <w:pPr>
              <w:widowControl/>
              <w:jc w:val="center"/>
              <w:rPr>
                <w:snapToGrid/>
                <w:color w:val="000000"/>
                <w:kern w:val="0"/>
                <w:szCs w:val="22"/>
              </w:rPr>
            </w:pPr>
            <w:r w:rsidRPr="0045128E">
              <w:rPr>
                <w:snapToGrid/>
                <w:color w:val="000000"/>
                <w:kern w:val="0"/>
                <w:szCs w:val="22"/>
              </w:rPr>
              <w:t>WQZP764</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CDB7907" w14:textId="77777777">
            <w:pPr>
              <w:widowControl/>
              <w:jc w:val="center"/>
              <w:rPr>
                <w:snapToGrid/>
                <w:color w:val="000000"/>
                <w:kern w:val="0"/>
                <w:szCs w:val="22"/>
              </w:rPr>
            </w:pPr>
            <w:r w:rsidRPr="0045128E">
              <w:rPr>
                <w:snapToGrid/>
                <w:color w:val="000000"/>
                <w:kern w:val="0"/>
                <w:szCs w:val="22"/>
              </w:rPr>
              <w:t>A2G Communications LLC</w:t>
            </w:r>
          </w:p>
        </w:tc>
      </w:tr>
      <w:tr w14:paraId="044076BD"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38885E0A" w14:textId="77777777">
            <w:pPr>
              <w:widowControl/>
              <w:jc w:val="center"/>
              <w:rPr>
                <w:snapToGrid/>
                <w:color w:val="000000"/>
                <w:kern w:val="0"/>
                <w:szCs w:val="22"/>
              </w:rPr>
            </w:pPr>
            <w:r w:rsidRPr="0045128E">
              <w:rPr>
                <w:snapToGrid/>
                <w:color w:val="000000"/>
                <w:kern w:val="0"/>
                <w:szCs w:val="22"/>
              </w:rPr>
              <w:t>41</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628C7967" w14:textId="77777777">
            <w:pPr>
              <w:widowControl/>
              <w:jc w:val="center"/>
              <w:rPr>
                <w:snapToGrid/>
                <w:color w:val="000000"/>
                <w:kern w:val="0"/>
                <w:szCs w:val="22"/>
              </w:rPr>
            </w:pPr>
            <w:r w:rsidRPr="0045128E">
              <w:rPr>
                <w:snapToGrid/>
                <w:color w:val="000000"/>
                <w:kern w:val="0"/>
                <w:szCs w:val="22"/>
              </w:rPr>
              <w:t>WQZP765</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421A411B" w14:textId="77777777">
            <w:pPr>
              <w:widowControl/>
              <w:jc w:val="center"/>
              <w:rPr>
                <w:snapToGrid/>
                <w:color w:val="000000"/>
                <w:kern w:val="0"/>
                <w:szCs w:val="22"/>
              </w:rPr>
            </w:pPr>
            <w:r w:rsidRPr="0045128E">
              <w:rPr>
                <w:snapToGrid/>
                <w:color w:val="000000"/>
                <w:kern w:val="0"/>
                <w:szCs w:val="22"/>
              </w:rPr>
              <w:t>A2G Communications LLC</w:t>
            </w:r>
          </w:p>
        </w:tc>
      </w:tr>
      <w:tr w14:paraId="2769FE8E"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3817E08A" w14:textId="77777777">
            <w:pPr>
              <w:widowControl/>
              <w:jc w:val="center"/>
              <w:rPr>
                <w:snapToGrid/>
                <w:color w:val="000000"/>
                <w:kern w:val="0"/>
                <w:szCs w:val="22"/>
              </w:rPr>
            </w:pPr>
            <w:r w:rsidRPr="0045128E">
              <w:rPr>
                <w:snapToGrid/>
                <w:color w:val="000000"/>
                <w:kern w:val="0"/>
                <w:szCs w:val="22"/>
              </w:rPr>
              <w:t>42</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70DEA99" w14:textId="77777777">
            <w:pPr>
              <w:widowControl/>
              <w:jc w:val="center"/>
              <w:rPr>
                <w:snapToGrid/>
                <w:color w:val="000000"/>
                <w:kern w:val="0"/>
                <w:szCs w:val="22"/>
              </w:rPr>
            </w:pPr>
            <w:r w:rsidRPr="0045128E">
              <w:rPr>
                <w:snapToGrid/>
                <w:color w:val="000000"/>
                <w:kern w:val="0"/>
                <w:szCs w:val="22"/>
              </w:rPr>
              <w:t>WQZP766</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BEDA89A" w14:textId="77777777">
            <w:pPr>
              <w:widowControl/>
              <w:jc w:val="center"/>
              <w:rPr>
                <w:snapToGrid/>
                <w:color w:val="000000"/>
                <w:kern w:val="0"/>
                <w:szCs w:val="22"/>
              </w:rPr>
            </w:pPr>
            <w:r w:rsidRPr="0045128E">
              <w:rPr>
                <w:snapToGrid/>
                <w:color w:val="000000"/>
                <w:kern w:val="0"/>
                <w:szCs w:val="22"/>
              </w:rPr>
              <w:t>A2G Communications LLC</w:t>
            </w:r>
          </w:p>
        </w:tc>
      </w:tr>
      <w:tr w14:paraId="6CDC44F7"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28574290" w14:textId="77777777">
            <w:pPr>
              <w:widowControl/>
              <w:jc w:val="center"/>
              <w:rPr>
                <w:snapToGrid/>
                <w:color w:val="000000"/>
                <w:kern w:val="0"/>
                <w:szCs w:val="22"/>
              </w:rPr>
            </w:pPr>
            <w:r w:rsidRPr="0045128E">
              <w:rPr>
                <w:snapToGrid/>
                <w:color w:val="000000"/>
                <w:kern w:val="0"/>
                <w:szCs w:val="22"/>
              </w:rPr>
              <w:t>43</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6A151E6" w14:textId="77777777">
            <w:pPr>
              <w:widowControl/>
              <w:jc w:val="center"/>
              <w:rPr>
                <w:snapToGrid/>
                <w:color w:val="000000"/>
                <w:kern w:val="0"/>
                <w:szCs w:val="22"/>
              </w:rPr>
            </w:pPr>
            <w:r w:rsidRPr="0045128E">
              <w:rPr>
                <w:snapToGrid/>
                <w:color w:val="000000"/>
                <w:kern w:val="0"/>
                <w:szCs w:val="22"/>
              </w:rPr>
              <w:t>WQZP767</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65CFB83F" w14:textId="77777777">
            <w:pPr>
              <w:widowControl/>
              <w:jc w:val="center"/>
              <w:rPr>
                <w:snapToGrid/>
                <w:color w:val="000000"/>
                <w:kern w:val="0"/>
                <w:szCs w:val="22"/>
              </w:rPr>
            </w:pPr>
            <w:r w:rsidRPr="0045128E">
              <w:rPr>
                <w:snapToGrid/>
                <w:color w:val="000000"/>
                <w:kern w:val="0"/>
                <w:szCs w:val="22"/>
              </w:rPr>
              <w:t>A2G Communications LLC</w:t>
            </w:r>
          </w:p>
        </w:tc>
      </w:tr>
      <w:tr w14:paraId="79AC6011"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594EB024" w14:textId="77777777">
            <w:pPr>
              <w:widowControl/>
              <w:jc w:val="center"/>
              <w:rPr>
                <w:snapToGrid/>
                <w:color w:val="000000"/>
                <w:kern w:val="0"/>
                <w:szCs w:val="22"/>
              </w:rPr>
            </w:pPr>
            <w:r w:rsidRPr="0045128E">
              <w:rPr>
                <w:snapToGrid/>
                <w:color w:val="000000"/>
                <w:kern w:val="0"/>
                <w:szCs w:val="22"/>
              </w:rPr>
              <w:t>44</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AC82B06" w14:textId="77777777">
            <w:pPr>
              <w:widowControl/>
              <w:jc w:val="center"/>
              <w:rPr>
                <w:snapToGrid/>
                <w:color w:val="000000"/>
                <w:kern w:val="0"/>
                <w:szCs w:val="22"/>
              </w:rPr>
            </w:pPr>
            <w:r w:rsidRPr="0045128E">
              <w:rPr>
                <w:snapToGrid/>
                <w:color w:val="000000"/>
                <w:kern w:val="0"/>
                <w:szCs w:val="22"/>
              </w:rPr>
              <w:t>WQZP769</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C2745C5" w14:textId="77777777">
            <w:pPr>
              <w:widowControl/>
              <w:jc w:val="center"/>
              <w:rPr>
                <w:snapToGrid/>
                <w:color w:val="000000"/>
                <w:kern w:val="0"/>
                <w:szCs w:val="22"/>
              </w:rPr>
            </w:pPr>
            <w:r w:rsidRPr="0045128E">
              <w:rPr>
                <w:snapToGrid/>
                <w:color w:val="000000"/>
                <w:kern w:val="0"/>
                <w:szCs w:val="22"/>
              </w:rPr>
              <w:t>A2G Communications LLC</w:t>
            </w:r>
          </w:p>
        </w:tc>
      </w:tr>
      <w:tr w14:paraId="335E852A"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64EE73A5" w14:textId="77777777">
            <w:pPr>
              <w:widowControl/>
              <w:jc w:val="center"/>
              <w:rPr>
                <w:snapToGrid/>
                <w:color w:val="000000"/>
                <w:kern w:val="0"/>
                <w:szCs w:val="22"/>
              </w:rPr>
            </w:pPr>
            <w:r w:rsidRPr="0045128E">
              <w:rPr>
                <w:snapToGrid/>
                <w:color w:val="000000"/>
                <w:kern w:val="0"/>
                <w:szCs w:val="22"/>
              </w:rPr>
              <w:t>45</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AD76A5E" w14:textId="77777777">
            <w:pPr>
              <w:widowControl/>
              <w:jc w:val="center"/>
              <w:rPr>
                <w:snapToGrid/>
                <w:color w:val="000000"/>
                <w:kern w:val="0"/>
                <w:szCs w:val="22"/>
              </w:rPr>
            </w:pPr>
            <w:r w:rsidRPr="0045128E">
              <w:rPr>
                <w:snapToGrid/>
                <w:color w:val="000000"/>
                <w:kern w:val="0"/>
                <w:szCs w:val="22"/>
              </w:rPr>
              <w:t>WQZP770</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518616E" w14:textId="77777777">
            <w:pPr>
              <w:widowControl/>
              <w:jc w:val="center"/>
              <w:rPr>
                <w:snapToGrid/>
                <w:color w:val="000000"/>
                <w:kern w:val="0"/>
                <w:szCs w:val="22"/>
              </w:rPr>
            </w:pPr>
            <w:r w:rsidRPr="0045128E">
              <w:rPr>
                <w:snapToGrid/>
                <w:color w:val="000000"/>
                <w:kern w:val="0"/>
                <w:szCs w:val="22"/>
              </w:rPr>
              <w:t>A2G Communications LLC</w:t>
            </w:r>
          </w:p>
        </w:tc>
      </w:tr>
      <w:tr w14:paraId="5F6185E7"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C276BAE" w14:textId="77777777">
            <w:pPr>
              <w:widowControl/>
              <w:jc w:val="center"/>
              <w:rPr>
                <w:snapToGrid/>
                <w:color w:val="000000"/>
                <w:kern w:val="0"/>
                <w:szCs w:val="22"/>
              </w:rPr>
            </w:pPr>
            <w:r w:rsidRPr="0045128E">
              <w:rPr>
                <w:snapToGrid/>
                <w:color w:val="000000"/>
                <w:kern w:val="0"/>
                <w:szCs w:val="22"/>
              </w:rPr>
              <w:t>46</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1F5AE0BC" w14:textId="77777777">
            <w:pPr>
              <w:widowControl/>
              <w:jc w:val="center"/>
              <w:rPr>
                <w:snapToGrid/>
                <w:color w:val="000000"/>
                <w:kern w:val="0"/>
                <w:szCs w:val="22"/>
              </w:rPr>
            </w:pPr>
            <w:r w:rsidRPr="0045128E">
              <w:rPr>
                <w:snapToGrid/>
                <w:color w:val="000000"/>
                <w:kern w:val="0"/>
                <w:szCs w:val="22"/>
              </w:rPr>
              <w:t>WQZP771</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C6C3CB2" w14:textId="77777777">
            <w:pPr>
              <w:widowControl/>
              <w:jc w:val="center"/>
              <w:rPr>
                <w:snapToGrid/>
                <w:color w:val="000000"/>
                <w:kern w:val="0"/>
                <w:szCs w:val="22"/>
              </w:rPr>
            </w:pPr>
            <w:r w:rsidRPr="0045128E">
              <w:rPr>
                <w:snapToGrid/>
                <w:color w:val="000000"/>
                <w:kern w:val="0"/>
                <w:szCs w:val="22"/>
              </w:rPr>
              <w:t>A2G Communications LLC</w:t>
            </w:r>
          </w:p>
        </w:tc>
      </w:tr>
      <w:tr w14:paraId="15E8005A"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3B5AD7E5" w14:textId="77777777">
            <w:pPr>
              <w:widowControl/>
              <w:jc w:val="center"/>
              <w:rPr>
                <w:snapToGrid/>
                <w:color w:val="000000"/>
                <w:kern w:val="0"/>
                <w:szCs w:val="22"/>
              </w:rPr>
            </w:pPr>
            <w:r w:rsidRPr="0045128E">
              <w:rPr>
                <w:snapToGrid/>
                <w:color w:val="000000"/>
                <w:kern w:val="0"/>
                <w:szCs w:val="22"/>
              </w:rPr>
              <w:t>47</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7193207" w14:textId="77777777">
            <w:pPr>
              <w:widowControl/>
              <w:jc w:val="center"/>
              <w:rPr>
                <w:snapToGrid/>
                <w:color w:val="000000"/>
                <w:kern w:val="0"/>
                <w:szCs w:val="22"/>
              </w:rPr>
            </w:pPr>
            <w:r w:rsidRPr="0045128E">
              <w:rPr>
                <w:snapToGrid/>
                <w:color w:val="000000"/>
                <w:kern w:val="0"/>
                <w:szCs w:val="22"/>
              </w:rPr>
              <w:t>WQZP772</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0CA0F51D" w14:textId="77777777">
            <w:pPr>
              <w:widowControl/>
              <w:jc w:val="center"/>
              <w:rPr>
                <w:snapToGrid/>
                <w:color w:val="000000"/>
                <w:kern w:val="0"/>
                <w:szCs w:val="22"/>
              </w:rPr>
            </w:pPr>
            <w:r w:rsidRPr="0045128E">
              <w:rPr>
                <w:snapToGrid/>
                <w:color w:val="000000"/>
                <w:kern w:val="0"/>
                <w:szCs w:val="22"/>
              </w:rPr>
              <w:t>A2G Communications LLC</w:t>
            </w:r>
          </w:p>
        </w:tc>
      </w:tr>
      <w:tr w14:paraId="69B5042C"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0062339F" w14:textId="77777777">
            <w:pPr>
              <w:widowControl/>
              <w:jc w:val="center"/>
              <w:rPr>
                <w:snapToGrid/>
                <w:color w:val="000000"/>
                <w:kern w:val="0"/>
                <w:szCs w:val="22"/>
              </w:rPr>
            </w:pPr>
            <w:r w:rsidRPr="0045128E">
              <w:rPr>
                <w:snapToGrid/>
                <w:color w:val="000000"/>
                <w:kern w:val="0"/>
                <w:szCs w:val="22"/>
              </w:rPr>
              <w:t>48</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26313B5" w14:textId="77777777">
            <w:pPr>
              <w:widowControl/>
              <w:jc w:val="center"/>
              <w:rPr>
                <w:snapToGrid/>
                <w:color w:val="000000"/>
                <w:kern w:val="0"/>
                <w:szCs w:val="22"/>
              </w:rPr>
            </w:pPr>
            <w:r w:rsidRPr="0045128E">
              <w:rPr>
                <w:snapToGrid/>
                <w:color w:val="000000"/>
                <w:kern w:val="0"/>
                <w:szCs w:val="22"/>
              </w:rPr>
              <w:t>WQZP773</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3DF7E265" w14:textId="77777777">
            <w:pPr>
              <w:widowControl/>
              <w:jc w:val="center"/>
              <w:rPr>
                <w:snapToGrid/>
                <w:color w:val="000000"/>
                <w:kern w:val="0"/>
                <w:szCs w:val="22"/>
              </w:rPr>
            </w:pPr>
            <w:r w:rsidRPr="0045128E">
              <w:rPr>
                <w:snapToGrid/>
                <w:color w:val="000000"/>
                <w:kern w:val="0"/>
                <w:szCs w:val="22"/>
              </w:rPr>
              <w:t>A2G Communications LLC</w:t>
            </w:r>
          </w:p>
        </w:tc>
      </w:tr>
      <w:tr w14:paraId="464E4E66"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606DF0C3" w14:textId="77777777">
            <w:pPr>
              <w:widowControl/>
              <w:jc w:val="center"/>
              <w:rPr>
                <w:snapToGrid/>
                <w:color w:val="000000"/>
                <w:kern w:val="0"/>
                <w:szCs w:val="22"/>
              </w:rPr>
            </w:pPr>
            <w:r w:rsidRPr="0045128E">
              <w:rPr>
                <w:snapToGrid/>
                <w:color w:val="000000"/>
                <w:kern w:val="0"/>
                <w:szCs w:val="22"/>
              </w:rPr>
              <w:t>49</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74BA4E71" w14:textId="77777777">
            <w:pPr>
              <w:widowControl/>
              <w:jc w:val="center"/>
              <w:rPr>
                <w:snapToGrid/>
                <w:color w:val="000000"/>
                <w:kern w:val="0"/>
                <w:szCs w:val="22"/>
              </w:rPr>
            </w:pPr>
            <w:r w:rsidRPr="0045128E">
              <w:rPr>
                <w:snapToGrid/>
                <w:color w:val="000000"/>
                <w:kern w:val="0"/>
                <w:szCs w:val="22"/>
              </w:rPr>
              <w:t>WXS445</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A602A95" w14:textId="77777777">
            <w:pPr>
              <w:widowControl/>
              <w:jc w:val="center"/>
              <w:rPr>
                <w:snapToGrid/>
                <w:color w:val="000000"/>
                <w:kern w:val="0"/>
                <w:szCs w:val="22"/>
              </w:rPr>
            </w:pPr>
            <w:r w:rsidRPr="0045128E">
              <w:rPr>
                <w:snapToGrid/>
                <w:color w:val="000000"/>
                <w:kern w:val="0"/>
                <w:szCs w:val="22"/>
              </w:rPr>
              <w:t>A2G Communications LLC</w:t>
            </w:r>
          </w:p>
        </w:tc>
      </w:tr>
      <w:tr w14:paraId="36F19ADB" w14:textId="77777777" w:rsidTr="0045128E">
        <w:tblPrEx>
          <w:tblW w:w="5600" w:type="dxa"/>
          <w:jc w:val="center"/>
          <w:tblLook w:val="04A0"/>
        </w:tblPrEx>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5128E" w:rsidRPr="0045128E" w:rsidP="0045128E" w14:paraId="452288B4" w14:textId="77777777">
            <w:pPr>
              <w:widowControl/>
              <w:jc w:val="center"/>
              <w:rPr>
                <w:snapToGrid/>
                <w:color w:val="000000"/>
                <w:kern w:val="0"/>
                <w:szCs w:val="22"/>
              </w:rPr>
            </w:pPr>
            <w:r w:rsidRPr="0045128E">
              <w:rPr>
                <w:snapToGrid/>
                <w:color w:val="000000"/>
                <w:kern w:val="0"/>
                <w:szCs w:val="22"/>
              </w:rPr>
              <w:t>50</w:t>
            </w:r>
          </w:p>
        </w:tc>
        <w:tc>
          <w:tcPr>
            <w:tcW w:w="180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58E33F93" w14:textId="77777777">
            <w:pPr>
              <w:widowControl/>
              <w:jc w:val="center"/>
              <w:rPr>
                <w:snapToGrid/>
                <w:color w:val="000000"/>
                <w:kern w:val="0"/>
                <w:szCs w:val="22"/>
              </w:rPr>
            </w:pPr>
            <w:r w:rsidRPr="0045128E">
              <w:rPr>
                <w:snapToGrid/>
                <w:color w:val="000000"/>
                <w:kern w:val="0"/>
                <w:szCs w:val="22"/>
              </w:rPr>
              <w:t>WRFE609</w:t>
            </w:r>
          </w:p>
        </w:tc>
        <w:tc>
          <w:tcPr>
            <w:tcW w:w="2840" w:type="dxa"/>
            <w:tcBorders>
              <w:top w:val="nil"/>
              <w:left w:val="nil"/>
              <w:bottom w:val="single" w:sz="4" w:space="0" w:color="auto"/>
              <w:right w:val="single" w:sz="4" w:space="0" w:color="auto"/>
            </w:tcBorders>
            <w:shd w:val="clear" w:color="auto" w:fill="auto"/>
            <w:noWrap/>
            <w:vAlign w:val="center"/>
            <w:hideMark/>
          </w:tcPr>
          <w:p w:rsidR="0045128E" w:rsidRPr="0045128E" w:rsidP="0045128E" w14:paraId="210AD09B" w14:textId="77777777">
            <w:pPr>
              <w:widowControl/>
              <w:jc w:val="center"/>
              <w:rPr>
                <w:snapToGrid/>
                <w:color w:val="000000"/>
                <w:kern w:val="0"/>
                <w:szCs w:val="22"/>
              </w:rPr>
            </w:pPr>
            <w:r w:rsidRPr="0045128E">
              <w:rPr>
                <w:snapToGrid/>
                <w:color w:val="000000"/>
                <w:kern w:val="0"/>
                <w:szCs w:val="22"/>
              </w:rPr>
              <w:t>Michael Gagne</w:t>
            </w:r>
          </w:p>
        </w:tc>
      </w:tr>
    </w:tbl>
    <w:p w:rsidR="00D07669" w:rsidP="00A75296" w14:paraId="1ED33F9A" w14:textId="77777777">
      <w:pPr>
        <w:keepNext/>
        <w:keepLines/>
        <w:tabs>
          <w:tab w:val="left" w:pos="-1440"/>
          <w:tab w:val="left" w:pos="-720"/>
          <w:tab w:val="left" w:pos="0"/>
          <w:tab w:val="left" w:pos="720"/>
          <w:tab w:val="left" w:pos="1080"/>
          <w:tab w:val="left" w:pos="1440"/>
        </w:tabs>
        <w:suppressAutoHyphens/>
        <w:ind w:left="720"/>
        <w:jc w:val="center"/>
        <w:rPr>
          <w:b/>
          <w:bCs/>
          <w:szCs w:val="22"/>
        </w:rPr>
      </w:pPr>
    </w:p>
    <w:p w:rsidR="00A75296" w:rsidP="00A75296" w14:paraId="0CA27319" w14:textId="4F263E0E">
      <w:pPr>
        <w:keepNext/>
        <w:keepLines/>
        <w:tabs>
          <w:tab w:val="left" w:pos="-1440"/>
          <w:tab w:val="left" w:pos="-720"/>
          <w:tab w:val="left" w:pos="0"/>
          <w:tab w:val="left" w:pos="720"/>
          <w:tab w:val="left" w:pos="1080"/>
          <w:tab w:val="left" w:pos="1440"/>
        </w:tabs>
        <w:suppressAutoHyphens/>
        <w:ind w:left="720"/>
        <w:jc w:val="center"/>
        <w:rPr>
          <w:b/>
          <w:bCs/>
          <w:szCs w:val="22"/>
        </w:rPr>
      </w:pPr>
    </w:p>
    <w:p w:rsidR="00A75296" w:rsidP="0045128E" w14:paraId="09276CDD" w14:textId="45047498">
      <w:pPr>
        <w:keepNext/>
        <w:keepLines/>
        <w:tabs>
          <w:tab w:val="left" w:pos="-1440"/>
          <w:tab w:val="left" w:pos="-720"/>
          <w:tab w:val="left" w:pos="0"/>
          <w:tab w:val="left" w:pos="720"/>
          <w:tab w:val="left" w:pos="1080"/>
          <w:tab w:val="left" w:pos="1440"/>
        </w:tabs>
        <w:suppressAutoHyphens/>
        <w:spacing w:after="120"/>
        <w:ind w:left="720"/>
        <w:jc w:val="center"/>
        <w:rPr>
          <w:b/>
          <w:bCs/>
          <w:szCs w:val="22"/>
        </w:rPr>
      </w:pPr>
      <w:r>
        <w:rPr>
          <w:b/>
          <w:bCs/>
          <w:szCs w:val="22"/>
        </w:rPr>
        <w:t>Pending Applications for New Licenses Subject to Waiver</w:t>
      </w:r>
    </w:p>
    <w:tbl>
      <w:tblPr>
        <w:tblStyle w:val="TableGrid"/>
        <w:tblW w:w="0" w:type="auto"/>
        <w:jc w:val="center"/>
        <w:tblLook w:val="04A0"/>
      </w:tblPr>
      <w:tblGrid>
        <w:gridCol w:w="1053"/>
        <w:gridCol w:w="1800"/>
        <w:gridCol w:w="2853"/>
      </w:tblGrid>
      <w:tr w14:paraId="435BA248" w14:textId="77777777" w:rsidTr="0045128E">
        <w:tblPrEx>
          <w:tblW w:w="0" w:type="auto"/>
          <w:jc w:val="center"/>
          <w:tblLook w:val="04A0"/>
        </w:tblPrEx>
        <w:trPr>
          <w:jc w:val="center"/>
        </w:trPr>
        <w:tc>
          <w:tcPr>
            <w:tcW w:w="1053" w:type="dxa"/>
            <w:shd w:val="clear" w:color="auto" w:fill="E7E6E6" w:themeFill="background2"/>
          </w:tcPr>
          <w:p w:rsidR="00A75296" w:rsidRPr="0045128E" w:rsidP="0045128E" w14:paraId="3804D67B" w14:textId="6C46757A">
            <w:pPr>
              <w:widowControl/>
              <w:jc w:val="center"/>
              <w:rPr>
                <w:snapToGrid/>
                <w:color w:val="000000"/>
                <w:kern w:val="0"/>
                <w:szCs w:val="22"/>
              </w:rPr>
            </w:pPr>
          </w:p>
        </w:tc>
        <w:tc>
          <w:tcPr>
            <w:tcW w:w="1800" w:type="dxa"/>
            <w:shd w:val="clear" w:color="auto" w:fill="E7E6E6" w:themeFill="background2"/>
          </w:tcPr>
          <w:p w:rsidR="00A75296" w:rsidRPr="0045128E" w:rsidP="0045128E" w14:paraId="2CA4F750" w14:textId="0A321972">
            <w:pPr>
              <w:widowControl/>
              <w:jc w:val="center"/>
              <w:rPr>
                <w:b/>
                <w:bCs/>
                <w:snapToGrid/>
                <w:color w:val="000000"/>
                <w:kern w:val="0"/>
                <w:szCs w:val="22"/>
              </w:rPr>
            </w:pPr>
            <w:r w:rsidRPr="0045128E">
              <w:rPr>
                <w:b/>
                <w:bCs/>
                <w:snapToGrid/>
                <w:color w:val="000000"/>
                <w:kern w:val="0"/>
                <w:szCs w:val="22"/>
              </w:rPr>
              <w:t>ULS File No.</w:t>
            </w:r>
          </w:p>
        </w:tc>
        <w:tc>
          <w:tcPr>
            <w:tcW w:w="2853" w:type="dxa"/>
            <w:shd w:val="clear" w:color="auto" w:fill="E7E6E6" w:themeFill="background2"/>
          </w:tcPr>
          <w:p w:rsidR="00A75296" w:rsidRPr="0045128E" w:rsidP="0045128E" w14:paraId="4FB08E9B" w14:textId="1626232C">
            <w:pPr>
              <w:widowControl/>
              <w:jc w:val="center"/>
              <w:rPr>
                <w:b/>
                <w:bCs/>
                <w:snapToGrid/>
                <w:color w:val="000000"/>
                <w:kern w:val="0"/>
                <w:szCs w:val="22"/>
              </w:rPr>
            </w:pPr>
            <w:r w:rsidRPr="0045128E">
              <w:rPr>
                <w:b/>
                <w:bCs/>
                <w:snapToGrid/>
                <w:color w:val="000000"/>
                <w:kern w:val="0"/>
                <w:szCs w:val="22"/>
              </w:rPr>
              <w:t>Licensee</w:t>
            </w:r>
          </w:p>
        </w:tc>
      </w:tr>
      <w:tr w14:paraId="2E0F4C93" w14:textId="77777777" w:rsidTr="0045128E">
        <w:tblPrEx>
          <w:tblW w:w="0" w:type="auto"/>
          <w:jc w:val="center"/>
          <w:tblLook w:val="04A0"/>
        </w:tblPrEx>
        <w:trPr>
          <w:jc w:val="center"/>
        </w:trPr>
        <w:tc>
          <w:tcPr>
            <w:tcW w:w="1053" w:type="dxa"/>
          </w:tcPr>
          <w:p w:rsidR="00D07669" w:rsidRPr="0045128E" w:rsidP="0045128E" w14:paraId="1B51947C" w14:textId="1D7E4E9B">
            <w:pPr>
              <w:widowControl/>
              <w:jc w:val="center"/>
              <w:rPr>
                <w:snapToGrid/>
                <w:color w:val="000000"/>
                <w:kern w:val="0"/>
                <w:szCs w:val="22"/>
              </w:rPr>
            </w:pPr>
            <w:r>
              <w:rPr>
                <w:snapToGrid/>
                <w:color w:val="000000"/>
                <w:kern w:val="0"/>
                <w:szCs w:val="22"/>
              </w:rPr>
              <w:t>51</w:t>
            </w:r>
          </w:p>
        </w:tc>
        <w:tc>
          <w:tcPr>
            <w:tcW w:w="1800" w:type="dxa"/>
          </w:tcPr>
          <w:p w:rsidR="00A75296" w:rsidRPr="0045128E" w:rsidP="0045128E" w14:paraId="23BA130B" w14:textId="068EA782">
            <w:pPr>
              <w:widowControl/>
              <w:jc w:val="center"/>
              <w:rPr>
                <w:snapToGrid/>
                <w:color w:val="000000"/>
                <w:kern w:val="0"/>
                <w:szCs w:val="22"/>
              </w:rPr>
            </w:pPr>
            <w:r w:rsidRPr="0045128E">
              <w:rPr>
                <w:snapToGrid/>
                <w:color w:val="000000"/>
                <w:kern w:val="0"/>
                <w:szCs w:val="22"/>
              </w:rPr>
              <w:t>0009042649</w:t>
            </w:r>
          </w:p>
        </w:tc>
        <w:tc>
          <w:tcPr>
            <w:tcW w:w="2853" w:type="dxa"/>
          </w:tcPr>
          <w:p w:rsidR="00A75296" w:rsidRPr="0045128E" w:rsidP="0045128E" w14:paraId="3479571A" w14:textId="7AF27B4B">
            <w:pPr>
              <w:widowControl/>
              <w:jc w:val="center"/>
              <w:rPr>
                <w:snapToGrid/>
                <w:color w:val="000000"/>
                <w:kern w:val="0"/>
                <w:szCs w:val="22"/>
              </w:rPr>
            </w:pPr>
            <w:r w:rsidRPr="0045128E">
              <w:rPr>
                <w:snapToGrid/>
                <w:color w:val="000000"/>
                <w:kern w:val="0"/>
                <w:szCs w:val="22"/>
              </w:rPr>
              <w:t>Michael Gagne</w:t>
            </w:r>
          </w:p>
        </w:tc>
      </w:tr>
      <w:tr w14:paraId="2F672BFA" w14:textId="77777777" w:rsidTr="0045128E">
        <w:tblPrEx>
          <w:tblW w:w="0" w:type="auto"/>
          <w:jc w:val="center"/>
          <w:tblLook w:val="04A0"/>
        </w:tblPrEx>
        <w:trPr>
          <w:jc w:val="center"/>
        </w:trPr>
        <w:tc>
          <w:tcPr>
            <w:tcW w:w="1053" w:type="dxa"/>
          </w:tcPr>
          <w:p w:rsidR="00A75296" w:rsidRPr="0045128E" w:rsidP="0045128E" w14:paraId="2D6D730F" w14:textId="54EDC53D">
            <w:pPr>
              <w:widowControl/>
              <w:jc w:val="center"/>
              <w:rPr>
                <w:snapToGrid/>
                <w:color w:val="000000"/>
                <w:kern w:val="0"/>
                <w:szCs w:val="22"/>
              </w:rPr>
            </w:pPr>
            <w:r>
              <w:rPr>
                <w:snapToGrid/>
                <w:color w:val="000000"/>
                <w:kern w:val="0"/>
                <w:szCs w:val="22"/>
              </w:rPr>
              <w:t>52</w:t>
            </w:r>
          </w:p>
        </w:tc>
        <w:tc>
          <w:tcPr>
            <w:tcW w:w="1800" w:type="dxa"/>
          </w:tcPr>
          <w:p w:rsidR="00A75296" w:rsidRPr="0045128E" w:rsidP="0045128E" w14:paraId="5AE3C430" w14:textId="2F9DD60A">
            <w:pPr>
              <w:widowControl/>
              <w:jc w:val="center"/>
              <w:rPr>
                <w:snapToGrid/>
                <w:color w:val="000000"/>
                <w:kern w:val="0"/>
                <w:szCs w:val="22"/>
              </w:rPr>
            </w:pPr>
            <w:r w:rsidRPr="0045128E">
              <w:rPr>
                <w:snapToGrid/>
                <w:color w:val="000000"/>
                <w:kern w:val="0"/>
                <w:szCs w:val="22"/>
              </w:rPr>
              <w:t>0009044234</w:t>
            </w:r>
          </w:p>
        </w:tc>
        <w:tc>
          <w:tcPr>
            <w:tcW w:w="2853" w:type="dxa"/>
          </w:tcPr>
          <w:p w:rsidR="00A75296" w:rsidRPr="0045128E" w:rsidP="0045128E" w14:paraId="6EEA590D" w14:textId="51849ACD">
            <w:pPr>
              <w:widowControl/>
              <w:jc w:val="center"/>
              <w:rPr>
                <w:snapToGrid/>
                <w:color w:val="000000"/>
                <w:kern w:val="0"/>
                <w:szCs w:val="22"/>
              </w:rPr>
            </w:pPr>
            <w:r w:rsidRPr="0045128E">
              <w:rPr>
                <w:snapToGrid/>
                <w:color w:val="000000"/>
                <w:kern w:val="0"/>
                <w:szCs w:val="22"/>
              </w:rPr>
              <w:t>Michael Gagne</w:t>
            </w:r>
          </w:p>
        </w:tc>
      </w:tr>
    </w:tbl>
    <w:p w:rsidR="00A75296" w:rsidRPr="0045128E" w:rsidP="0045128E" w14:paraId="56F9CD13" w14:textId="77777777">
      <w:pPr>
        <w:widowControl/>
        <w:jc w:val="center"/>
        <w:rPr>
          <w:snapToGrid/>
          <w:color w:val="000000"/>
          <w:kern w:val="0"/>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55614C" w14:paraId="79D248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80662C" w14:paraId="1335BB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14:paraId="64A92E1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0662C" w14:paraId="4959E1A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14:paraId="0C4519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662C" w14:paraId="4B3CA692" w14:textId="77777777">
      <w:r>
        <w:separator/>
      </w:r>
    </w:p>
  </w:footnote>
  <w:footnote w:type="continuationSeparator" w:id="1">
    <w:p w:rsidR="0080662C" w:rsidP="00C721AC" w14:paraId="5340BE24" w14:textId="77777777">
      <w:pPr>
        <w:spacing w:before="120"/>
        <w:rPr>
          <w:sz w:val="20"/>
        </w:rPr>
      </w:pPr>
      <w:r>
        <w:rPr>
          <w:sz w:val="20"/>
        </w:rPr>
        <w:t xml:space="preserve">(Continued from previous page)  </w:t>
      </w:r>
      <w:r>
        <w:rPr>
          <w:sz w:val="20"/>
        </w:rPr>
        <w:separator/>
      </w:r>
    </w:p>
  </w:footnote>
  <w:footnote w:type="continuationNotice" w:id="2">
    <w:p w:rsidR="0080662C" w:rsidP="00C721AC" w14:paraId="1208BE15" w14:textId="77777777">
      <w:pPr>
        <w:jc w:val="right"/>
        <w:rPr>
          <w:sz w:val="20"/>
        </w:rPr>
      </w:pPr>
      <w:r>
        <w:rPr>
          <w:sz w:val="20"/>
        </w:rPr>
        <w:t>(continued….)</w:t>
      </w:r>
    </w:p>
  </w:footnote>
  <w:footnote w:id="3">
    <w:p w:rsidR="0080662C" w:rsidP="00053829" w14:paraId="3176EE52" w14:textId="30DD2181">
      <w:pPr>
        <w:pStyle w:val="FootnoteText"/>
      </w:pPr>
      <w:r>
        <w:rPr>
          <w:rStyle w:val="FootnoteReference"/>
        </w:rPr>
        <w:footnoteRef/>
      </w:r>
      <w:r>
        <w:t xml:space="preserve"> </w:t>
      </w:r>
      <w:r>
        <w:rPr>
          <w:i/>
          <w:iCs/>
        </w:rPr>
        <w:t xml:space="preserve">See </w:t>
      </w:r>
      <w:r>
        <w:t xml:space="preserve">Request of </w:t>
      </w:r>
      <w:r w:rsidRPr="00900FC7">
        <w:rPr>
          <w:spacing w:val="-2"/>
        </w:rPr>
        <w:t>AURA Network Systems OpCo, LLC and</w:t>
      </w:r>
      <w:r>
        <w:rPr>
          <w:spacing w:val="-2"/>
        </w:rPr>
        <w:t xml:space="preserve"> </w:t>
      </w:r>
      <w:r w:rsidRPr="00900FC7">
        <w:rPr>
          <w:spacing w:val="-2"/>
        </w:rPr>
        <w:t>A2G Communications, LLC</w:t>
      </w:r>
      <w:r>
        <w:rPr>
          <w:spacing w:val="-2"/>
        </w:rPr>
        <w:t xml:space="preserve"> for Waiver, WT Docket No. 20-185</w:t>
      </w:r>
      <w:r>
        <w:t xml:space="preserve"> (filed </w:t>
      </w:r>
      <w:r w:rsidRPr="00232D26">
        <w:t>June 12, 2020</w:t>
      </w:r>
      <w:r>
        <w:t xml:space="preserve">) (Waiver Request).  The Waiver Request addresses 57 existing licenses, plus applications for three new licenses.  </w:t>
      </w:r>
      <w:r w:rsidRPr="007C1C1C">
        <w:rPr>
          <w:i/>
          <w:iCs/>
        </w:rPr>
        <w:t xml:space="preserve">See </w:t>
      </w:r>
      <w:r>
        <w:t xml:space="preserve">Waiver Request at Appx. A.  </w:t>
      </w:r>
      <w:r w:rsidRPr="00EC6CC0">
        <w:t>We note</w:t>
      </w:r>
      <w:r>
        <w:t>,</w:t>
      </w:r>
      <w:r w:rsidRPr="00EC6CC0">
        <w:t xml:space="preserve"> however</w:t>
      </w:r>
      <w:r>
        <w:t>,</w:t>
      </w:r>
      <w:r w:rsidRPr="00EC6CC0">
        <w:t xml:space="preserve"> that 7 licenses listed at App</w:t>
      </w:r>
      <w:r>
        <w:t>endi</w:t>
      </w:r>
      <w:r w:rsidRPr="00EC6CC0">
        <w:t xml:space="preserve">x A of the Waiver Request (KGC405, KQD611, KRM991, KUD227, KWT909, KWT939, and WQPQ209) have been canceled or terminated since Petitioners filed the Waiver Request </w:t>
      </w:r>
      <w:r>
        <w:t xml:space="preserve">and therefore are not addressed in this Order.  We further note that one of the applications for a new license listed in Appendix A of the Waiver Request, ULS File No. </w:t>
      </w:r>
      <w:r w:rsidRPr="007B24D2">
        <w:t>0008842417</w:t>
      </w:r>
      <w:r>
        <w:t>, has since been withdrawn, and we therefore do not address it herein.  The licenses and pending applications subject to the relief granted herein are listed at Appendix A of this Order.</w:t>
      </w:r>
    </w:p>
  </w:footnote>
  <w:footnote w:id="4">
    <w:p w:rsidR="0080662C" w:rsidP="00410C42" w14:paraId="2B4678E1" w14:textId="52FCB93B">
      <w:pPr>
        <w:pStyle w:val="FootnoteText"/>
      </w:pPr>
      <w:r>
        <w:rPr>
          <w:rStyle w:val="FootnoteReference"/>
        </w:rPr>
        <w:footnoteRef/>
      </w:r>
      <w:r>
        <w:t xml:space="preserve"> Petitioners seek waiver of sections 22.805, 22.809, and 22.813.  47 CFR §§ 22.805, 22.809, 22.813.</w:t>
      </w:r>
    </w:p>
  </w:footnote>
  <w:footnote w:id="5">
    <w:p w:rsidR="0080662C" w:rsidP="00410C42" w14:paraId="49B222B5" w14:textId="495FF421">
      <w:pPr>
        <w:pStyle w:val="FootnoteText"/>
      </w:pPr>
      <w:r>
        <w:rPr>
          <w:rStyle w:val="FootnoteReference"/>
        </w:rPr>
        <w:footnoteRef/>
      </w:r>
      <w:r>
        <w:t xml:space="preserve"> Specifically, sections 2.106 NG32, 22.107, and 22.817.  47 CFR §§ 2.106 NG32, 22.107, 22.817.</w:t>
      </w:r>
    </w:p>
  </w:footnote>
  <w:footnote w:id="6">
    <w:p w:rsidR="0080662C" w:rsidP="008A4B6B" w14:paraId="01E60AAF" w14:textId="6091863D">
      <w:pPr>
        <w:pStyle w:val="FootnoteText"/>
      </w:pPr>
      <w:r>
        <w:rPr>
          <w:rStyle w:val="FootnoteReference"/>
        </w:rPr>
        <w:footnoteRef/>
      </w:r>
      <w:r>
        <w:t xml:space="preserve"> </w:t>
      </w:r>
      <w:r>
        <w:rPr>
          <w:i/>
        </w:rPr>
        <w:t xml:space="preserve">See </w:t>
      </w:r>
      <w:r>
        <w:t xml:space="preserve">47 CFR § 22.805.  While licensees are authorized for a 20 kilohertz bandwidth, the total channel spacing for each channel is 25 kilohertz, thirteen of which comprise the 650 kilohertz of spectrum from 459.700-459.975 MHz.  The thirteenth “signaling channel pair”—454.675 MHz (ground) and 459.675 MHz (airborne mobile)—is assigned to every licensee’s ground station.  </w:t>
      </w:r>
      <w:r>
        <w:rPr>
          <w:i/>
        </w:rPr>
        <w:t xml:space="preserve">See id. </w:t>
      </w:r>
      <w:r>
        <w:t xml:space="preserve">§ 22.805(a) (noting that the signaling channel is “to be used only for automatically alerting airborne mobile stations of incoming calls.”).       </w:t>
      </w:r>
    </w:p>
  </w:footnote>
  <w:footnote w:id="7">
    <w:p w:rsidR="0080662C" w:rsidRPr="008A4B6B" w:rsidP="00DC1FBB" w14:paraId="265C2741" w14:textId="28D2D2B9">
      <w:pPr>
        <w:pStyle w:val="FootnoteText"/>
      </w:pPr>
      <w:r>
        <w:rPr>
          <w:rStyle w:val="FootnoteReference"/>
        </w:rPr>
        <w:footnoteRef/>
      </w:r>
      <w:r>
        <w:t xml:space="preserve"> </w:t>
      </w:r>
      <w:r>
        <w:rPr>
          <w:i/>
          <w:iCs/>
        </w:rPr>
        <w:t>See</w:t>
      </w:r>
      <w:r>
        <w:t xml:space="preserve"> Waiver Request, Appx. A. </w:t>
      </w:r>
    </w:p>
  </w:footnote>
  <w:footnote w:id="8">
    <w:p w:rsidR="0080662C" w:rsidRPr="00DC1FBB" w14:paraId="1922D0AD" w14:textId="582179BA">
      <w:pPr>
        <w:pStyle w:val="FootnoteText"/>
      </w:pPr>
      <w:r>
        <w:rPr>
          <w:rStyle w:val="FootnoteReference"/>
        </w:rPr>
        <w:footnoteRef/>
      </w:r>
      <w:r>
        <w:t xml:space="preserve"> </w:t>
      </w:r>
      <w:r>
        <w:rPr>
          <w:i/>
          <w:iCs/>
        </w:rPr>
        <w:t>See</w:t>
      </w:r>
      <w:r>
        <w:t xml:space="preserve"> </w:t>
      </w:r>
      <w:r>
        <w:rPr>
          <w:i/>
          <w:iCs/>
        </w:rPr>
        <w:t xml:space="preserve">Joint Request by </w:t>
      </w:r>
      <w:r w:rsidRPr="00DC1FBB">
        <w:rPr>
          <w:i/>
          <w:iCs/>
        </w:rPr>
        <w:t xml:space="preserve">Stratophone, LLC and SkyTel Spectrum, LLC for Waiver of Certain Air-to-Ground </w:t>
      </w:r>
      <w:r>
        <w:rPr>
          <w:i/>
          <w:iCs/>
        </w:rPr>
        <w:t>R</w:t>
      </w:r>
      <w:r w:rsidRPr="00DC1FBB">
        <w:rPr>
          <w:i/>
          <w:iCs/>
        </w:rPr>
        <w:t>adiotelephone Service Licensing Rules for General Aviation</w:t>
      </w:r>
      <w:r>
        <w:t>, WT Docket No. 09-44, Order, 25 FCC Rcd 8581 (WTB MD 2010) (</w:t>
      </w:r>
      <w:r>
        <w:rPr>
          <w:i/>
          <w:iCs/>
        </w:rPr>
        <w:t>2010 Order</w:t>
      </w:r>
      <w:r>
        <w:t xml:space="preserve">).  Stratophone, LLC and SkyTel Spectrum, LLC are the predecessor entities of A2G.  </w:t>
      </w:r>
      <w:r w:rsidRPr="005459DC">
        <w:t>Air-ground Radiotelephone Automated Service</w:t>
      </w:r>
      <w:r>
        <w:t>,</w:t>
      </w:r>
      <w:r w:rsidRPr="005459DC">
        <w:t xml:space="preserve"> </w:t>
      </w:r>
      <w:r>
        <w:t>or AGRAS, is a technology standard.</w:t>
      </w:r>
    </w:p>
  </w:footnote>
  <w:footnote w:id="9">
    <w:p w:rsidR="0080662C" w:rsidRPr="00E53CCE" w14:paraId="27D29002" w14:textId="16B9E5B4">
      <w:pPr>
        <w:pStyle w:val="FootnoteText"/>
      </w:pPr>
      <w:r>
        <w:rPr>
          <w:rStyle w:val="FootnoteReference"/>
        </w:rPr>
        <w:footnoteRef/>
      </w:r>
      <w:r>
        <w:t xml:space="preserve"> </w:t>
      </w:r>
      <w:r>
        <w:rPr>
          <w:i/>
          <w:iCs/>
        </w:rPr>
        <w:t>2010 Order</w:t>
      </w:r>
      <w:r>
        <w:t xml:space="preserve">, 25 FCC Rcd at </w:t>
      </w:r>
      <w:r w:rsidRPr="00074DE9">
        <w:t>8587</w:t>
      </w:r>
      <w:r>
        <w:t xml:space="preserve">, </w:t>
      </w:r>
      <w:r w:rsidRPr="00074DE9">
        <w:t>para. 13</w:t>
      </w:r>
      <w:r>
        <w:t xml:space="preserve"> (waiving 47 CFR §§ 22.813(a), 22.813(b), 22.815, 22.817).</w:t>
      </w:r>
    </w:p>
  </w:footnote>
  <w:footnote w:id="10">
    <w:p w:rsidR="0080662C" w:rsidRPr="005B4168" w:rsidP="005B4168" w14:paraId="119EB194" w14:textId="7D13A901">
      <w:pPr>
        <w:pStyle w:val="FootnoteText"/>
      </w:pPr>
      <w:r>
        <w:rPr>
          <w:rStyle w:val="FootnoteReference"/>
        </w:rPr>
        <w:footnoteRef/>
      </w:r>
      <w:r>
        <w:t xml:space="preserve"> </w:t>
      </w:r>
      <w:r w:rsidR="00377A87">
        <w:rPr>
          <w:i/>
          <w:iCs/>
        </w:rPr>
        <w:t>Id</w:t>
      </w:r>
      <w:r>
        <w:t xml:space="preserve">.  In 2016, the Division provided additional time for Petitioners’ predecessors to comply with the </w:t>
      </w:r>
      <w:r>
        <w:rPr>
          <w:i/>
          <w:iCs/>
        </w:rPr>
        <w:t>2010 Order</w:t>
      </w:r>
      <w:r>
        <w:t xml:space="preserve"> and made certain other modifications to the waiver relief to account for changes in circumstances stemming from the completion of U.S.-Canada border agreement negotiations.</w:t>
      </w:r>
      <w:r>
        <w:rPr>
          <w:b/>
          <w:bCs/>
        </w:rPr>
        <w:t xml:space="preserve">  </w:t>
      </w:r>
      <w:r>
        <w:t xml:space="preserve">  </w:t>
      </w:r>
      <w:r>
        <w:rPr>
          <w:i/>
          <w:iCs/>
        </w:rPr>
        <w:t xml:space="preserve">See </w:t>
      </w:r>
      <w:r w:rsidRPr="005B4168">
        <w:t>Letter from Roger S. Noel, Chief, Mobility Division, Wireless Telecommunications Bureau, to</w:t>
      </w:r>
      <w:r>
        <w:t xml:space="preserve"> </w:t>
      </w:r>
      <w:r w:rsidRPr="005B4168">
        <w:t xml:space="preserve">Albert Gencarella, President, Stratophone, LLC, and Michael R. Carper, Senior Vice President </w:t>
      </w:r>
      <w:r>
        <w:t>Corporate Development, SkyTel Spectrum, LLC, ULS File No. 0004552869 (WTB MD July 27, 2016).  Specifically, an August 2013 Statement of Intent signed by the United States and Canada established a Sharing Zone in which each country has 6 of the 12 communications channels designated for its primary use.  Because licensees are restricted to the six channels assigned for their respective county’s primary use, Petitioners’ predecessors were granted additional time to move certain licenses to U.S.-primary channels.</w:t>
      </w:r>
    </w:p>
  </w:footnote>
  <w:footnote w:id="11">
    <w:p w:rsidR="0080662C" w:rsidRPr="00042CB4" w14:paraId="26A38FF1" w14:textId="5161BC96">
      <w:pPr>
        <w:pStyle w:val="FootnoteText"/>
      </w:pPr>
      <w:r>
        <w:rPr>
          <w:rStyle w:val="FootnoteReference"/>
        </w:rPr>
        <w:footnoteRef/>
      </w:r>
      <w:r>
        <w:t xml:space="preserve"> </w:t>
      </w:r>
      <w:r>
        <w:rPr>
          <w:i/>
          <w:iCs/>
        </w:rPr>
        <w:t>2010 Order</w:t>
      </w:r>
      <w:r>
        <w:t>, 25 FCC Rcd at 8588, para. 16.</w:t>
      </w:r>
    </w:p>
  </w:footnote>
  <w:footnote w:id="12">
    <w:p w:rsidR="0080662C" w14:paraId="09693C16" w14:textId="139A409A">
      <w:pPr>
        <w:pStyle w:val="FootnoteText"/>
      </w:pPr>
      <w:r>
        <w:rPr>
          <w:rStyle w:val="FootnoteReference"/>
        </w:rPr>
        <w:footnoteRef/>
      </w:r>
      <w:r>
        <w:t xml:space="preserve"> Waiver Request at 3-4.</w:t>
      </w:r>
    </w:p>
  </w:footnote>
  <w:footnote w:id="13">
    <w:p w:rsidR="0080662C" w14:paraId="02C22438" w14:textId="76478D49">
      <w:pPr>
        <w:pStyle w:val="FootnoteText"/>
      </w:pPr>
      <w:r>
        <w:rPr>
          <w:rStyle w:val="FootnoteReference"/>
        </w:rPr>
        <w:footnoteRef/>
      </w:r>
      <w:r>
        <w:t xml:space="preserve"> </w:t>
      </w:r>
      <w:r w:rsidR="00377A87">
        <w:rPr>
          <w:i/>
          <w:iCs/>
        </w:rPr>
        <w:t>Id.</w:t>
      </w:r>
      <w:r>
        <w:t xml:space="preserve"> at 3.</w:t>
      </w:r>
    </w:p>
  </w:footnote>
  <w:footnote w:id="14">
    <w:p w:rsidR="0080662C" w14:paraId="4DBB6E82" w14:textId="1B30618E">
      <w:pPr>
        <w:pStyle w:val="FootnoteText"/>
      </w:pPr>
      <w:r>
        <w:rPr>
          <w:rStyle w:val="FootnoteReference"/>
        </w:rPr>
        <w:footnoteRef/>
      </w:r>
      <w:r>
        <w:t xml:space="preserve"> 47 CFR § 22.805.</w:t>
      </w:r>
    </w:p>
  </w:footnote>
  <w:footnote w:id="15">
    <w:p w:rsidR="0080662C" w:rsidRPr="00ED422F" w14:paraId="42031054" w14:textId="32042886">
      <w:pPr>
        <w:pStyle w:val="FootnoteText"/>
      </w:pPr>
      <w:r>
        <w:rPr>
          <w:rStyle w:val="FootnoteReference"/>
        </w:rPr>
        <w:footnoteRef/>
      </w:r>
      <w:r>
        <w:t xml:space="preserve"> </w:t>
      </w:r>
      <w:r>
        <w:rPr>
          <w:i/>
          <w:iCs/>
        </w:rPr>
        <w:t>See</w:t>
      </w:r>
      <w:r w:rsidR="00377A87">
        <w:rPr>
          <w:i/>
          <w:iCs/>
        </w:rPr>
        <w:t xml:space="preserve"> id.</w:t>
      </w:r>
      <w:r>
        <w:t xml:space="preserve"> §§ 22.99 (definition of “radiotelephone service”); 22.805; </w:t>
      </w:r>
      <w:r>
        <w:rPr>
          <w:i/>
          <w:iCs/>
        </w:rPr>
        <w:t>see also</w:t>
      </w:r>
      <w:r>
        <w:t xml:space="preserve"> Waiver Request at 11-14.</w:t>
      </w:r>
    </w:p>
  </w:footnote>
  <w:footnote w:id="16">
    <w:p w:rsidR="0080662C" w14:paraId="0D4CB15E" w14:textId="4CAA565A">
      <w:pPr>
        <w:pStyle w:val="FootnoteText"/>
      </w:pPr>
      <w:r>
        <w:rPr>
          <w:rStyle w:val="FootnoteReference"/>
        </w:rPr>
        <w:footnoteRef/>
      </w:r>
      <w:r>
        <w:t xml:space="preserve"> 47 CFR § 22.805; Waiver Request at 11, 14-16.</w:t>
      </w:r>
    </w:p>
  </w:footnote>
  <w:footnote w:id="17">
    <w:p w:rsidR="0080662C" w14:paraId="6B870DE6" w14:textId="013FCD26">
      <w:pPr>
        <w:pStyle w:val="FootnoteText"/>
      </w:pPr>
      <w:r>
        <w:rPr>
          <w:rStyle w:val="FootnoteReference"/>
        </w:rPr>
        <w:footnoteRef/>
      </w:r>
      <w:r>
        <w:t xml:space="preserve"> Waiver Request at 12.</w:t>
      </w:r>
    </w:p>
  </w:footnote>
  <w:footnote w:id="18">
    <w:p w:rsidR="0080662C" w14:paraId="5C3A8603" w14:textId="050F4AD2">
      <w:pPr>
        <w:pStyle w:val="FootnoteText"/>
      </w:pPr>
      <w:r>
        <w:rPr>
          <w:rStyle w:val="FootnoteReference"/>
        </w:rPr>
        <w:footnoteRef/>
      </w:r>
      <w:r>
        <w:t xml:space="preserve"> 47 CFR § 22.809.</w:t>
      </w:r>
    </w:p>
  </w:footnote>
  <w:footnote w:id="19">
    <w:p w:rsidR="0080662C" w14:paraId="17E4345F" w14:textId="24798E54">
      <w:pPr>
        <w:pStyle w:val="FootnoteText"/>
      </w:pPr>
      <w:r>
        <w:rPr>
          <w:rStyle w:val="FootnoteReference"/>
        </w:rPr>
        <w:footnoteRef/>
      </w:r>
      <w:r>
        <w:t xml:space="preserve"> Waiver Request at 21-22.</w:t>
      </w:r>
    </w:p>
  </w:footnote>
  <w:footnote w:id="20">
    <w:p w:rsidR="0080662C" w:rsidP="00BA7592" w14:paraId="148F7907" w14:textId="64937205">
      <w:pPr>
        <w:pStyle w:val="FootnoteText"/>
      </w:pPr>
      <w:r>
        <w:rPr>
          <w:rStyle w:val="FootnoteReference"/>
        </w:rPr>
        <w:footnoteRef/>
      </w:r>
      <w:r>
        <w:t xml:space="preserve"> </w:t>
      </w:r>
      <w:r w:rsidR="00377A87">
        <w:rPr>
          <w:i/>
          <w:iCs/>
        </w:rPr>
        <w:t>Id.</w:t>
      </w:r>
      <w:r w:rsidR="00377A87">
        <w:t xml:space="preserve"> </w:t>
      </w:r>
      <w:r>
        <w:t>at 18-21.</w:t>
      </w:r>
    </w:p>
  </w:footnote>
  <w:footnote w:id="21">
    <w:p w:rsidR="0080662C" w:rsidP="00BA7592" w14:paraId="409F51CB" w14:textId="77777777">
      <w:pPr>
        <w:pStyle w:val="FootnoteText"/>
      </w:pPr>
      <w:r>
        <w:rPr>
          <w:rStyle w:val="FootnoteReference"/>
        </w:rPr>
        <w:footnoteRef/>
      </w:r>
      <w:r>
        <w:t xml:space="preserve"> 47 CFR § 22.813(a).</w:t>
      </w:r>
    </w:p>
  </w:footnote>
  <w:footnote w:id="22">
    <w:p w:rsidR="0080662C" w:rsidP="00BA7592" w14:paraId="3B11B668" w14:textId="078A25C0">
      <w:pPr>
        <w:pStyle w:val="FootnoteText"/>
      </w:pPr>
      <w:r>
        <w:rPr>
          <w:rStyle w:val="FootnoteReference"/>
        </w:rPr>
        <w:footnoteRef/>
      </w:r>
      <w:r>
        <w:t xml:space="preserve"> </w:t>
      </w:r>
      <w:r w:rsidR="00377A87">
        <w:rPr>
          <w:i/>
          <w:iCs/>
        </w:rPr>
        <w:t>Id.</w:t>
      </w:r>
      <w:r>
        <w:t xml:space="preserve"> § 22.813(b).</w:t>
      </w:r>
    </w:p>
  </w:footnote>
  <w:footnote w:id="23">
    <w:p w:rsidR="0080662C" w:rsidRPr="00BA7592" w:rsidP="00BA7592" w14:paraId="318F8F92" w14:textId="3136961C">
      <w:pPr>
        <w:pStyle w:val="FootnoteText"/>
      </w:pPr>
      <w:r>
        <w:rPr>
          <w:rStyle w:val="FootnoteReference"/>
        </w:rPr>
        <w:footnoteRef/>
      </w:r>
      <w:r>
        <w:t xml:space="preserve"> Waiver Request at 19; </w:t>
      </w:r>
      <w:r>
        <w:rPr>
          <w:i/>
          <w:iCs/>
        </w:rPr>
        <w:t>see also</w:t>
      </w:r>
      <w:r>
        <w:t xml:space="preserve"> </w:t>
      </w:r>
      <w:r>
        <w:rPr>
          <w:i/>
          <w:iCs/>
        </w:rPr>
        <w:t>2010 Order</w:t>
      </w:r>
      <w:r>
        <w:t>, 25 FCC Rcd at 8590-92, paras. 22-26.</w:t>
      </w:r>
    </w:p>
  </w:footnote>
  <w:footnote w:id="24">
    <w:p w:rsidR="0080662C" w:rsidRPr="008E64B1" w14:paraId="4B6FAF01" w14:textId="358E0D92">
      <w:pPr>
        <w:pStyle w:val="FootnoteText"/>
      </w:pPr>
      <w:r>
        <w:rPr>
          <w:rStyle w:val="FootnoteReference"/>
        </w:rPr>
        <w:footnoteRef/>
      </w:r>
      <w:r>
        <w:t xml:space="preserve"> </w:t>
      </w:r>
      <w:r>
        <w:rPr>
          <w:i/>
          <w:iCs/>
        </w:rPr>
        <w:t>Wireless Telecommunications Bureau Seeks Comment on Request for Waiver of 450 MHz General Aviation Air-Ground Radiotelephone Service Rules to Permit Service to Unmanned Aircraft Systems</w:t>
      </w:r>
      <w:r>
        <w:t>, WT Docket No. 20-185, Public Notice, 35 FCC Rcd 6469 (WTB 2020).  Comments were due July 24, 2020 and reply comments were due August 10, 2020.</w:t>
      </w:r>
    </w:p>
  </w:footnote>
  <w:footnote w:id="25">
    <w:p w:rsidR="0080662C" w:rsidRPr="00D73222" w14:paraId="3414DA64" w14:textId="70B1A67C">
      <w:pPr>
        <w:pStyle w:val="FootnoteText"/>
      </w:pPr>
      <w:r>
        <w:rPr>
          <w:rStyle w:val="FootnoteReference"/>
        </w:rPr>
        <w:footnoteRef/>
      </w:r>
      <w:r>
        <w:t xml:space="preserve"> AIA Comments at 1; </w:t>
      </w:r>
      <w:r>
        <w:rPr>
          <w:i/>
          <w:iCs/>
        </w:rPr>
        <w:t>see also</w:t>
      </w:r>
      <w:r>
        <w:t xml:space="preserve"> Commercial Drone Alliance Comments at 1-2; Metro Aviation Comments at 1-2.</w:t>
      </w:r>
    </w:p>
  </w:footnote>
  <w:footnote w:id="26">
    <w:p w:rsidR="0080662C" w:rsidRPr="00FC4507" w14:paraId="0D2CC680" w14:textId="7A68F0D6">
      <w:pPr>
        <w:pStyle w:val="FootnoteText"/>
      </w:pPr>
      <w:r>
        <w:rPr>
          <w:rStyle w:val="FootnoteReference"/>
        </w:rPr>
        <w:footnoteRef/>
      </w:r>
      <w:r>
        <w:t xml:space="preserve"> </w:t>
      </w:r>
      <w:r>
        <w:rPr>
          <w:i/>
          <w:iCs/>
        </w:rPr>
        <w:t>See</w:t>
      </w:r>
      <w:r>
        <w:t xml:space="preserve"> NPSTC Comments at 3-4; DRONERESPONDERS Public Safety Alliance Comments at 3; Crown Castle Comments at 1.</w:t>
      </w:r>
    </w:p>
  </w:footnote>
  <w:footnote w:id="27">
    <w:p w:rsidR="0080662C" w14:paraId="18472E0B" w14:textId="21A40CC0">
      <w:pPr>
        <w:pStyle w:val="FootnoteText"/>
      </w:pPr>
      <w:r>
        <w:rPr>
          <w:rStyle w:val="FootnoteReference"/>
        </w:rPr>
        <w:footnoteRef/>
      </w:r>
      <w:r>
        <w:t xml:space="preserve"> Boeing Comments at 1-3.</w:t>
      </w:r>
    </w:p>
  </w:footnote>
  <w:footnote w:id="28">
    <w:p w:rsidR="0080662C" w14:paraId="083F51D8" w14:textId="3E7BA987">
      <w:pPr>
        <w:pStyle w:val="FootnoteText"/>
      </w:pPr>
      <w:r>
        <w:rPr>
          <w:rStyle w:val="FootnoteReference"/>
        </w:rPr>
        <w:footnoteRef/>
      </w:r>
      <w:r>
        <w:t xml:space="preserve"> 47 CFR § 1.925(b)(3).</w:t>
      </w:r>
    </w:p>
  </w:footnote>
  <w:footnote w:id="29">
    <w:p w:rsidR="0080662C" w14:paraId="76CB9FC6" w14:textId="59D6FADC">
      <w:pPr>
        <w:pStyle w:val="FootnoteText"/>
      </w:pPr>
      <w:r>
        <w:rPr>
          <w:rStyle w:val="FootnoteReference"/>
        </w:rPr>
        <w:footnoteRef/>
      </w:r>
      <w:r>
        <w:t xml:space="preserve"> </w:t>
      </w:r>
      <w:r w:rsidR="00377A87">
        <w:rPr>
          <w:i/>
          <w:iCs/>
        </w:rPr>
        <w:t>Id.</w:t>
      </w:r>
      <w:r>
        <w:t xml:space="preserve"> § 1.3.</w:t>
      </w:r>
    </w:p>
  </w:footnote>
  <w:footnote w:id="30">
    <w:p w:rsidR="0080662C" w:rsidP="00591352" w14:paraId="594C4B1E" w14:textId="17E51060">
      <w:pPr>
        <w:pStyle w:val="FootnoteText"/>
      </w:pPr>
      <w:r>
        <w:rPr>
          <w:rStyle w:val="FootnoteReference"/>
        </w:rPr>
        <w:footnoteRef/>
      </w:r>
      <w:r>
        <w:t xml:space="preserve"> </w:t>
      </w:r>
      <w:r>
        <w:rPr>
          <w:i/>
          <w:iCs/>
        </w:rPr>
        <w:t xml:space="preserve">2010 </w:t>
      </w:r>
      <w:r w:rsidRPr="00803630">
        <w:rPr>
          <w:i/>
          <w:iCs/>
        </w:rPr>
        <w:t>Order</w:t>
      </w:r>
      <w:r>
        <w:t>, 25 FCC Rcd at 8587, para. 14 (</w:t>
      </w:r>
      <w:r w:rsidRPr="00803630">
        <w:t>citing</w:t>
      </w:r>
      <w:r>
        <w:t xml:space="preserve"> </w:t>
      </w:r>
      <w:r w:rsidRPr="00803630">
        <w:t>47</w:t>
      </w:r>
      <w:r>
        <w:t xml:space="preserve"> U.S.C. § 303(g)).</w:t>
      </w:r>
    </w:p>
  </w:footnote>
  <w:footnote w:id="31">
    <w:p w:rsidR="0080662C" w:rsidP="00591352" w14:paraId="5EEAA958" w14:textId="07D1CCFE">
      <w:pPr>
        <w:pStyle w:val="FootnoteText"/>
      </w:pPr>
      <w:r>
        <w:rPr>
          <w:rStyle w:val="FootnoteReference"/>
        </w:rPr>
        <w:footnoteRef/>
      </w:r>
      <w:r>
        <w:t xml:space="preserve"> </w:t>
      </w:r>
      <w:r>
        <w:rPr>
          <w:i/>
          <w:iCs/>
        </w:rPr>
        <w:t xml:space="preserve">Id. </w:t>
      </w:r>
      <w:r>
        <w:t>(citing 47 U.S.C. § 157(a)).</w:t>
      </w:r>
    </w:p>
  </w:footnote>
  <w:footnote w:id="32">
    <w:p w:rsidR="0080662C" w:rsidRPr="005C69F7" w14:paraId="3FD6F698" w14:textId="32FDE2A8">
      <w:pPr>
        <w:pStyle w:val="FootnoteText"/>
      </w:pPr>
      <w:r>
        <w:rPr>
          <w:rStyle w:val="FootnoteReference"/>
        </w:rPr>
        <w:footnoteRef/>
      </w:r>
      <w:r>
        <w:t xml:space="preserve"> </w:t>
      </w:r>
      <w:r>
        <w:rPr>
          <w:i/>
          <w:iCs/>
        </w:rPr>
        <w:t>2010 Order</w:t>
      </w:r>
      <w:r>
        <w:t>, 25 FCC Rcd at 8587, para. 14.</w:t>
      </w:r>
    </w:p>
  </w:footnote>
  <w:footnote w:id="33">
    <w:p w:rsidR="0080662C" w14:paraId="75192B5C" w14:textId="0ED51A25">
      <w:pPr>
        <w:pStyle w:val="FootnoteText"/>
      </w:pPr>
      <w:r>
        <w:rPr>
          <w:rStyle w:val="FootnoteReference"/>
        </w:rPr>
        <w:footnoteRef/>
      </w:r>
      <w:r>
        <w:t xml:space="preserve"> </w:t>
      </w:r>
      <w:r>
        <w:rPr>
          <w:i/>
          <w:iCs/>
        </w:rPr>
        <w:t>See</w:t>
      </w:r>
      <w:r w:rsidR="00377A87">
        <w:rPr>
          <w:i/>
          <w:iCs/>
        </w:rPr>
        <w:t xml:space="preserve"> id.</w:t>
      </w:r>
      <w:r>
        <w:rPr>
          <w:i/>
          <w:iCs/>
        </w:rPr>
        <w:t xml:space="preserve"> </w:t>
      </w:r>
      <w:r>
        <w:t>at 8587, para. 13.</w:t>
      </w:r>
    </w:p>
  </w:footnote>
  <w:footnote w:id="34">
    <w:p w:rsidR="0080662C" w:rsidRPr="00120420" w:rsidP="00FC4303" w14:paraId="3774502A" w14:textId="70BFDE6A">
      <w:pPr>
        <w:pStyle w:val="FootnoteText"/>
        <w:rPr>
          <w:iCs/>
        </w:rPr>
      </w:pPr>
      <w:r>
        <w:rPr>
          <w:rStyle w:val="FootnoteReference"/>
        </w:rPr>
        <w:footnoteRef/>
      </w:r>
      <w:r>
        <w:t xml:space="preserve"> </w:t>
      </w:r>
      <w:r w:rsidRPr="00120420">
        <w:rPr>
          <w:i/>
        </w:rPr>
        <w:t>Revision of Part 22 of the Commission’s Rules Governing the Public Mobile Services</w:t>
      </w:r>
      <w:r w:rsidRPr="00120420">
        <w:rPr>
          <w:iCs/>
        </w:rPr>
        <w:t>, CC Docket Nos. 92-115, 94-46, and 94-201, Report and Order, 9 FCC Rcd 6513</w:t>
      </w:r>
      <w:r>
        <w:rPr>
          <w:iCs/>
        </w:rPr>
        <w:t>,6569</w:t>
      </w:r>
      <w:r w:rsidRPr="00120420">
        <w:rPr>
          <w:iCs/>
        </w:rPr>
        <w:t xml:space="preserve"> (1994)</w:t>
      </w:r>
      <w:r>
        <w:rPr>
          <w:iCs/>
        </w:rPr>
        <w:t xml:space="preserve"> (emphasis added).</w:t>
      </w:r>
    </w:p>
  </w:footnote>
  <w:footnote w:id="35">
    <w:p w:rsidR="0080662C" w:rsidRPr="00D2152F" w14:paraId="59C48413" w14:textId="235D9337">
      <w:pPr>
        <w:pStyle w:val="FootnoteText"/>
      </w:pPr>
      <w:r>
        <w:rPr>
          <w:rStyle w:val="FootnoteReference"/>
        </w:rPr>
        <w:footnoteRef/>
      </w:r>
      <w:r>
        <w:t xml:space="preserve"> </w:t>
      </w:r>
      <w:r>
        <w:rPr>
          <w:i/>
          <w:iCs/>
        </w:rPr>
        <w:t>See</w:t>
      </w:r>
      <w:r>
        <w:t xml:space="preserve"> Waiver Request at n.24 (noting that only two parties filed in response to the 2010 waiver request by Petitioners’ predecessors, both of whom supported the relief, and that since then, the only entities other than Petitioners that held licenses in the band had elected not to renew their licenses).</w:t>
      </w:r>
    </w:p>
  </w:footnote>
  <w:footnote w:id="36">
    <w:p w:rsidR="0080662C" w:rsidRPr="00E34E9F" w14:paraId="20963026" w14:textId="2058ABC0">
      <w:pPr>
        <w:pStyle w:val="FootnoteText"/>
      </w:pPr>
      <w:r>
        <w:rPr>
          <w:rStyle w:val="FootnoteReference"/>
        </w:rPr>
        <w:footnoteRef/>
      </w:r>
      <w:r>
        <w:t xml:space="preserve"> </w:t>
      </w:r>
      <w:r>
        <w:rPr>
          <w:i/>
          <w:iCs/>
        </w:rPr>
        <w:t>See</w:t>
      </w:r>
      <w:r w:rsidR="00377A87">
        <w:rPr>
          <w:i/>
          <w:iCs/>
        </w:rPr>
        <w:t xml:space="preserve"> id.</w:t>
      </w:r>
      <w:r>
        <w:t xml:space="preserve">  at 3-7; </w:t>
      </w:r>
      <w:r>
        <w:rPr>
          <w:i/>
          <w:iCs/>
        </w:rPr>
        <w:t xml:space="preserve">see also </w:t>
      </w:r>
      <w:r w:rsidRPr="00AA42BD">
        <w:rPr>
          <w:i/>
          <w:iCs/>
        </w:rPr>
        <w:t>2010 Order</w:t>
      </w:r>
      <w:r w:rsidRPr="00CE4DB4">
        <w:t>, 25 FCC Rcd</w:t>
      </w:r>
      <w:r w:rsidRPr="00AA42BD">
        <w:t xml:space="preserve"> at</w:t>
      </w:r>
      <w:r>
        <w:t xml:space="preserve"> 8591-92, para. 26 (finding that waiver of part 22’s channel assignment policies would provide Petitioners’ predecessor entities with the flexibility necessary to manage their network to respond to dynamic market demands nationwide). </w:t>
      </w:r>
    </w:p>
  </w:footnote>
  <w:footnote w:id="37">
    <w:p w:rsidR="0080662C" w:rsidP="00FC4303" w14:paraId="1E4E36C6" w14:textId="52529457">
      <w:pPr>
        <w:pStyle w:val="FootnoteText"/>
      </w:pPr>
      <w:r>
        <w:rPr>
          <w:rStyle w:val="FootnoteReference"/>
        </w:rPr>
        <w:footnoteRef/>
      </w:r>
      <w:r>
        <w:t xml:space="preserve"> Waiver Request at 15.</w:t>
      </w:r>
    </w:p>
  </w:footnote>
  <w:footnote w:id="38">
    <w:p w:rsidR="0080662C" w:rsidP="00685359" w14:paraId="0EBF99D9" w14:textId="495806F8">
      <w:pPr>
        <w:pStyle w:val="FootnoteText"/>
      </w:pPr>
      <w:r>
        <w:rPr>
          <w:rStyle w:val="FootnoteReference"/>
        </w:rPr>
        <w:footnoteRef/>
      </w:r>
      <w:r>
        <w:t xml:space="preserve"> </w:t>
      </w:r>
      <w:r>
        <w:rPr>
          <w:i/>
        </w:rPr>
        <w:t>See, e.g.,</w:t>
      </w:r>
      <w:r>
        <w:t xml:space="preserve"> </w:t>
      </w:r>
      <w:r>
        <w:rPr>
          <w:i/>
        </w:rPr>
        <w:t>WAIT Radio v. FCC,</w:t>
      </w:r>
      <w:r>
        <w:t xml:space="preserve"> 418 F.2d 1153 (D.C. Cir. 1969) (holding that the FCC may exercise its discretion to waive a rule where particular facts would make strict compliance inconsistent with the public interest), appeal after remand, 459 F.2d 1203 (D.C. Cir. 1972), cert. denied, 409 U.S. 1027 (1972); </w:t>
      </w:r>
      <w:r>
        <w:rPr>
          <w:i/>
        </w:rPr>
        <w:t>Ne. Cellular Tel. Co. v. FCC</w:t>
      </w:r>
      <w:r>
        <w:t>, 897 F.2d 1164 (D.C. Cir. 1990) (holding that a waiver of the Commission's rules may be granted in instances where the particular facts make strict compliance inconsistent with the public interest if applied to the petitioner and when the relief requested would not undermine the policy objective of the rule in question).</w:t>
      </w:r>
    </w:p>
  </w:footnote>
  <w:footnote w:id="39">
    <w:p w:rsidR="0080662C" w:rsidP="00195940" w14:paraId="7F0A89F2" w14:textId="511043FD">
      <w:pPr>
        <w:pStyle w:val="FootnoteText"/>
        <w:rPr>
          <w:b/>
        </w:rPr>
      </w:pPr>
      <w:r>
        <w:rPr>
          <w:rStyle w:val="FootnoteReference"/>
        </w:rPr>
        <w:footnoteRef/>
      </w:r>
      <w:r>
        <w:t xml:space="preserve"> </w:t>
      </w:r>
      <w:r>
        <w:rPr>
          <w:i/>
        </w:rPr>
        <w:t>See, e.g.</w:t>
      </w:r>
      <w:r w:rsidRPr="00AA616B">
        <w:rPr>
          <w:iCs/>
        </w:rPr>
        <w:t xml:space="preserve">, </w:t>
      </w:r>
      <w:r w:rsidRPr="00AF5C4A">
        <w:rPr>
          <w:i/>
        </w:rPr>
        <w:t>Amendment of Part 22 of the Commission’s Rules to Benefit the Consumers of Air-Ground Telecommunications Services, et al.</w:t>
      </w:r>
      <w:r w:rsidRPr="00AF5C4A">
        <w:rPr>
          <w:iCs/>
        </w:rPr>
        <w:t xml:space="preserve">, </w:t>
      </w:r>
      <w:r>
        <w:rPr>
          <w:iCs/>
        </w:rPr>
        <w:t xml:space="preserve">WT Docket No. 03-103 et al., </w:t>
      </w:r>
      <w:r w:rsidRPr="00AF5C4A">
        <w:rPr>
          <w:iCs/>
        </w:rPr>
        <w:t>Report and Order and Notice of Proposed Rulemaking, 20</w:t>
      </w:r>
      <w:r>
        <w:rPr>
          <w:iCs/>
        </w:rPr>
        <w:t xml:space="preserve"> </w:t>
      </w:r>
      <w:r w:rsidRPr="00AF5C4A">
        <w:rPr>
          <w:iCs/>
        </w:rPr>
        <w:t>FCC Rcd 4403</w:t>
      </w:r>
      <w:r>
        <w:rPr>
          <w:iCs/>
        </w:rPr>
        <w:t>, 4407, paras. 2-3 (2005) (adopting rules for air-ground radiotelephone services in the 800 MHz band designed to provide greater flexibility for licensees “</w:t>
      </w:r>
      <w:r w:rsidRPr="00195940">
        <w:rPr>
          <w:iCs/>
        </w:rPr>
        <w:t>to respond to evolving market demands</w:t>
      </w:r>
      <w:r>
        <w:rPr>
          <w:iCs/>
        </w:rPr>
        <w:t>” through deployment of both current and future technologies</w:t>
      </w:r>
      <w:r w:rsidRPr="00DA738D">
        <w:rPr>
          <w:iCs/>
        </w:rPr>
        <w:t xml:space="preserve">); </w:t>
      </w:r>
      <w:r w:rsidRPr="00195940">
        <w:rPr>
          <w:i/>
        </w:rPr>
        <w:t>Application of AC Bidco, LLC, Gogo Inc., and LiveTV, LLC for Consent to Assign Commercial Aviation Air-Ground Radiotelephone (800 MHz band) License, Call Sign WQFX729</w:t>
      </w:r>
      <w:r w:rsidRPr="00195940">
        <w:rPr>
          <w:iCs/>
        </w:rPr>
        <w:t xml:space="preserve">, </w:t>
      </w:r>
      <w:r>
        <w:rPr>
          <w:iCs/>
        </w:rPr>
        <w:t xml:space="preserve">WT Docket No. 18-122, </w:t>
      </w:r>
      <w:r w:rsidRPr="00195940">
        <w:rPr>
          <w:iCs/>
        </w:rPr>
        <w:t>Memorandum Opinion and Order, 28 FCC Rcd 3362</w:t>
      </w:r>
      <w:r>
        <w:rPr>
          <w:iCs/>
        </w:rPr>
        <w:t>, para. 2</w:t>
      </w:r>
      <w:r w:rsidRPr="00195940">
        <w:rPr>
          <w:iCs/>
        </w:rPr>
        <w:t xml:space="preserve"> (</w:t>
      </w:r>
      <w:r>
        <w:rPr>
          <w:iCs/>
        </w:rPr>
        <w:t xml:space="preserve">WTB </w:t>
      </w:r>
      <w:r w:rsidRPr="00195940">
        <w:rPr>
          <w:iCs/>
        </w:rPr>
        <w:t>2013)</w:t>
      </w:r>
      <w:r>
        <w:rPr>
          <w:iCs/>
        </w:rPr>
        <w:t xml:space="preserve"> (granting waiver of certain spectrum aggregation, emission limitations, and frequency stability rules applicable to 800 MHz air-ground radiotelephone service licensees, finding that such waiver would not undermine the purpose of the rules and would result in a “a more productive use” and expand the public’s access to additional services); </w:t>
      </w:r>
      <w:r w:rsidRPr="002C21A2">
        <w:rPr>
          <w:i/>
          <w:iCs/>
        </w:rPr>
        <w:t>Request of PTC-220, LLC for Waivers of Certain 220 MHz Rules</w:t>
      </w:r>
      <w:r>
        <w:t xml:space="preserve">, WT Docket No. 08-256, </w:t>
      </w:r>
      <w:r w:rsidRPr="002C21A2">
        <w:rPr>
          <w:iCs/>
        </w:rPr>
        <w:t xml:space="preserve">Memorandum Opinion and Order, </w:t>
      </w:r>
      <w:r>
        <w:t xml:space="preserve">24 FCC Rcd 8537, 8542, para. 12 (WTB 2009) (granting waiver, noting the licensee’s plan for a “comprehensive deployment of a nationwide, fully integrated” system); </w:t>
      </w:r>
      <w:r w:rsidRPr="00DA738D">
        <w:rPr>
          <w:i/>
          <w:iCs/>
        </w:rPr>
        <w:t>Hawaiian Wireless Partners</w:t>
      </w:r>
      <w:r>
        <w:t xml:space="preserve">, </w:t>
      </w:r>
      <w:r w:rsidRPr="00DA738D">
        <w:rPr>
          <w:iCs/>
        </w:rPr>
        <w:t>Order</w:t>
      </w:r>
      <w:r>
        <w:t>, 11 FCC Rcd 21192, 21197, para. 12 (WTB 1996) (finding waiver warranted as it would enable HWP to implement digital SMR service, including construction of 33 new sites, and because “the HWP plan does not prejudice any other existing or potential SMR licensees”)</w:t>
      </w:r>
      <w:r w:rsidRPr="00195940">
        <w:rPr>
          <w:iCs/>
        </w:rPr>
        <w:t>.</w:t>
      </w:r>
    </w:p>
  </w:footnote>
  <w:footnote w:id="40">
    <w:p w:rsidR="0080662C" w14:paraId="242D38E5" w14:textId="780D3053">
      <w:pPr>
        <w:pStyle w:val="FootnoteText"/>
      </w:pPr>
      <w:r>
        <w:rPr>
          <w:rStyle w:val="FootnoteReference"/>
        </w:rPr>
        <w:footnoteRef/>
      </w:r>
      <w:r>
        <w:t xml:space="preserve"> </w:t>
      </w:r>
      <w:r w:rsidRPr="00412D55">
        <w:rPr>
          <w:i/>
          <w:iCs/>
        </w:rPr>
        <w:t>Revision and Update of Part 22 of the Public Mobile Radio Service Rules</w:t>
      </w:r>
      <w:r w:rsidRPr="00412D55">
        <w:t>,</w:t>
      </w:r>
      <w:r>
        <w:t xml:space="preserve"> CC Docket No. 80-57, Report and Order, 95 F.C.C.2d 769, 816, para. 167 (1983).</w:t>
      </w:r>
    </w:p>
  </w:footnote>
  <w:footnote w:id="41">
    <w:p w:rsidR="0080662C" w14:paraId="41E5F4BE" w14:textId="04C1A1F8">
      <w:pPr>
        <w:pStyle w:val="FootnoteText"/>
      </w:pPr>
      <w:r>
        <w:rPr>
          <w:rStyle w:val="FootnoteReference"/>
        </w:rPr>
        <w:footnoteRef/>
      </w:r>
      <w:r>
        <w:t xml:space="preserve"> While the Commission eliminated this rule in 2000, finding such conditions were no longer necessary, it emphasized that such elimination “in no way diminishes or otherwise alters the right of Part 22 licensees to provide incidental services . . . .”  </w:t>
      </w:r>
      <w:r w:rsidRPr="00A20287">
        <w:rPr>
          <w:i/>
          <w:iCs/>
        </w:rPr>
        <w:t>Year 2000 Biennial Regulatory Review - Amendment of Part 22 of the Commission's Rules</w:t>
      </w:r>
      <w:r w:rsidRPr="00A20287">
        <w:t xml:space="preserve"> </w:t>
      </w:r>
      <w:r w:rsidRPr="00A20287">
        <w:rPr>
          <w:i/>
          <w:iCs/>
        </w:rPr>
        <w:t>to Modify or Eliminate Outdated Rules Affecting the Cellular Radiotelephone Service and other Commercial Mobile Radio Services</w:t>
      </w:r>
      <w:r>
        <w:t xml:space="preserve">, WT Docket No. 01-108, Report and Order, 17 FCC Rcd 18401, 18435, para. 68 (2002); </w:t>
      </w:r>
      <w:r>
        <w:rPr>
          <w:i/>
          <w:iCs/>
        </w:rPr>
        <w:t>see also</w:t>
      </w:r>
      <w:r>
        <w:t xml:space="preserve"> </w:t>
      </w:r>
      <w:r w:rsidRPr="00010A53">
        <w:rPr>
          <w:i/>
          <w:iCs/>
        </w:rPr>
        <w:t>Amendment of the Commission’s Rules to Permit Flexible Service Offerings in the Commercial Mobile Radio Services</w:t>
      </w:r>
      <w:r>
        <w:t>, WT Docket No. 96-6, First Report and Order and Further Notice of Proposed Rulemaking, 11 FCC Rcd 8965 (1996) (</w:t>
      </w:r>
      <w:r w:rsidRPr="00010A53">
        <w:rPr>
          <w:i/>
          <w:iCs/>
        </w:rPr>
        <w:t>CMRS Flex Order</w:t>
      </w:r>
      <w:r>
        <w:t xml:space="preserve">); </w:t>
      </w:r>
      <w:r w:rsidRPr="00074DE9">
        <w:rPr>
          <w:i/>
          <w:iCs/>
        </w:rPr>
        <w:t>Amendment of the Commission’s Rules to Permit Flexible Service Offerings in the Commercial Mobile Radio Service</w:t>
      </w:r>
      <w:r>
        <w:t>, WT Docket No. 96-6, Second Report and Order and Order on Reconsideration, 15 FCC Rcd 14680 (2000) (</w:t>
      </w:r>
      <w:r w:rsidRPr="00010A53">
        <w:rPr>
          <w:i/>
          <w:iCs/>
        </w:rPr>
        <w:t>Second CMRS Flex Order</w:t>
      </w:r>
      <w:r>
        <w:t>).</w:t>
      </w:r>
    </w:p>
  </w:footnote>
  <w:footnote w:id="42">
    <w:p w:rsidR="0080662C" w:rsidP="001C6E8C" w14:paraId="66C45503" w14:textId="75308037">
      <w:pPr>
        <w:pStyle w:val="FootnoteText"/>
      </w:pPr>
      <w:r>
        <w:rPr>
          <w:rStyle w:val="FootnoteReference"/>
        </w:rPr>
        <w:footnoteRef/>
      </w:r>
      <w:r>
        <w:t xml:space="preserve"> Enterprise Wireless Alliance (EWA) Comments at 1-2 (noting that the Waiver Request is “consistent with the Commission’s commitment to accelerate the process whereby innovation and investment in more advanced technology can be brought to market and spectrum can be deployed for its highest and best use”); Federated Wireless Comments at 1 (arguing that grant of waiver would remove “obsolete or unnecessary restrictions, while enabling the application of recent technological advances that permit more intensive use of the 450 MHz AGRAS band”); AiRXOS Inc. (AiRXOS) Reply at 2 (“The FCC can support this rapidly evolving, innovative industry by implementing forward-thinking spectrum policy that frees up spectrum for UAS use,” including for command and control links).</w:t>
      </w:r>
    </w:p>
  </w:footnote>
  <w:footnote w:id="43">
    <w:p w:rsidR="0080662C" w14:paraId="4D1046F6" w14:textId="4853A467">
      <w:pPr>
        <w:pStyle w:val="FootnoteText"/>
      </w:pPr>
      <w:r>
        <w:rPr>
          <w:rStyle w:val="FootnoteReference"/>
        </w:rPr>
        <w:footnoteRef/>
      </w:r>
      <w:r>
        <w:t xml:space="preserve"> 47 CFR § 2.106, NG32.</w:t>
      </w:r>
    </w:p>
  </w:footnote>
  <w:footnote w:id="44">
    <w:p w:rsidR="0080662C" w14:paraId="4F7BD211" w14:textId="136F69EF">
      <w:pPr>
        <w:pStyle w:val="FootnoteText"/>
      </w:pPr>
      <w:r>
        <w:rPr>
          <w:rStyle w:val="FootnoteReference"/>
        </w:rPr>
        <w:footnoteRef/>
      </w:r>
      <w:r>
        <w:t xml:space="preserve"> </w:t>
      </w:r>
      <w:r w:rsidR="00377A87">
        <w:rPr>
          <w:i/>
          <w:iCs/>
        </w:rPr>
        <w:t>Id.</w:t>
      </w:r>
      <w:r>
        <w:t xml:space="preserve"> § 22.805.</w:t>
      </w:r>
    </w:p>
  </w:footnote>
  <w:footnote w:id="45">
    <w:p w:rsidR="0080662C" w14:paraId="51FAD01E" w14:textId="343FAA33">
      <w:pPr>
        <w:pStyle w:val="FootnoteText"/>
      </w:pPr>
      <w:r>
        <w:rPr>
          <w:rStyle w:val="FootnoteReference"/>
        </w:rPr>
        <w:footnoteRef/>
      </w:r>
      <w:r>
        <w:t xml:space="preserve"> </w:t>
      </w:r>
      <w:r w:rsidR="00377A87">
        <w:rPr>
          <w:i/>
          <w:iCs/>
        </w:rPr>
        <w:t>Id.</w:t>
      </w:r>
      <w:r>
        <w:t xml:space="preserve"> § 22.99.</w:t>
      </w:r>
    </w:p>
  </w:footnote>
  <w:footnote w:id="46">
    <w:p w:rsidR="0080662C" w14:paraId="44074024" w14:textId="09713F19">
      <w:pPr>
        <w:pStyle w:val="FootnoteText"/>
      </w:pPr>
      <w:r>
        <w:rPr>
          <w:rStyle w:val="FootnoteReference"/>
        </w:rPr>
        <w:footnoteRef/>
      </w:r>
      <w:r>
        <w:t xml:space="preserve"> </w:t>
      </w:r>
      <w:r w:rsidR="00377A87">
        <w:rPr>
          <w:i/>
          <w:iCs/>
        </w:rPr>
        <w:t>Id.</w:t>
      </w:r>
      <w:r>
        <w:t xml:space="preserve"> §§ 22.99, 22.815.</w:t>
      </w:r>
    </w:p>
  </w:footnote>
  <w:footnote w:id="47">
    <w:p w:rsidR="0080662C" w14:paraId="2609F68A" w14:textId="588E4A05">
      <w:pPr>
        <w:pStyle w:val="FootnoteText"/>
      </w:pPr>
      <w:r>
        <w:rPr>
          <w:rStyle w:val="FootnoteReference"/>
        </w:rPr>
        <w:footnoteRef/>
      </w:r>
      <w:r>
        <w:t xml:space="preserve"> </w:t>
      </w:r>
      <w:r w:rsidR="00377A87">
        <w:rPr>
          <w:i/>
          <w:iCs/>
        </w:rPr>
        <w:t>Id.</w:t>
      </w:r>
      <w:r>
        <w:t xml:space="preserve"> § 22.809.</w:t>
      </w:r>
    </w:p>
  </w:footnote>
  <w:footnote w:id="48">
    <w:p w:rsidR="0080662C" w14:paraId="6622A317" w14:textId="75EA9C87">
      <w:pPr>
        <w:pStyle w:val="FootnoteText"/>
      </w:pPr>
      <w:r>
        <w:rPr>
          <w:rStyle w:val="FootnoteReference"/>
        </w:rPr>
        <w:footnoteRef/>
      </w:r>
      <w:r>
        <w:t xml:space="preserve"> </w:t>
      </w:r>
      <w:r w:rsidRPr="00AD3C5B">
        <w:t xml:space="preserve">We use “nationwide footprint” throughout this Order to describe Petitioners’ existing </w:t>
      </w:r>
      <w:r>
        <w:t xml:space="preserve">ground station </w:t>
      </w:r>
      <w:r w:rsidRPr="00AD3C5B">
        <w:t>deployment, which, by virtue of the part 22 channel assignment and transmitter separation policies, effectively prevents any other parties from operating in this band.</w:t>
      </w:r>
    </w:p>
  </w:footnote>
  <w:footnote w:id="49">
    <w:p w:rsidR="0080662C" w:rsidRPr="002F49AC" w14:paraId="16C3D29C" w14:textId="5CD6DAA0">
      <w:pPr>
        <w:pStyle w:val="FootnoteText"/>
      </w:pPr>
      <w:r>
        <w:rPr>
          <w:rStyle w:val="FootnoteReference"/>
        </w:rPr>
        <w:footnoteRef/>
      </w:r>
      <w:r>
        <w:t xml:space="preserve"> </w:t>
      </w:r>
      <w:r>
        <w:rPr>
          <w:i/>
          <w:iCs/>
        </w:rPr>
        <w:t>See</w:t>
      </w:r>
      <w:r>
        <w:t xml:space="preserve"> Choctaw Nation of Oklahoma Comments at 1-2; Commercial Drone Alliance Comments at 1; Edison Electric Institute (Edison) Comments at 1; EWA Comments at 2-3; General Atomics Aeronautical Systems, Inc. Comments at 1; MetroAviation Comments at 1; Northern Plains UAS Test Site Comments at 1; NPSTC Comments at 3; Phoenix Air Unmanned, LLC. (PAU) Comments at 1; AiRXOS Reply at 2; Utilities Technology Council (UTC) Reply at 1; Xcel Energy Services Inc. (Xcel Energy) Reply at 2-4.</w:t>
      </w:r>
    </w:p>
  </w:footnote>
  <w:footnote w:id="50">
    <w:p w:rsidR="0080662C" w14:paraId="65FD89C2" w14:textId="26DB249F">
      <w:pPr>
        <w:pStyle w:val="FootnoteText"/>
      </w:pPr>
      <w:r>
        <w:rPr>
          <w:rStyle w:val="FootnoteReference"/>
        </w:rPr>
        <w:footnoteRef/>
      </w:r>
      <w:r>
        <w:t xml:space="preserve"> </w:t>
      </w:r>
      <w:r>
        <w:rPr>
          <w:i/>
          <w:iCs/>
        </w:rPr>
        <w:t>See</w:t>
      </w:r>
      <w:r>
        <w:t xml:space="preserve"> Choctaw Nation of Oklahoma Comments at 2; AeroVironment, Inc. Comments at 1-2; Edison Comments at 4; MetroAviation Comments at 1-2; Northern Plains UAS Test Site Comments at 1; NPSTC Comments at 3-4; Northeast UAS Airspace Integration Research Comments at 1; PAU Comments at 1; Xcel Energy Reply at 5-6.</w:t>
      </w:r>
    </w:p>
  </w:footnote>
  <w:footnote w:id="51">
    <w:p w:rsidR="0080662C" w14:paraId="69D9129B" w14:textId="2DF48B37">
      <w:pPr>
        <w:pStyle w:val="FootnoteText"/>
      </w:pPr>
      <w:r>
        <w:rPr>
          <w:rStyle w:val="FootnoteReference"/>
        </w:rPr>
        <w:footnoteRef/>
      </w:r>
      <w:r>
        <w:t xml:space="preserve"> Boeing Comments at 5.  Specifically, Boeing argues that the Petitioners have not provided safety data that demonstrates the safety and regularity of the proposed operations.</w:t>
      </w:r>
    </w:p>
  </w:footnote>
  <w:footnote w:id="52">
    <w:p w:rsidR="0080662C" w:rsidP="00074DE9" w14:paraId="464E71FE" w14:textId="77777777">
      <w:pPr>
        <w:pStyle w:val="FootnoteText"/>
      </w:pPr>
      <w:r>
        <w:rPr>
          <w:rStyle w:val="FootnoteReference"/>
        </w:rPr>
        <w:footnoteRef/>
      </w:r>
      <w:r>
        <w:t xml:space="preserve"> </w:t>
      </w:r>
      <w:r>
        <w:rPr>
          <w:i/>
          <w:iCs/>
        </w:rPr>
        <w:t>See</w:t>
      </w:r>
      <w:r>
        <w:t xml:space="preserve"> NPSTC Comments at 2-3 (stating that it has analyzed the potential for harmful interference between the 450 MHz AGRAS band and the adjacent public safety channels in the 450-470 MHz band and found that potential for the proposed UAS operations to negatively impact public safety is unlikely); DRONERESPONDERS Public Safety Alliance Comments at 2 (asserting that UAS use of the 450 MHz band is not adverse to public safety); MetroAviation Comments at 2 (“Metro has committed aircraft and resources to conduct the necessary air to ground testing of the 450 MHz Radiotelephone System.”); University of Maryland UAS Test Site Comments at 1 (noting that Petitioners’ Waiver Request and supporting documentation demonstrates a viable solution to UAS needs “with no inherent or incidental risk or downside.”); Xcel Energy Reply at 7 (arguing that Boeing’s safety concerns are “vague” and “undefined” and pointing out that action on the Waiver Request “would not in any way affect FAA oversight or regulatory control over UAS operations, including issues related to safety and the integration of UAS into the national airspace”).</w:t>
      </w:r>
    </w:p>
  </w:footnote>
  <w:footnote w:id="53">
    <w:p w:rsidR="0080662C" w14:paraId="0F625919" w14:textId="697F033C">
      <w:pPr>
        <w:pStyle w:val="FootnoteText"/>
      </w:pPr>
      <w:r>
        <w:rPr>
          <w:rStyle w:val="FootnoteReference"/>
        </w:rPr>
        <w:footnoteRef/>
      </w:r>
      <w:r>
        <w:t xml:space="preserve"> UTC Reply at 1-2.</w:t>
      </w:r>
    </w:p>
  </w:footnote>
  <w:footnote w:id="54">
    <w:p w:rsidR="0080662C" w14:paraId="26D3A331" w14:textId="35979697">
      <w:pPr>
        <w:pStyle w:val="FootnoteText"/>
      </w:pPr>
      <w:r>
        <w:rPr>
          <w:rStyle w:val="FootnoteReference"/>
        </w:rPr>
        <w:footnoteRef/>
      </w:r>
      <w:r>
        <w:t xml:space="preserve"> Waiver Request at 18-21.</w:t>
      </w:r>
    </w:p>
  </w:footnote>
  <w:footnote w:id="55">
    <w:p w:rsidR="0080662C" w:rsidP="00AE5EB1" w14:paraId="1DC8287B" w14:textId="65BA7489">
      <w:pPr>
        <w:pStyle w:val="FootnoteText"/>
      </w:pPr>
      <w:r>
        <w:rPr>
          <w:rStyle w:val="FootnoteReference"/>
        </w:rPr>
        <w:footnoteRef/>
      </w:r>
      <w:r>
        <w:t xml:space="preserve"> </w:t>
      </w:r>
      <w:r w:rsidR="00377A87">
        <w:rPr>
          <w:i/>
          <w:iCs/>
        </w:rPr>
        <w:t>Id.</w:t>
      </w:r>
      <w:r>
        <w:t xml:space="preserve"> at 19.</w:t>
      </w:r>
    </w:p>
  </w:footnote>
  <w:footnote w:id="56">
    <w:p w:rsidR="0080662C" w:rsidRPr="004903A5" w14:paraId="2DEA499C" w14:textId="5AB0FD55">
      <w:pPr>
        <w:pStyle w:val="FootnoteText"/>
      </w:pPr>
      <w:r>
        <w:rPr>
          <w:rStyle w:val="FootnoteReference"/>
        </w:rPr>
        <w:footnoteRef/>
      </w:r>
      <w:r>
        <w:t xml:space="preserve"> </w:t>
      </w:r>
      <w:r>
        <w:rPr>
          <w:i/>
          <w:iCs/>
        </w:rPr>
        <w:t>See 2010 Order</w:t>
      </w:r>
      <w:r>
        <w:t>, 25 FCC Rcd at 8587-92, paras. 15-18, 22-26.</w:t>
      </w:r>
    </w:p>
  </w:footnote>
  <w:footnote w:id="57">
    <w:p w:rsidR="0080662C" w:rsidP="005614B8" w14:paraId="38F131AA" w14:textId="44950692">
      <w:pPr>
        <w:pStyle w:val="FootnoteText"/>
      </w:pPr>
      <w:r>
        <w:rPr>
          <w:rStyle w:val="FootnoteReference"/>
        </w:rPr>
        <w:footnoteRef/>
      </w:r>
      <w:r>
        <w:t xml:space="preserve"> 47 CFR § 22.813. </w:t>
      </w:r>
    </w:p>
  </w:footnote>
  <w:footnote w:id="58">
    <w:p w:rsidR="0080662C" w:rsidRPr="00CC00FF" w14:paraId="77C2AE0D" w14:textId="650E6113">
      <w:pPr>
        <w:pStyle w:val="FootnoteText"/>
      </w:pPr>
      <w:r>
        <w:rPr>
          <w:rStyle w:val="FootnoteReference"/>
        </w:rPr>
        <w:footnoteRef/>
      </w:r>
      <w:r>
        <w:t xml:space="preserve"> </w:t>
      </w:r>
      <w:r>
        <w:rPr>
          <w:i/>
          <w:iCs/>
        </w:rPr>
        <w:t>2010 Order</w:t>
      </w:r>
      <w:r>
        <w:t>, 25 FCC Rcd at 8591, para. 26.</w:t>
      </w:r>
    </w:p>
  </w:footnote>
  <w:footnote w:id="59">
    <w:p w:rsidR="0080662C" w14:paraId="7AAC27F0" w14:textId="64A5B2BC">
      <w:pPr>
        <w:pStyle w:val="FootnoteText"/>
      </w:pPr>
      <w:r>
        <w:rPr>
          <w:rStyle w:val="FootnoteReference"/>
        </w:rPr>
        <w:footnoteRef/>
      </w:r>
      <w:r>
        <w:t xml:space="preserve"> EWA Comments at 4-5 (explaining that, because Petitioners are now the sole licensees in the 450 MHz band, “there can be no competitive harm or disadvantage in waiving rules developed in a different market environment”).  </w:t>
      </w:r>
      <w:r w:rsidRPr="00E01E83">
        <w:t>We note, however, as discussed below, we condition the waiver grant on the filing of a petition</w:t>
      </w:r>
      <w:r>
        <w:t xml:space="preserve"> for rulemaking</w:t>
      </w:r>
      <w:r w:rsidRPr="00E01E83">
        <w:t xml:space="preserve"> to make more flexible use of the band.  To the extent that such rulemaking addresses technical rules</w:t>
      </w:r>
      <w:r>
        <w:t>, such as co-channel distance separation requirements for this spectrum,</w:t>
      </w:r>
      <w:r w:rsidRPr="00E01E83">
        <w:t xml:space="preserve"> </w:t>
      </w:r>
      <w:r>
        <w:t>or other</w:t>
      </w:r>
      <w:r w:rsidRPr="00E01E83">
        <w:t xml:space="preserve"> mechanisms </w:t>
      </w:r>
      <w:r>
        <w:t>associated with</w:t>
      </w:r>
      <w:r w:rsidRPr="00E01E83">
        <w:t xml:space="preserve"> mak</w:t>
      </w:r>
      <w:r>
        <w:t>ing</w:t>
      </w:r>
      <w:r w:rsidRPr="00E01E83">
        <w:t xml:space="preserve"> flexible use available on a permanent basis </w:t>
      </w:r>
      <w:r>
        <w:t xml:space="preserve">(either </w:t>
      </w:r>
      <w:r w:rsidRPr="00E01E83">
        <w:t xml:space="preserve">to Petitioners </w:t>
      </w:r>
      <w:r>
        <w:t>or to</w:t>
      </w:r>
      <w:r w:rsidRPr="00E01E83">
        <w:t xml:space="preserve"> potential new entrants</w:t>
      </w:r>
      <w:r>
        <w:t>)</w:t>
      </w:r>
      <w:r w:rsidRPr="00E01E83">
        <w:t xml:space="preserve">, </w:t>
      </w:r>
      <w:r>
        <w:t>we note that</w:t>
      </w:r>
      <w:r w:rsidRPr="00E01E83">
        <w:t xml:space="preserve"> the </w:t>
      </w:r>
      <w:r>
        <w:t>provisions of section</w:t>
      </w:r>
      <w:r w:rsidRPr="00E01E83">
        <w:t xml:space="preserve"> 22.817 </w:t>
      </w:r>
      <w:r>
        <w:t>could find renewed applicability at some point in the future.</w:t>
      </w:r>
    </w:p>
  </w:footnote>
  <w:footnote w:id="60">
    <w:p w:rsidR="0080662C" w:rsidP="00CD3F03" w14:paraId="6CB7278B" w14:textId="77777777">
      <w:pPr>
        <w:pStyle w:val="FootnoteText"/>
      </w:pPr>
      <w:r>
        <w:rPr>
          <w:rStyle w:val="FootnoteReference"/>
        </w:rPr>
        <w:footnoteRef/>
      </w:r>
      <w:r>
        <w:t xml:space="preserve"> Petitioners will not be able to apply for more than the six U.S. primary communication channels in the U.S.-Canada Sharing Zone.</w:t>
      </w:r>
    </w:p>
  </w:footnote>
  <w:footnote w:id="61">
    <w:p w:rsidR="0080662C" w14:paraId="036030CA" w14:textId="0AC779C7">
      <w:pPr>
        <w:pStyle w:val="FootnoteText"/>
      </w:pPr>
      <w:r>
        <w:rPr>
          <w:rStyle w:val="FootnoteReference"/>
        </w:rPr>
        <w:footnoteRef/>
      </w:r>
      <w:r>
        <w:t xml:space="preserve"> 47 U.S.C. § 157(a).</w:t>
      </w:r>
    </w:p>
  </w:footnote>
  <w:footnote w:id="62">
    <w:p w:rsidR="0080662C" w:rsidRPr="002656D4" w14:paraId="6181D26D" w14:textId="41C1F55E">
      <w:pPr>
        <w:pStyle w:val="FootnoteText"/>
      </w:pPr>
      <w:r>
        <w:rPr>
          <w:rStyle w:val="FootnoteReference"/>
        </w:rPr>
        <w:footnoteRef/>
      </w:r>
      <w:r>
        <w:t xml:space="preserve"> </w:t>
      </w:r>
      <w:r>
        <w:rPr>
          <w:i/>
          <w:iCs/>
        </w:rPr>
        <w:t>2010 Order</w:t>
      </w:r>
      <w:r>
        <w:t>, 25 FCC Rcd at 8587, para. 14.</w:t>
      </w:r>
    </w:p>
  </w:footnote>
  <w:footnote w:id="63">
    <w:p w:rsidR="0080662C" w14:paraId="5BF05152" w14:textId="5D09FBCC">
      <w:pPr>
        <w:pStyle w:val="FootnoteText"/>
      </w:pPr>
      <w:r>
        <w:rPr>
          <w:rStyle w:val="FootnoteReference"/>
        </w:rPr>
        <w:footnoteRef/>
      </w:r>
      <w:r>
        <w:t xml:space="preserve"> Edison Comments at 5; Xcel Energy Reply at 6.</w:t>
      </w:r>
    </w:p>
  </w:footnote>
  <w:footnote w:id="64">
    <w:p w:rsidR="0080662C" w:rsidRPr="00F97531" w14:paraId="17719D24" w14:textId="139D8BBF">
      <w:pPr>
        <w:pStyle w:val="FootnoteText"/>
      </w:pPr>
      <w:r>
        <w:rPr>
          <w:rStyle w:val="FootnoteReference"/>
        </w:rPr>
        <w:footnoteRef/>
      </w:r>
      <w:r>
        <w:t xml:space="preserve"> </w:t>
      </w:r>
      <w:r>
        <w:rPr>
          <w:i/>
          <w:iCs/>
        </w:rPr>
        <w:t>See</w:t>
      </w:r>
      <w:r>
        <w:t xml:space="preserve"> licenses listed at Appendix A of this Order.  </w:t>
      </w:r>
    </w:p>
  </w:footnote>
  <w:footnote w:id="65">
    <w:p w:rsidR="0080662C" w:rsidRPr="00736D57" w14:paraId="73E03709" w14:textId="08D8BDA8">
      <w:pPr>
        <w:pStyle w:val="FootnoteText"/>
      </w:pPr>
      <w:r>
        <w:rPr>
          <w:rStyle w:val="FootnoteReference"/>
        </w:rPr>
        <w:footnoteRef/>
      </w:r>
      <w:r>
        <w:t xml:space="preserve"> </w:t>
      </w:r>
      <w:r>
        <w:rPr>
          <w:i/>
          <w:iCs/>
        </w:rPr>
        <w:t>See also infra</w:t>
      </w:r>
      <w:r>
        <w:t xml:space="preserve"> para. 27 regarding assignment of licenses subject to this waiver.</w:t>
      </w:r>
    </w:p>
  </w:footnote>
  <w:footnote w:id="66">
    <w:p w:rsidR="0080662C" w:rsidRPr="00F97531" w14:paraId="050CC845" w14:textId="080A7AFA">
      <w:pPr>
        <w:pStyle w:val="FootnoteText"/>
      </w:pPr>
      <w:r>
        <w:rPr>
          <w:rStyle w:val="FootnoteReference"/>
        </w:rPr>
        <w:footnoteRef/>
      </w:r>
      <w:r>
        <w:t xml:space="preserve"> </w:t>
      </w:r>
      <w:r>
        <w:rPr>
          <w:i/>
          <w:iCs/>
        </w:rPr>
        <w:t>See</w:t>
      </w:r>
      <w:r>
        <w:t xml:space="preserve"> 47 CFR § 22.817 (introductory text).</w:t>
      </w:r>
    </w:p>
  </w:footnote>
  <w:footnote w:id="67">
    <w:p w:rsidR="0080662C" w14:paraId="031267AE" w14:textId="3D1599FD">
      <w:pPr>
        <w:pStyle w:val="FootnoteText"/>
      </w:pPr>
      <w:r>
        <w:rPr>
          <w:rStyle w:val="FootnoteReference"/>
        </w:rPr>
        <w:footnoteRef/>
      </w:r>
      <w:r>
        <w:t xml:space="preserve"> </w:t>
      </w:r>
      <w:r w:rsidR="00377A87">
        <w:rPr>
          <w:i/>
          <w:iCs/>
        </w:rPr>
        <w:t>Id.</w:t>
      </w:r>
      <w:r>
        <w:t xml:space="preserve"> § 22.817(e).</w:t>
      </w:r>
    </w:p>
  </w:footnote>
  <w:footnote w:id="68">
    <w:p w:rsidR="0080662C" w:rsidP="00B56AE7" w14:paraId="38B76EEA" w14:textId="081CA4E9">
      <w:pPr>
        <w:pStyle w:val="FootnoteText"/>
      </w:pPr>
      <w:r>
        <w:rPr>
          <w:rStyle w:val="FootnoteReference"/>
        </w:rPr>
        <w:footnoteRef/>
      </w:r>
      <w:r>
        <w:t xml:space="preserve"> </w:t>
      </w:r>
      <w:r>
        <w:rPr>
          <w:i/>
          <w:iCs/>
        </w:rPr>
        <w:t xml:space="preserve">See </w:t>
      </w:r>
      <w:r>
        <w:t>47 U.S.C. § 309(b)(1) (application “for an instrument of authorization” of a “station in the broadcasting or common carrier services” is a major application); 47 CFR § 1.929(e)(1) (requesting “an authorization to relocate an existing General Aviation ground station” is considered a major modification).</w:t>
      </w:r>
    </w:p>
  </w:footnote>
  <w:footnote w:id="69">
    <w:p w:rsidR="0080662C" w:rsidRPr="00C229C0" w14:paraId="3CC79F8A" w14:textId="70644A21">
      <w:pPr>
        <w:pStyle w:val="FootnoteText"/>
      </w:pPr>
      <w:r>
        <w:rPr>
          <w:rStyle w:val="FootnoteReference"/>
        </w:rPr>
        <w:footnoteRef/>
      </w:r>
      <w:r>
        <w:t xml:space="preserve"> </w:t>
      </w:r>
      <w:r>
        <w:rPr>
          <w:i/>
          <w:iCs/>
        </w:rPr>
        <w:t>See</w:t>
      </w:r>
      <w:r>
        <w:t xml:space="preserve"> 47 CFR §§ 22.99, 22.815 (defining “ground station” as “a stationary transmitter that provides service to airborne mobile stations” and requiring licensees to construct ground stations within 12 months, respectively); </w:t>
      </w:r>
      <w:r>
        <w:rPr>
          <w:i/>
          <w:iCs/>
        </w:rPr>
        <w:t>id</w:t>
      </w:r>
      <w:r w:rsidRPr="00C229C0">
        <w:rPr>
          <w:i/>
          <w:iCs/>
        </w:rPr>
        <w:t>.</w:t>
      </w:r>
      <w:r>
        <w:t xml:space="preserve"> § 22.317 (a ground station has permanently discontinued and is subject to cancellation if it has not provided service to subscribers in 90 days).</w:t>
      </w:r>
    </w:p>
  </w:footnote>
  <w:footnote w:id="70">
    <w:p w:rsidR="0080662C" w14:paraId="5BBB013B" w14:textId="17C0A3E3">
      <w:pPr>
        <w:pStyle w:val="FootnoteText"/>
      </w:pPr>
      <w:r>
        <w:rPr>
          <w:rStyle w:val="FootnoteReference"/>
        </w:rPr>
        <w:footnoteRef/>
      </w:r>
      <w:r>
        <w:t xml:space="preserve"> </w:t>
      </w:r>
      <w:r>
        <w:rPr>
          <w:i/>
          <w:iCs/>
        </w:rPr>
        <w:t>See id.</w:t>
      </w:r>
    </w:p>
  </w:footnote>
  <w:footnote w:id="71">
    <w:p w:rsidR="0080662C" w:rsidP="00651290" w14:paraId="3DB74297" w14:textId="0DD30AC2">
      <w:pPr>
        <w:pStyle w:val="FootnoteText"/>
      </w:pPr>
      <w:r>
        <w:rPr>
          <w:rStyle w:val="FootnoteReference"/>
        </w:rPr>
        <w:footnoteRef/>
      </w:r>
      <w:r>
        <w:t xml:space="preserve"> Boeing Comments at 6-8; </w:t>
      </w:r>
      <w:r>
        <w:rPr>
          <w:i/>
          <w:iCs/>
        </w:rPr>
        <w:t>see also</w:t>
      </w:r>
      <w:r>
        <w:t xml:space="preserve"> Petition of AIA to Adopt Service Rules for Unmanned Aircraft Systems Command and Control in the 5030-5091 MHz Band, RM-11698 (filed Feb. 8, 2018) (AIA Petition).</w:t>
      </w:r>
    </w:p>
  </w:footnote>
  <w:footnote w:id="72">
    <w:p w:rsidR="0080662C" w14:paraId="50E80BB3" w14:textId="12CF892B">
      <w:pPr>
        <w:pStyle w:val="FootnoteText"/>
      </w:pPr>
      <w:r>
        <w:rPr>
          <w:rStyle w:val="FootnoteReference"/>
        </w:rPr>
        <w:footnoteRef/>
      </w:r>
      <w:r>
        <w:t xml:space="preserve"> W</w:t>
      </w:r>
      <w:r w:rsidR="00E06321">
        <w:t>e</w:t>
      </w:r>
      <w:r>
        <w:t xml:space="preserve"> note, however, that we have specifically sought comment on several issues related to use of the 5030-5091 MHz band for UAS operations.  </w:t>
      </w:r>
      <w:r w:rsidR="001A4EB9">
        <w:rPr>
          <w:i/>
          <w:iCs/>
        </w:rPr>
        <w:t xml:space="preserve">See </w:t>
      </w:r>
      <w:r w:rsidRPr="00511BB4" w:rsidR="00511BB4">
        <w:rPr>
          <w:i/>
          <w:iCs/>
        </w:rPr>
        <w:t>Wireless Telecommunications Bureau and Office of Engineering and Technology Seek Comment on Unmanned Aerial System Operations in the 960-1164 MHz and 5030-5091 MHz Bands, Pursuant to Section 374 of the FAA Reauthorization Act of 2018</w:t>
      </w:r>
      <w:r w:rsidR="00511BB4">
        <w:t>, GN Docket No. 19-356, Public Notice, 34 FCC Rcd 11038 (WTB/OET 2019).</w:t>
      </w:r>
    </w:p>
  </w:footnote>
  <w:footnote w:id="73">
    <w:p w:rsidR="007F1BEB" w:rsidP="007F1BEB" w14:paraId="6C1102B7" w14:textId="5812F1D4">
      <w:pPr>
        <w:pStyle w:val="FootnoteText"/>
      </w:pPr>
      <w:r>
        <w:rPr>
          <w:rStyle w:val="FootnoteReference"/>
        </w:rPr>
        <w:footnoteRef/>
      </w:r>
      <w:r>
        <w:t xml:space="preserve"> Boeing Comments at 1-2, 4-6 (arguing Petitioners’ request to provide UAS service constitutes a fundamental change to the 450 MHz allocation that must be accomplished via rule change).</w:t>
      </w:r>
    </w:p>
  </w:footnote>
  <w:footnote w:id="74">
    <w:p w:rsidR="007F1BEB" w:rsidP="007F1BEB" w14:paraId="5279A4A2" w14:textId="244E7B8A">
      <w:pPr>
        <w:pStyle w:val="FootnoteText"/>
      </w:pPr>
      <w:r>
        <w:rPr>
          <w:rStyle w:val="FootnoteReference"/>
        </w:rPr>
        <w:footnoteRef/>
      </w:r>
      <w:r>
        <w:t xml:space="preserve"> </w:t>
      </w:r>
      <w:r>
        <w:rPr>
          <w:i/>
          <w:iCs/>
        </w:rPr>
        <w:t>See</w:t>
      </w:r>
      <w:r>
        <w:t xml:space="preserve"> DRONERESPONDERS Public Safety Alliance Comments at 2 (arguing waiver relief, rather than rulemaking “is in accordance with the FCC’s ‘longstanding market-oriented AGRAS policies’” (internal citations omitted)); EWA Comments at 5 (“[T]he FCC possesses and has chosen to use its broad authority to proceed by waiver versus rulemaking when it determines doing so would serve the public interest.”); Xcel Energy Reply at 6-7 (The fact that the Commission has not yet acted on the AIA Petition “is irrelevant and in no way precludes Commission action on other UAS-suitable spectrum blocks,” such as by granting the Waiver Request.).</w:t>
      </w:r>
    </w:p>
  </w:footnote>
  <w:footnote w:id="75">
    <w:p w:rsidR="007036E6" w:rsidP="007036E6" w14:paraId="59463162" w14:textId="77777777">
      <w:pPr>
        <w:pStyle w:val="FootnoteText"/>
      </w:pPr>
      <w:r>
        <w:rPr>
          <w:rStyle w:val="FootnoteReference"/>
        </w:rPr>
        <w:footnoteRef/>
      </w:r>
      <w:r>
        <w:t xml:space="preserve"> </w:t>
      </w:r>
      <w:r>
        <w:rPr>
          <w:i/>
          <w:iCs/>
        </w:rPr>
        <w:t>See</w:t>
      </w:r>
      <w:r>
        <w:t xml:space="preserve"> NPSTC Comments at 2-3 (stating that it has analyzed the potential for harmful interference between the 450 MHz AGRAS band and the adjacent public safety channels in the 450-470 MHz band and found that potential for the proposed UAS operations to negatively impact public safety is unlikely); DRONERESPONDERS Public Safety Alliance Comments at 2 (asserting that UAS use of the 450 MHz band is not adverse to public safety); MetroAviation Comments at 2 (“Metro has committed aircraft and resources to conduct the necessary air to ground testing of the 450 MHz Radiotelephone System.”); University of Maryland UAS Test Site Comments at 1 (noting that Petitioners’ Waiver Request and supporting documentation demonstrates a viable solution to UAS needs “with no inherent or incidental risk or downside.”); Xcel Energy Reply at 7 (arguing that Boeing’s safety concerns are “vague” and “undefined” and pointing out that action on the Waiver Request “would not in any way affect FAA oversight or regulatory control over UAS operations, including issues related to safety and the integration of UAS into the national airspace”).</w:t>
      </w:r>
    </w:p>
  </w:footnote>
  <w:footnote w:id="76">
    <w:p w:rsidR="0080662C" w:rsidP="004861DD" w14:paraId="45BC1E9B" w14:textId="77777777">
      <w:pPr>
        <w:pStyle w:val="FootnoteText"/>
      </w:pPr>
      <w:r>
        <w:rPr>
          <w:rStyle w:val="FootnoteReference"/>
        </w:rPr>
        <w:footnoteRef/>
      </w:r>
      <w:r>
        <w:t xml:space="preserve"> AIA Comments at 4-5.</w:t>
      </w:r>
    </w:p>
  </w:footnote>
  <w:footnote w:id="77">
    <w:p w:rsidR="0080662C" w:rsidP="004861DD" w14:paraId="5CEEE996" w14:textId="77777777">
      <w:pPr>
        <w:pStyle w:val="FootnoteText"/>
      </w:pPr>
      <w:r>
        <w:rPr>
          <w:rStyle w:val="FootnoteReference"/>
        </w:rPr>
        <w:footnoteRef/>
      </w:r>
      <w:r>
        <w:t xml:space="preserve"> AURA and A2G Reply at 8.</w:t>
      </w:r>
    </w:p>
  </w:footnote>
  <w:footnote w:id="78">
    <w:p w:rsidR="0080662C" w:rsidP="004861DD" w14:paraId="5484120E" w14:textId="3ECDECA5">
      <w:pPr>
        <w:pStyle w:val="FootnoteText"/>
      </w:pPr>
      <w:r>
        <w:rPr>
          <w:rStyle w:val="FootnoteReference"/>
        </w:rPr>
        <w:footnoteRef/>
      </w:r>
      <w:r>
        <w:t xml:space="preserve"> </w:t>
      </w:r>
      <w:r w:rsidR="00377A87">
        <w:rPr>
          <w:i/>
          <w:iCs/>
        </w:rPr>
        <w:t>Id.</w:t>
      </w:r>
      <w:r>
        <w:t xml:space="preserve"> at 8-9; </w:t>
      </w:r>
      <w:r>
        <w:rPr>
          <w:i/>
          <w:iCs/>
        </w:rPr>
        <w:t>see also</w:t>
      </w:r>
      <w:r>
        <w:t xml:space="preserve"> RTCA Special Committee 228, See RTCA Special Committee 228 (SC-228), </w:t>
      </w:r>
      <w:r w:rsidRPr="00825644">
        <w:rPr>
          <w:i/>
          <w:iCs/>
        </w:rPr>
        <w:t>Minimum Performance Standards for Unmanned Aircraft Systems</w:t>
      </w:r>
      <w:r>
        <w:t xml:space="preserve">, </w:t>
      </w:r>
      <w:hyperlink r:id="rId1" w:history="1">
        <w:r w:rsidRPr="00622E38">
          <w:rPr>
            <w:rStyle w:val="Hyperlink"/>
          </w:rPr>
          <w:t>https://www.rtca.org/sites/default/files/sc-228_tor_rev_10_approved_06-11-2020.pdf</w:t>
        </w:r>
      </w:hyperlink>
      <w:r>
        <w:t>, at 2 (June 11, 2020).</w:t>
      </w:r>
    </w:p>
  </w:footnote>
  <w:footnote w:id="79">
    <w:p w:rsidR="0080662C" w:rsidP="004861DD" w14:paraId="69B598DF" w14:textId="77777777">
      <w:pPr>
        <w:pStyle w:val="FootnoteText"/>
      </w:pPr>
      <w:r>
        <w:rPr>
          <w:rStyle w:val="FootnoteReference"/>
        </w:rPr>
        <w:footnoteRef/>
      </w:r>
      <w:r>
        <w:t xml:space="preserve"> AURA and A2G Reply at 9.</w:t>
      </w:r>
    </w:p>
  </w:footnote>
  <w:footnote w:id="80">
    <w:p w:rsidR="008B645D" w:rsidP="008B645D" w14:paraId="6426C1EA" w14:textId="77777777">
      <w:pPr>
        <w:pStyle w:val="FootnoteText"/>
      </w:pPr>
      <w:r>
        <w:rPr>
          <w:rStyle w:val="FootnoteReference"/>
        </w:rPr>
        <w:footnoteRef/>
      </w:r>
      <w:r>
        <w:t xml:space="preserve"> Boeing Comments at 4-5. </w:t>
      </w:r>
    </w:p>
  </w:footnote>
  <w:footnote w:id="81">
    <w:p w:rsidR="001A162B" w:rsidRPr="001A162B" w14:paraId="0A245C2A" w14:textId="2F571017">
      <w:pPr>
        <w:pStyle w:val="FootnoteText"/>
      </w:pPr>
      <w:r>
        <w:rPr>
          <w:rStyle w:val="FootnoteReference"/>
        </w:rPr>
        <w:footnoteRef/>
      </w:r>
      <w:r>
        <w:t xml:space="preserve"> </w:t>
      </w:r>
      <w:r>
        <w:rPr>
          <w:i/>
          <w:iCs/>
        </w:rPr>
        <w:t>See</w:t>
      </w:r>
      <w:r>
        <w:t xml:space="preserve"> Letter from Michele C. Farquhar, Counsel to AURA, and Elizabeth R. Sachs, Counsel to A2G, to Marlene H. Dortch, Secretary, FCC, WT Docket No. 20-185 (filed Jan. 13,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810B6F" w14:paraId="0FBA6630" w14:textId="4B7FA593">
    <w:pPr>
      <w:pStyle w:val="Header"/>
      <w:rPr>
        <w:b w:val="0"/>
      </w:rPr>
    </w:pPr>
    <w:r>
      <w:tab/>
      <w:t>Federal Communications Commission</w:t>
    </w:r>
    <w:r>
      <w:tab/>
    </w:r>
    <w:r w:rsidR="009C1AB9">
      <w:t>DA 21-58</w:t>
    </w:r>
  </w:p>
  <w:p w:rsidR="0080662C" w14:paraId="7CEEE7D3" w14:textId="2213189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0662C" w14:paraId="744076D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810B6F" w14:paraId="0B0DAB96" w14:textId="1715947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C1AB9">
      <w:rPr>
        <w:spacing w:val="-2"/>
      </w:rPr>
      <w:t>DA 21-58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AC10C0"/>
    <w:multiLevelType w:val="hybridMultilevel"/>
    <w:tmpl w:val="A3E65EC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2C556D"/>
    <w:multiLevelType w:val="hybridMultilevel"/>
    <w:tmpl w:val="C5B2CF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6E741C"/>
    <w:multiLevelType w:val="hybridMultilevel"/>
    <w:tmpl w:val="785861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3C65344"/>
    <w:multiLevelType w:val="hybridMultilevel"/>
    <w:tmpl w:val="4ED4B2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7640009"/>
    <w:multiLevelType w:val="hybridMultilevel"/>
    <w:tmpl w:val="6930CA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1"/>
  </w:num>
  <w:num w:numId="8">
    <w:abstractNumId w:val="9"/>
  </w:num>
  <w:num w:numId="9">
    <w:abstractNumId w:val="3"/>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C7"/>
    <w:rsid w:val="000017F9"/>
    <w:rsid w:val="00002B27"/>
    <w:rsid w:val="000034C5"/>
    <w:rsid w:val="00004C2C"/>
    <w:rsid w:val="000070F4"/>
    <w:rsid w:val="0001002B"/>
    <w:rsid w:val="00010181"/>
    <w:rsid w:val="00010209"/>
    <w:rsid w:val="00010A53"/>
    <w:rsid w:val="00017115"/>
    <w:rsid w:val="000302CB"/>
    <w:rsid w:val="00036039"/>
    <w:rsid w:val="00037F90"/>
    <w:rsid w:val="00042507"/>
    <w:rsid w:val="00042BCA"/>
    <w:rsid w:val="00042CB4"/>
    <w:rsid w:val="00053829"/>
    <w:rsid w:val="00054BAC"/>
    <w:rsid w:val="00074DE9"/>
    <w:rsid w:val="000775ED"/>
    <w:rsid w:val="00081A90"/>
    <w:rsid w:val="000875BF"/>
    <w:rsid w:val="000912C9"/>
    <w:rsid w:val="00096D8C"/>
    <w:rsid w:val="000B34C2"/>
    <w:rsid w:val="000B4B32"/>
    <w:rsid w:val="000C0B65"/>
    <w:rsid w:val="000C7687"/>
    <w:rsid w:val="000E05FE"/>
    <w:rsid w:val="000E1687"/>
    <w:rsid w:val="000E3D42"/>
    <w:rsid w:val="00102F1C"/>
    <w:rsid w:val="0010435C"/>
    <w:rsid w:val="00104967"/>
    <w:rsid w:val="0010691D"/>
    <w:rsid w:val="00115058"/>
    <w:rsid w:val="00120146"/>
    <w:rsid w:val="00120420"/>
    <w:rsid w:val="00122BD5"/>
    <w:rsid w:val="00122C7D"/>
    <w:rsid w:val="0012587F"/>
    <w:rsid w:val="00133F79"/>
    <w:rsid w:val="00150581"/>
    <w:rsid w:val="0017329E"/>
    <w:rsid w:val="00182324"/>
    <w:rsid w:val="001858F3"/>
    <w:rsid w:val="00190E51"/>
    <w:rsid w:val="00192A39"/>
    <w:rsid w:val="00194A66"/>
    <w:rsid w:val="00195940"/>
    <w:rsid w:val="001A162B"/>
    <w:rsid w:val="001A4EB9"/>
    <w:rsid w:val="001A72DD"/>
    <w:rsid w:val="001B1641"/>
    <w:rsid w:val="001C1EB8"/>
    <w:rsid w:val="001C228A"/>
    <w:rsid w:val="001C6E8C"/>
    <w:rsid w:val="001D0503"/>
    <w:rsid w:val="001D45A7"/>
    <w:rsid w:val="001D6BCF"/>
    <w:rsid w:val="001E01CA"/>
    <w:rsid w:val="001E1B5A"/>
    <w:rsid w:val="001E7ABA"/>
    <w:rsid w:val="001F41B2"/>
    <w:rsid w:val="001F5A5C"/>
    <w:rsid w:val="00201D26"/>
    <w:rsid w:val="00203833"/>
    <w:rsid w:val="00210556"/>
    <w:rsid w:val="002110B0"/>
    <w:rsid w:val="00224AB7"/>
    <w:rsid w:val="00232D26"/>
    <w:rsid w:val="00246402"/>
    <w:rsid w:val="002656D4"/>
    <w:rsid w:val="00272A21"/>
    <w:rsid w:val="00275CF5"/>
    <w:rsid w:val="002768B4"/>
    <w:rsid w:val="0028301F"/>
    <w:rsid w:val="00285017"/>
    <w:rsid w:val="00296396"/>
    <w:rsid w:val="002A2D2E"/>
    <w:rsid w:val="002C00E8"/>
    <w:rsid w:val="002C21A2"/>
    <w:rsid w:val="002C77BD"/>
    <w:rsid w:val="002D7198"/>
    <w:rsid w:val="002F49AC"/>
    <w:rsid w:val="002F631B"/>
    <w:rsid w:val="00300BAD"/>
    <w:rsid w:val="0030110E"/>
    <w:rsid w:val="00306CF5"/>
    <w:rsid w:val="00307C8D"/>
    <w:rsid w:val="0032124D"/>
    <w:rsid w:val="003236F4"/>
    <w:rsid w:val="003413D1"/>
    <w:rsid w:val="00343749"/>
    <w:rsid w:val="0034433D"/>
    <w:rsid w:val="00346011"/>
    <w:rsid w:val="003563D8"/>
    <w:rsid w:val="003625DF"/>
    <w:rsid w:val="003660ED"/>
    <w:rsid w:val="00376A7A"/>
    <w:rsid w:val="00377A87"/>
    <w:rsid w:val="00387BE0"/>
    <w:rsid w:val="0039716C"/>
    <w:rsid w:val="003A090D"/>
    <w:rsid w:val="003B0550"/>
    <w:rsid w:val="003B4BF5"/>
    <w:rsid w:val="003B694F"/>
    <w:rsid w:val="003C65D5"/>
    <w:rsid w:val="003D26FC"/>
    <w:rsid w:val="003E3502"/>
    <w:rsid w:val="003E59A0"/>
    <w:rsid w:val="003F171C"/>
    <w:rsid w:val="0040498D"/>
    <w:rsid w:val="004069A3"/>
    <w:rsid w:val="00410C42"/>
    <w:rsid w:val="00410F29"/>
    <w:rsid w:val="00412412"/>
    <w:rsid w:val="00412D55"/>
    <w:rsid w:val="00412FC5"/>
    <w:rsid w:val="00413B0B"/>
    <w:rsid w:val="00415430"/>
    <w:rsid w:val="00422276"/>
    <w:rsid w:val="004242F1"/>
    <w:rsid w:val="00445A00"/>
    <w:rsid w:val="00446BE2"/>
    <w:rsid w:val="0045128E"/>
    <w:rsid w:val="00451B0F"/>
    <w:rsid w:val="004548E8"/>
    <w:rsid w:val="0045750F"/>
    <w:rsid w:val="0046475C"/>
    <w:rsid w:val="00476367"/>
    <w:rsid w:val="00483A03"/>
    <w:rsid w:val="00484F89"/>
    <w:rsid w:val="00485882"/>
    <w:rsid w:val="004861DD"/>
    <w:rsid w:val="004903A5"/>
    <w:rsid w:val="00491420"/>
    <w:rsid w:val="004916CB"/>
    <w:rsid w:val="00492D76"/>
    <w:rsid w:val="004958CA"/>
    <w:rsid w:val="004A4E50"/>
    <w:rsid w:val="004B2B0E"/>
    <w:rsid w:val="004B4897"/>
    <w:rsid w:val="004B7982"/>
    <w:rsid w:val="004C2EE3"/>
    <w:rsid w:val="004C6455"/>
    <w:rsid w:val="004D6DC7"/>
    <w:rsid w:val="004E2A5C"/>
    <w:rsid w:val="004E4A22"/>
    <w:rsid w:val="004E690A"/>
    <w:rsid w:val="004E7459"/>
    <w:rsid w:val="004F038A"/>
    <w:rsid w:val="00511968"/>
    <w:rsid w:val="00511BB4"/>
    <w:rsid w:val="00520A48"/>
    <w:rsid w:val="00521E3A"/>
    <w:rsid w:val="005233C1"/>
    <w:rsid w:val="00523CCB"/>
    <w:rsid w:val="00526080"/>
    <w:rsid w:val="0053047B"/>
    <w:rsid w:val="0053134D"/>
    <w:rsid w:val="00534500"/>
    <w:rsid w:val="005459DC"/>
    <w:rsid w:val="00552599"/>
    <w:rsid w:val="00555765"/>
    <w:rsid w:val="0055614C"/>
    <w:rsid w:val="005614B8"/>
    <w:rsid w:val="00562760"/>
    <w:rsid w:val="005652ED"/>
    <w:rsid w:val="00566D06"/>
    <w:rsid w:val="005775E7"/>
    <w:rsid w:val="00577FA2"/>
    <w:rsid w:val="00585591"/>
    <w:rsid w:val="00591352"/>
    <w:rsid w:val="00592CE4"/>
    <w:rsid w:val="00597EE4"/>
    <w:rsid w:val="005A078A"/>
    <w:rsid w:val="005B38A5"/>
    <w:rsid w:val="005B4168"/>
    <w:rsid w:val="005C0DEC"/>
    <w:rsid w:val="005C104F"/>
    <w:rsid w:val="005C69F7"/>
    <w:rsid w:val="005E14C2"/>
    <w:rsid w:val="005E5714"/>
    <w:rsid w:val="005F5A85"/>
    <w:rsid w:val="005F6A76"/>
    <w:rsid w:val="005F71C9"/>
    <w:rsid w:val="0060773B"/>
    <w:rsid w:val="00607BA5"/>
    <w:rsid w:val="0061180A"/>
    <w:rsid w:val="00622E38"/>
    <w:rsid w:val="00626EB6"/>
    <w:rsid w:val="00643100"/>
    <w:rsid w:val="00647C33"/>
    <w:rsid w:val="00651207"/>
    <w:rsid w:val="00651290"/>
    <w:rsid w:val="00655D03"/>
    <w:rsid w:val="00656E75"/>
    <w:rsid w:val="0067231A"/>
    <w:rsid w:val="006774E0"/>
    <w:rsid w:val="00683388"/>
    <w:rsid w:val="006834D1"/>
    <w:rsid w:val="00683F84"/>
    <w:rsid w:val="00685021"/>
    <w:rsid w:val="00685359"/>
    <w:rsid w:val="00685D3E"/>
    <w:rsid w:val="006937A1"/>
    <w:rsid w:val="00693974"/>
    <w:rsid w:val="00694D6A"/>
    <w:rsid w:val="00697063"/>
    <w:rsid w:val="006A1F54"/>
    <w:rsid w:val="006A232A"/>
    <w:rsid w:val="006A337D"/>
    <w:rsid w:val="006A4AA6"/>
    <w:rsid w:val="006A6A81"/>
    <w:rsid w:val="006B2905"/>
    <w:rsid w:val="006B52B5"/>
    <w:rsid w:val="006C70E1"/>
    <w:rsid w:val="006D183B"/>
    <w:rsid w:val="006F4EAF"/>
    <w:rsid w:val="006F7393"/>
    <w:rsid w:val="0070224F"/>
    <w:rsid w:val="007036E6"/>
    <w:rsid w:val="007115F7"/>
    <w:rsid w:val="0072004B"/>
    <w:rsid w:val="00720594"/>
    <w:rsid w:val="0072285A"/>
    <w:rsid w:val="00736D57"/>
    <w:rsid w:val="007447B5"/>
    <w:rsid w:val="00762F5F"/>
    <w:rsid w:val="00763019"/>
    <w:rsid w:val="00764A0E"/>
    <w:rsid w:val="007714A3"/>
    <w:rsid w:val="00771AE6"/>
    <w:rsid w:val="00785689"/>
    <w:rsid w:val="0079754B"/>
    <w:rsid w:val="007A0D11"/>
    <w:rsid w:val="007A1E6D"/>
    <w:rsid w:val="007B0EB2"/>
    <w:rsid w:val="007B24D2"/>
    <w:rsid w:val="007B2C05"/>
    <w:rsid w:val="007C00F1"/>
    <w:rsid w:val="007C1C1C"/>
    <w:rsid w:val="007D1548"/>
    <w:rsid w:val="007D2EEF"/>
    <w:rsid w:val="007D623E"/>
    <w:rsid w:val="007E05BA"/>
    <w:rsid w:val="007E39CA"/>
    <w:rsid w:val="007E4A2B"/>
    <w:rsid w:val="007F1BEB"/>
    <w:rsid w:val="007F5775"/>
    <w:rsid w:val="00803630"/>
    <w:rsid w:val="00803E0D"/>
    <w:rsid w:val="0080662C"/>
    <w:rsid w:val="00810B6F"/>
    <w:rsid w:val="00812028"/>
    <w:rsid w:val="008140C5"/>
    <w:rsid w:val="00816F7E"/>
    <w:rsid w:val="00820D05"/>
    <w:rsid w:val="00822CE0"/>
    <w:rsid w:val="00823F94"/>
    <w:rsid w:val="00825644"/>
    <w:rsid w:val="0083787A"/>
    <w:rsid w:val="00841AB1"/>
    <w:rsid w:val="00843E39"/>
    <w:rsid w:val="00843FDD"/>
    <w:rsid w:val="0085668D"/>
    <w:rsid w:val="008613BD"/>
    <w:rsid w:val="00874BBD"/>
    <w:rsid w:val="00883340"/>
    <w:rsid w:val="00886106"/>
    <w:rsid w:val="008A4B6B"/>
    <w:rsid w:val="008B645D"/>
    <w:rsid w:val="008C68F1"/>
    <w:rsid w:val="008C7FB7"/>
    <w:rsid w:val="008D17D5"/>
    <w:rsid w:val="008D6F08"/>
    <w:rsid w:val="008E64B1"/>
    <w:rsid w:val="008F109C"/>
    <w:rsid w:val="008F1ED2"/>
    <w:rsid w:val="008F6974"/>
    <w:rsid w:val="00900FC7"/>
    <w:rsid w:val="00921803"/>
    <w:rsid w:val="00926503"/>
    <w:rsid w:val="00966AC0"/>
    <w:rsid w:val="009726D8"/>
    <w:rsid w:val="00973716"/>
    <w:rsid w:val="009839B1"/>
    <w:rsid w:val="00996F50"/>
    <w:rsid w:val="009A421E"/>
    <w:rsid w:val="009B419D"/>
    <w:rsid w:val="009C1AB9"/>
    <w:rsid w:val="009C63EA"/>
    <w:rsid w:val="009D081D"/>
    <w:rsid w:val="009D7308"/>
    <w:rsid w:val="009E3D73"/>
    <w:rsid w:val="009F16F7"/>
    <w:rsid w:val="009F76DB"/>
    <w:rsid w:val="00A0039E"/>
    <w:rsid w:val="00A01943"/>
    <w:rsid w:val="00A0315D"/>
    <w:rsid w:val="00A04054"/>
    <w:rsid w:val="00A04369"/>
    <w:rsid w:val="00A1080E"/>
    <w:rsid w:val="00A20287"/>
    <w:rsid w:val="00A248EB"/>
    <w:rsid w:val="00A25B74"/>
    <w:rsid w:val="00A32C3B"/>
    <w:rsid w:val="00A45F4F"/>
    <w:rsid w:val="00A5113F"/>
    <w:rsid w:val="00A600A9"/>
    <w:rsid w:val="00A61ACA"/>
    <w:rsid w:val="00A620CB"/>
    <w:rsid w:val="00A75296"/>
    <w:rsid w:val="00A760FB"/>
    <w:rsid w:val="00A86C90"/>
    <w:rsid w:val="00A878AE"/>
    <w:rsid w:val="00A87908"/>
    <w:rsid w:val="00A92970"/>
    <w:rsid w:val="00A95CA1"/>
    <w:rsid w:val="00AA42BD"/>
    <w:rsid w:val="00AA55B7"/>
    <w:rsid w:val="00AA5B9E"/>
    <w:rsid w:val="00AA616B"/>
    <w:rsid w:val="00AA63B2"/>
    <w:rsid w:val="00AB2407"/>
    <w:rsid w:val="00AB53DF"/>
    <w:rsid w:val="00AB54C2"/>
    <w:rsid w:val="00AD132B"/>
    <w:rsid w:val="00AD3C5B"/>
    <w:rsid w:val="00AE5EB1"/>
    <w:rsid w:val="00AF5C4A"/>
    <w:rsid w:val="00AF615E"/>
    <w:rsid w:val="00B07E5C"/>
    <w:rsid w:val="00B20401"/>
    <w:rsid w:val="00B21D6E"/>
    <w:rsid w:val="00B333DE"/>
    <w:rsid w:val="00B4071D"/>
    <w:rsid w:val="00B44D04"/>
    <w:rsid w:val="00B56AE7"/>
    <w:rsid w:val="00B56FE5"/>
    <w:rsid w:val="00B66540"/>
    <w:rsid w:val="00B811F7"/>
    <w:rsid w:val="00B8216A"/>
    <w:rsid w:val="00B94CB9"/>
    <w:rsid w:val="00B9515B"/>
    <w:rsid w:val="00BA496E"/>
    <w:rsid w:val="00BA5DC6"/>
    <w:rsid w:val="00BA6196"/>
    <w:rsid w:val="00BA6F99"/>
    <w:rsid w:val="00BA7592"/>
    <w:rsid w:val="00BB21A8"/>
    <w:rsid w:val="00BB3B8B"/>
    <w:rsid w:val="00BB41D5"/>
    <w:rsid w:val="00BC3A61"/>
    <w:rsid w:val="00BC3F6E"/>
    <w:rsid w:val="00BC6D8C"/>
    <w:rsid w:val="00BC76D6"/>
    <w:rsid w:val="00BD4CE3"/>
    <w:rsid w:val="00BE2ED6"/>
    <w:rsid w:val="00BF291B"/>
    <w:rsid w:val="00C00888"/>
    <w:rsid w:val="00C01C20"/>
    <w:rsid w:val="00C1122D"/>
    <w:rsid w:val="00C133D0"/>
    <w:rsid w:val="00C229C0"/>
    <w:rsid w:val="00C3212F"/>
    <w:rsid w:val="00C32B45"/>
    <w:rsid w:val="00C34006"/>
    <w:rsid w:val="00C34709"/>
    <w:rsid w:val="00C36B4C"/>
    <w:rsid w:val="00C377ED"/>
    <w:rsid w:val="00C426B1"/>
    <w:rsid w:val="00C56A66"/>
    <w:rsid w:val="00C614AB"/>
    <w:rsid w:val="00C63676"/>
    <w:rsid w:val="00C66160"/>
    <w:rsid w:val="00C7064A"/>
    <w:rsid w:val="00C711C7"/>
    <w:rsid w:val="00C721AC"/>
    <w:rsid w:val="00C744AC"/>
    <w:rsid w:val="00C76DB8"/>
    <w:rsid w:val="00C90D6A"/>
    <w:rsid w:val="00C97946"/>
    <w:rsid w:val="00C97B84"/>
    <w:rsid w:val="00CA0D72"/>
    <w:rsid w:val="00CA247E"/>
    <w:rsid w:val="00CA6D21"/>
    <w:rsid w:val="00CB0EE7"/>
    <w:rsid w:val="00CC00FF"/>
    <w:rsid w:val="00CC66D4"/>
    <w:rsid w:val="00CC72B6"/>
    <w:rsid w:val="00CD2060"/>
    <w:rsid w:val="00CD3F03"/>
    <w:rsid w:val="00CE1E06"/>
    <w:rsid w:val="00CE4DB4"/>
    <w:rsid w:val="00CE5764"/>
    <w:rsid w:val="00CF29C6"/>
    <w:rsid w:val="00D0218D"/>
    <w:rsid w:val="00D07669"/>
    <w:rsid w:val="00D15BD0"/>
    <w:rsid w:val="00D16205"/>
    <w:rsid w:val="00D17B18"/>
    <w:rsid w:val="00D2152F"/>
    <w:rsid w:val="00D25FB5"/>
    <w:rsid w:val="00D33DC6"/>
    <w:rsid w:val="00D35ED1"/>
    <w:rsid w:val="00D43264"/>
    <w:rsid w:val="00D43F3B"/>
    <w:rsid w:val="00D44223"/>
    <w:rsid w:val="00D5444B"/>
    <w:rsid w:val="00D554BB"/>
    <w:rsid w:val="00D61262"/>
    <w:rsid w:val="00D660EB"/>
    <w:rsid w:val="00D73222"/>
    <w:rsid w:val="00DA0201"/>
    <w:rsid w:val="00DA2529"/>
    <w:rsid w:val="00DA3F65"/>
    <w:rsid w:val="00DA4025"/>
    <w:rsid w:val="00DA738D"/>
    <w:rsid w:val="00DB130A"/>
    <w:rsid w:val="00DB2EBB"/>
    <w:rsid w:val="00DB706A"/>
    <w:rsid w:val="00DC10A1"/>
    <w:rsid w:val="00DC1FBB"/>
    <w:rsid w:val="00DC2ABE"/>
    <w:rsid w:val="00DC3248"/>
    <w:rsid w:val="00DC655F"/>
    <w:rsid w:val="00DD0B59"/>
    <w:rsid w:val="00DD5FE2"/>
    <w:rsid w:val="00DD7EBD"/>
    <w:rsid w:val="00DE4381"/>
    <w:rsid w:val="00DE55F1"/>
    <w:rsid w:val="00DE6DE9"/>
    <w:rsid w:val="00DE7DE0"/>
    <w:rsid w:val="00DF62B6"/>
    <w:rsid w:val="00E01E83"/>
    <w:rsid w:val="00E06321"/>
    <w:rsid w:val="00E07225"/>
    <w:rsid w:val="00E1436D"/>
    <w:rsid w:val="00E17614"/>
    <w:rsid w:val="00E34037"/>
    <w:rsid w:val="00E34E9F"/>
    <w:rsid w:val="00E3742C"/>
    <w:rsid w:val="00E37A56"/>
    <w:rsid w:val="00E42525"/>
    <w:rsid w:val="00E47DA7"/>
    <w:rsid w:val="00E53188"/>
    <w:rsid w:val="00E53CCE"/>
    <w:rsid w:val="00E5409F"/>
    <w:rsid w:val="00E92612"/>
    <w:rsid w:val="00E960CB"/>
    <w:rsid w:val="00EA0D30"/>
    <w:rsid w:val="00EA6A7B"/>
    <w:rsid w:val="00EA6D1A"/>
    <w:rsid w:val="00EB1125"/>
    <w:rsid w:val="00EC131D"/>
    <w:rsid w:val="00EC2F3F"/>
    <w:rsid w:val="00EC36F0"/>
    <w:rsid w:val="00EC6CC0"/>
    <w:rsid w:val="00ED422F"/>
    <w:rsid w:val="00ED4CC8"/>
    <w:rsid w:val="00EE11E4"/>
    <w:rsid w:val="00EE43D2"/>
    <w:rsid w:val="00EE6488"/>
    <w:rsid w:val="00EF59AF"/>
    <w:rsid w:val="00F021FA"/>
    <w:rsid w:val="00F07C6A"/>
    <w:rsid w:val="00F135D0"/>
    <w:rsid w:val="00F138A9"/>
    <w:rsid w:val="00F37A53"/>
    <w:rsid w:val="00F4733B"/>
    <w:rsid w:val="00F5002A"/>
    <w:rsid w:val="00F62E97"/>
    <w:rsid w:val="00F64209"/>
    <w:rsid w:val="00F75BAE"/>
    <w:rsid w:val="00F76D1E"/>
    <w:rsid w:val="00F86334"/>
    <w:rsid w:val="00F906B4"/>
    <w:rsid w:val="00F90E4A"/>
    <w:rsid w:val="00F92E44"/>
    <w:rsid w:val="00F93BF5"/>
    <w:rsid w:val="00F94F50"/>
    <w:rsid w:val="00F97531"/>
    <w:rsid w:val="00FA5AC3"/>
    <w:rsid w:val="00FA5FDD"/>
    <w:rsid w:val="00FC4303"/>
    <w:rsid w:val="00FC4507"/>
    <w:rsid w:val="00FC79EC"/>
    <w:rsid w:val="00FD5DB3"/>
    <w:rsid w:val="00FD7023"/>
    <w:rsid w:val="00FD7A62"/>
    <w:rsid w:val="00FE0AAA"/>
    <w:rsid w:val="00FE2BF7"/>
    <w:rsid w:val="00FE64F7"/>
    <w:rsid w:val="00FF63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A9D492E-A6C4-4D94-9746-75D0808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
    <w:link w:val="FootnoteTextChar1"/>
    <w:rsid w:val="000E3D42"/>
    <w:pPr>
      <w:spacing w:after="120"/>
    </w:pPr>
  </w:style>
  <w:style w:type="character" w:styleId="FootnoteReference">
    <w:name w:val="footnote reference"/>
    <w:aliases w:val="(NECG) Footnote Reference,Appel note de bas de p,Style 12,Style 124,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1858F3"/>
    <w:rPr>
      <w:rFonts w:ascii="Segoe UI" w:hAnsi="Segoe UI" w:cs="Segoe UI"/>
      <w:sz w:val="18"/>
      <w:szCs w:val="18"/>
    </w:rPr>
  </w:style>
  <w:style w:type="character" w:customStyle="1" w:styleId="BalloonTextChar">
    <w:name w:val="Balloon Text Char"/>
    <w:basedOn w:val="DefaultParagraphFont"/>
    <w:link w:val="BalloonText"/>
    <w:rsid w:val="001858F3"/>
    <w:rPr>
      <w:rFonts w:ascii="Segoe UI" w:hAnsi="Segoe UI" w:cs="Segoe UI"/>
      <w:snapToGrid w:val="0"/>
      <w:kern w:val="28"/>
      <w:sz w:val="18"/>
      <w:szCs w:val="18"/>
    </w:rPr>
  </w:style>
  <w:style w:type="character" w:styleId="CommentReference">
    <w:name w:val="annotation reference"/>
    <w:basedOn w:val="DefaultParagraphFont"/>
    <w:rsid w:val="004069A3"/>
    <w:rPr>
      <w:sz w:val="16"/>
      <w:szCs w:val="16"/>
    </w:rPr>
  </w:style>
  <w:style w:type="paragraph" w:styleId="CommentText">
    <w:name w:val="annotation text"/>
    <w:basedOn w:val="Normal"/>
    <w:link w:val="CommentTextChar"/>
    <w:rsid w:val="004069A3"/>
    <w:rPr>
      <w:sz w:val="20"/>
    </w:rPr>
  </w:style>
  <w:style w:type="character" w:customStyle="1" w:styleId="CommentTextChar">
    <w:name w:val="Comment Text Char"/>
    <w:basedOn w:val="DefaultParagraphFont"/>
    <w:link w:val="CommentText"/>
    <w:rsid w:val="004069A3"/>
    <w:rPr>
      <w:snapToGrid w:val="0"/>
      <w:kern w:val="28"/>
    </w:rPr>
  </w:style>
  <w:style w:type="paragraph" w:styleId="CommentSubject">
    <w:name w:val="annotation subject"/>
    <w:basedOn w:val="CommentText"/>
    <w:next w:val="CommentText"/>
    <w:link w:val="CommentSubjectChar"/>
    <w:rsid w:val="004069A3"/>
    <w:rPr>
      <w:b/>
      <w:bCs/>
    </w:rPr>
  </w:style>
  <w:style w:type="character" w:customStyle="1" w:styleId="CommentSubjectChar">
    <w:name w:val="Comment Subject Char"/>
    <w:basedOn w:val="CommentTextChar"/>
    <w:link w:val="CommentSubject"/>
    <w:rsid w:val="004069A3"/>
    <w:rPr>
      <w:b/>
      <w:bCs/>
      <w:snapToGrid w:val="0"/>
      <w:kern w:val="28"/>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n Char"/>
    <w:basedOn w:val="DefaultParagraphFont"/>
    <w:link w:val="FootnoteText"/>
    <w:rsid w:val="00446BE2"/>
  </w:style>
  <w:style w:type="character" w:customStyle="1" w:styleId="UnresolvedMention">
    <w:name w:val="Unresolved Mention"/>
    <w:basedOn w:val="DefaultParagraphFont"/>
    <w:uiPriority w:val="99"/>
    <w:semiHidden/>
    <w:unhideWhenUsed/>
    <w:rsid w:val="00825644"/>
    <w:rPr>
      <w:color w:val="605E5C"/>
      <w:shd w:val="clear" w:color="auto" w:fill="E1DFDD"/>
    </w:rPr>
  </w:style>
  <w:style w:type="table" w:styleId="TableGrid">
    <w:name w:val="Table Grid"/>
    <w:basedOn w:val="TableNormal"/>
    <w:rsid w:val="00A7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F5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tca.org/sites/default/files/sc-228_tor_rev_10_approved_06-11-2020.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