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F0B78" w:rsidRPr="00C23640" w14:paraId="275A181F" w14:textId="296A16B5">
      <w:pPr>
        <w:jc w:val="right"/>
        <w:rPr>
          <w:b/>
          <w:szCs w:val="22"/>
        </w:rPr>
      </w:pPr>
      <w:r w:rsidRPr="00C23640">
        <w:rPr>
          <w:b/>
          <w:szCs w:val="22"/>
        </w:rPr>
        <w:t>DA 21-</w:t>
      </w:r>
      <w:r w:rsidR="009F09A4">
        <w:rPr>
          <w:b/>
          <w:szCs w:val="22"/>
        </w:rPr>
        <w:t>597</w:t>
      </w:r>
    </w:p>
    <w:p w:rsidR="00FA63F7" w:rsidRPr="00C23640" w:rsidP="00A75ECF" w14:paraId="79EBC7E3" w14:textId="32D34F00">
      <w:pPr>
        <w:spacing w:before="60"/>
        <w:jc w:val="right"/>
        <w:rPr>
          <w:b/>
          <w:szCs w:val="22"/>
        </w:rPr>
      </w:pPr>
      <w:r w:rsidRPr="00C23640">
        <w:rPr>
          <w:b/>
          <w:szCs w:val="22"/>
        </w:rPr>
        <w:t xml:space="preserve">Released:  </w:t>
      </w:r>
      <w:r w:rsidRPr="00C23640">
        <w:rPr>
          <w:b/>
          <w:szCs w:val="22"/>
        </w:rPr>
        <w:t xml:space="preserve">May </w:t>
      </w:r>
      <w:r w:rsidR="003B0081">
        <w:rPr>
          <w:b/>
          <w:szCs w:val="22"/>
        </w:rPr>
        <w:t>20</w:t>
      </w:r>
      <w:r w:rsidRPr="00C23640">
        <w:rPr>
          <w:b/>
          <w:szCs w:val="22"/>
        </w:rPr>
        <w:t>, 2021</w:t>
      </w:r>
    </w:p>
    <w:p w:rsidR="00A75ECF" w:rsidRPr="00C23640" w:rsidP="00A75ECF" w14:paraId="2F752BE5" w14:textId="77777777">
      <w:pPr>
        <w:spacing w:before="60"/>
        <w:jc w:val="right"/>
        <w:rPr>
          <w:b/>
          <w:szCs w:val="22"/>
        </w:rPr>
      </w:pPr>
    </w:p>
    <w:p w:rsidR="00FA63F7" w:rsidRPr="00C23640" w:rsidP="00FA63F7" w14:paraId="6C9797BB" w14:textId="5A93B4F8">
      <w:pPr>
        <w:spacing w:before="120" w:after="120"/>
        <w:contextualSpacing/>
        <w:rPr>
          <w:b/>
          <w:szCs w:val="22"/>
        </w:rPr>
      </w:pPr>
      <w:r w:rsidRPr="00C23640">
        <w:rPr>
          <w:b/>
          <w:szCs w:val="22"/>
        </w:rPr>
        <w:t xml:space="preserve">Comment Date:  </w:t>
      </w:r>
      <w:r w:rsidR="003B0081">
        <w:rPr>
          <w:b/>
          <w:szCs w:val="22"/>
        </w:rPr>
        <w:t>June 21, 2021</w:t>
      </w:r>
    </w:p>
    <w:p w:rsidR="00FA63F7" w:rsidRPr="00C23640" w:rsidP="00FA63F7" w14:paraId="0EA4D54D" w14:textId="26C02076">
      <w:pPr>
        <w:spacing w:before="120" w:after="120"/>
        <w:contextualSpacing/>
        <w:rPr>
          <w:b/>
          <w:szCs w:val="22"/>
        </w:rPr>
      </w:pPr>
      <w:r w:rsidRPr="00C23640">
        <w:rPr>
          <w:b/>
          <w:szCs w:val="22"/>
        </w:rPr>
        <w:t xml:space="preserve">Reply Comment </w:t>
      </w:r>
      <w:r w:rsidR="003B0081">
        <w:rPr>
          <w:b/>
          <w:szCs w:val="22"/>
        </w:rPr>
        <w:t>July 6, 2021</w:t>
      </w:r>
    </w:p>
    <w:p w:rsidR="00750733" w:rsidP="00762C38" w14:paraId="3BE5DEE1" w14:textId="77777777">
      <w:pPr>
        <w:jc w:val="center"/>
        <w:rPr>
          <w:b/>
          <w:caps/>
          <w:szCs w:val="22"/>
        </w:rPr>
      </w:pPr>
    </w:p>
    <w:p w:rsidR="00750733" w:rsidP="00305A00" w14:paraId="3116F442" w14:textId="77777777">
      <w:pPr>
        <w:jc w:val="center"/>
        <w:rPr>
          <w:b/>
          <w:caps/>
          <w:szCs w:val="22"/>
        </w:rPr>
      </w:pPr>
      <w:r w:rsidRPr="00C23640">
        <w:rPr>
          <w:b/>
          <w:caps/>
          <w:szCs w:val="22"/>
        </w:rPr>
        <w:t xml:space="preserve">WIRELINE COMPETITION Bureau Seeks Comment on COMCAST </w:t>
      </w:r>
    </w:p>
    <w:p w:rsidR="00305A00" w:rsidRPr="00C23640" w:rsidP="00305A00" w14:paraId="561B0068" w14:textId="32FD40B5">
      <w:pPr>
        <w:jc w:val="center"/>
        <w:rPr>
          <w:b/>
          <w:caps/>
          <w:szCs w:val="22"/>
        </w:rPr>
      </w:pPr>
      <w:r w:rsidRPr="00C23640">
        <w:rPr>
          <w:b/>
          <w:caps/>
          <w:szCs w:val="22"/>
        </w:rPr>
        <w:t xml:space="preserve">PETITION FOR WAIVER </w:t>
      </w:r>
      <w:r w:rsidR="00750733">
        <w:rPr>
          <w:b/>
          <w:caps/>
          <w:szCs w:val="22"/>
        </w:rPr>
        <w:t xml:space="preserve">regarding its </w:t>
      </w:r>
      <w:r w:rsidRPr="00C23640">
        <w:rPr>
          <w:b/>
          <w:caps/>
          <w:szCs w:val="22"/>
        </w:rPr>
        <w:t xml:space="preserve">LIFT </w:t>
      </w:r>
      <w:r w:rsidR="00762C38">
        <w:rPr>
          <w:b/>
          <w:caps/>
          <w:szCs w:val="22"/>
        </w:rPr>
        <w:t>zone i</w:t>
      </w:r>
      <w:r w:rsidR="003B0081">
        <w:rPr>
          <w:b/>
          <w:caps/>
          <w:szCs w:val="22"/>
        </w:rPr>
        <w:t>NITIative</w:t>
      </w:r>
    </w:p>
    <w:p w:rsidR="00305A00" w:rsidRPr="00C23640" w:rsidP="00305A00" w14:paraId="73EE57B5" w14:textId="77777777">
      <w:pPr>
        <w:jc w:val="center"/>
        <w:rPr>
          <w:b/>
          <w:caps/>
          <w:szCs w:val="22"/>
        </w:rPr>
      </w:pPr>
    </w:p>
    <w:p w:rsidR="00305A00" w:rsidRPr="00C23640" w:rsidP="00305A00" w14:paraId="4EB4291A" w14:textId="52161C1E">
      <w:pPr>
        <w:jc w:val="center"/>
        <w:rPr>
          <w:b/>
          <w:szCs w:val="22"/>
        </w:rPr>
      </w:pPr>
      <w:r w:rsidRPr="00C23640">
        <w:rPr>
          <w:b/>
          <w:szCs w:val="22"/>
        </w:rPr>
        <w:t>CC Docket No. 02-6</w:t>
      </w:r>
    </w:p>
    <w:p w:rsidR="00305A00" w:rsidP="00305A00" w14:paraId="35417AFF" w14:textId="2C186925">
      <w:pPr>
        <w:jc w:val="center"/>
        <w:rPr>
          <w:b/>
          <w:szCs w:val="22"/>
        </w:rPr>
      </w:pPr>
    </w:p>
    <w:p w:rsidR="006B6CF1" w:rsidP="00122584" w14:paraId="18538A1B" w14:textId="7DC09C0F">
      <w:pPr>
        <w:autoSpaceDE w:val="0"/>
        <w:autoSpaceDN w:val="0"/>
        <w:spacing w:line="254" w:lineRule="auto"/>
        <w:ind w:right="154" w:firstLine="720"/>
        <w:rPr>
          <w:snapToGrid/>
          <w:kern w:val="0"/>
          <w:szCs w:val="22"/>
        </w:rPr>
      </w:pPr>
      <w:r w:rsidRPr="006B6CF1">
        <w:rPr>
          <w:snapToGrid/>
          <w:kern w:val="0"/>
          <w:szCs w:val="22"/>
        </w:rPr>
        <w:t xml:space="preserve">The Wireline Competition Bureau seeks comment on a petition for </w:t>
      </w:r>
      <w:r>
        <w:rPr>
          <w:snapToGrid/>
          <w:kern w:val="0"/>
          <w:szCs w:val="22"/>
        </w:rPr>
        <w:t xml:space="preserve">waiver </w:t>
      </w:r>
      <w:r w:rsidRPr="006B6CF1">
        <w:rPr>
          <w:snapToGrid/>
          <w:kern w:val="0"/>
          <w:szCs w:val="22"/>
        </w:rPr>
        <w:t xml:space="preserve">filed by </w:t>
      </w:r>
      <w:r>
        <w:rPr>
          <w:snapToGrid/>
          <w:kern w:val="0"/>
          <w:szCs w:val="22"/>
        </w:rPr>
        <w:t>Comcast Corporation and its affiliates (Comcast)</w:t>
      </w:r>
      <w:r w:rsidR="00762C38">
        <w:rPr>
          <w:snapToGrid/>
          <w:kern w:val="0"/>
          <w:szCs w:val="22"/>
        </w:rPr>
        <w:t xml:space="preserve"> requesting that the </w:t>
      </w:r>
      <w:r w:rsidRPr="006B6CF1">
        <w:rPr>
          <w:snapToGrid/>
          <w:kern w:val="0"/>
          <w:szCs w:val="22"/>
        </w:rPr>
        <w:t xml:space="preserve">Federal Communications Commission </w:t>
      </w:r>
      <w:r>
        <w:rPr>
          <w:snapToGrid/>
          <w:kern w:val="0"/>
          <w:szCs w:val="22"/>
        </w:rPr>
        <w:t>waive certain E-Rate rules to allow it to conduct a pilot program with several libraries to expand its “Lift Zone” initiative.</w:t>
      </w:r>
      <w:r>
        <w:rPr>
          <w:rStyle w:val="FootnoteReference"/>
          <w:snapToGrid/>
          <w:kern w:val="0"/>
          <w:szCs w:val="22"/>
        </w:rPr>
        <w:footnoteReference w:id="3"/>
      </w:r>
      <w:r>
        <w:rPr>
          <w:snapToGrid/>
          <w:kern w:val="0"/>
          <w:szCs w:val="22"/>
        </w:rPr>
        <w:t xml:space="preserve">   </w:t>
      </w:r>
      <w:r w:rsidR="00750733">
        <w:rPr>
          <w:snapToGrid/>
          <w:kern w:val="0"/>
          <w:szCs w:val="22"/>
        </w:rPr>
        <w:t>Comcast</w:t>
      </w:r>
      <w:r w:rsidR="00392B1A">
        <w:rPr>
          <w:snapToGrid/>
          <w:kern w:val="0"/>
          <w:szCs w:val="22"/>
        </w:rPr>
        <w:t xml:space="preserve"> states that it</w:t>
      </w:r>
      <w:r w:rsidR="008E4D20">
        <w:rPr>
          <w:snapToGrid/>
          <w:kern w:val="0"/>
          <w:szCs w:val="22"/>
        </w:rPr>
        <w:t>s</w:t>
      </w:r>
      <w:r w:rsidR="00750733">
        <w:rPr>
          <w:snapToGrid/>
          <w:kern w:val="0"/>
          <w:szCs w:val="22"/>
        </w:rPr>
        <w:t xml:space="preserve"> Lift Zone initiative is designed to address the Homework Gap and the digital divide by setting up safe places where students and members of the community may use Internet services to participate in remote learning and complete homework assignments.</w:t>
      </w:r>
      <w:r>
        <w:rPr>
          <w:rStyle w:val="FootnoteReference"/>
          <w:snapToGrid/>
          <w:kern w:val="0"/>
          <w:szCs w:val="22"/>
        </w:rPr>
        <w:footnoteReference w:id="4"/>
      </w:r>
      <w:r w:rsidR="00750733">
        <w:rPr>
          <w:snapToGrid/>
          <w:kern w:val="0"/>
          <w:szCs w:val="22"/>
        </w:rPr>
        <w:t xml:space="preserve">  </w:t>
      </w:r>
      <w:r>
        <w:rPr>
          <w:snapToGrid/>
          <w:kern w:val="0"/>
          <w:szCs w:val="22"/>
        </w:rPr>
        <w:t xml:space="preserve">Comcast proposes to partner with </w:t>
      </w:r>
      <w:r w:rsidR="00762C38">
        <w:rPr>
          <w:snapToGrid/>
          <w:kern w:val="0"/>
          <w:szCs w:val="22"/>
        </w:rPr>
        <w:t>seven</w:t>
      </w:r>
      <w:r>
        <w:rPr>
          <w:snapToGrid/>
          <w:kern w:val="0"/>
          <w:szCs w:val="22"/>
        </w:rPr>
        <w:t xml:space="preserve"> selected </w:t>
      </w:r>
      <w:r w:rsidR="00750733">
        <w:rPr>
          <w:snapToGrid/>
          <w:kern w:val="0"/>
          <w:szCs w:val="22"/>
        </w:rPr>
        <w:t>library systems</w:t>
      </w:r>
      <w:r>
        <w:rPr>
          <w:snapToGrid/>
          <w:kern w:val="0"/>
          <w:szCs w:val="22"/>
        </w:rPr>
        <w:t xml:space="preserve"> to establish Lift Zones and will provide the libraries</w:t>
      </w:r>
      <w:r w:rsidR="00762C38">
        <w:rPr>
          <w:snapToGrid/>
          <w:kern w:val="0"/>
          <w:szCs w:val="22"/>
        </w:rPr>
        <w:t xml:space="preserve"> with</w:t>
      </w:r>
      <w:r>
        <w:rPr>
          <w:snapToGrid/>
          <w:kern w:val="0"/>
          <w:szCs w:val="22"/>
        </w:rPr>
        <w:t xml:space="preserve">: (1) complimentary Business Internet connection; (2) business-grade, high capacity Wi-Fi Pro service which simplifies the set-up and management of the Wi-Fi network; and (3) Security Edge service which protects </w:t>
      </w:r>
      <w:r w:rsidR="00762C38">
        <w:rPr>
          <w:snapToGrid/>
          <w:kern w:val="0"/>
          <w:szCs w:val="22"/>
        </w:rPr>
        <w:t xml:space="preserve">Lift Zone </w:t>
      </w:r>
      <w:r>
        <w:rPr>
          <w:snapToGrid/>
          <w:kern w:val="0"/>
          <w:szCs w:val="22"/>
        </w:rPr>
        <w:t>users from cyberthreats and inappropriate content.</w:t>
      </w:r>
      <w:r>
        <w:rPr>
          <w:rStyle w:val="FootnoteReference"/>
          <w:snapToGrid/>
          <w:kern w:val="0"/>
          <w:szCs w:val="22"/>
        </w:rPr>
        <w:footnoteReference w:id="5"/>
      </w:r>
      <w:r w:rsidR="00750733">
        <w:rPr>
          <w:snapToGrid/>
          <w:kern w:val="0"/>
          <w:szCs w:val="22"/>
        </w:rPr>
        <w:t xml:space="preserve">  Comcast is requesting a waiver of </w:t>
      </w:r>
      <w:r w:rsidR="008E4D20">
        <w:rPr>
          <w:snapToGrid/>
          <w:kern w:val="0"/>
          <w:szCs w:val="22"/>
        </w:rPr>
        <w:t xml:space="preserve">sections </w:t>
      </w:r>
      <w:r w:rsidR="00750733">
        <w:rPr>
          <w:snapToGrid/>
          <w:kern w:val="0"/>
          <w:szCs w:val="22"/>
        </w:rPr>
        <w:t>54.503(d)(1) and 54.523</w:t>
      </w:r>
      <w:r w:rsidR="00B10D83">
        <w:rPr>
          <w:snapToGrid/>
          <w:kern w:val="0"/>
          <w:szCs w:val="22"/>
        </w:rPr>
        <w:t xml:space="preserve"> of the Commission’s rules</w:t>
      </w:r>
      <w:r w:rsidR="00750733">
        <w:rPr>
          <w:snapToGrid/>
          <w:kern w:val="0"/>
          <w:szCs w:val="22"/>
        </w:rPr>
        <w:t>,</w:t>
      </w:r>
      <w:r>
        <w:rPr>
          <w:rStyle w:val="FootnoteReference"/>
          <w:snapToGrid/>
          <w:kern w:val="0"/>
          <w:szCs w:val="22"/>
        </w:rPr>
        <w:footnoteReference w:id="6"/>
      </w:r>
      <w:r w:rsidR="00750733">
        <w:rPr>
          <w:snapToGrid/>
          <w:kern w:val="0"/>
          <w:szCs w:val="22"/>
        </w:rPr>
        <w:t xml:space="preserve"> and any other Commission rule</w:t>
      </w:r>
      <w:r w:rsidR="00657363">
        <w:rPr>
          <w:snapToGrid/>
          <w:kern w:val="0"/>
          <w:szCs w:val="22"/>
        </w:rPr>
        <w:t>s</w:t>
      </w:r>
      <w:r w:rsidR="00750733">
        <w:rPr>
          <w:snapToGrid/>
          <w:kern w:val="0"/>
          <w:szCs w:val="22"/>
        </w:rPr>
        <w:t xml:space="preserve"> necessary, to be able to establish Lift Zones at these selected library systems. </w:t>
      </w:r>
    </w:p>
    <w:p w:rsidR="00AC62CF" w:rsidRPr="006B6CF1" w:rsidP="00122584" w14:paraId="7D0E6710" w14:textId="77777777">
      <w:pPr>
        <w:autoSpaceDE w:val="0"/>
        <w:autoSpaceDN w:val="0"/>
        <w:spacing w:line="254" w:lineRule="auto"/>
        <w:ind w:right="154" w:firstLine="720"/>
        <w:rPr>
          <w:snapToGrid/>
          <w:kern w:val="0"/>
          <w:sz w:val="14"/>
          <w:szCs w:val="22"/>
        </w:rPr>
      </w:pPr>
    </w:p>
    <w:p w:rsidR="00305A00" w:rsidP="00122584" w14:paraId="5622179E" w14:textId="00F6B197">
      <w:pPr>
        <w:autoSpaceDE w:val="0"/>
        <w:autoSpaceDN w:val="0"/>
        <w:adjustRightInd w:val="0"/>
        <w:spacing w:line="254" w:lineRule="auto"/>
        <w:ind w:firstLine="720"/>
      </w:pPr>
      <w:r w:rsidRPr="00AC62CF">
        <w:rPr>
          <w:i/>
          <w:iCs/>
          <w:sz w:val="23"/>
          <w:szCs w:val="23"/>
        </w:rPr>
        <w:t>Filing Instructions</w:t>
      </w:r>
      <w:r>
        <w:rPr>
          <w:sz w:val="23"/>
          <w:szCs w:val="23"/>
        </w:rPr>
        <w:t xml:space="preserve">.  </w:t>
      </w:r>
      <w:r w:rsidRPr="00E62C5F">
        <w:rPr>
          <w:sz w:val="23"/>
          <w:szCs w:val="23"/>
        </w:rPr>
        <w:t xml:space="preserve">Pursuant to sections 1.415 and 1.419 of the Commission’s rules, 47 CFR §§ 1.415, 1.419, interested parties </w:t>
      </w:r>
      <w:r w:rsidRPr="00EE2138" w:rsidR="00657363">
        <w:rPr>
          <w:szCs w:val="22"/>
        </w:rPr>
        <w:t>may file comments and reply comments on or before the dates indicated on the first page of this document</w:t>
      </w:r>
      <w:r w:rsidRPr="00E62C5F">
        <w:rPr>
          <w:sz w:val="23"/>
          <w:szCs w:val="23"/>
        </w:rPr>
        <w:t>.</w:t>
      </w:r>
      <w:r>
        <w:rPr>
          <w:rStyle w:val="FootnoteReference"/>
          <w:szCs w:val="23"/>
        </w:rPr>
        <w:footnoteReference w:id="7"/>
      </w:r>
      <w:r w:rsidRPr="00E62C5F">
        <w:rPr>
          <w:sz w:val="23"/>
          <w:szCs w:val="23"/>
        </w:rPr>
        <w:t xml:space="preserve">  </w:t>
      </w:r>
      <w:r w:rsidRPr="00690307" w:rsidR="00762C38">
        <w:t xml:space="preserve">All filings should refer to </w:t>
      </w:r>
      <w:r w:rsidR="00762C38">
        <w:t>C</w:t>
      </w:r>
      <w:r w:rsidRPr="00690307" w:rsidR="00762C38">
        <w:t xml:space="preserve">C Docket No. </w:t>
      </w:r>
      <w:r w:rsidR="00762C38">
        <w:t>02-6</w:t>
      </w:r>
      <w:r w:rsidRPr="00690307" w:rsidR="00762C38">
        <w:t xml:space="preserve">.  Comments may be filed by paper or by using the Commission’s Electronic Comment Filing System (ECFS).  </w:t>
      </w:r>
      <w:r w:rsidRPr="00690307" w:rsidR="00762C38">
        <w:rPr>
          <w:i/>
        </w:rPr>
        <w:t>See Electronic Filing of Documents in Rulemaking Proceedings</w:t>
      </w:r>
      <w:r w:rsidRPr="00690307" w:rsidR="00762C38">
        <w:t>, 63 FR 24121 (1998).</w:t>
      </w:r>
    </w:p>
    <w:p w:rsidR="00750733" w:rsidRPr="00E62C5F" w:rsidP="00750733" w14:paraId="0E772BB2" w14:textId="77777777">
      <w:pPr>
        <w:autoSpaceDE w:val="0"/>
        <w:autoSpaceDN w:val="0"/>
        <w:adjustRightInd w:val="0"/>
        <w:spacing w:line="254" w:lineRule="auto"/>
        <w:ind w:firstLine="720"/>
        <w:rPr>
          <w:sz w:val="23"/>
          <w:szCs w:val="23"/>
        </w:rPr>
      </w:pPr>
    </w:p>
    <w:p w:rsidR="00F05028" w:rsidP="00657363" w14:paraId="18AAC26F" w14:textId="095D9849">
      <w:pPr>
        <w:pStyle w:val="ListParagraph"/>
        <w:widowControl/>
        <w:numPr>
          <w:ilvl w:val="0"/>
          <w:numId w:val="14"/>
        </w:numPr>
        <w:spacing w:line="254" w:lineRule="auto"/>
        <w:rPr>
          <w:szCs w:val="22"/>
        </w:rPr>
      </w:pPr>
      <w:r w:rsidRPr="00762C38">
        <w:rPr>
          <w:iCs/>
          <w:szCs w:val="22"/>
        </w:rPr>
        <w:t>Electronic Filers</w:t>
      </w:r>
      <w:r w:rsidRPr="00F05028">
        <w:rPr>
          <w:szCs w:val="22"/>
        </w:rPr>
        <w:t xml:space="preserve">:  Comments may be filed electronically using the Internet by accessing ECFS:  </w:t>
      </w:r>
      <w:hyperlink r:id="rId5" w:history="1">
        <w:r w:rsidRPr="00F05028">
          <w:rPr>
            <w:rStyle w:val="Hyperlink"/>
            <w:szCs w:val="22"/>
          </w:rPr>
          <w:t>https://www.fcc.gov/ecfs/</w:t>
        </w:r>
      </w:hyperlink>
      <w:r w:rsidRPr="00F05028">
        <w:rPr>
          <w:szCs w:val="22"/>
        </w:rPr>
        <w:t>.</w:t>
      </w:r>
    </w:p>
    <w:p w:rsidR="00750733" w:rsidRPr="00750733" w:rsidP="00750733" w14:paraId="66A7CFEE" w14:textId="77777777">
      <w:pPr>
        <w:widowControl/>
        <w:spacing w:line="254" w:lineRule="auto"/>
        <w:rPr>
          <w:szCs w:val="22"/>
        </w:rPr>
      </w:pPr>
    </w:p>
    <w:p w:rsidR="00657363" w:rsidP="00657363" w14:paraId="2139EDBE" w14:textId="77777777">
      <w:pPr>
        <w:numPr>
          <w:ilvl w:val="0"/>
          <w:numId w:val="14"/>
        </w:numPr>
        <w:spacing w:after="120"/>
        <w:rPr>
          <w:szCs w:val="18"/>
        </w:rPr>
      </w:pPr>
      <w:r>
        <w:rPr>
          <w:szCs w:val="18"/>
        </w:rPr>
        <w:t xml:space="preserve">Paper Filers:  Parties who choose to file by paper must file an original and one copy of each filing. </w:t>
      </w:r>
    </w:p>
    <w:p w:rsidR="00762C38" w:rsidRPr="00762C38" w:rsidP="00657363" w14:paraId="528D0910" w14:textId="77777777">
      <w:pPr>
        <w:pStyle w:val="ListParagraph"/>
        <w:numPr>
          <w:ilvl w:val="0"/>
          <w:numId w:val="14"/>
        </w:numPr>
        <w:tabs>
          <w:tab w:val="left" w:pos="1839"/>
          <w:tab w:val="left" w:pos="1840"/>
        </w:tabs>
        <w:autoSpaceDE w:val="0"/>
        <w:autoSpaceDN w:val="0"/>
        <w:spacing w:line="254" w:lineRule="auto"/>
        <w:ind w:right="496"/>
        <w:rPr>
          <w:snapToGrid/>
          <w:kern w:val="0"/>
          <w:szCs w:val="22"/>
        </w:rPr>
      </w:pPr>
      <w:r w:rsidRPr="00762C38">
        <w:rPr>
          <w:snapToGrid/>
          <w:kern w:val="0"/>
          <w:szCs w:val="22"/>
        </w:rPr>
        <w:t>Filings can be sent by commercial overnight courier, or by first-class or overnight U.S.</w:t>
      </w:r>
      <w:r w:rsidRPr="00762C38">
        <w:rPr>
          <w:snapToGrid/>
          <w:spacing w:val="-18"/>
          <w:kern w:val="0"/>
          <w:szCs w:val="22"/>
        </w:rPr>
        <w:t xml:space="preserve"> </w:t>
      </w:r>
      <w:r w:rsidRPr="00762C38">
        <w:rPr>
          <w:snapToGrid/>
          <w:kern w:val="0"/>
          <w:szCs w:val="22"/>
        </w:rPr>
        <w:t>Postal Service mail.  All filings must be addressed to the Commission’s Secretary, Office of the Secretary, Federal Communications</w:t>
      </w:r>
      <w:r w:rsidRPr="00762C38">
        <w:rPr>
          <w:snapToGrid/>
          <w:spacing w:val="-1"/>
          <w:kern w:val="0"/>
          <w:szCs w:val="22"/>
        </w:rPr>
        <w:t xml:space="preserve"> </w:t>
      </w:r>
      <w:r w:rsidRPr="00762C38">
        <w:rPr>
          <w:snapToGrid/>
          <w:kern w:val="0"/>
          <w:szCs w:val="22"/>
        </w:rPr>
        <w:t>Commission.</w:t>
      </w:r>
    </w:p>
    <w:p w:rsidR="00762C38" w:rsidRPr="00762C38" w:rsidP="00750733" w14:paraId="07A17EA9" w14:textId="77777777">
      <w:pPr>
        <w:autoSpaceDE w:val="0"/>
        <w:autoSpaceDN w:val="0"/>
        <w:spacing w:line="254" w:lineRule="auto"/>
        <w:rPr>
          <w:snapToGrid/>
          <w:kern w:val="0"/>
          <w:sz w:val="23"/>
          <w:szCs w:val="22"/>
        </w:rPr>
      </w:pPr>
    </w:p>
    <w:p w:rsidR="00762C38" w:rsidP="00657363" w14:paraId="5984D6AF" w14:textId="4A010E8A">
      <w:pPr>
        <w:pStyle w:val="ListParagraph"/>
        <w:numPr>
          <w:ilvl w:val="1"/>
          <w:numId w:val="14"/>
        </w:numPr>
        <w:tabs>
          <w:tab w:val="left" w:pos="1839"/>
          <w:tab w:val="left" w:pos="1840"/>
        </w:tabs>
        <w:autoSpaceDE w:val="0"/>
        <w:autoSpaceDN w:val="0"/>
        <w:spacing w:line="254" w:lineRule="auto"/>
        <w:ind w:right="190"/>
        <w:rPr>
          <w:snapToGrid/>
          <w:kern w:val="0"/>
          <w:szCs w:val="22"/>
        </w:rPr>
      </w:pPr>
      <w:r w:rsidRPr="00762C38">
        <w:rPr>
          <w:snapToGrid/>
          <w:kern w:val="0"/>
          <w:szCs w:val="22"/>
        </w:rPr>
        <w:t xml:space="preserve">Commercial overnight mail (other than U.S. Postal Service Express Mail and Priority Mail) must be sent to 9050 Junction Drive, Annapolis Junction, MD 20701. </w:t>
      </w:r>
    </w:p>
    <w:p w:rsidR="00762C38" w:rsidRPr="00762C38" w:rsidP="00750733" w14:paraId="45ED1B9C" w14:textId="77777777">
      <w:pPr>
        <w:pStyle w:val="ListParagraph"/>
        <w:spacing w:line="254" w:lineRule="auto"/>
        <w:rPr>
          <w:snapToGrid/>
          <w:kern w:val="0"/>
          <w:szCs w:val="22"/>
        </w:rPr>
      </w:pPr>
    </w:p>
    <w:p w:rsidR="00762C38" w:rsidRPr="00762C38" w:rsidP="00657363" w14:paraId="421DDBE0" w14:textId="77777777">
      <w:pPr>
        <w:pStyle w:val="ListParagraph"/>
        <w:numPr>
          <w:ilvl w:val="1"/>
          <w:numId w:val="14"/>
        </w:numPr>
        <w:spacing w:line="254" w:lineRule="auto"/>
        <w:rPr>
          <w:snapToGrid/>
          <w:kern w:val="0"/>
          <w:szCs w:val="22"/>
        </w:rPr>
      </w:pPr>
      <w:r w:rsidRPr="00762C38">
        <w:rPr>
          <w:snapToGrid/>
          <w:kern w:val="0"/>
          <w:szCs w:val="22"/>
        </w:rPr>
        <w:t>U.S. Postal Service first-class, Express, and Priority mail must be addressed to 45 L Street, NE, Washington DC 20554.</w:t>
      </w:r>
    </w:p>
    <w:p w:rsidR="00762C38" w:rsidP="00750733" w14:paraId="77F6CFC1" w14:textId="77777777">
      <w:pPr>
        <w:pStyle w:val="ListParagraph"/>
        <w:widowControl/>
        <w:spacing w:line="254" w:lineRule="auto"/>
        <w:rPr>
          <w:szCs w:val="22"/>
        </w:rPr>
      </w:pPr>
    </w:p>
    <w:p w:rsidR="00F05028" w:rsidRPr="00F05028" w:rsidP="00657363" w14:paraId="70717DB3" w14:textId="337D705D">
      <w:pPr>
        <w:pStyle w:val="ListParagraph"/>
        <w:widowControl/>
        <w:numPr>
          <w:ilvl w:val="0"/>
          <w:numId w:val="14"/>
        </w:numPr>
        <w:spacing w:line="254" w:lineRule="auto"/>
        <w:rPr>
          <w:szCs w:val="22"/>
        </w:rPr>
      </w:pPr>
      <w:r w:rsidRPr="00856BB6">
        <w:t xml:space="preserve">Effective March 19, 2020, and until further notice, the Commission no longer accepts any hand or messenger delivered filings. </w:t>
      </w:r>
      <w:r>
        <w:t xml:space="preserve"> </w:t>
      </w:r>
      <w:r w:rsidRPr="00856BB6">
        <w:t>This is a temporary measure taken to help protect the health and safety of individuals, and to mitigate the transmission of COVID-19.</w:t>
      </w:r>
      <w:r>
        <w:rPr>
          <w:rStyle w:val="FootnoteReference"/>
        </w:rPr>
        <w:footnoteReference w:id="8"/>
      </w:r>
      <w:r w:rsidRPr="001C4DD9">
        <w:t xml:space="preserve"> </w:t>
      </w:r>
      <w:r w:rsidRPr="00856BB6">
        <w:t xml:space="preserve"> </w:t>
      </w:r>
    </w:p>
    <w:p w:rsidR="00F05028" w:rsidRPr="00F05028" w:rsidP="00750733" w14:paraId="02B570E9" w14:textId="77777777">
      <w:pPr>
        <w:pStyle w:val="ListParagraph"/>
        <w:spacing w:line="254" w:lineRule="auto"/>
        <w:rPr>
          <w:szCs w:val="22"/>
        </w:rPr>
      </w:pPr>
    </w:p>
    <w:p w:rsidR="00F05028" w:rsidP="00750733" w14:paraId="43929345" w14:textId="409A7FC4">
      <w:pPr>
        <w:widowControl/>
        <w:spacing w:line="254" w:lineRule="auto"/>
        <w:ind w:firstLine="720"/>
        <w:rPr>
          <w:szCs w:val="22"/>
        </w:rPr>
      </w:pPr>
      <w:r w:rsidRPr="00063623">
        <w:rPr>
          <w:i/>
          <w:szCs w:val="22"/>
        </w:rPr>
        <w:t>People with Disabilities</w:t>
      </w:r>
      <w:r w:rsidRPr="00063623">
        <w:rPr>
          <w:szCs w:val="22"/>
        </w:rPr>
        <w:t xml:space="preserve">.  To request materials in accessible formats for people with disabilities (Braille, large print, electronic files, audio format), send an e-mail to </w:t>
      </w:r>
      <w:hyperlink r:id="rId6" w:history="1">
        <w:r w:rsidRPr="00063623">
          <w:rPr>
            <w:color w:val="0000FF"/>
            <w:szCs w:val="22"/>
            <w:u w:val="single"/>
          </w:rPr>
          <w:t>fcc504@fcc.gov</w:t>
        </w:r>
      </w:hyperlink>
      <w:r w:rsidRPr="00063623">
        <w:rPr>
          <w:szCs w:val="22"/>
          <w:u w:val="single"/>
        </w:rPr>
        <w:t xml:space="preserve"> </w:t>
      </w:r>
      <w:r w:rsidRPr="00063623">
        <w:rPr>
          <w:szCs w:val="22"/>
        </w:rPr>
        <w:t>or call the Consumer &amp; Governmental Affairs Bureau at (202) 418-0530.</w:t>
      </w:r>
    </w:p>
    <w:p w:rsidR="00750733" w:rsidRPr="00063623" w:rsidP="00750733" w14:paraId="02244E1C" w14:textId="77777777">
      <w:pPr>
        <w:widowControl/>
        <w:spacing w:line="254" w:lineRule="auto"/>
        <w:ind w:firstLine="720"/>
        <w:rPr>
          <w:szCs w:val="22"/>
        </w:rPr>
      </w:pPr>
    </w:p>
    <w:p w:rsidR="00F05028" w:rsidP="00750733" w14:paraId="6E4C5DC0" w14:textId="4682403C">
      <w:pPr>
        <w:spacing w:line="254" w:lineRule="auto"/>
        <w:ind w:firstLine="720"/>
      </w:pPr>
      <w:r w:rsidRPr="00063623">
        <w:rPr>
          <w:i/>
        </w:rPr>
        <w:t>Ex Parte Rules</w:t>
      </w:r>
      <w:r w:rsidRPr="00063623">
        <w:t xml:space="preserve">. </w:t>
      </w:r>
      <w:r>
        <w:t xml:space="preserve"> </w:t>
      </w:r>
      <w:r w:rsidRPr="00063623">
        <w:t xml:space="preserve">Proceedings in this Notice shall be treated as a “permit-but-disclose” proceeding in accordance with the Commission’s </w:t>
      </w:r>
      <w:r w:rsidRPr="00063623">
        <w:rPr>
          <w:i/>
        </w:rPr>
        <w:t>ex parte</w:t>
      </w:r>
      <w:r w:rsidRPr="00063623">
        <w:t xml:space="preserve"> rules.</w:t>
      </w:r>
      <w:r>
        <w:rPr>
          <w:vertAlign w:val="superscript"/>
        </w:rPr>
        <w:footnoteReference w:id="9"/>
      </w:r>
      <w:r w:rsidRPr="00063623">
        <w:t xml:space="preserve">  Persons making </w:t>
      </w:r>
      <w:r w:rsidRPr="00063623">
        <w:rPr>
          <w:i/>
        </w:rPr>
        <w:t>ex parte</w:t>
      </w:r>
      <w:r w:rsidRPr="00063623">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063623">
        <w:rPr>
          <w:i/>
        </w:rPr>
        <w:t>ex parte</w:t>
      </w:r>
      <w:r w:rsidRPr="00063623">
        <w:t xml:space="preserve"> presentations are reminded that memoranda summarizing the presentation must</w:t>
      </w:r>
      <w:r w:rsidR="00122584">
        <w:t xml:space="preserve">: </w:t>
      </w:r>
      <w:r w:rsidRPr="00063623">
        <w:t xml:space="preserve"> (1) list all persons attending or otherwise participating in the meeting at which the </w:t>
      </w:r>
      <w:r w:rsidRPr="00063623">
        <w:rPr>
          <w:i/>
        </w:rPr>
        <w:t>ex parte</w:t>
      </w:r>
      <w:r w:rsidRPr="00063623">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w:t>
      </w:r>
      <w:r>
        <w:t xml:space="preserve"> </w:t>
      </w:r>
      <w:r w:rsidRPr="00063623">
        <w:t xml:space="preserve">Documents shown or given to Commission staff during </w:t>
      </w:r>
      <w:r w:rsidRPr="00063623">
        <w:rPr>
          <w:i/>
        </w:rPr>
        <w:t>ex parte</w:t>
      </w:r>
      <w:r w:rsidRPr="00063623">
        <w:t xml:space="preserve"> meetings are deemed to be written </w:t>
      </w:r>
      <w:r w:rsidRPr="00063623">
        <w:rPr>
          <w:i/>
        </w:rPr>
        <w:t>ex parte</w:t>
      </w:r>
      <w:r w:rsidRPr="00063623">
        <w:t xml:space="preserve"> presentations and must be filed consistent with rule 1.1206(b).  In proceedings governed by rule 1.49(f) or for which the Commission has made available a method of electronic filing, written </w:t>
      </w:r>
      <w:r w:rsidRPr="005C57AA">
        <w:rPr>
          <w:i/>
        </w:rPr>
        <w:t>ex parte</w:t>
      </w:r>
      <w:r w:rsidRPr="00063623">
        <w:t xml:space="preserve"> presentations and memoranda summarizing oral </w:t>
      </w:r>
      <w:r w:rsidRPr="00063623">
        <w:rPr>
          <w:i/>
        </w:rPr>
        <w:t>ex parte</w:t>
      </w:r>
      <w:r w:rsidRPr="00063623">
        <w:t xml:space="preserve"> presentations, and all attachments thereto, must be filed through the electronic comment filing system available for that proceeding, and must be filed in their native format (e.g., .doc, .xml, .ppt, searchable .pdf).  Participants in these proceedings should familiarize themselves with the Commission’s </w:t>
      </w:r>
      <w:r w:rsidRPr="00063623">
        <w:rPr>
          <w:i/>
        </w:rPr>
        <w:t>ex parte</w:t>
      </w:r>
      <w:r w:rsidRPr="00063623">
        <w:t xml:space="preserve"> rules.</w:t>
      </w:r>
    </w:p>
    <w:p w:rsidR="00750733" w:rsidRPr="00F05028" w:rsidP="00750733" w14:paraId="206100DA" w14:textId="77777777">
      <w:pPr>
        <w:spacing w:line="254" w:lineRule="auto"/>
        <w:ind w:firstLine="720"/>
      </w:pPr>
    </w:p>
    <w:p w:rsidR="008F0B78" w:rsidP="009F09A4" w14:paraId="1A4D287F" w14:textId="7A7F2291">
      <w:pPr>
        <w:ind w:firstLine="720"/>
        <w:rPr>
          <w:b/>
          <w:sz w:val="24"/>
        </w:rPr>
      </w:pPr>
      <w:r w:rsidRPr="002830E3">
        <w:rPr>
          <w:iCs/>
          <w:szCs w:val="22"/>
        </w:rPr>
        <w:t xml:space="preserve">For further information, please contact Gregory Vadas, Telecommunications Access Policy Division, Wireline Competition Bureau at (202) 418-1798 or </w:t>
      </w:r>
      <w:hyperlink r:id="rId7" w:history="1">
        <w:r w:rsidRPr="002830E3">
          <w:rPr>
            <w:rStyle w:val="Hyperlink"/>
            <w:iCs/>
            <w:szCs w:val="22"/>
          </w:rPr>
          <w:t>Gregory.Vadas@fcc.gov</w:t>
        </w:r>
      </w:hyperlink>
      <w:r w:rsidRPr="002830E3">
        <w:rPr>
          <w:i/>
          <w:szCs w:val="22"/>
        </w:rPr>
        <w:t>.</w:t>
      </w:r>
    </w:p>
    <w:p w:rsidR="00305A00" w14:paraId="1D174710" w14:textId="77777777">
      <w:pPr>
        <w:rPr>
          <w:bCs/>
          <w:sz w:val="24"/>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78" w14:paraId="20728244" w14:textId="77777777">
    <w:pPr>
      <w:pStyle w:val="Footer"/>
      <w:framePr w:wrap="around" w:vAnchor="text" w:hAnchor="margin" w:xAlign="center" w:y="1"/>
    </w:pPr>
    <w:r>
      <w:fldChar w:fldCharType="begin"/>
    </w:r>
    <w:r>
      <w:instrText xml:space="preserve">PAGE  </w:instrText>
    </w:r>
    <w:r>
      <w:fldChar w:fldCharType="separate"/>
    </w:r>
    <w:r>
      <w:fldChar w:fldCharType="end"/>
    </w:r>
  </w:p>
  <w:p w:rsidR="008F0B78" w14:paraId="63FC228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78" w14:paraId="5F5632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78" w14:paraId="517C06B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B48D9" w14:paraId="6277B1FB" w14:textId="77777777">
      <w:r>
        <w:separator/>
      </w:r>
    </w:p>
  </w:footnote>
  <w:footnote w:type="continuationSeparator" w:id="1">
    <w:p w:rsidR="002B48D9" w14:paraId="36AB4C3E" w14:textId="77777777">
      <w:pPr>
        <w:rPr>
          <w:sz w:val="20"/>
        </w:rPr>
      </w:pPr>
      <w:r>
        <w:rPr>
          <w:sz w:val="20"/>
        </w:rPr>
        <w:t xml:space="preserve">(Continued from previous page)  </w:t>
      </w:r>
      <w:r>
        <w:rPr>
          <w:sz w:val="20"/>
        </w:rPr>
        <w:separator/>
      </w:r>
    </w:p>
  </w:footnote>
  <w:footnote w:type="continuationNotice" w:id="2">
    <w:p w:rsidR="002B48D9" w14:paraId="4F21CF1C" w14:textId="77777777">
      <w:pPr>
        <w:jc w:val="right"/>
        <w:rPr>
          <w:sz w:val="20"/>
        </w:rPr>
      </w:pPr>
      <w:r>
        <w:rPr>
          <w:sz w:val="20"/>
        </w:rPr>
        <w:t>(continued….)</w:t>
      </w:r>
    </w:p>
  </w:footnote>
  <w:footnote w:id="3">
    <w:p w:rsidR="006B6CF1" w14:paraId="128831D5" w14:textId="389D0BE7">
      <w:pPr>
        <w:pStyle w:val="FootnoteText"/>
      </w:pPr>
      <w:r>
        <w:rPr>
          <w:rStyle w:val="FootnoteReference"/>
        </w:rPr>
        <w:footnoteRef/>
      </w:r>
      <w:r>
        <w:t xml:space="preserve"> </w:t>
      </w:r>
      <w:r w:rsidRPr="007879B5">
        <w:t>Petition for</w:t>
      </w:r>
      <w:r>
        <w:t xml:space="preserve"> Waiver of Comcast Corporation</w:t>
      </w:r>
      <w:r w:rsidR="00AC62CF">
        <w:t>,</w:t>
      </w:r>
      <w:r>
        <w:t xml:space="preserve"> </w:t>
      </w:r>
      <w:r w:rsidRPr="007879B5">
        <w:t xml:space="preserve">CC Docket No. 02-6 (filed May </w:t>
      </w:r>
      <w:r>
        <w:t>12</w:t>
      </w:r>
      <w:r w:rsidRPr="007879B5">
        <w:t>, 20</w:t>
      </w:r>
      <w:r>
        <w:t>21</w:t>
      </w:r>
      <w:r w:rsidRPr="007879B5">
        <w:t>),</w:t>
      </w:r>
      <w:r w:rsidR="00AC62CF">
        <w:t xml:space="preserve"> </w:t>
      </w:r>
      <w:hyperlink r:id="rId1" w:history="1">
        <w:r w:rsidRPr="005463E7">
          <w:rPr>
            <w:rStyle w:val="Hyperlink"/>
          </w:rPr>
          <w:t>https://www.fcc.gov/ecfs/filing/10512183336582</w:t>
        </w:r>
      </w:hyperlink>
      <w:r w:rsidR="00AC62CF">
        <w:t>.</w:t>
      </w:r>
    </w:p>
  </w:footnote>
  <w:footnote w:id="4">
    <w:p w:rsidR="00750733" w14:paraId="4E8EA2CC" w14:textId="53E77B35">
      <w:pPr>
        <w:pStyle w:val="FootnoteText"/>
      </w:pPr>
      <w:r>
        <w:rPr>
          <w:rStyle w:val="FootnoteReference"/>
        </w:rPr>
        <w:footnoteRef/>
      </w:r>
      <w:r>
        <w:t xml:space="preserve"> </w:t>
      </w:r>
      <w:r w:rsidRPr="00750733">
        <w:rPr>
          <w:i/>
          <w:iCs/>
        </w:rPr>
        <w:t>Id</w:t>
      </w:r>
      <w:r>
        <w:t>. at 1-2.</w:t>
      </w:r>
    </w:p>
  </w:footnote>
  <w:footnote w:id="5">
    <w:p w:rsidR="006B6CF1" w14:paraId="35B4B8DC" w14:textId="4F7E0B67">
      <w:pPr>
        <w:pStyle w:val="FootnoteText"/>
      </w:pPr>
      <w:r>
        <w:rPr>
          <w:rStyle w:val="FootnoteReference"/>
        </w:rPr>
        <w:footnoteRef/>
      </w:r>
      <w:r>
        <w:t xml:space="preserve"> </w:t>
      </w:r>
      <w:r w:rsidRPr="00AC62CF" w:rsidR="00AC62CF">
        <w:rPr>
          <w:i/>
          <w:iCs/>
        </w:rPr>
        <w:t>Id</w:t>
      </w:r>
      <w:r w:rsidR="00AC62CF">
        <w:t>. at 6</w:t>
      </w:r>
    </w:p>
  </w:footnote>
  <w:footnote w:id="6">
    <w:p w:rsidR="008E4D20" w14:paraId="16287E19" w14:textId="6D064906">
      <w:pPr>
        <w:pStyle w:val="FootnoteText"/>
      </w:pPr>
      <w:r>
        <w:rPr>
          <w:rStyle w:val="FootnoteReference"/>
        </w:rPr>
        <w:footnoteRef/>
      </w:r>
      <w:r>
        <w:t xml:space="preserve"> 47 CFR §§ 54.503(d)(1), 54.523.</w:t>
      </w:r>
    </w:p>
  </w:footnote>
  <w:footnote w:id="7">
    <w:p w:rsidR="00AC62CF" w14:paraId="7CF50B52" w14:textId="72DBB0A8">
      <w:pPr>
        <w:pStyle w:val="FootnoteText"/>
      </w:pPr>
      <w:r>
        <w:rPr>
          <w:rStyle w:val="FootnoteReference"/>
        </w:rPr>
        <w:footnoteRef/>
      </w:r>
      <w:r>
        <w:t xml:space="preserve"> </w:t>
      </w:r>
      <w:r w:rsidR="00762C38">
        <w:rPr>
          <w:i/>
          <w:iCs/>
        </w:rPr>
        <w:t>See</w:t>
      </w:r>
      <w:r w:rsidR="00762C38">
        <w:t xml:space="preserve"> 47 CFR § 1.4(j) (filing dates that would otherwise fall on a holiday shall be filed on the next business day).</w:t>
      </w:r>
    </w:p>
  </w:footnote>
  <w:footnote w:id="8">
    <w:p w:rsidR="00F05028" w:rsidRPr="00A676E5" w:rsidP="00F05028" w14:paraId="4CF0363C" w14:textId="77777777">
      <w:pPr>
        <w:pStyle w:val="FootnoteText"/>
      </w:pPr>
      <w:r w:rsidRPr="00A676E5">
        <w:rPr>
          <w:rStyle w:val="FootnoteReference"/>
        </w:rPr>
        <w:footnoteRef/>
      </w:r>
      <w:r w:rsidRPr="00A676E5">
        <w:t xml:space="preserve"> </w:t>
      </w:r>
      <w:r w:rsidRPr="00A676E5">
        <w:rPr>
          <w:i/>
          <w:iCs/>
          <w:snapToGrid w:val="0"/>
          <w:kern w:val="28"/>
        </w:rPr>
        <w:t>See</w:t>
      </w:r>
      <w:r w:rsidRPr="00A676E5">
        <w:rPr>
          <w:snapToGrid w:val="0"/>
          <w:kern w:val="28"/>
        </w:rPr>
        <w:t xml:space="preserve"> </w:t>
      </w:r>
      <w:r w:rsidRPr="00A676E5">
        <w:rPr>
          <w:i/>
          <w:iCs/>
          <w:snapToGrid w:val="0"/>
          <w:kern w:val="28"/>
        </w:rPr>
        <w:t>FCC Announces Closure of FCC Headquarters Open Window and Change in Hand-Delivery Filing</w:t>
      </w:r>
      <w:r w:rsidRPr="00A676E5">
        <w:rPr>
          <w:snapToGrid w:val="0"/>
          <w:kern w:val="28"/>
        </w:rPr>
        <w:t xml:space="preserve">, Public Notice, 35 FCC Rcd 2788 (2020).  </w:t>
      </w:r>
      <w:r w:rsidRPr="00A676E5">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A676E5">
        <w:rPr>
          <w:i/>
          <w:iCs/>
        </w:rPr>
        <w:t xml:space="preserve">  </w:t>
      </w:r>
    </w:p>
  </w:footnote>
  <w:footnote w:id="9">
    <w:p w:rsidR="00F05028" w:rsidP="00F05028" w14:paraId="55724FCA" w14:textId="77777777">
      <w:pPr>
        <w:pStyle w:val="FootnoteText"/>
      </w:pPr>
      <w:r w:rsidRPr="00A676E5">
        <w:rPr>
          <w:rStyle w:val="FootnoteReference"/>
        </w:rPr>
        <w:footnoteRef/>
      </w:r>
      <w:r w:rsidRPr="00A676E5">
        <w:t xml:space="preserve"> </w:t>
      </w:r>
      <w:r w:rsidRPr="00A676E5">
        <w:rPr>
          <w:i/>
        </w:rPr>
        <w:t>See</w:t>
      </w:r>
      <w:r w:rsidRPr="00A676E5">
        <w:t xml:space="preserve"> 47 CFR §§ 1.120</w:t>
      </w:r>
      <w:r w:rsidRPr="00713474">
        <w:t>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78" w14:paraId="0BFC66AD" w14:textId="2D627F70">
    <w:pPr>
      <w:tabs>
        <w:tab w:val="center" w:pos="4680"/>
        <w:tab w:val="right" w:pos="9360"/>
      </w:tabs>
    </w:pPr>
    <w:r>
      <w:rPr>
        <w:b/>
      </w:rPr>
      <w:tab/>
      <w:t>Federal Communications Commission</w:t>
    </w:r>
    <w:r>
      <w:rPr>
        <w:b/>
      </w:rPr>
      <w:tab/>
    </w:r>
    <w:r w:rsidR="009F09A4">
      <w:rPr>
        <w:b/>
      </w:rPr>
      <w:t>DA 21-597</w:t>
    </w:r>
  </w:p>
  <w:p w:rsidR="008F0B78" w14:paraId="6CFBB105" w14:textId="6836CCA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F0B78" w14:paraId="0EC2F32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0B78" w14:paraId="5E7E3FA7" w14:textId="12A685F4">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8F0B78" w14:paraId="2C5CD62A"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B66D19"/>
    <w:multiLevelType w:val="hybridMultilevel"/>
    <w:tmpl w:val="D38A10A4"/>
    <w:lvl w:ilvl="0">
      <w:start w:val="1"/>
      <w:numFmt w:val="bullet"/>
      <w:lvlText w:val=""/>
      <w:lvlJc w:val="left"/>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FFC56AF"/>
    <w:multiLevelType w:val="hybridMultilevel"/>
    <w:tmpl w:val="E710062A"/>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72645BE"/>
    <w:multiLevelType w:val="hybridMultilevel"/>
    <w:tmpl w:val="8B12CC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8B3241B"/>
    <w:multiLevelType w:val="hybridMultilevel"/>
    <w:tmpl w:val="2ED88F8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1">
    <w:nsid w:val="670A2EA2"/>
    <w:multiLevelType w:val="hybridMultilevel"/>
    <w:tmpl w:val="7D768BE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C0D6D55"/>
    <w:multiLevelType w:val="hybridMultilevel"/>
    <w:tmpl w:val="241826EC"/>
    <w:lvl w:ilvl="0">
      <w:start w:val="0"/>
      <w:numFmt w:val="bullet"/>
      <w:lvlText w:val="•"/>
      <w:lvlJc w:val="left"/>
      <w:pPr>
        <w:ind w:left="1800" w:hanging="360"/>
      </w:pPr>
      <w:rPr>
        <w:rFonts w:ascii="Arial" w:eastAsia="Arial" w:hAnsi="Arial" w:cs="Arial" w:hint="default"/>
        <w:w w:val="131"/>
        <w:sz w:val="22"/>
        <w:szCs w:val="22"/>
        <w:lang w:val="en-US" w:eastAsia="en-US" w:bidi="ar-SA"/>
      </w:rPr>
    </w:lvl>
    <w:lvl w:ilvl="1">
      <w:start w:val="0"/>
      <w:numFmt w:val="bullet"/>
      <w:lvlText w:val="•"/>
      <w:lvlJc w:val="left"/>
      <w:pPr>
        <w:ind w:left="2674" w:hanging="360"/>
      </w:pPr>
      <w:rPr>
        <w:rFonts w:hint="default"/>
        <w:lang w:val="en-US" w:eastAsia="en-US" w:bidi="ar-SA"/>
      </w:rPr>
    </w:lvl>
    <w:lvl w:ilvl="2">
      <w:start w:val="0"/>
      <w:numFmt w:val="bullet"/>
      <w:lvlText w:val="•"/>
      <w:lvlJc w:val="left"/>
      <w:pPr>
        <w:ind w:left="3548" w:hanging="360"/>
      </w:pPr>
      <w:rPr>
        <w:rFonts w:hint="default"/>
        <w:lang w:val="en-US" w:eastAsia="en-US" w:bidi="ar-SA"/>
      </w:rPr>
    </w:lvl>
    <w:lvl w:ilvl="3">
      <w:start w:val="0"/>
      <w:numFmt w:val="bullet"/>
      <w:lvlText w:val="•"/>
      <w:lvlJc w:val="left"/>
      <w:pPr>
        <w:ind w:left="4422" w:hanging="360"/>
      </w:pPr>
      <w:rPr>
        <w:rFonts w:hint="default"/>
        <w:lang w:val="en-US" w:eastAsia="en-US" w:bidi="ar-SA"/>
      </w:rPr>
    </w:lvl>
    <w:lvl w:ilvl="4">
      <w:start w:val="0"/>
      <w:numFmt w:val="bullet"/>
      <w:lvlText w:val="•"/>
      <w:lvlJc w:val="left"/>
      <w:pPr>
        <w:ind w:left="5296" w:hanging="360"/>
      </w:pPr>
      <w:rPr>
        <w:rFonts w:hint="default"/>
        <w:lang w:val="en-US" w:eastAsia="en-US" w:bidi="ar-SA"/>
      </w:rPr>
    </w:lvl>
    <w:lvl w:ilvl="5">
      <w:start w:val="0"/>
      <w:numFmt w:val="bullet"/>
      <w:lvlText w:val="•"/>
      <w:lvlJc w:val="left"/>
      <w:pPr>
        <w:ind w:left="6170" w:hanging="360"/>
      </w:pPr>
      <w:rPr>
        <w:rFonts w:hint="default"/>
        <w:lang w:val="en-US" w:eastAsia="en-US" w:bidi="ar-SA"/>
      </w:rPr>
    </w:lvl>
    <w:lvl w:ilvl="6">
      <w:start w:val="0"/>
      <w:numFmt w:val="bullet"/>
      <w:lvlText w:val="•"/>
      <w:lvlJc w:val="left"/>
      <w:pPr>
        <w:ind w:left="7044" w:hanging="360"/>
      </w:pPr>
      <w:rPr>
        <w:rFonts w:hint="default"/>
        <w:lang w:val="en-US" w:eastAsia="en-US" w:bidi="ar-SA"/>
      </w:rPr>
    </w:lvl>
    <w:lvl w:ilvl="7">
      <w:start w:val="0"/>
      <w:numFmt w:val="bullet"/>
      <w:lvlText w:val="•"/>
      <w:lvlJc w:val="left"/>
      <w:pPr>
        <w:ind w:left="7918" w:hanging="360"/>
      </w:pPr>
      <w:rPr>
        <w:rFonts w:hint="default"/>
        <w:lang w:val="en-US" w:eastAsia="en-US" w:bidi="ar-SA"/>
      </w:rPr>
    </w:lvl>
    <w:lvl w:ilvl="8">
      <w:start w:val="0"/>
      <w:numFmt w:val="bullet"/>
      <w:lvlText w:val="•"/>
      <w:lvlJc w:val="left"/>
      <w:pPr>
        <w:ind w:left="8792" w:hanging="360"/>
      </w:pPr>
      <w:rPr>
        <w:rFonts w:hint="default"/>
        <w:lang w:val="en-US" w:eastAsia="en-US" w:bidi="ar-SA"/>
      </w:rPr>
    </w:lvl>
  </w:abstractNum>
  <w:abstractNum w:abstractNumId="13">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9"/>
  </w:num>
  <w:num w:numId="5">
    <w:abstractNumId w:val="5"/>
  </w:num>
  <w:num w:numId="6">
    <w:abstractNumId w:val="1"/>
  </w:num>
  <w:num w:numId="7">
    <w:abstractNumId w:val="11"/>
  </w:num>
  <w:num w:numId="8">
    <w:abstractNumId w:val="0"/>
  </w:num>
  <w:num w:numId="9">
    <w:abstractNumId w:val="7"/>
  </w:num>
  <w:num w:numId="10">
    <w:abstractNumId w:val="13"/>
  </w:num>
  <w:num w:numId="11">
    <w:abstractNumId w:val="2"/>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00"/>
    <w:rsid w:val="00056E11"/>
    <w:rsid w:val="00063623"/>
    <w:rsid w:val="000B1AA5"/>
    <w:rsid w:val="000F6A0F"/>
    <w:rsid w:val="00122584"/>
    <w:rsid w:val="001227C8"/>
    <w:rsid w:val="001C4DD9"/>
    <w:rsid w:val="00253DF7"/>
    <w:rsid w:val="002830E3"/>
    <w:rsid w:val="002B48D9"/>
    <w:rsid w:val="002B54F2"/>
    <w:rsid w:val="002D5510"/>
    <w:rsid w:val="00305A00"/>
    <w:rsid w:val="00317F72"/>
    <w:rsid w:val="00392B1A"/>
    <w:rsid w:val="003B0081"/>
    <w:rsid w:val="003C41A8"/>
    <w:rsid w:val="004238DC"/>
    <w:rsid w:val="00500231"/>
    <w:rsid w:val="005463E7"/>
    <w:rsid w:val="00553976"/>
    <w:rsid w:val="00555B2C"/>
    <w:rsid w:val="005C57AA"/>
    <w:rsid w:val="005D1910"/>
    <w:rsid w:val="00623251"/>
    <w:rsid w:val="006347D3"/>
    <w:rsid w:val="00657363"/>
    <w:rsid w:val="00690307"/>
    <w:rsid w:val="006B6CF1"/>
    <w:rsid w:val="00713474"/>
    <w:rsid w:val="0074224A"/>
    <w:rsid w:val="00750733"/>
    <w:rsid w:val="00762C38"/>
    <w:rsid w:val="00776976"/>
    <w:rsid w:val="007819E0"/>
    <w:rsid w:val="007879B5"/>
    <w:rsid w:val="00804F59"/>
    <w:rsid w:val="008076B2"/>
    <w:rsid w:val="00834187"/>
    <w:rsid w:val="00843F43"/>
    <w:rsid w:val="00856BB6"/>
    <w:rsid w:val="008B1651"/>
    <w:rsid w:val="008E2603"/>
    <w:rsid w:val="008E4D20"/>
    <w:rsid w:val="008F0B78"/>
    <w:rsid w:val="009D613A"/>
    <w:rsid w:val="009E1BCC"/>
    <w:rsid w:val="009F09A4"/>
    <w:rsid w:val="00A61886"/>
    <w:rsid w:val="00A676E5"/>
    <w:rsid w:val="00A75ECF"/>
    <w:rsid w:val="00AA2D9B"/>
    <w:rsid w:val="00AC62CF"/>
    <w:rsid w:val="00B10D83"/>
    <w:rsid w:val="00B34AD6"/>
    <w:rsid w:val="00BB37C9"/>
    <w:rsid w:val="00C23640"/>
    <w:rsid w:val="00C7647A"/>
    <w:rsid w:val="00CB2359"/>
    <w:rsid w:val="00CE34DE"/>
    <w:rsid w:val="00D109A8"/>
    <w:rsid w:val="00D8582A"/>
    <w:rsid w:val="00D8668E"/>
    <w:rsid w:val="00DF063C"/>
    <w:rsid w:val="00E12161"/>
    <w:rsid w:val="00E207EE"/>
    <w:rsid w:val="00E51435"/>
    <w:rsid w:val="00E55CC6"/>
    <w:rsid w:val="00E62C5F"/>
    <w:rsid w:val="00EC2188"/>
    <w:rsid w:val="00ED186C"/>
    <w:rsid w:val="00EE2138"/>
    <w:rsid w:val="00F05028"/>
    <w:rsid w:val="00F13314"/>
    <w:rsid w:val="00F4528D"/>
    <w:rsid w:val="00F51AF8"/>
    <w:rsid w:val="00FA63F7"/>
    <w:rsid w:val="00FC10BF"/>
    <w:rsid w:val="00FD70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805A44B"/>
  <w15:chartTrackingRefBased/>
  <w15:docId w15:val="{C69600D7-3397-4588-B2DD-573CC54F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locked/>
    <w:rsid w:val="00305A00"/>
  </w:style>
  <w:style w:type="character" w:customStyle="1" w:styleId="UnresolvedMention">
    <w:name w:val="Unresolved Mention"/>
    <w:basedOn w:val="DefaultParagraphFont"/>
    <w:uiPriority w:val="99"/>
    <w:semiHidden/>
    <w:unhideWhenUsed/>
    <w:rsid w:val="00FC10BF"/>
    <w:rPr>
      <w:color w:val="605E5C"/>
      <w:shd w:val="clear" w:color="auto" w:fill="E1DFDD"/>
    </w:rPr>
  </w:style>
  <w:style w:type="paragraph" w:customStyle="1" w:styleId="Default">
    <w:name w:val="Default"/>
    <w:rsid w:val="009D613A"/>
    <w:pPr>
      <w:autoSpaceDE w:val="0"/>
      <w:autoSpaceDN w:val="0"/>
      <w:adjustRightInd w:val="0"/>
    </w:pPr>
    <w:rPr>
      <w:color w:val="000000"/>
      <w:sz w:val="24"/>
      <w:szCs w:val="24"/>
    </w:rPr>
  </w:style>
  <w:style w:type="paragraph" w:styleId="ListParagraph">
    <w:name w:val="List Paragraph"/>
    <w:basedOn w:val="Normal"/>
    <w:uiPriority w:val="34"/>
    <w:qFormat/>
    <w:rsid w:val="009D613A"/>
    <w:pPr>
      <w:ind w:left="720"/>
      <w:contextualSpacing/>
    </w:pPr>
  </w:style>
  <w:style w:type="paragraph" w:styleId="BalloonText">
    <w:name w:val="Balloon Text"/>
    <w:basedOn w:val="Normal"/>
    <w:link w:val="BalloonTextChar"/>
    <w:uiPriority w:val="99"/>
    <w:semiHidden/>
    <w:unhideWhenUsed/>
    <w:rsid w:val="00E121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61"/>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Gregory.Vadas@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12183336582"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