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2C41C4" w:rsidP="002C41C4" w14:paraId="0A213E68" w14:textId="2DDCEEE6">
      <w:pPr>
        <w:jc w:val="center"/>
        <w:rPr>
          <w:b/>
        </w:rPr>
      </w:pPr>
      <w:r>
        <w:rPr>
          <w:rFonts w:ascii="Times New Roman Bold" w:hAnsi="Times New Roman Bold"/>
          <w:b/>
          <w:kern w:val="0"/>
          <w:szCs w:val="22"/>
        </w:rPr>
        <w:t>Before</w:t>
      </w:r>
      <w:r>
        <w:rPr>
          <w:b/>
        </w:rPr>
        <w:t xml:space="preserve"> the</w:t>
      </w:r>
    </w:p>
    <w:p w:rsidR="002C41C4" w:rsidP="002C41C4" w14:paraId="3863E0F1" w14:textId="77777777">
      <w:pPr>
        <w:pStyle w:val="StyleBoldCentered"/>
      </w:pPr>
      <w:r>
        <w:t>F</w:t>
      </w:r>
      <w:r>
        <w:rPr>
          <w:caps w:val="0"/>
        </w:rPr>
        <w:t>ederal Communications Commission</w:t>
      </w:r>
    </w:p>
    <w:p w:rsidR="002C41C4" w:rsidP="005C521E" w14:paraId="615D9FE4" w14:textId="3A475741">
      <w:pPr>
        <w:pStyle w:val="StyleBoldCentered"/>
      </w:pPr>
      <w:r>
        <w:rPr>
          <w:caps w:val="0"/>
        </w:rPr>
        <w:t>Washington, D.C. 20554</w:t>
      </w:r>
    </w:p>
    <w:p w:rsidR="002C41C4" w:rsidP="002C41C4" w14:paraId="5FCBC7BE" w14:textId="77777777"/>
    <w:tbl>
      <w:tblPr>
        <w:tblW w:w="0" w:type="auto"/>
        <w:tblLayout w:type="fixed"/>
        <w:tblLook w:val="0000"/>
      </w:tblPr>
      <w:tblGrid>
        <w:gridCol w:w="4698"/>
        <w:gridCol w:w="630"/>
        <w:gridCol w:w="4248"/>
      </w:tblGrid>
      <w:tr w14:paraId="2A5838F4" w14:textId="77777777" w:rsidTr="00C5034F">
        <w:tblPrEx>
          <w:tblW w:w="0" w:type="auto"/>
          <w:tblLayout w:type="fixed"/>
          <w:tblLook w:val="0000"/>
        </w:tblPrEx>
        <w:tc>
          <w:tcPr>
            <w:tcW w:w="4698" w:type="dxa"/>
          </w:tcPr>
          <w:p w:rsidR="002C41C4" w:rsidP="00C5034F" w14:paraId="27BA9CAA" w14:textId="77777777">
            <w:pPr>
              <w:tabs>
                <w:tab w:val="center" w:pos="4680"/>
              </w:tabs>
              <w:suppressAutoHyphens/>
              <w:rPr>
                <w:spacing w:val="-2"/>
              </w:rPr>
            </w:pPr>
            <w:r>
              <w:rPr>
                <w:spacing w:val="-2"/>
              </w:rPr>
              <w:t>In the Matter of</w:t>
            </w:r>
          </w:p>
          <w:p w:rsidR="002C41C4" w:rsidP="00C5034F" w14:paraId="3D18FB07" w14:textId="77777777">
            <w:pPr>
              <w:tabs>
                <w:tab w:val="center" w:pos="4680"/>
              </w:tabs>
              <w:suppressAutoHyphens/>
              <w:rPr>
                <w:spacing w:val="-2"/>
              </w:rPr>
            </w:pPr>
          </w:p>
          <w:p w:rsidR="002C41C4" w:rsidP="00C5034F" w14:paraId="02630A26" w14:textId="4A7672B2">
            <w:pPr>
              <w:tabs>
                <w:tab w:val="center" w:pos="4680"/>
              </w:tabs>
              <w:suppressAutoHyphens/>
              <w:rPr>
                <w:spacing w:val="-2"/>
              </w:rPr>
            </w:pPr>
            <w:r>
              <w:rPr>
                <w:spacing w:val="-2"/>
              </w:rPr>
              <w:t>Amendment of Section 73.622(</w:t>
            </w:r>
            <w:r>
              <w:rPr>
                <w:spacing w:val="-2"/>
              </w:rPr>
              <w:t>i</w:t>
            </w:r>
            <w:r>
              <w:rPr>
                <w:spacing w:val="-2"/>
              </w:rPr>
              <w:t>),</w:t>
            </w:r>
            <w:r>
              <w:t xml:space="preserve"> </w:t>
            </w:r>
            <w:r>
              <w:rPr>
                <w:spacing w:val="-2"/>
              </w:rPr>
              <w:t>Post-Transition Table of DTV Allotments,</w:t>
            </w:r>
            <w:r>
              <w:t xml:space="preserve"> </w:t>
            </w:r>
            <w:r>
              <w:rPr>
                <w:spacing w:val="-2"/>
              </w:rPr>
              <w:t>Television Broadcast Stations (</w:t>
            </w:r>
            <w:r w:rsidR="00F676A2">
              <w:rPr>
                <w:spacing w:val="-2"/>
              </w:rPr>
              <w:t>Las Vegas, Nevada</w:t>
            </w:r>
            <w:r>
              <w:rPr>
                <w:spacing w:val="-2"/>
              </w:rPr>
              <w:t>)</w:t>
            </w:r>
          </w:p>
          <w:p w:rsidR="002C41C4" w:rsidP="00C5034F" w14:paraId="2C88F5AC" w14:textId="77777777">
            <w:pPr>
              <w:tabs>
                <w:tab w:val="center" w:pos="4680"/>
              </w:tabs>
              <w:suppressAutoHyphens/>
              <w:rPr>
                <w:spacing w:val="-2"/>
              </w:rPr>
            </w:pPr>
          </w:p>
        </w:tc>
        <w:tc>
          <w:tcPr>
            <w:tcW w:w="630" w:type="dxa"/>
          </w:tcPr>
          <w:p w:rsidR="002C41C4" w:rsidP="00C5034F" w14:paraId="1D45A539" w14:textId="77777777">
            <w:pPr>
              <w:tabs>
                <w:tab w:val="center" w:pos="4680"/>
              </w:tabs>
              <w:suppressAutoHyphens/>
              <w:rPr>
                <w:b/>
                <w:spacing w:val="-2"/>
              </w:rPr>
            </w:pPr>
            <w:r>
              <w:rPr>
                <w:b/>
                <w:spacing w:val="-2"/>
              </w:rPr>
              <w:t>)</w:t>
            </w:r>
          </w:p>
          <w:p w:rsidR="002C41C4" w:rsidP="00C5034F" w14:paraId="13E04F1B" w14:textId="77777777">
            <w:pPr>
              <w:tabs>
                <w:tab w:val="center" w:pos="4680"/>
              </w:tabs>
              <w:suppressAutoHyphens/>
              <w:rPr>
                <w:b/>
                <w:spacing w:val="-2"/>
              </w:rPr>
            </w:pPr>
            <w:r>
              <w:rPr>
                <w:b/>
                <w:spacing w:val="-2"/>
              </w:rPr>
              <w:t>)</w:t>
            </w:r>
          </w:p>
          <w:p w:rsidR="002C41C4" w:rsidP="00C5034F" w14:paraId="1F4778A8" w14:textId="77777777">
            <w:pPr>
              <w:tabs>
                <w:tab w:val="center" w:pos="4680"/>
              </w:tabs>
              <w:suppressAutoHyphens/>
              <w:rPr>
                <w:b/>
                <w:spacing w:val="-2"/>
              </w:rPr>
            </w:pPr>
            <w:r>
              <w:rPr>
                <w:b/>
                <w:spacing w:val="-2"/>
              </w:rPr>
              <w:t>)</w:t>
            </w:r>
          </w:p>
          <w:p w:rsidR="002C41C4" w:rsidP="00C5034F" w14:paraId="13EC8134" w14:textId="77777777">
            <w:pPr>
              <w:tabs>
                <w:tab w:val="center" w:pos="4680"/>
              </w:tabs>
              <w:suppressAutoHyphens/>
              <w:rPr>
                <w:b/>
                <w:spacing w:val="-2"/>
              </w:rPr>
            </w:pPr>
            <w:r>
              <w:rPr>
                <w:b/>
                <w:spacing w:val="-2"/>
              </w:rPr>
              <w:t>)</w:t>
            </w:r>
          </w:p>
          <w:p w:rsidR="002C41C4" w:rsidP="00C5034F" w14:paraId="732555E5" w14:textId="77777777">
            <w:pPr>
              <w:tabs>
                <w:tab w:val="center" w:pos="4680"/>
              </w:tabs>
              <w:suppressAutoHyphens/>
              <w:rPr>
                <w:b/>
                <w:spacing w:val="-2"/>
              </w:rPr>
            </w:pPr>
            <w:r>
              <w:rPr>
                <w:b/>
                <w:spacing w:val="-2"/>
              </w:rPr>
              <w:t>)</w:t>
            </w:r>
          </w:p>
        </w:tc>
        <w:tc>
          <w:tcPr>
            <w:tcW w:w="4248" w:type="dxa"/>
          </w:tcPr>
          <w:p w:rsidR="002C41C4" w:rsidP="00C5034F" w14:paraId="7A5D2042" w14:textId="77777777">
            <w:pPr>
              <w:tabs>
                <w:tab w:val="center" w:pos="4680"/>
              </w:tabs>
              <w:suppressAutoHyphens/>
              <w:rPr>
                <w:spacing w:val="-2"/>
              </w:rPr>
            </w:pPr>
          </w:p>
          <w:p w:rsidR="002C41C4" w:rsidP="00C5034F" w14:paraId="61AB7DBC" w14:textId="77777777">
            <w:pPr>
              <w:pStyle w:val="TOAHeading"/>
              <w:tabs>
                <w:tab w:val="center" w:pos="4680"/>
                <w:tab w:val="clear" w:pos="9360"/>
              </w:tabs>
              <w:rPr>
                <w:spacing w:val="-2"/>
              </w:rPr>
            </w:pPr>
          </w:p>
          <w:p w:rsidR="002C41C4" w:rsidP="00C5034F" w14:paraId="0B037595" w14:textId="7774A038">
            <w:pPr>
              <w:pStyle w:val="TOAHeading"/>
              <w:tabs>
                <w:tab w:val="center" w:pos="4680"/>
              </w:tabs>
              <w:rPr>
                <w:spacing w:val="-2"/>
              </w:rPr>
            </w:pPr>
            <w:r>
              <w:rPr>
                <w:spacing w:val="-2"/>
              </w:rPr>
              <w:t>MB Docket No. 21-</w:t>
            </w:r>
            <w:r w:rsidR="00DB2CC2">
              <w:rPr>
                <w:spacing w:val="-2"/>
              </w:rPr>
              <w:t>221</w:t>
            </w:r>
          </w:p>
          <w:p w:rsidR="002C41C4" w:rsidP="00C5034F" w14:paraId="1EC29844" w14:textId="747398B6">
            <w:pPr>
              <w:tabs>
                <w:tab w:val="center" w:pos="4680"/>
              </w:tabs>
              <w:suppressAutoHyphens/>
              <w:rPr>
                <w:spacing w:val="-2"/>
              </w:rPr>
            </w:pPr>
            <w:r>
              <w:rPr>
                <w:spacing w:val="-2"/>
              </w:rPr>
              <w:t>RM-11</w:t>
            </w:r>
            <w:r w:rsidR="00B625C0">
              <w:rPr>
                <w:spacing w:val="-2"/>
              </w:rPr>
              <w:t>9</w:t>
            </w:r>
            <w:r w:rsidR="00DB2CC2">
              <w:rPr>
                <w:spacing w:val="-2"/>
              </w:rPr>
              <w:t>08</w:t>
            </w:r>
          </w:p>
        </w:tc>
      </w:tr>
    </w:tbl>
    <w:p w:rsidR="002C41C4" w:rsidP="002C41C4" w14:paraId="77C17901" w14:textId="77777777">
      <w:pPr>
        <w:pStyle w:val="StyleBoldCentered"/>
      </w:pPr>
      <w:r>
        <w:t>Notice of proposed rulemaking</w:t>
      </w:r>
    </w:p>
    <w:p w:rsidR="002C41C4" w:rsidP="002C41C4" w14:paraId="544C065C" w14:textId="77777777">
      <w:pPr>
        <w:tabs>
          <w:tab w:val="left" w:pos="-720"/>
        </w:tabs>
        <w:suppressAutoHyphens/>
        <w:spacing w:line="227" w:lineRule="auto"/>
        <w:rPr>
          <w:spacing w:val="-2"/>
        </w:rPr>
      </w:pPr>
    </w:p>
    <w:p w:rsidR="002C41C4" w:rsidP="002C41C4" w14:paraId="039CDFF3" w14:textId="0FBB455A">
      <w:pPr>
        <w:tabs>
          <w:tab w:val="left" w:pos="720"/>
          <w:tab w:val="right" w:pos="9360"/>
        </w:tabs>
        <w:suppressAutoHyphens/>
        <w:spacing w:line="227" w:lineRule="auto"/>
        <w:rPr>
          <w:b/>
          <w:spacing w:val="-2"/>
        </w:rPr>
      </w:pPr>
      <w:r>
        <w:rPr>
          <w:b/>
          <w:spacing w:val="-2"/>
        </w:rPr>
        <w:t xml:space="preserve">Adopted:  </w:t>
      </w:r>
      <w:r w:rsidR="004A3F4E">
        <w:rPr>
          <w:b/>
          <w:spacing w:val="-2"/>
        </w:rPr>
        <w:t xml:space="preserve">May </w:t>
      </w:r>
      <w:r w:rsidR="00DB2CC2">
        <w:rPr>
          <w:b/>
          <w:spacing w:val="-2"/>
        </w:rPr>
        <w:t>21</w:t>
      </w:r>
      <w:r>
        <w:rPr>
          <w:b/>
          <w:spacing w:val="-2"/>
        </w:rPr>
        <w:t>, 2021</w:t>
      </w:r>
      <w:r>
        <w:rPr>
          <w:b/>
          <w:spacing w:val="-2"/>
        </w:rPr>
        <w:tab/>
        <w:t xml:space="preserve">Released: </w:t>
      </w:r>
      <w:r w:rsidR="000826D1">
        <w:rPr>
          <w:b/>
          <w:spacing w:val="-2"/>
        </w:rPr>
        <w:t xml:space="preserve"> </w:t>
      </w:r>
      <w:r w:rsidR="004A3F4E">
        <w:rPr>
          <w:b/>
          <w:spacing w:val="-2"/>
        </w:rPr>
        <w:t xml:space="preserve">May </w:t>
      </w:r>
      <w:r w:rsidR="00DB2CC2">
        <w:rPr>
          <w:b/>
          <w:spacing w:val="-2"/>
        </w:rPr>
        <w:t>21</w:t>
      </w:r>
      <w:r>
        <w:rPr>
          <w:b/>
          <w:spacing w:val="-2"/>
        </w:rPr>
        <w:t>, 2021</w:t>
      </w:r>
    </w:p>
    <w:p w:rsidR="002C41C4" w:rsidP="002C41C4" w14:paraId="34482FAA" w14:textId="77777777">
      <w:pPr>
        <w:tabs>
          <w:tab w:val="left" w:pos="720"/>
          <w:tab w:val="right" w:pos="9360"/>
        </w:tabs>
        <w:suppressAutoHyphens/>
        <w:spacing w:line="227" w:lineRule="auto"/>
        <w:rPr>
          <w:b/>
          <w:spacing w:val="-2"/>
        </w:rPr>
      </w:pPr>
    </w:p>
    <w:p w:rsidR="002C41C4" w:rsidP="002C41C4" w14:paraId="5059640C" w14:textId="77777777">
      <w:pPr>
        <w:tabs>
          <w:tab w:val="left" w:pos="720"/>
          <w:tab w:val="left" w:pos="5760"/>
        </w:tabs>
        <w:suppressAutoHyphens/>
        <w:jc w:val="both"/>
        <w:rPr>
          <w:b/>
          <w:spacing w:val="-3"/>
          <w:kern w:val="0"/>
          <w:szCs w:val="22"/>
        </w:rPr>
      </w:pPr>
      <w:r>
        <w:rPr>
          <w:b/>
          <w:spacing w:val="-3"/>
          <w:kern w:val="0"/>
          <w:szCs w:val="22"/>
        </w:rPr>
        <w:t>Comment Date:  [30 days after date of publication in the Federal Register]</w:t>
      </w:r>
    </w:p>
    <w:p w:rsidR="002C41C4" w:rsidP="002C41C4" w14:paraId="106011A7" w14:textId="77777777">
      <w:pPr>
        <w:tabs>
          <w:tab w:val="left" w:pos="720"/>
          <w:tab w:val="left" w:pos="5760"/>
        </w:tabs>
        <w:jc w:val="both"/>
        <w:rPr>
          <w:b/>
          <w:spacing w:val="-3"/>
          <w:kern w:val="0"/>
          <w:szCs w:val="22"/>
        </w:rPr>
      </w:pPr>
      <w:r>
        <w:rPr>
          <w:b/>
          <w:spacing w:val="-3"/>
          <w:kern w:val="0"/>
          <w:szCs w:val="22"/>
        </w:rPr>
        <w:t>Reply Comment Date:  [45 days after date of publication in the Federal Register]</w:t>
      </w:r>
    </w:p>
    <w:p w:rsidR="002C41C4" w:rsidP="002C41C4" w14:paraId="5091FFB8" w14:textId="77777777"/>
    <w:p w:rsidR="002C41C4" w:rsidP="002C41C4" w14:paraId="0C0C1DB3" w14:textId="77777777">
      <w:pPr>
        <w:rPr>
          <w:spacing w:val="-2"/>
        </w:rPr>
      </w:pPr>
      <w:r>
        <w:t xml:space="preserve">By the </w:t>
      </w:r>
      <w:r>
        <w:rPr>
          <w:spacing w:val="-2"/>
        </w:rPr>
        <w:t>Chief, Video Division, Media Bureau:</w:t>
      </w:r>
    </w:p>
    <w:p w:rsidR="002C41C4" w:rsidP="002C41C4" w14:paraId="47DC0610" w14:textId="77777777">
      <w:pPr>
        <w:rPr>
          <w:spacing w:val="-2"/>
        </w:rPr>
      </w:pPr>
    </w:p>
    <w:p w:rsidR="002C41C4" w:rsidP="002C41C4" w14:paraId="5EE169D4" w14:textId="77777777">
      <w:pPr>
        <w:pStyle w:val="Heading1"/>
        <w:keepNext w:val="0"/>
        <w:suppressAutoHyphens w:val="0"/>
      </w:pPr>
      <w:r>
        <w:t>Introduction</w:t>
      </w:r>
    </w:p>
    <w:p w:rsidR="002C41C4" w:rsidP="002C41C4" w14:paraId="08A5D7F0" w14:textId="05ECADF2">
      <w:pPr>
        <w:pStyle w:val="ParaNum"/>
        <w:tabs>
          <w:tab w:val="clear" w:pos="1440"/>
        </w:tabs>
      </w:pPr>
      <w:r>
        <w:t xml:space="preserve">The Video Division, Media Bureau (Bureau), has before it a petition for rulemaking filed </w:t>
      </w:r>
      <w:r w:rsidR="004A3F4E">
        <w:t xml:space="preserve">May </w:t>
      </w:r>
      <w:r w:rsidR="00F676A2">
        <w:t>12</w:t>
      </w:r>
      <w:r>
        <w:t>, 202</w:t>
      </w:r>
      <w:r w:rsidR="004A3F4E">
        <w:t>1</w:t>
      </w:r>
      <w:r>
        <w:t xml:space="preserve">, by </w:t>
      </w:r>
      <w:r w:rsidR="00F676A2">
        <w:t>Scripps Broadcasting Holdings</w:t>
      </w:r>
      <w:r w:rsidR="004A3F4E">
        <w:t>,</w:t>
      </w:r>
      <w:r>
        <w:t xml:space="preserve"> LLC (Petitioner), the licensee of </w:t>
      </w:r>
      <w:r w:rsidR="000D4752">
        <w:t>KTNV-TV</w:t>
      </w:r>
      <w:r>
        <w:t xml:space="preserve"> (</w:t>
      </w:r>
      <w:r w:rsidR="0042273F">
        <w:t>ABC</w:t>
      </w:r>
      <w:r>
        <w:t>), channel</w:t>
      </w:r>
      <w:r w:rsidR="000826D1">
        <w:t xml:space="preserve"> </w:t>
      </w:r>
      <w:r w:rsidR="000D4752">
        <w:t>13</w:t>
      </w:r>
      <w:r>
        <w:t xml:space="preserve">, </w:t>
      </w:r>
      <w:r w:rsidR="000D4752">
        <w:t>Las Vegas, Nevada</w:t>
      </w:r>
      <w:r w:rsidR="00990479">
        <w:t xml:space="preserve"> (Las Vegas)</w:t>
      </w:r>
      <w:r>
        <w:t>.</w:t>
      </w:r>
      <w:r>
        <w:rPr>
          <w:rStyle w:val="FootnoteReference"/>
        </w:rPr>
        <w:footnoteReference w:id="3"/>
      </w:r>
      <w:r>
        <w:t xml:space="preserve">  The Petitioner requests the substitution of channel </w:t>
      </w:r>
      <w:r w:rsidR="000D4752">
        <w:t>26</w:t>
      </w:r>
      <w:r>
        <w:t xml:space="preserve"> for channel </w:t>
      </w:r>
      <w:r w:rsidR="004A3F4E">
        <w:t>1</w:t>
      </w:r>
      <w:r w:rsidR="000D4752">
        <w:t>3</w:t>
      </w:r>
      <w:r>
        <w:t xml:space="preserve"> at </w:t>
      </w:r>
      <w:r w:rsidR="000D4752">
        <w:t>Las Vegas</w:t>
      </w:r>
      <w:r>
        <w:t xml:space="preserve"> in the DTV Table of Allotments.</w:t>
      </w:r>
      <w:r>
        <w:rPr>
          <w:rStyle w:val="FootnoteReference"/>
        </w:rPr>
        <w:footnoteReference w:id="4"/>
      </w:r>
      <w:r>
        <w:t xml:space="preserve"> </w:t>
      </w:r>
    </w:p>
    <w:p w:rsidR="002C41C4" w:rsidP="005C521E" w14:paraId="5D59D792" w14:textId="77777777">
      <w:pPr>
        <w:pStyle w:val="Heading1"/>
        <w:keepNext w:val="0"/>
        <w:suppressAutoHyphens w:val="0"/>
      </w:pPr>
      <w:r>
        <w:t>Background</w:t>
      </w:r>
    </w:p>
    <w:p w:rsidR="002C41C4" w:rsidP="0011076C" w14:paraId="27D21D38" w14:textId="51AFB5F4">
      <w:pPr>
        <w:pStyle w:val="ParaNum"/>
        <w:widowControl/>
      </w:pPr>
      <w:r w:rsidRPr="00BF1B4B">
        <w:t>In support of its channel substitution request, the Petitioner</w:t>
      </w:r>
      <w:r>
        <w:t xml:space="preserve"> states that the Commission has recognized that VHF channels have certain characteristics </w:t>
      </w:r>
      <w:r w:rsidR="001E2F73">
        <w:t>that pose challenges for their use in providing digital television service</w:t>
      </w:r>
      <w:r w:rsidR="005B2EDD">
        <w:t>,</w:t>
      </w:r>
      <w:r w:rsidR="00034252">
        <w:t xml:space="preserve"> </w:t>
      </w:r>
      <w:r w:rsidR="00C560F8">
        <w:t>including</w:t>
      </w:r>
      <w:r w:rsidR="006D6689">
        <w:t xml:space="preserve"> prop</w:t>
      </w:r>
      <w:r w:rsidR="00B825F9">
        <w:t>agation character</w:t>
      </w:r>
      <w:r w:rsidR="00C560F8">
        <w:t>istics</w:t>
      </w:r>
      <w:r w:rsidR="005B2EDD">
        <w:t xml:space="preserve"> t</w:t>
      </w:r>
      <w:r w:rsidR="00750411">
        <w:t>hat</w:t>
      </w:r>
      <w:r w:rsidR="00B825F9">
        <w:t xml:space="preserve"> allow</w:t>
      </w:r>
      <w:r w:rsidR="001E2F73">
        <w:t xml:space="preserve"> undesired signals and noise to be receivable </w:t>
      </w:r>
      <w:r w:rsidR="00750411">
        <w:t>at</w:t>
      </w:r>
      <w:r w:rsidR="001E2F73">
        <w:t xml:space="preserve"> relatively far distances</w:t>
      </w:r>
      <w:r w:rsidR="00C560F8">
        <w:t xml:space="preserve"> and </w:t>
      </w:r>
      <w:r w:rsidR="001E2F73">
        <w:t>near</w:t>
      </w:r>
      <w:r w:rsidR="005B2EDD">
        <w:t>by</w:t>
      </w:r>
      <w:r w:rsidR="001E2F73">
        <w:t xml:space="preserve"> electrical devices </w:t>
      </w:r>
      <w:r w:rsidR="005B2EDD">
        <w:t>to</w:t>
      </w:r>
      <w:r w:rsidR="001E2F73">
        <w:t xml:space="preserve"> cause interferenc</w:t>
      </w:r>
      <w:r w:rsidR="00034252">
        <w:t>e.</w:t>
      </w:r>
      <w:r>
        <w:rPr>
          <w:rStyle w:val="FootnoteReference"/>
        </w:rPr>
        <w:footnoteReference w:id="5"/>
      </w:r>
      <w:r>
        <w:t xml:space="preserve">  </w:t>
      </w:r>
      <w:r w:rsidR="00750411">
        <w:t>According to the Petitioner,</w:t>
      </w:r>
      <w:r w:rsidR="0042273F">
        <w:t xml:space="preserve"> it has received many complaints from viewers unable to receive a reliable signal on channel 13.</w:t>
      </w:r>
      <w:r>
        <w:rPr>
          <w:rStyle w:val="FootnoteReference"/>
        </w:rPr>
        <w:footnoteReference w:id="6"/>
      </w:r>
      <w:r w:rsidR="00750411">
        <w:t xml:space="preserve"> </w:t>
      </w:r>
      <w:r w:rsidR="00336D5F">
        <w:t xml:space="preserve"> </w:t>
      </w:r>
      <w:r w:rsidR="001C07AB">
        <w:rPr>
          <w:rStyle w:val="PageNumber"/>
        </w:rPr>
        <w:t xml:space="preserve">  </w:t>
      </w:r>
      <w:r w:rsidR="00990479">
        <w:rPr>
          <w:rStyle w:val="PageNumber"/>
        </w:rPr>
        <w:t>T</w:t>
      </w:r>
      <w:r w:rsidR="001C07AB">
        <w:rPr>
          <w:rStyle w:val="PageNumber"/>
        </w:rPr>
        <w:t>he Petitioner demonstrated that its proposal would result in a loss are</w:t>
      </w:r>
      <w:r w:rsidR="007B3BA2">
        <w:rPr>
          <w:rStyle w:val="PageNumber"/>
        </w:rPr>
        <w:t>a</w:t>
      </w:r>
      <w:r w:rsidR="001C07AB">
        <w:rPr>
          <w:rStyle w:val="PageNumber"/>
        </w:rPr>
        <w:t xml:space="preserve"> of 460.9 </w:t>
      </w:r>
      <w:r w:rsidR="001C07AB">
        <w:rPr>
          <w:rStyle w:val="PageNumber"/>
        </w:rPr>
        <w:t>square kilometers, containing only five people</w:t>
      </w:r>
      <w:r w:rsidR="007B3BA2">
        <w:rPr>
          <w:rStyle w:val="PageNumber"/>
        </w:rPr>
        <w:t xml:space="preserve"> who will continue to receive service from two other full power television stations.</w:t>
      </w:r>
      <w:r>
        <w:rPr>
          <w:rStyle w:val="FootnoteReference"/>
        </w:rPr>
        <w:footnoteReference w:id="7"/>
      </w:r>
      <w:r>
        <w:t xml:space="preserve">   </w:t>
      </w:r>
    </w:p>
    <w:p w:rsidR="002C41C4" w:rsidP="005C521E" w14:paraId="42B7C862" w14:textId="77777777">
      <w:pPr>
        <w:pStyle w:val="Heading1"/>
        <w:keepNext w:val="0"/>
        <w:suppressAutoHyphens w:val="0"/>
      </w:pPr>
      <w:r>
        <w:t>DISCUSSION</w:t>
      </w:r>
    </w:p>
    <w:p w:rsidR="002C41C4" w:rsidP="000D4752" w14:paraId="1F8F25AE" w14:textId="77B9AEE8">
      <w:pPr>
        <w:pStyle w:val="ParaNum"/>
      </w:pPr>
      <w:r>
        <w:t xml:space="preserve">We believe that the Petitioner’s channel substitution proposal warrants consideration.  Channel </w:t>
      </w:r>
      <w:r w:rsidR="000D4752">
        <w:t>26</w:t>
      </w:r>
      <w:r>
        <w:t xml:space="preserve"> can be substituted for channel </w:t>
      </w:r>
      <w:r w:rsidR="004A3F4E">
        <w:t>1</w:t>
      </w:r>
      <w:r w:rsidR="000D4752">
        <w:t>3</w:t>
      </w:r>
      <w:r>
        <w:t xml:space="preserve"> at </w:t>
      </w:r>
      <w:r w:rsidR="000D4752">
        <w:t>Las Vegas, Nevada</w:t>
      </w:r>
      <w:r>
        <w:t>, as proposed, in compliance with the principal community coverage requirements of section 73.625(a) of the Commission’s rules</w:t>
      </w:r>
      <w:r w:rsidR="005C521E">
        <w:t xml:space="preserve"> (rules)</w:t>
      </w:r>
      <w:r>
        <w:t>,</w:t>
      </w:r>
      <w:r>
        <w:rPr>
          <w:vertAlign w:val="superscript"/>
        </w:rPr>
        <w:footnoteReference w:id="8"/>
      </w:r>
      <w:r>
        <w:t xml:space="preserve"> at </w:t>
      </w:r>
      <w:r w:rsidRPr="00BF1B4B">
        <w:t xml:space="preserve">coordinates </w:t>
      </w:r>
      <w:r w:rsidR="000D4752">
        <w:t>35-56-44.7</w:t>
      </w:r>
      <w:r w:rsidRPr="00BF1B4B">
        <w:t xml:space="preserve"> N and </w:t>
      </w:r>
      <w:r w:rsidR="000D4752">
        <w:t>115-02-37.6</w:t>
      </w:r>
      <w:r w:rsidRPr="00BF1B4B">
        <w:t xml:space="preserve"> W.  In addition, we find that this channel change meets the</w:t>
      </w:r>
      <w:r>
        <w:t xml:space="preserve"> technical requirements set forth in sections 73.616 and 73.623 of the rules.</w:t>
      </w:r>
      <w:r>
        <w:rPr>
          <w:vertAlign w:val="superscript"/>
        </w:rPr>
        <w:footnoteReference w:id="9"/>
      </w:r>
      <w:r w:rsidRPr="002E159E" w:rsidR="002E159E">
        <w:t xml:space="preserve"> </w:t>
      </w:r>
      <w:r w:rsidR="002E159E">
        <w:t xml:space="preserve"> Although the Licensee’s proposal would result in a loss of service to 5 people, we find such a loss to be </w:t>
      </w:r>
      <w:r w:rsidRPr="006F293F" w:rsidR="002E159E">
        <w:rPr>
          <w:i/>
          <w:iCs/>
        </w:rPr>
        <w:t>de minimis</w:t>
      </w:r>
      <w:r w:rsidR="002E159E">
        <w:t>.</w:t>
      </w:r>
      <w:r>
        <w:rPr>
          <w:rStyle w:val="FootnoteReference"/>
        </w:rPr>
        <w:footnoteReference w:id="10"/>
      </w:r>
      <w:r>
        <w:t xml:space="preserve">  </w:t>
      </w:r>
    </w:p>
    <w:p w:rsidR="002C41C4" w:rsidP="005C521E" w14:paraId="51A54207" w14:textId="7B02F0D7">
      <w:pPr>
        <w:pStyle w:val="ParaNum"/>
      </w:pPr>
      <w:r>
        <w:t xml:space="preserve">We propose to substitute channel </w:t>
      </w:r>
      <w:r w:rsidR="000D4752">
        <w:t>26</w:t>
      </w:r>
      <w:r>
        <w:t xml:space="preserve"> for channel </w:t>
      </w:r>
      <w:r w:rsidR="009925D1">
        <w:t>1</w:t>
      </w:r>
      <w:r w:rsidR="000D4752">
        <w:t>3</w:t>
      </w:r>
      <w:r>
        <w:t xml:space="preserve"> for </w:t>
      </w:r>
      <w:r w:rsidR="000D4752">
        <w:t>KTNV</w:t>
      </w:r>
      <w:r>
        <w:t>-TV with the following specifications:</w:t>
      </w:r>
    </w:p>
    <w:p w:rsidR="002C41C4" w:rsidP="005C521E" w14:paraId="4BE2DAC3" w14:textId="77777777">
      <w:pPr>
        <w:pStyle w:val="ParaNum"/>
        <w:numPr>
          <w:ilvl w:val="0"/>
          <w:numId w:val="0"/>
        </w:numPr>
        <w:ind w:firstLine="720"/>
      </w:pPr>
      <w:r>
        <w:rPr>
          <w:u w:val="single"/>
        </w:rPr>
        <w:t>City and State</w:t>
      </w:r>
      <w:r>
        <w:tab/>
      </w:r>
      <w:r>
        <w:tab/>
      </w:r>
      <w:r>
        <w:tab/>
      </w:r>
      <w:r>
        <w:rPr>
          <w:u w:val="single"/>
        </w:rPr>
        <w:t>DTV Channel</w:t>
      </w:r>
      <w:r>
        <w:tab/>
      </w:r>
      <w:r>
        <w:rPr>
          <w:u w:val="single"/>
        </w:rPr>
        <w:t>DTV Power (kW)</w:t>
      </w:r>
      <w:r>
        <w:tab/>
      </w:r>
      <w:r>
        <w:rPr>
          <w:u w:val="single"/>
        </w:rPr>
        <w:t>Antenna HAAT (m)</w:t>
      </w:r>
    </w:p>
    <w:p w:rsidR="002C41C4" w:rsidP="005C521E" w14:paraId="58EF4AF9" w14:textId="5CE42F99">
      <w:pPr>
        <w:pStyle w:val="ParaNum"/>
        <w:numPr>
          <w:ilvl w:val="0"/>
          <w:numId w:val="0"/>
        </w:numPr>
        <w:ind w:firstLine="720"/>
      </w:pPr>
      <w:r>
        <w:t>Las Vegas, Nevada</w:t>
      </w:r>
      <w:r w:rsidR="002C2AF9">
        <w:tab/>
      </w:r>
      <w:r w:rsidR="002C2AF9">
        <w:tab/>
      </w:r>
      <w:r w:rsidR="00802CDA">
        <w:t>26</w:t>
      </w:r>
      <w:r w:rsidR="002C2AF9">
        <w:tab/>
      </w:r>
      <w:r w:rsidR="002C2AF9">
        <w:tab/>
        <w:t>1000</w:t>
      </w:r>
      <w:r w:rsidR="002C2AF9">
        <w:tab/>
      </w:r>
      <w:r w:rsidR="002C2AF9">
        <w:tab/>
      </w:r>
      <w:r w:rsidR="002C2AF9">
        <w:tab/>
      </w:r>
      <w:r>
        <w:t>606</w:t>
      </w:r>
    </w:p>
    <w:p w:rsidR="002C41C4" w:rsidP="005C521E" w14:paraId="6F1C0E04" w14:textId="77777777">
      <w:pPr>
        <w:pStyle w:val="ParaNum"/>
      </w:pPr>
      <w:r>
        <w:t>Accordingly, we seek comment on the proposed amendment of the Post-Transition Table of DTV Allotments, section 73.622(</w:t>
      </w:r>
      <w:r>
        <w:t>i</w:t>
      </w:r>
      <w:r>
        <w:t>) of the rules,</w:t>
      </w:r>
      <w:r>
        <w:rPr>
          <w:rStyle w:val="FootnoteReference"/>
          <w:spacing w:val="-3"/>
          <w:szCs w:val="22"/>
        </w:rPr>
        <w:footnoteReference w:id="11"/>
      </w:r>
      <w:r>
        <w:t xml:space="preserve"> for the community listed below, to read as follows:</w:t>
      </w:r>
    </w:p>
    <w:p w:rsidR="002C41C4" w:rsidP="005C521E" w14:paraId="2252AE4F" w14:textId="77777777">
      <w:pPr>
        <w:pStyle w:val="AppNum"/>
        <w:numPr>
          <w:ilvl w:val="0"/>
          <w:numId w:val="0"/>
        </w:numPr>
        <w:spacing w:after="120"/>
        <w:ind w:left="4320"/>
        <w:rPr>
          <w:rFonts w:ascii="Times New Roman" w:hAnsi="Times New Roman"/>
          <w:spacing w:val="-3"/>
          <w:sz w:val="22"/>
          <w:szCs w:val="22"/>
          <w:u w:val="single"/>
        </w:rPr>
      </w:pPr>
      <w:bookmarkStart w:id="1" w:name="_Hlk62218186"/>
      <w:r>
        <w:rPr>
          <w:rFonts w:ascii="Times New Roman" w:hAnsi="Times New Roman"/>
          <w:spacing w:val="-3"/>
          <w:sz w:val="22"/>
          <w:szCs w:val="22"/>
          <w:u w:val="single"/>
        </w:rPr>
        <w:t>Channel No.</w:t>
      </w:r>
    </w:p>
    <w:p w:rsidR="002C41C4" w:rsidP="005C521E" w14:paraId="58F5D41B" w14:textId="77777777">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Proposed</w:t>
      </w:r>
      <w:r>
        <w:rPr>
          <w:rFonts w:ascii="Times New Roman" w:hAnsi="Times New Roman"/>
          <w:spacing w:val="-3"/>
          <w:sz w:val="22"/>
          <w:szCs w:val="22"/>
        </w:rPr>
        <w:tab/>
      </w:r>
    </w:p>
    <w:p w:rsidR="002C41C4" w:rsidP="005C521E" w14:paraId="69D6ED9E" w14:textId="0E1C4907">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Las Vegas, Nevada</w:t>
      </w:r>
      <w:r w:rsidR="002C2AF9">
        <w:rPr>
          <w:rFonts w:ascii="Times New Roman" w:hAnsi="Times New Roman"/>
          <w:spacing w:val="-3"/>
          <w:sz w:val="22"/>
          <w:szCs w:val="22"/>
        </w:rPr>
        <w:tab/>
      </w:r>
      <w:r w:rsidR="002C2AF9">
        <w:rPr>
          <w:rFonts w:ascii="Times New Roman" w:hAnsi="Times New Roman"/>
          <w:spacing w:val="-3"/>
          <w:sz w:val="22"/>
          <w:szCs w:val="22"/>
        </w:rPr>
        <w:tab/>
      </w:r>
      <w:r w:rsidR="002C2AF9">
        <w:rPr>
          <w:rFonts w:ascii="Times New Roman" w:hAnsi="Times New Roman"/>
          <w:spacing w:val="-3"/>
          <w:sz w:val="22"/>
          <w:szCs w:val="22"/>
        </w:rPr>
        <w:tab/>
      </w:r>
      <w:r w:rsidR="007B3BA2">
        <w:rPr>
          <w:rFonts w:ascii="Times New Roman" w:hAnsi="Times New Roman"/>
          <w:spacing w:val="-3"/>
          <w:sz w:val="22"/>
          <w:szCs w:val="22"/>
        </w:rPr>
        <w:t>2, 7, *11,</w:t>
      </w:r>
      <w:r w:rsidR="00E604A9">
        <w:rPr>
          <w:rFonts w:ascii="Times New Roman" w:hAnsi="Times New Roman"/>
          <w:spacing w:val="-3"/>
          <w:sz w:val="22"/>
          <w:szCs w:val="22"/>
        </w:rPr>
        <w:t xml:space="preserve"> </w:t>
      </w:r>
      <w:r w:rsidR="007B3BA2">
        <w:rPr>
          <w:rFonts w:ascii="Times New Roman" w:hAnsi="Times New Roman"/>
          <w:spacing w:val="-3"/>
          <w:sz w:val="22"/>
          <w:szCs w:val="22"/>
        </w:rPr>
        <w:t>13, 16,</w:t>
      </w:r>
      <w:r w:rsidR="00E604A9">
        <w:rPr>
          <w:rFonts w:ascii="Times New Roman" w:hAnsi="Times New Roman"/>
          <w:spacing w:val="-3"/>
          <w:sz w:val="22"/>
          <w:szCs w:val="22"/>
        </w:rPr>
        <w:t xml:space="preserve"> </w:t>
      </w:r>
      <w:r w:rsidR="007B3BA2">
        <w:rPr>
          <w:rFonts w:ascii="Times New Roman" w:hAnsi="Times New Roman"/>
          <w:spacing w:val="-3"/>
          <w:sz w:val="22"/>
          <w:szCs w:val="22"/>
        </w:rPr>
        <w:t>22, 29</w:t>
      </w:r>
      <w:r w:rsidR="002C2AF9">
        <w:rPr>
          <w:rFonts w:ascii="Times New Roman" w:hAnsi="Times New Roman"/>
          <w:spacing w:val="-3"/>
          <w:sz w:val="22"/>
          <w:szCs w:val="22"/>
        </w:rPr>
        <w:tab/>
      </w:r>
      <w:r w:rsidR="002C2AF9">
        <w:rPr>
          <w:rFonts w:ascii="Times New Roman" w:hAnsi="Times New Roman"/>
          <w:spacing w:val="-3"/>
          <w:sz w:val="22"/>
          <w:szCs w:val="22"/>
        </w:rPr>
        <w:tab/>
      </w:r>
      <w:r w:rsidR="00E604A9">
        <w:rPr>
          <w:rFonts w:ascii="Times New Roman" w:hAnsi="Times New Roman"/>
          <w:spacing w:val="-3"/>
          <w:sz w:val="22"/>
          <w:szCs w:val="22"/>
        </w:rPr>
        <w:t>2, 7, *11, 16, 22, 26, 29</w:t>
      </w:r>
    </w:p>
    <w:bookmarkEnd w:id="1"/>
    <w:p w:rsidR="002C41C4" w:rsidP="005C521E" w14:paraId="7566B01F" w14:textId="77777777">
      <w:pPr>
        <w:pStyle w:val="Heading1"/>
      </w:pPr>
      <w:r>
        <w:t>Procedural matters</w:t>
      </w:r>
    </w:p>
    <w:p w:rsidR="002C41C4" w:rsidP="005C521E" w14:paraId="7F7F7A69" w14:textId="77777777">
      <w:pPr>
        <w:pStyle w:val="ParaNum"/>
      </w:pPr>
      <w:r>
        <w:rPr>
          <w:i/>
          <w:iCs/>
        </w:rPr>
        <w:t>Showings Required</w:t>
      </w:r>
      <w:r>
        <w:t>.  Comments are invited on the proposal discussed in this Notice of Proposed Rulemaking (</w:t>
      </w:r>
      <w:r>
        <w:rPr>
          <w:i/>
          <w:iCs/>
        </w:rPr>
        <w:t>NPRM</w:t>
      </w:r>
      <w:r>
        <w:t>).  The Petitioner or any proponent that expresses interest in the allotment will be expected to answer whatever questions are presented in initial comments.  The petitioner of a proposed allotment is required to file comments even if it only resubmits or incorporates by reference its former pleadings.  The petitioner must restate its present intention to apply for the channel if it is allotted and, if authorized, to build a station promptly.</w:t>
      </w:r>
      <w:r>
        <w:rPr>
          <w:rStyle w:val="FootnoteReference"/>
        </w:rPr>
        <w:footnoteReference w:id="12"/>
      </w:r>
      <w:r>
        <w:t xml:space="preserve">  Failure to file may lead to denial of the request.  Any requests by a proponent for withdrawal or dismissal of an allotment request must be filed with the Commission in accordance with section 1.420(j) of the rules.</w:t>
      </w:r>
      <w:r>
        <w:rPr>
          <w:rStyle w:val="FootnoteReference"/>
        </w:rPr>
        <w:footnoteReference w:id="13"/>
      </w:r>
    </w:p>
    <w:p w:rsidR="002C41C4" w:rsidP="005C521E" w14:paraId="588816BD" w14:textId="77777777">
      <w:pPr>
        <w:pStyle w:val="ParaNum"/>
      </w:pPr>
      <w:r>
        <w:rPr>
          <w:i/>
          <w:iCs/>
        </w:rPr>
        <w:t>Cut-off Protection</w:t>
      </w:r>
      <w:r>
        <w:t>.  The following procedures will govern the consideration of the filings in this proceeding:</w:t>
      </w:r>
    </w:p>
    <w:p w:rsidR="002C41C4" w:rsidP="005C521E" w14:paraId="77DD2F97" w14:textId="77777777">
      <w:pPr>
        <w:numPr>
          <w:ilvl w:val="0"/>
          <w:numId w:val="7"/>
        </w:numPr>
        <w:spacing w:after="120"/>
      </w:pPr>
      <w:r>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4"/>
      </w:r>
      <w:r>
        <w:t xml:space="preserve">  </w:t>
      </w:r>
    </w:p>
    <w:p w:rsidR="002C41C4" w:rsidP="005C521E" w14:paraId="7B77B960" w14:textId="77777777">
      <w:pPr>
        <w:widowControl/>
        <w:numPr>
          <w:ilvl w:val="0"/>
          <w:numId w:val="7"/>
        </w:numPr>
        <w:spacing w:after="120"/>
      </w:pPr>
      <w:r>
        <w:t>The filing of a counterproposal may lead the Commission to allot a different channel than was requested in the Petition.</w:t>
      </w:r>
      <w:r>
        <w:rPr>
          <w:rStyle w:val="FootnoteReference"/>
        </w:rPr>
        <w:footnoteReference w:id="15"/>
      </w:r>
    </w:p>
    <w:p w:rsidR="002C41C4" w:rsidP="005C521E" w14:paraId="3B0F8C17" w14:textId="77777777">
      <w:pPr>
        <w:pStyle w:val="ParaNum"/>
      </w:pPr>
      <w:r>
        <w:rPr>
          <w:i/>
          <w:iCs/>
        </w:rPr>
        <w:t>Comments and Reply Comments</w:t>
      </w:r>
      <w:r>
        <w:t xml:space="preserve">.  Pursuant to </w:t>
      </w:r>
      <w:r>
        <w:rPr>
          <w:szCs w:val="22"/>
        </w:rPr>
        <w:t>sections 1.415, 1.419, and 1.420 of the rules,</w:t>
      </w:r>
      <w:r>
        <w:rPr>
          <w:rStyle w:val="FootnoteReference"/>
          <w:szCs w:val="22"/>
        </w:rPr>
        <w:footnoteReference w:id="16"/>
      </w:r>
      <w:r>
        <w:rPr>
          <w:szCs w:val="22"/>
        </w:rPr>
        <w:t xml:space="preserve"> interested parties may file comments and reply </w:t>
      </w:r>
      <w:r w:rsidRPr="00A97B35">
        <w:t>comments</w:t>
      </w:r>
      <w:r>
        <w:rPr>
          <w:szCs w:val="22"/>
        </w:rPr>
        <w:t xml:space="preserve"> on or before the dates indicated on the first page of this document.  Comments may be filed using the Commission’s Electronic Comment Filing System (ECFS)</w:t>
      </w:r>
      <w:r>
        <w:t>.</w:t>
      </w:r>
      <w:r>
        <w:rPr>
          <w:rStyle w:val="FootnoteReference"/>
        </w:rPr>
        <w:footnoteReference w:id="17"/>
      </w:r>
    </w:p>
    <w:p w:rsidR="002C41C4" w:rsidP="005C521E" w14:paraId="5E7E1DB4" w14:textId="77777777">
      <w:pPr>
        <w:numPr>
          <w:ilvl w:val="0"/>
          <w:numId w:val="9"/>
        </w:numPr>
        <w:spacing w:after="120"/>
        <w:ind w:left="1080"/>
        <w:rPr>
          <w:szCs w:val="22"/>
        </w:rPr>
      </w:pPr>
      <w:r>
        <w:rPr>
          <w:szCs w:val="22"/>
        </w:rPr>
        <w:t xml:space="preserve">Electronic Filers:  Comments may be filed electronically using the Internet by accessing the ECFS:  </w:t>
      </w:r>
      <w:hyperlink r:id="rId5" w:history="1">
        <w:r>
          <w:rPr>
            <w:rStyle w:val="Hyperlink"/>
            <w:color w:val="auto"/>
            <w:szCs w:val="22"/>
          </w:rPr>
          <w:t>http://apps.fcc.gov/ecfs/</w:t>
        </w:r>
      </w:hyperlink>
      <w:r>
        <w:rPr>
          <w:szCs w:val="22"/>
        </w:rPr>
        <w:t>.  Parties that choose to file electronically only need to submit one copy of each filing so long as the submission conforms to all procedural and filing requirements.  Online filing is optional.</w:t>
      </w:r>
    </w:p>
    <w:p w:rsidR="002C41C4" w:rsidP="005C521E" w14:paraId="274669F1" w14:textId="77777777">
      <w:pPr>
        <w:numPr>
          <w:ilvl w:val="0"/>
          <w:numId w:val="9"/>
        </w:numPr>
        <w:spacing w:after="120"/>
        <w:ind w:left="1080"/>
        <w:rPr>
          <w:szCs w:val="22"/>
        </w:rPr>
      </w:pPr>
      <w:r>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Any paper filing that is not addressed to the Office of the Secretary will be treated as filed on the day it is received in the Office of the Secretary.  Accordingly, failure to follow the specified requirements may result in the treatment of a filing as untimely.</w:t>
      </w:r>
    </w:p>
    <w:p w:rsidR="002C41C4" w:rsidP="005C521E" w14:paraId="535B1D70" w14:textId="77777777">
      <w:pPr>
        <w:numPr>
          <w:ilvl w:val="0"/>
          <w:numId w:val="10"/>
        </w:numPr>
        <w:spacing w:after="120"/>
        <w:rPr>
          <w:szCs w:val="22"/>
        </w:rPr>
      </w:pPr>
      <w:r>
        <w:rPr>
          <w:szCs w:val="22"/>
        </w:rPr>
        <w:t>Commercial overnight mail (other than U.S. Postal Service Express Mail and Priority Mail) must be sent to 9050 Junction Drive, Annapolis Junction, MD 20701.</w:t>
      </w:r>
    </w:p>
    <w:p w:rsidR="002C41C4" w:rsidP="005C521E" w14:paraId="69853830" w14:textId="77777777">
      <w:pPr>
        <w:numPr>
          <w:ilvl w:val="0"/>
          <w:numId w:val="10"/>
        </w:numPr>
        <w:spacing w:after="120"/>
        <w:rPr>
          <w:szCs w:val="22"/>
        </w:rPr>
      </w:pPr>
      <w:r>
        <w:rPr>
          <w:szCs w:val="22"/>
        </w:rPr>
        <w:t>U.S. Postal Service first-class, Express, and Priority mail must be addressed to 45 L Street, NE, Washington D.C. 20554.</w:t>
      </w:r>
    </w:p>
    <w:p w:rsidR="002C41C4" w:rsidP="005C521E" w14:paraId="36C975DC" w14:textId="77777777">
      <w:pPr>
        <w:numPr>
          <w:ilvl w:val="0"/>
          <w:numId w:val="10"/>
        </w:numPr>
        <w:spacing w:after="120"/>
      </w:pPr>
      <w:r>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18"/>
      </w:r>
    </w:p>
    <w:p w:rsidR="002C41C4" w:rsidP="005C521E" w14:paraId="69BB4C64" w14:textId="77777777">
      <w:pPr>
        <w:pStyle w:val="ListParagraph"/>
        <w:numPr>
          <w:ilvl w:val="0"/>
          <w:numId w:val="10"/>
        </w:numPr>
        <w:spacing w:after="120"/>
      </w:pPr>
      <w:r>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p w:rsidR="002C41C4" w:rsidP="005C521E" w14:paraId="516E7F81" w14:textId="4BE72AF8">
      <w:pPr>
        <w:pStyle w:val="ParaNum"/>
      </w:pPr>
      <w:r>
        <w:rPr>
          <w:i/>
          <w:iCs/>
        </w:rPr>
        <w:t>Service.</w:t>
      </w:r>
      <w:r>
        <w:t xml:space="preserve">  Pursuant </w:t>
      </w:r>
      <w:r w:rsidR="00336D5F">
        <w:t xml:space="preserve">to </w:t>
      </w:r>
      <w:r>
        <w:t>section 1.420 of the rules,</w:t>
      </w:r>
      <w:r>
        <w:rPr>
          <w:rStyle w:val="FootnoteReference"/>
        </w:rPr>
        <w:footnoteReference w:id="19"/>
      </w:r>
      <w:r>
        <w:t xml:space="preserve"> all submissions by parties to this proceeding or by persons acting on behalf of such parties must be made in written comments, reply comments, or other appropriate pleadings.  The person filing the comments shall serve comments on the petitioners.  Reply comments shall be served on the person(s) who filed comments to which the reply is directed.  A certificate of service shall accompany such comments and reply comments.</w:t>
      </w:r>
      <w:r>
        <w:rPr>
          <w:rStyle w:val="FootnoteReference"/>
        </w:rPr>
        <w:footnoteReference w:id="20"/>
      </w:r>
      <w:r>
        <w:t xml:space="preserve">  Additionally, a copy of such comments should be served on counsel for </w:t>
      </w:r>
      <w:r w:rsidR="006D6AC4">
        <w:t>the P</w:t>
      </w:r>
      <w:r>
        <w:t>etitioner, as follows:</w:t>
      </w:r>
    </w:p>
    <w:p w:rsidR="002C41C4" w:rsidP="005C521E" w14:paraId="171E5647" w14:textId="2104BB5F">
      <w:pPr>
        <w:pStyle w:val="ParaNum"/>
        <w:numPr>
          <w:ilvl w:val="0"/>
          <w:numId w:val="0"/>
        </w:numPr>
        <w:spacing w:after="0"/>
        <w:ind w:left="720"/>
      </w:pPr>
      <w:r>
        <w:t>Daniel Kirkpatrick</w:t>
      </w:r>
      <w:r w:rsidR="002C2AF9">
        <w:t xml:space="preserve">, Esq. </w:t>
      </w:r>
    </w:p>
    <w:p w:rsidR="002C41C4" w:rsidP="005C521E" w14:paraId="01E0902D" w14:textId="4D94EF06">
      <w:pPr>
        <w:pStyle w:val="ParaNum"/>
        <w:numPr>
          <w:ilvl w:val="0"/>
          <w:numId w:val="0"/>
        </w:numPr>
        <w:spacing w:after="0"/>
        <w:ind w:left="720"/>
      </w:pPr>
      <w:r>
        <w:t>B</w:t>
      </w:r>
      <w:r w:rsidR="00363B32">
        <w:t>aker &amp; Hostetler</w:t>
      </w:r>
      <w:r w:rsidR="00802CDA">
        <w:t>, LLP</w:t>
      </w:r>
    </w:p>
    <w:p w:rsidR="002C41C4" w:rsidP="005C521E" w14:paraId="1F07D289" w14:textId="26F7EF1F">
      <w:pPr>
        <w:pStyle w:val="ParaNum"/>
        <w:numPr>
          <w:ilvl w:val="0"/>
          <w:numId w:val="0"/>
        </w:numPr>
        <w:spacing w:after="0"/>
        <w:ind w:left="720"/>
      </w:pPr>
      <w:r>
        <w:t xml:space="preserve">1050 Connecticut Avenue, </w:t>
      </w:r>
      <w:r w:rsidRPr="00363B32">
        <w:t>N</w:t>
      </w:r>
      <w:r>
        <w:t>W, Suite 1100</w:t>
      </w:r>
    </w:p>
    <w:p w:rsidR="002C41C4" w:rsidP="005C521E" w14:paraId="0A24907E" w14:textId="109D49F0">
      <w:pPr>
        <w:pStyle w:val="ParaNum"/>
        <w:numPr>
          <w:ilvl w:val="0"/>
          <w:numId w:val="0"/>
        </w:numPr>
        <w:spacing w:after="0"/>
        <w:ind w:firstLine="720"/>
      </w:pPr>
      <w:r>
        <w:t>Washington, D.C.  20036</w:t>
      </w:r>
    </w:p>
    <w:p w:rsidR="002C41C4" w:rsidP="005C521E" w14:paraId="0896323D" w14:textId="77777777">
      <w:pPr>
        <w:pStyle w:val="ParaNum"/>
      </w:pPr>
      <w:r>
        <w:rPr>
          <w:i/>
          <w:iCs/>
          <w:szCs w:val="22"/>
        </w:rPr>
        <w:t xml:space="preserve">Ex </w:t>
      </w:r>
      <w:r>
        <w:rPr>
          <w:i/>
          <w:iCs/>
          <w:szCs w:val="22"/>
        </w:rPr>
        <w:t>Parte</w:t>
      </w:r>
      <w:r>
        <w:rPr>
          <w:i/>
          <w:iCs/>
          <w:szCs w:val="22"/>
        </w:rPr>
        <w:t xml:space="preserve"> Notices</w:t>
      </w:r>
      <w:r>
        <w:rPr>
          <w:i/>
          <w:szCs w:val="22"/>
        </w:rPr>
        <w:t>– Restricted</w:t>
      </w:r>
      <w:r>
        <w:rPr>
          <w:szCs w:val="22"/>
        </w:rPr>
        <w:t xml:space="preserve">.  The </w:t>
      </w:r>
      <w:r w:rsidRPr="00A97B35">
        <w:t>proceeding</w:t>
      </w:r>
      <w:r>
        <w:rPr>
          <w:szCs w:val="22"/>
        </w:rPr>
        <w:t xml:space="preserve"> this Notice initiates shall be treated as a “restricted” proceeding in accordance with the Commission’s </w:t>
      </w:r>
      <w:r>
        <w:rPr>
          <w:i/>
          <w:iCs/>
          <w:szCs w:val="22"/>
        </w:rPr>
        <w:t xml:space="preserve">ex </w:t>
      </w:r>
      <w:r>
        <w:rPr>
          <w:i/>
          <w:iCs/>
          <w:szCs w:val="22"/>
        </w:rPr>
        <w:t>parte</w:t>
      </w:r>
      <w:r>
        <w:rPr>
          <w:i/>
          <w:iCs/>
          <w:szCs w:val="22"/>
        </w:rPr>
        <w:t xml:space="preserve"> </w:t>
      </w:r>
      <w:r>
        <w:rPr>
          <w:szCs w:val="22"/>
        </w:rPr>
        <w:t>rules.</w:t>
      </w:r>
      <w:r>
        <w:rPr>
          <w:szCs w:val="22"/>
          <w:vertAlign w:val="superscript"/>
        </w:rPr>
        <w:footnoteReference w:id="21"/>
      </w:r>
      <w:r>
        <w:rPr>
          <w:szCs w:val="22"/>
        </w:rPr>
        <w:t xml:space="preserve">  </w:t>
      </w:r>
      <w:r>
        <w:t xml:space="preserve">For purposes of this restricted notice and comment rulemaking proceeding, members of the public are advised that no </w:t>
      </w:r>
      <w:r>
        <w:rPr>
          <w:i/>
          <w:iCs/>
        </w:rPr>
        <w:t xml:space="preserve">ex </w:t>
      </w:r>
      <w:r>
        <w:rPr>
          <w:i/>
          <w:iCs/>
        </w:rPr>
        <w:t>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rPr>
        <w:footnoteReference w:id="22"/>
      </w:r>
      <w:r>
        <w:t xml:space="preserve">  An </w:t>
      </w:r>
      <w:r>
        <w:rPr>
          <w:i/>
          <w:iCs/>
        </w:rPr>
        <w:t xml:space="preserve">ex </w:t>
      </w:r>
      <w:r>
        <w:rPr>
          <w:i/>
          <w:iCs/>
        </w:rPr>
        <w:t>parte</w:t>
      </w:r>
      <w:r>
        <w:t xml:space="preserve"> presentation is not prohibited if specifically requested by the Commission or staff for the clarification or adduction of evidence or resolution of issues in the proceeding.</w:t>
      </w:r>
      <w:r>
        <w:rPr>
          <w:rStyle w:val="FootnoteReference"/>
        </w:rPr>
        <w:t xml:space="preserve"> </w:t>
      </w:r>
      <w:r>
        <w:rPr>
          <w:rStyle w:val="FootnoteReference"/>
        </w:rPr>
        <w:footnoteReference w:id="23"/>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4"/>
      </w:r>
      <w:r>
        <w:t xml:space="preserve">  Any comment that has not been served on the petitioner constitutes an </w:t>
      </w:r>
      <w:r>
        <w:rPr>
          <w:i/>
          <w:iCs/>
        </w:rPr>
        <w:t xml:space="preserve">ex </w:t>
      </w:r>
      <w:r>
        <w:rPr>
          <w:i/>
          <w:iCs/>
        </w:rPr>
        <w:t>parte</w:t>
      </w:r>
      <w:r>
        <w:t xml:space="preserve"> presentation and shall not be considered in the proceeding.  Any reply comment which has not been served on the person(s) who filed the comment, to which the reply is directed, constitutes an </w:t>
      </w:r>
      <w:r>
        <w:rPr>
          <w:i/>
          <w:iCs/>
        </w:rPr>
        <w:t xml:space="preserve">ex </w:t>
      </w:r>
      <w:r>
        <w:rPr>
          <w:i/>
          <w:iCs/>
        </w:rPr>
        <w:t>parte</w:t>
      </w:r>
      <w:r>
        <w:t xml:space="preserve"> </w:t>
      </w:r>
      <w:r>
        <w:t>presentation</w:t>
      </w:r>
      <w:r>
        <w:t xml:space="preserve"> and shall not be considered in the proceeding. </w:t>
      </w:r>
    </w:p>
    <w:p w:rsidR="002C41C4" w:rsidP="005C521E" w14:paraId="051208AF" w14:textId="77777777">
      <w:pPr>
        <w:pStyle w:val="ParaNum"/>
      </w:pPr>
      <w:r>
        <w:rPr>
          <w:i/>
          <w:iCs/>
        </w:rPr>
        <w:t xml:space="preserve">Availability of Documents.  </w:t>
      </w:r>
      <w:r>
        <w:t xml:space="preserve">Comments, reply comments, and </w:t>
      </w:r>
      <w:r>
        <w:rPr>
          <w:i/>
          <w:iCs/>
        </w:rPr>
        <w:t xml:space="preserve">ex </w:t>
      </w:r>
      <w:r>
        <w:rPr>
          <w:i/>
          <w:iCs/>
        </w:rPr>
        <w:t>parte</w:t>
      </w:r>
      <w:r>
        <w:t xml:space="preserve"> submissions will be available for public inspection via ECFS (</w:t>
      </w:r>
      <w:hyperlink r:id="rId6" w:history="1">
        <w:r>
          <w:rPr>
            <w:rStyle w:val="Hyperlink"/>
          </w:rPr>
          <w:t>http://apps.fcc.gov/ecfs/</w:t>
        </w:r>
      </w:hyperlink>
      <w:r>
        <w:t>).  Documents will be available electronically in ASCII, Microsoft Word, and/or Adobe Acrobat.</w:t>
      </w:r>
    </w:p>
    <w:p w:rsidR="002C41C4" w:rsidP="005C521E" w14:paraId="1FE3CFBB" w14:textId="77777777">
      <w:pPr>
        <w:pStyle w:val="ParaNum"/>
      </w:pPr>
      <w:r>
        <w:rPr>
          <w:i/>
          <w:iCs/>
        </w:rPr>
        <w:t>Paperwork Reduction and Regulatory Flexibility</w:t>
      </w:r>
      <w:r>
        <w:t>.  The Commission has determined that the relevant provisions of the Regulatory Flexibility Act of 1980, as amended,</w:t>
      </w:r>
      <w:r>
        <w:rPr>
          <w:rStyle w:val="FootnoteReference"/>
        </w:rPr>
        <w:footnoteReference w:id="25"/>
      </w:r>
      <w:r>
        <w:t xml:space="preserve"> do not apply to a rulemaking proceeding to amend the DTV Table of Allotments, section 73.622(</w:t>
      </w:r>
      <w:r>
        <w:t>i</w:t>
      </w:r>
      <w:r>
        <w:t>) of the rules.</w:t>
      </w:r>
      <w:r>
        <w:rPr>
          <w:rStyle w:val="FootnoteReference"/>
        </w:rPr>
        <w:footnoteReference w:id="26"/>
      </w:r>
      <w:r>
        <w:t xml:space="preserve">  This document does not contain proposed information collection requirements subject to the Paperwork Reduction Act of 1995.</w:t>
      </w:r>
      <w:r>
        <w:rPr>
          <w:rStyle w:val="FootnoteReference"/>
        </w:rPr>
        <w:footnoteReference w:id="27"/>
      </w:r>
      <w:r>
        <w:t xml:space="preserve">  In addition, therefore, it does not contain any proposed information collection burden “for small business concerns with fewer than 25 employees,” pursuant to the Small Business Paperwork Relief Act of 2002.</w:t>
      </w:r>
      <w:r>
        <w:rPr>
          <w:rStyle w:val="FootnoteReference"/>
        </w:rPr>
        <w:footnoteReference w:id="28"/>
      </w:r>
    </w:p>
    <w:p w:rsidR="002C41C4" w:rsidP="005C521E" w14:paraId="01A50E95" w14:textId="77777777">
      <w:pPr>
        <w:pStyle w:val="ParaNum"/>
        <w:rPr>
          <w:szCs w:val="22"/>
        </w:rPr>
      </w:pPr>
      <w:r>
        <w:rPr>
          <w:i/>
          <w:szCs w:val="22"/>
        </w:rPr>
        <w:t>People with Disabilities</w:t>
      </w:r>
      <w:r>
        <w:rPr>
          <w:szCs w:val="22"/>
        </w:rPr>
        <w:t xml:space="preserve">.  To </w:t>
      </w:r>
      <w:r w:rsidRPr="00A97B35">
        <w:t>request</w:t>
      </w:r>
      <w:r>
        <w:rPr>
          <w:szCs w:val="22"/>
        </w:rPr>
        <w:t xml:space="preserve"> materials in accessible formats for people with disabilities (braille, large print, electronic files, audio format), send an e-mail to </w:t>
      </w:r>
      <w:hyperlink r:id="rId5" w:history="1">
        <w:r>
          <w:rPr>
            <w:szCs w:val="22"/>
            <w:u w:val="single"/>
          </w:rPr>
          <w:t>fcc504@fcc.gov</w:t>
        </w:r>
      </w:hyperlink>
      <w:r>
        <w:rPr>
          <w:szCs w:val="22"/>
        </w:rPr>
        <w:t xml:space="preserve"> or call the Consumer &amp; Governmental Affairs Bureau at 202-418-0530 (voice), 202-418-0432 (</w:t>
      </w:r>
      <w:r>
        <w:rPr>
          <w:szCs w:val="22"/>
        </w:rPr>
        <w:t>tty</w:t>
      </w:r>
      <w:r>
        <w:rPr>
          <w:szCs w:val="22"/>
        </w:rPr>
        <w:t>).</w:t>
      </w:r>
    </w:p>
    <w:p w:rsidR="002C41C4" w:rsidP="005C521E" w14:paraId="342D0ED8" w14:textId="77777777">
      <w:pPr>
        <w:pStyle w:val="ParaNum"/>
      </w:pPr>
      <w:r>
        <w:rPr>
          <w:i/>
          <w:iCs/>
        </w:rPr>
        <w:t>Additional Information</w:t>
      </w:r>
      <w:r>
        <w:t xml:space="preserve">.  For further information concerning the proceeding listed above, contact Joyce Bernstein, Video Division, Media Bureau, (202) 418-1647, Joyce.Bernstein@fcc.gov. </w:t>
      </w:r>
    </w:p>
    <w:p w:rsidR="002C41C4" w:rsidP="005C521E" w14:paraId="3F9F4E76" w14:textId="77777777">
      <w:pPr>
        <w:pStyle w:val="Heading1"/>
        <w:keepLines/>
        <w:suppressAutoHyphens w:val="0"/>
      </w:pPr>
      <w:r>
        <w:t>Ordering clauses</w:t>
      </w:r>
    </w:p>
    <w:p w:rsidR="002C41C4" w:rsidP="005C521E" w14:paraId="5D91C99D" w14:textId="77777777">
      <w:pPr>
        <w:pStyle w:val="ParaNum"/>
        <w:keepNext/>
        <w:keepLines/>
        <w:rPr>
          <w:szCs w:val="22"/>
        </w:rPr>
      </w:pPr>
      <w:r>
        <w:rPr>
          <w:b/>
          <w:bCs/>
        </w:rPr>
        <w:t>IT IS ORDERED</w:t>
      </w:r>
      <w:r>
        <w:t xml:space="preserve"> that, pursuant to authority found in 47 U.S.C. sections 4(</w:t>
      </w:r>
      <w:r>
        <w:t>i</w:t>
      </w:r>
      <w:r>
        <w:t>), 5(c)(1), 303(g) and (r), and 307(b) of the Communications Act of 1934, as amended, 47 U.S.C. §§ 154(</w:t>
      </w:r>
      <w:r>
        <w:t>i</w:t>
      </w:r>
      <w:r>
        <w:t xml:space="preserve">), 155(c)(1), 303(g), (r), and 307(b) and sections 0.61, 0.204(b), and 0.283 of the rules, 47 CFR §§ 0.61, 0.204(b), and 0.283, </w:t>
      </w:r>
      <w:r>
        <w:rPr>
          <w:b/>
          <w:bCs/>
        </w:rPr>
        <w:t>IT IS PROPOSED TO AMEND</w:t>
      </w:r>
      <w:r>
        <w:t xml:space="preserve"> the Post-Transition Table of DTV Allotments, section 73.622(</w:t>
      </w:r>
      <w:r>
        <w:t>i</w:t>
      </w:r>
      <w:r>
        <w:t>) of the rules, 47 CFR § 73.622(</w:t>
      </w:r>
      <w:r>
        <w:t>i</w:t>
      </w:r>
      <w:r>
        <w:t xml:space="preserve">), as set forth in this </w:t>
      </w:r>
      <w:r>
        <w:rPr>
          <w:i/>
          <w:iCs/>
        </w:rPr>
        <w:t>NPRM</w:t>
      </w:r>
      <w:r>
        <w:t xml:space="preserve">, and </w:t>
      </w:r>
      <w:r>
        <w:rPr>
          <w:szCs w:val="22"/>
        </w:rPr>
        <w:t xml:space="preserve">this </w:t>
      </w:r>
      <w:r>
        <w:rPr>
          <w:i/>
          <w:iCs/>
          <w:szCs w:val="22"/>
        </w:rPr>
        <w:t>NPRM</w:t>
      </w:r>
      <w:r>
        <w:rPr>
          <w:szCs w:val="22"/>
        </w:rPr>
        <w:t xml:space="preserve"> </w:t>
      </w:r>
      <w:r>
        <w:rPr>
          <w:b/>
          <w:szCs w:val="22"/>
        </w:rPr>
        <w:t xml:space="preserve">IS ADOPTED.  </w:t>
      </w:r>
    </w:p>
    <w:p w:rsidR="002C41C4" w:rsidP="005C521E" w14:paraId="3CF06BCB" w14:textId="11F62E26">
      <w:pPr>
        <w:pStyle w:val="ParaNum"/>
        <w:rPr>
          <w:szCs w:val="22"/>
        </w:rPr>
      </w:pPr>
      <w:r>
        <w:rPr>
          <w:b/>
          <w:szCs w:val="22"/>
        </w:rPr>
        <w:t>IT IS FURTHER ORDERED</w:t>
      </w:r>
      <w:r>
        <w:rPr>
          <w:szCs w:val="22"/>
        </w:rPr>
        <w:t xml:space="preserve"> that, </w:t>
      </w:r>
      <w:r w:rsidRPr="00A97B35">
        <w:t>pursuant</w:t>
      </w:r>
      <w:r>
        <w:rPr>
          <w:szCs w:val="22"/>
        </w:rPr>
        <w:t xml:space="preserve"> to applicable procedures set forth in sections 1.415, 1.419, 1.420 of the rules, 47 CFR §§ 1.415, 1.419, and 1.420, interested parties may file comments, including counterproposals, on the </w:t>
      </w:r>
      <w:r>
        <w:rPr>
          <w:i/>
          <w:iCs/>
          <w:szCs w:val="22"/>
        </w:rPr>
        <w:t>NPRM</w:t>
      </w:r>
      <w:r>
        <w:rPr>
          <w:szCs w:val="22"/>
        </w:rPr>
        <w:t xml:space="preserve"> in MB Docket No. </w:t>
      </w:r>
      <w:r w:rsidR="00DB2CC2">
        <w:rPr>
          <w:szCs w:val="22"/>
        </w:rPr>
        <w:t>21-221</w:t>
      </w:r>
      <w:r>
        <w:rPr>
          <w:szCs w:val="22"/>
        </w:rPr>
        <w:t xml:space="preserve"> and </w:t>
      </w:r>
      <w:r w:rsidRPr="00B625C0">
        <w:rPr>
          <w:szCs w:val="22"/>
        </w:rPr>
        <w:t>RM-</w:t>
      </w:r>
      <w:r w:rsidR="00DB2CC2">
        <w:rPr>
          <w:szCs w:val="22"/>
        </w:rPr>
        <w:t>11908</w:t>
      </w:r>
      <w:r>
        <w:rPr>
          <w:szCs w:val="22"/>
        </w:rPr>
        <w:t xml:space="preserve"> on or before thirty (30) days after publication in the </w:t>
      </w:r>
      <w:r>
        <w:rPr>
          <w:iCs/>
          <w:szCs w:val="22"/>
        </w:rPr>
        <w:t>Federal Register</w:t>
      </w:r>
      <w:r>
        <w:rPr>
          <w:szCs w:val="22"/>
        </w:rPr>
        <w:t xml:space="preserve"> and reply comments on or before forty five (45) days after publication in the </w:t>
      </w:r>
      <w:r>
        <w:rPr>
          <w:iCs/>
          <w:szCs w:val="22"/>
        </w:rPr>
        <w:t>Federal Register</w:t>
      </w:r>
      <w:r>
        <w:rPr>
          <w:szCs w:val="22"/>
        </w:rPr>
        <w:t>.</w:t>
      </w:r>
    </w:p>
    <w:p w:rsidR="002C41C4" w:rsidP="005C521E" w14:paraId="6E6429D4" w14:textId="77777777">
      <w:r>
        <w:tab/>
      </w:r>
      <w:r>
        <w:tab/>
      </w:r>
      <w:r>
        <w:tab/>
      </w:r>
      <w:r>
        <w:tab/>
      </w:r>
      <w:r>
        <w:tab/>
      </w:r>
      <w:r>
        <w:tab/>
        <w:t>FEDERAL COMMUNICATIONS COMMISSION</w:t>
      </w:r>
    </w:p>
    <w:p w:rsidR="002C41C4" w:rsidP="005C521E" w14:paraId="13A5971D" w14:textId="77777777"/>
    <w:p w:rsidR="002C41C4" w:rsidP="005C521E" w14:paraId="52A2F8FE" w14:textId="77777777"/>
    <w:p w:rsidR="002C41C4" w:rsidP="005C521E" w14:paraId="513710B9" w14:textId="77777777"/>
    <w:p w:rsidR="002C41C4" w:rsidP="005C521E" w14:paraId="48896AFD" w14:textId="77777777"/>
    <w:p w:rsidR="002C41C4" w:rsidP="005C521E" w14:paraId="5ADA4752" w14:textId="77777777">
      <w:r>
        <w:tab/>
      </w:r>
      <w:r>
        <w:tab/>
      </w:r>
      <w:r>
        <w:tab/>
      </w:r>
      <w:r>
        <w:tab/>
      </w:r>
      <w:r>
        <w:tab/>
      </w:r>
      <w:r>
        <w:tab/>
        <w:t>Barbara A. Kreisman</w:t>
      </w:r>
    </w:p>
    <w:p w:rsidR="002C41C4" w:rsidP="005C521E" w14:paraId="02EF05B6" w14:textId="77777777">
      <w:r>
        <w:tab/>
      </w:r>
      <w:r>
        <w:tab/>
      </w:r>
      <w:r>
        <w:tab/>
      </w:r>
      <w:r>
        <w:tab/>
      </w:r>
      <w:r>
        <w:tab/>
      </w:r>
      <w:r>
        <w:tab/>
        <w:t>Chief, Video Division</w:t>
      </w:r>
    </w:p>
    <w:p w:rsidR="00412FC5" w:rsidRPr="002C41C4" w:rsidP="005C521E" w14:paraId="65712C9C" w14:textId="330E8596">
      <w:r>
        <w:tab/>
      </w:r>
      <w:r>
        <w:tab/>
      </w:r>
      <w:r>
        <w:tab/>
      </w:r>
      <w:r>
        <w:tab/>
      </w:r>
      <w:r>
        <w:tab/>
      </w:r>
      <w:r>
        <w:tab/>
        <w:t>Media Bureau</w:t>
      </w:r>
    </w:p>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7611186"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1EA3B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C521E" w14:paraId="10A604CC" w14:textId="5055EA6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A96491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7CC1" w14:paraId="41C94233" w14:textId="77777777">
      <w:r>
        <w:separator/>
      </w:r>
    </w:p>
  </w:footnote>
  <w:footnote w:type="continuationSeparator" w:id="1">
    <w:p w:rsidR="00477CC1" w:rsidP="00C721AC" w14:paraId="77B497AB" w14:textId="77777777">
      <w:pPr>
        <w:spacing w:before="120"/>
        <w:rPr>
          <w:sz w:val="20"/>
        </w:rPr>
      </w:pPr>
      <w:r>
        <w:rPr>
          <w:sz w:val="20"/>
        </w:rPr>
        <w:t xml:space="preserve">(Continued from previous page)  </w:t>
      </w:r>
      <w:r>
        <w:rPr>
          <w:sz w:val="20"/>
        </w:rPr>
        <w:separator/>
      </w:r>
    </w:p>
  </w:footnote>
  <w:footnote w:type="continuationNotice" w:id="2">
    <w:p w:rsidR="00477CC1" w:rsidP="00C721AC" w14:paraId="2E6BC236" w14:textId="77777777">
      <w:pPr>
        <w:jc w:val="right"/>
        <w:rPr>
          <w:sz w:val="20"/>
        </w:rPr>
      </w:pPr>
      <w:r>
        <w:rPr>
          <w:sz w:val="20"/>
        </w:rPr>
        <w:t>(continued….)</w:t>
      </w:r>
    </w:p>
  </w:footnote>
  <w:footnote w:id="3">
    <w:p w:rsidR="002C41C4" w:rsidP="005C521E" w14:paraId="4DED376D" w14:textId="0D540003">
      <w:pPr>
        <w:pStyle w:val="FootnoteText"/>
        <w:widowControl w:val="0"/>
      </w:pPr>
      <w:r>
        <w:rPr>
          <w:rStyle w:val="FootnoteReference"/>
        </w:rPr>
        <w:footnoteRef/>
      </w:r>
      <w:r>
        <w:t xml:space="preserve"> Petition of </w:t>
      </w:r>
      <w:r w:rsidR="000D4752">
        <w:t>Scripps Broadcasting Holdings</w:t>
      </w:r>
      <w:r>
        <w:t xml:space="preserve">, LLC for Rulemaking (filed </w:t>
      </w:r>
      <w:r w:rsidR="004A3F4E">
        <w:t xml:space="preserve">May </w:t>
      </w:r>
      <w:r w:rsidR="000D4752">
        <w:t>12</w:t>
      </w:r>
      <w:r>
        <w:t>, 202</w:t>
      </w:r>
      <w:r w:rsidR="004A3F4E">
        <w:t>1</w:t>
      </w:r>
      <w:r>
        <w:t>), LMS File No. 0000</w:t>
      </w:r>
      <w:r w:rsidR="000D4752">
        <w:t>145120</w:t>
      </w:r>
      <w:r>
        <w:t xml:space="preserve"> (Petition).  </w:t>
      </w:r>
    </w:p>
  </w:footnote>
  <w:footnote w:id="4">
    <w:p w:rsidR="002C41C4" w:rsidP="005C521E" w14:paraId="20742EB6" w14:textId="77777777">
      <w:pPr>
        <w:spacing w:after="120"/>
        <w:rPr>
          <w:sz w:val="20"/>
        </w:rPr>
      </w:pPr>
      <w:r>
        <w:rPr>
          <w:rStyle w:val="FootnoteReference"/>
        </w:rPr>
        <w:footnoteRef/>
      </w:r>
      <w:r>
        <w:t xml:space="preserve"> </w:t>
      </w:r>
      <w:r>
        <w:rPr>
          <w:sz w:val="20"/>
        </w:rPr>
        <w:t xml:space="preserve">On April 13, 2017, the Commission completed the incentive auction and broadcast television spectrum repacking authorized by the Spectrum Act.  </w:t>
      </w:r>
      <w:r>
        <w:rPr>
          <w:rStyle w:val="Emphasis"/>
          <w:sz w:val="20"/>
        </w:rPr>
        <w:t>See</w:t>
      </w:r>
      <w:r>
        <w:rPr>
          <w:sz w:val="20"/>
        </w:rPr>
        <w:t xml:space="preserve"> Middle Class Tax Relief and Job Creation Act of 2012, Pub. L. No. 112-96, §§ 6402 (codified at 47 U.S.C. § 309(j)(8)(G)), 6403 (codified at 47 U.S.C. § 1452), 126 Stat. 156 (2012) (Spectrum Act);</w:t>
      </w:r>
      <w:r>
        <w:rPr>
          <w:i/>
          <w:sz w:val="2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Pr>
          <w:sz w:val="20"/>
        </w:rPr>
        <w:t xml:space="preserve">, GN Docket No. 12-268, Public Notice, 32 FCC </w:t>
      </w:r>
      <w:r>
        <w:rPr>
          <w:sz w:val="20"/>
        </w:rPr>
        <w:t>Rcd</w:t>
      </w:r>
      <w:r>
        <w:rPr>
          <w:sz w:val="20"/>
        </w:rPr>
        <w:t xml:space="preserve"> 2786 (2017).  The post-incentive auction transition period ended on July 13, 2020.  The Media Bureau will amend the rules to reflect all new full power channel assignments in a revised Table of Allotments.  Because the Table has not yet been amended, the Division will continue to refer to the Post-Transition Table of DTV Allotments, 47 CFR § 73.622(</w:t>
      </w:r>
      <w:r>
        <w:rPr>
          <w:sz w:val="20"/>
        </w:rPr>
        <w:t>i</w:t>
      </w:r>
      <w:r>
        <w:rPr>
          <w:sz w:val="20"/>
        </w:rPr>
        <w:t>) (2018), for the purpose of this proceeding.</w:t>
      </w:r>
    </w:p>
  </w:footnote>
  <w:footnote w:id="5">
    <w:p w:rsidR="001F339C" w:rsidP="005C521E" w14:paraId="651ECEBD" w14:textId="6A9118B4">
      <w:pPr>
        <w:pStyle w:val="FootnoteText"/>
        <w:widowControl w:val="0"/>
      </w:pPr>
      <w:r>
        <w:rPr>
          <w:rStyle w:val="FootnoteReference"/>
        </w:rPr>
        <w:footnoteRef/>
      </w:r>
      <w:r>
        <w:t xml:space="preserve"> Petition at 2, citing </w:t>
      </w:r>
      <w:r>
        <w:rPr>
          <w:i/>
          <w:iCs/>
        </w:rPr>
        <w:t>Innovation in the Broadcast Television Bands: Allocations, Channel Sharing and Improvements to VHF</w:t>
      </w:r>
      <w:r>
        <w:t xml:space="preserve">, ET Docket No. 10-235, Notice of Proposed Rulemaking, 25 FCC </w:t>
      </w:r>
      <w:r>
        <w:t>Rcd</w:t>
      </w:r>
      <w:r>
        <w:t xml:space="preserve"> 16498, 16511 (2010).</w:t>
      </w:r>
    </w:p>
  </w:footnote>
  <w:footnote w:id="6">
    <w:p w:rsidR="0042273F" w14:paraId="337778A0" w14:textId="4AB3BB5E">
      <w:pPr>
        <w:pStyle w:val="FootnoteText"/>
      </w:pPr>
      <w:r>
        <w:rPr>
          <w:rStyle w:val="FootnoteReference"/>
        </w:rPr>
        <w:footnoteRef/>
      </w:r>
      <w:r>
        <w:t xml:space="preserve"> Petition at 2.</w:t>
      </w:r>
      <w:r w:rsidR="00990479">
        <w:t xml:space="preserve">  In addition, the Petitioner states that as part of the ATSC 3.0 transition in the Las Vegas market, the </w:t>
      </w:r>
      <w:r w:rsidRPr="00990479" w:rsidR="00990479">
        <w:t>CW</w:t>
      </w:r>
      <w:r w:rsidR="00990479">
        <w:t xml:space="preserve"> network programming of KVCW, channel 29, has been simulcast in an ATSC 1.0 format on KTNV-TV’s channel 13, and KVCW has informed the </w:t>
      </w:r>
      <w:r w:rsidR="00990479">
        <w:rPr>
          <w:rStyle w:val="PageNumber"/>
        </w:rPr>
        <w:t xml:space="preserve">Petitioner that it has received an increased number of receivability complaints.  </w:t>
      </w:r>
      <w:r w:rsidRPr="0011076C" w:rsidR="00990479">
        <w:rPr>
          <w:rStyle w:val="PageNumber"/>
          <w:i/>
          <w:iCs/>
        </w:rPr>
        <w:t>Id.</w:t>
      </w:r>
      <w:r w:rsidRPr="00990479" w:rsidR="00990479">
        <w:rPr>
          <w:rStyle w:val="PageNumber"/>
        </w:rPr>
        <w:t xml:space="preserve"> at 2-3.</w:t>
      </w:r>
    </w:p>
  </w:footnote>
  <w:footnote w:id="7">
    <w:p w:rsidR="001C07AB" w14:paraId="1C8B1E3E" w14:textId="3902F83E">
      <w:pPr>
        <w:pStyle w:val="FootnoteText"/>
      </w:pPr>
      <w:r>
        <w:rPr>
          <w:rStyle w:val="FootnoteReference"/>
        </w:rPr>
        <w:footnoteRef/>
      </w:r>
      <w:r>
        <w:t xml:space="preserve"> Petition at 3 and Engineering Statement at 2</w:t>
      </w:r>
      <w:r w:rsidR="00990479">
        <w:t>.</w:t>
      </w:r>
    </w:p>
  </w:footnote>
  <w:footnote w:id="8">
    <w:p w:rsidR="002C41C4" w:rsidP="005C521E" w14:paraId="3E5A096A" w14:textId="77777777">
      <w:pPr>
        <w:pStyle w:val="FootnoteText"/>
        <w:widowControl w:val="0"/>
      </w:pPr>
      <w:r>
        <w:rPr>
          <w:rStyle w:val="FootnoteReference"/>
        </w:rPr>
        <w:footnoteRef/>
      </w:r>
      <w:r>
        <w:t xml:space="preserve"> 47 CFR § 73.625(a).</w:t>
      </w:r>
      <w:bookmarkStart w:id="0" w:name="SR;334"/>
      <w:bookmarkEnd w:id="0"/>
    </w:p>
  </w:footnote>
  <w:footnote w:id="9">
    <w:p w:rsidR="002C41C4" w:rsidP="005C521E" w14:paraId="1F27F6B6" w14:textId="77777777">
      <w:pPr>
        <w:pStyle w:val="FootnoteText"/>
        <w:widowControl w:val="0"/>
      </w:pPr>
      <w:r>
        <w:rPr>
          <w:rStyle w:val="FootnoteReference"/>
        </w:rPr>
        <w:footnoteRef/>
      </w:r>
      <w:r>
        <w:t xml:space="preserve"> 47 CFR §§ 73.616, 73.623.</w:t>
      </w:r>
    </w:p>
  </w:footnote>
  <w:footnote w:id="10">
    <w:p w:rsidR="002E159E" w:rsidRPr="00586AF3" w:rsidP="002E159E" w14:paraId="1A23FA47" w14:textId="77777777">
      <w:pPr>
        <w:pStyle w:val="FootnoteText"/>
      </w:pPr>
      <w:r>
        <w:rPr>
          <w:rStyle w:val="FootnoteReference"/>
        </w:rPr>
        <w:footnoteRef/>
      </w:r>
      <w:r>
        <w:t xml:space="preserve"> </w:t>
      </w:r>
      <w:r>
        <w:rPr>
          <w:i/>
          <w:iCs/>
        </w:rPr>
        <w:t>See</w:t>
      </w:r>
      <w:r>
        <w:t xml:space="preserve"> </w:t>
      </w:r>
      <w:r w:rsidRPr="00586AF3">
        <w:rPr>
          <w:i/>
          <w:iCs/>
        </w:rPr>
        <w:t>WSET, Inc.</w:t>
      </w:r>
      <w:r w:rsidRPr="00586AF3">
        <w:t>, 80 FCC 2d 233, 246 (1980)</w:t>
      </w:r>
      <w:r>
        <w:t xml:space="preserve"> (finding that </w:t>
      </w:r>
      <w:r w:rsidRPr="00586AF3">
        <w:t xml:space="preserve">population loss of less than 500 persons is </w:t>
      </w:r>
      <w:r w:rsidRPr="00586AF3">
        <w:rPr>
          <w:i/>
          <w:iCs/>
        </w:rPr>
        <w:t>de minimis</w:t>
      </w:r>
      <w:r>
        <w:t>).</w:t>
      </w:r>
    </w:p>
  </w:footnote>
  <w:footnote w:id="11">
    <w:p w:rsidR="002C41C4" w:rsidP="005C521E" w14:paraId="68949447" w14:textId="77777777">
      <w:pPr>
        <w:pStyle w:val="FootnoteText"/>
        <w:widowControl w:val="0"/>
      </w:pPr>
      <w:r>
        <w:rPr>
          <w:rStyle w:val="FootnoteReference"/>
        </w:rPr>
        <w:footnoteRef/>
      </w:r>
      <w:r>
        <w:t xml:space="preserve"> 47 CFR § 73.622(</w:t>
      </w:r>
      <w:r>
        <w:t>i</w:t>
      </w:r>
      <w:r>
        <w:t>).</w:t>
      </w:r>
    </w:p>
  </w:footnote>
  <w:footnote w:id="12">
    <w:p w:rsidR="002C41C4" w:rsidP="005C521E" w14:paraId="27094D8C" w14:textId="77777777">
      <w:pPr>
        <w:pStyle w:val="FootnoteText"/>
        <w:widowControl w:val="0"/>
      </w:pPr>
      <w:r>
        <w:rPr>
          <w:rStyle w:val="FootnoteReference"/>
        </w:rPr>
        <w:footnoteRef/>
      </w:r>
      <w:r>
        <w:t xml:space="preserve"> </w:t>
      </w:r>
      <w:r w:rsidRPr="00C43C45" w:rsidR="001B714C">
        <w:rPr>
          <w:i/>
          <w:iCs/>
        </w:rPr>
        <w:t>See, e.g., Buffalo, Io</w:t>
      </w:r>
      <w:r w:rsidR="001B714C">
        <w:rPr>
          <w:i/>
          <w:iCs/>
        </w:rPr>
        <w:t>l</w:t>
      </w:r>
      <w:r w:rsidRPr="00C43C45" w:rsidR="001B714C">
        <w:rPr>
          <w:i/>
          <w:iCs/>
        </w:rPr>
        <w:t>a, Normangee, and Madisonville, Texas</w:t>
      </w:r>
      <w:r w:rsidRPr="00C43C45" w:rsidR="001B714C">
        <w:t xml:space="preserve">, </w:t>
      </w:r>
      <w:r w:rsidR="001B714C">
        <w:t xml:space="preserve">MB Docket No. 07-729, </w:t>
      </w:r>
      <w:r w:rsidRPr="00C43C45" w:rsidR="001B714C">
        <w:t>Report and Order</w:t>
      </w:r>
      <w:r w:rsidR="001B714C">
        <w:t>,</w:t>
      </w:r>
      <w:r w:rsidRPr="00C43C45" w:rsidR="001B714C">
        <w:t xml:space="preserve"> 24 FCC </w:t>
      </w:r>
      <w:r w:rsidRPr="00C43C45" w:rsidR="001B714C">
        <w:t>Rcd</w:t>
      </w:r>
      <w:r w:rsidRPr="00C43C45" w:rsidR="001B714C">
        <w:t xml:space="preserve"> 8192, 8194</w:t>
      </w:r>
      <w:r w:rsidR="001B714C">
        <w:t>, para. 9</w:t>
      </w:r>
      <w:r w:rsidRPr="00C43C45" w:rsidR="001B714C">
        <w:t xml:space="preserve"> (</w:t>
      </w:r>
      <w:r w:rsidR="00C87627">
        <w:t xml:space="preserve">Aud. Div. </w:t>
      </w:r>
      <w:r w:rsidRPr="00C43C45" w:rsidR="001B714C">
        <w:t>2009).</w:t>
      </w:r>
    </w:p>
  </w:footnote>
  <w:footnote w:id="13">
    <w:p w:rsidR="002C41C4" w:rsidP="005C521E" w14:paraId="2AF0C0F6" w14:textId="77777777">
      <w:pPr>
        <w:pStyle w:val="FootnoteText"/>
        <w:widowControl w:val="0"/>
      </w:pPr>
      <w:r>
        <w:rPr>
          <w:rStyle w:val="FootnoteReference"/>
        </w:rPr>
        <w:footnoteRef/>
      </w:r>
      <w:r>
        <w:t xml:space="preserve"> 47 CFR § 1.420(j).</w:t>
      </w:r>
    </w:p>
  </w:footnote>
  <w:footnote w:id="14">
    <w:p w:rsidR="002C41C4" w:rsidP="005C521E" w14:paraId="712773AF" w14:textId="77777777">
      <w:pPr>
        <w:pStyle w:val="FootnoteText"/>
        <w:widowControl w:val="0"/>
      </w:pPr>
      <w:r>
        <w:rPr>
          <w:rStyle w:val="FootnoteReference"/>
        </w:rPr>
        <w:footnoteRef/>
      </w:r>
      <w:r>
        <w:t xml:space="preserve"> 47 CFR §</w:t>
      </w:r>
      <w:r w:rsidR="006D6AC4">
        <w:t xml:space="preserve"> </w:t>
      </w:r>
      <w:r>
        <w:t>1.420(d).</w:t>
      </w:r>
    </w:p>
  </w:footnote>
  <w:footnote w:id="15">
    <w:p w:rsidR="002C41C4" w:rsidP="005C521E" w14:paraId="118DE402" w14:textId="77777777">
      <w:pPr>
        <w:pStyle w:val="FootnoteText"/>
        <w:widowControl w:val="0"/>
      </w:pPr>
      <w:r>
        <w:rPr>
          <w:rStyle w:val="FootnoteReference"/>
        </w:rPr>
        <w:footnoteRef/>
      </w:r>
      <w:r>
        <w:t xml:space="preserve"> 47 CFR § 1.420(g)(2).</w:t>
      </w:r>
    </w:p>
  </w:footnote>
  <w:footnote w:id="16">
    <w:p w:rsidR="002C41C4" w:rsidP="005C521E" w14:paraId="0B70D5B4" w14:textId="77777777">
      <w:pPr>
        <w:pStyle w:val="FootnoteText"/>
        <w:widowControl w:val="0"/>
      </w:pPr>
      <w:r>
        <w:rPr>
          <w:rStyle w:val="FootnoteReference"/>
        </w:rPr>
        <w:footnoteRef/>
      </w:r>
      <w:r>
        <w:t xml:space="preserve"> 47 CFR §§ 1.415, 1.419, and 1.420.</w:t>
      </w:r>
    </w:p>
  </w:footnote>
  <w:footnote w:id="17">
    <w:p w:rsidR="002C41C4" w:rsidP="005C521E" w14:paraId="02C31DFB" w14:textId="77777777">
      <w:pPr>
        <w:pStyle w:val="ParaNum"/>
        <w:numPr>
          <w:ilvl w:val="0"/>
          <w:numId w:val="0"/>
        </w:numPr>
        <w:rPr>
          <w:sz w:val="20"/>
        </w:rPr>
      </w:pPr>
      <w:r>
        <w:rPr>
          <w:rStyle w:val="FootnoteReference"/>
        </w:rPr>
        <w:footnoteRef/>
      </w:r>
      <w:r>
        <w:rPr>
          <w:sz w:val="20"/>
        </w:rPr>
        <w:t xml:space="preserve"> </w:t>
      </w:r>
      <w:r>
        <w:rPr>
          <w:i/>
          <w:sz w:val="20"/>
        </w:rPr>
        <w:t>See Electronic Filing of Documents in Rulemaking Proceedings</w:t>
      </w:r>
      <w:r>
        <w:rPr>
          <w:sz w:val="20"/>
        </w:rPr>
        <w:t>, 63 FR 24121 (1998).</w:t>
      </w:r>
    </w:p>
  </w:footnote>
  <w:footnote w:id="18">
    <w:p w:rsidR="002C41C4" w:rsidP="005C521E" w14:paraId="1261D385" w14:textId="77777777">
      <w:pPr>
        <w:pStyle w:val="FootnoteText"/>
        <w:widowControl w:val="0"/>
      </w:pPr>
      <w:r>
        <w:rPr>
          <w:rStyle w:val="FootnoteReference"/>
        </w:rPr>
        <w:footnoteRef/>
      </w:r>
      <w:r>
        <w:t xml:space="preserve"> </w:t>
      </w:r>
      <w:r>
        <w:rPr>
          <w:i/>
          <w:iCs/>
          <w:spacing w:val="-3"/>
        </w:rPr>
        <w:t>See FCC Announces Closure of FCC Headquarters Open Window and Change in Hand-Delivery Policy</w:t>
      </w:r>
      <w:r>
        <w:rPr>
          <w:spacing w:val="-3"/>
        </w:rPr>
        <w:t xml:space="preserve">, Public Notice, 35 FCC </w:t>
      </w:r>
      <w:r>
        <w:rPr>
          <w:spacing w:val="-3"/>
        </w:rPr>
        <w:t>Rcd</w:t>
      </w:r>
      <w:r>
        <w:rPr>
          <w:spacing w:val="-3"/>
        </w:rPr>
        <w:t xml:space="preserve"> 2788 (2020).</w:t>
      </w:r>
    </w:p>
  </w:footnote>
  <w:footnote w:id="19">
    <w:p w:rsidR="002C41C4" w:rsidP="005C521E" w14:paraId="4DFC44AC" w14:textId="77777777">
      <w:pPr>
        <w:pStyle w:val="FootnoteText"/>
        <w:widowControl w:val="0"/>
      </w:pPr>
      <w:r>
        <w:rPr>
          <w:rStyle w:val="FootnoteReference"/>
        </w:rPr>
        <w:footnoteRef/>
      </w:r>
      <w:r>
        <w:t xml:space="preserve"> 47 CFR § 1.420.</w:t>
      </w:r>
    </w:p>
  </w:footnote>
  <w:footnote w:id="20">
    <w:p w:rsidR="002C41C4" w:rsidP="005C521E" w14:paraId="61E36388" w14:textId="77777777">
      <w:pPr>
        <w:pStyle w:val="FootnoteText"/>
        <w:widowControl w:val="0"/>
      </w:pPr>
      <w:r>
        <w:rPr>
          <w:rStyle w:val="FootnoteReference"/>
        </w:rPr>
        <w:footnoteRef/>
      </w:r>
      <w:r>
        <w:t xml:space="preserve"> </w:t>
      </w:r>
      <w:r>
        <w:rPr>
          <w:i/>
          <w:iCs/>
        </w:rPr>
        <w:t>See</w:t>
      </w:r>
      <w:r>
        <w:t xml:space="preserve"> 47 CFR §</w:t>
      </w:r>
      <w:r w:rsidR="0038788F">
        <w:t xml:space="preserve"> </w:t>
      </w:r>
      <w:r>
        <w:t>1.420(a), (b) and (c).</w:t>
      </w:r>
    </w:p>
  </w:footnote>
  <w:footnote w:id="21">
    <w:p w:rsidR="002C41C4" w:rsidP="005C521E" w14:paraId="6B6E4B92" w14:textId="77777777">
      <w:pPr>
        <w:pStyle w:val="FootnoteText"/>
        <w:widowControl w:val="0"/>
        <w:rPr>
          <w:i/>
          <w:iCs/>
        </w:rPr>
      </w:pPr>
      <w:r>
        <w:rPr>
          <w:rStyle w:val="FootnoteReference"/>
        </w:rPr>
        <w:footnoteRef/>
      </w:r>
      <w:r>
        <w:t xml:space="preserve"> 47 CFR §§ 1.1200 </w:t>
      </w:r>
      <w:r>
        <w:rPr>
          <w:i/>
          <w:iCs/>
        </w:rPr>
        <w:t>et seq.</w:t>
      </w:r>
    </w:p>
  </w:footnote>
  <w:footnote w:id="22">
    <w:p w:rsidR="002C41C4" w:rsidP="005C521E" w14:paraId="015600DA" w14:textId="77777777">
      <w:pPr>
        <w:pStyle w:val="FootnoteText"/>
        <w:widowControl w:val="0"/>
      </w:pPr>
      <w:r>
        <w:rPr>
          <w:rStyle w:val="FootnoteReference"/>
        </w:rPr>
        <w:footnoteRef/>
      </w:r>
      <w:r>
        <w:t xml:space="preserve"> 47 CFR § 1.1208.</w:t>
      </w:r>
    </w:p>
  </w:footnote>
  <w:footnote w:id="23">
    <w:p w:rsidR="002C41C4" w:rsidP="005C521E" w14:paraId="5B6B5262" w14:textId="77777777">
      <w:pPr>
        <w:pStyle w:val="FootnoteText"/>
        <w:widowControl w:val="0"/>
      </w:pPr>
      <w:r>
        <w:rPr>
          <w:rStyle w:val="FootnoteReference"/>
        </w:rPr>
        <w:footnoteRef/>
      </w:r>
      <w:r>
        <w:t xml:space="preserve"> 47 CFR § 1.1204(a)(10).</w:t>
      </w:r>
    </w:p>
  </w:footnote>
  <w:footnote w:id="24">
    <w:p w:rsidR="002C41C4" w:rsidP="005C521E" w14:paraId="3F44535E" w14:textId="77777777">
      <w:pPr>
        <w:pStyle w:val="FootnoteText"/>
        <w:widowControl w:val="0"/>
      </w:pPr>
      <w:r>
        <w:rPr>
          <w:rStyle w:val="FootnoteReference"/>
        </w:rPr>
        <w:footnoteRef/>
      </w:r>
      <w:r>
        <w:t xml:space="preserve"> 47 CFR § 1.1204(a)(10)(ii).  In addition, an oral presentation in a restricted proceeding not designated for hearing requesting action by a particular date or giving reasons that a proceeding should be expedited other than the need to avoid administrative delay is permitted.  A detailed summary of the presentation must be filed in the record and served by the person making the presentation on the other parties to the proceeding, who may respond in support or opposition to the request for expedition, including by oral </w:t>
      </w:r>
      <w:r>
        <w:rPr>
          <w:i/>
          <w:iCs/>
        </w:rPr>
        <w:t xml:space="preserve">ex </w:t>
      </w:r>
      <w:r>
        <w:rPr>
          <w:i/>
          <w:iCs/>
        </w:rPr>
        <w:t>parte</w:t>
      </w:r>
      <w:r>
        <w:t xml:space="preserve"> presentation, subject to the same service requirement.  47 CFR § 1.1204(a)(11).</w:t>
      </w:r>
    </w:p>
  </w:footnote>
  <w:footnote w:id="25">
    <w:p w:rsidR="002C41C4" w:rsidP="005C521E" w14:paraId="3B3F1351" w14:textId="77777777">
      <w:pPr>
        <w:pStyle w:val="FootnoteText"/>
        <w:widowControl w:val="0"/>
      </w:pPr>
      <w:r>
        <w:rPr>
          <w:rStyle w:val="FootnoteReference"/>
        </w:rPr>
        <w:footnoteRef/>
      </w:r>
      <w:r>
        <w:t xml:space="preserve"> </w:t>
      </w:r>
      <w:r>
        <w:rPr>
          <w:i/>
          <w:color w:val="000000"/>
        </w:rPr>
        <w:t>See</w:t>
      </w:r>
      <w:r>
        <w:rPr>
          <w:color w:val="000000"/>
        </w:rPr>
        <w:t xml:space="preserve"> 5 U.S.C. § 603.  The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w:t>
      </w:r>
      <w:r>
        <w:rPr>
          <w:color w:val="231F20"/>
        </w:rPr>
        <w:t>Enforcement</w:t>
      </w:r>
      <w:r>
        <w:rPr>
          <w:color w:val="000000"/>
        </w:rPr>
        <w:t xml:space="preserve"> Fairness Act of 1996 (SBREFA), Pub. L. No. 104-121, Title II, 110 Stat. 857 (1996).  The SBREFA was enacted as Title II of the Contract with America Advancement Act of 1996 (CWAAA).</w:t>
      </w:r>
    </w:p>
  </w:footnote>
  <w:footnote w:id="26">
    <w:p w:rsidR="002C41C4" w:rsidP="005C521E" w14:paraId="7DD4DFEA" w14:textId="77777777">
      <w:pPr>
        <w:pStyle w:val="FootnoteText"/>
        <w:widowControl w:val="0"/>
      </w:pPr>
      <w:r>
        <w:rPr>
          <w:rStyle w:val="FootnoteReference"/>
        </w:rPr>
        <w:footnoteRef/>
      </w:r>
      <w:r>
        <w:t xml:space="preserve"> 47 CFR § 73.622(</w:t>
      </w:r>
      <w:r>
        <w:t>i</w:t>
      </w:r>
      <w:r>
        <w:t>).</w:t>
      </w:r>
    </w:p>
  </w:footnote>
  <w:footnote w:id="27">
    <w:p w:rsidR="002C41C4" w:rsidP="005C521E" w14:paraId="6A9F1DE0" w14:textId="77777777">
      <w:pPr>
        <w:pStyle w:val="FootnoteText"/>
        <w:widowControl w:val="0"/>
      </w:pPr>
      <w:r>
        <w:rPr>
          <w:rStyle w:val="FootnoteReference"/>
        </w:rPr>
        <w:footnoteRef/>
      </w:r>
      <w:r>
        <w:t xml:space="preserve"> </w:t>
      </w:r>
      <w:r>
        <w:rPr>
          <w:i/>
          <w:iCs/>
        </w:rPr>
        <w:t>See</w:t>
      </w:r>
      <w:r>
        <w:rPr>
          <w:szCs w:val="22"/>
        </w:rPr>
        <w:t xml:space="preserve"> 44 U.S.C. §§ 3501-3520.</w:t>
      </w:r>
    </w:p>
  </w:footnote>
  <w:footnote w:id="28">
    <w:p w:rsidR="002C41C4" w:rsidP="005C521E" w14:paraId="7549FC9A" w14:textId="77777777">
      <w:pPr>
        <w:pStyle w:val="FootnoteText"/>
        <w:widowControl w:val="0"/>
      </w:pPr>
      <w:r>
        <w:rPr>
          <w:rStyle w:val="FootnoteReference"/>
        </w:rPr>
        <w:footnoteRef/>
      </w:r>
      <w:r>
        <w:t xml:space="preserve"> </w:t>
      </w:r>
      <w:r>
        <w:rPr>
          <w:i/>
          <w:iCs/>
        </w:rPr>
        <w:t>See</w:t>
      </w:r>
      <w:r>
        <w:t xml:space="preserve"> 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0478CBA" w14:textId="2C4D10B9">
    <w:pPr>
      <w:pStyle w:val="Header"/>
      <w:rPr>
        <w:b w:val="0"/>
      </w:rPr>
    </w:pPr>
    <w:r>
      <w:tab/>
      <w:t>Federal Communications Commission</w:t>
    </w:r>
    <w:r>
      <w:tab/>
    </w:r>
    <w:r w:rsidR="008671E1">
      <w:t>DA 21-</w:t>
    </w:r>
    <w:r w:rsidR="00DB2CC2">
      <w:t>600</w:t>
    </w:r>
  </w:p>
  <w:p w:rsidR="00D25FB5" w14:paraId="13EEA24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4D51893"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54402B8" w14:textId="78AF5810">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8671E1">
      <w:rPr>
        <w:spacing w:val="-2"/>
      </w:rPr>
      <w:t>DA 21-</w:t>
    </w:r>
    <w:r w:rsidR="00DB2CC2">
      <w:rPr>
        <w:spacing w:val="-2"/>
      </w:rPr>
      <w:t>600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92042E2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8"/>
  </w:num>
  <w:num w:numId="8">
    <w:abstractNumId w:val="7"/>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5"/>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1C4"/>
    <w:rsid w:val="00002F79"/>
    <w:rsid w:val="00010D18"/>
    <w:rsid w:val="00034252"/>
    <w:rsid w:val="00036039"/>
    <w:rsid w:val="00037F90"/>
    <w:rsid w:val="00047FF8"/>
    <w:rsid w:val="00081A21"/>
    <w:rsid w:val="000826D1"/>
    <w:rsid w:val="000875BF"/>
    <w:rsid w:val="00096D8C"/>
    <w:rsid w:val="000C0B65"/>
    <w:rsid w:val="000D4752"/>
    <w:rsid w:val="000E05FE"/>
    <w:rsid w:val="000E3D42"/>
    <w:rsid w:val="0010278A"/>
    <w:rsid w:val="00104008"/>
    <w:rsid w:val="00105AB9"/>
    <w:rsid w:val="0011076C"/>
    <w:rsid w:val="00122BD5"/>
    <w:rsid w:val="00133F79"/>
    <w:rsid w:val="00194A66"/>
    <w:rsid w:val="001B3094"/>
    <w:rsid w:val="001B714C"/>
    <w:rsid w:val="001C07AB"/>
    <w:rsid w:val="001D6BCF"/>
    <w:rsid w:val="001E01CA"/>
    <w:rsid w:val="001E2F73"/>
    <w:rsid w:val="001F339C"/>
    <w:rsid w:val="00246BE0"/>
    <w:rsid w:val="00275CF5"/>
    <w:rsid w:val="0028301F"/>
    <w:rsid w:val="00285017"/>
    <w:rsid w:val="002A2D2E"/>
    <w:rsid w:val="002C00E8"/>
    <w:rsid w:val="002C2AF9"/>
    <w:rsid w:val="002C41C4"/>
    <w:rsid w:val="002E159E"/>
    <w:rsid w:val="0031400A"/>
    <w:rsid w:val="00336D5F"/>
    <w:rsid w:val="00343749"/>
    <w:rsid w:val="00363B32"/>
    <w:rsid w:val="003660ED"/>
    <w:rsid w:val="0038442D"/>
    <w:rsid w:val="0038788F"/>
    <w:rsid w:val="0039399B"/>
    <w:rsid w:val="003B0550"/>
    <w:rsid w:val="003B2442"/>
    <w:rsid w:val="003B694F"/>
    <w:rsid w:val="003F171C"/>
    <w:rsid w:val="00412FC5"/>
    <w:rsid w:val="00422276"/>
    <w:rsid w:val="0042273F"/>
    <w:rsid w:val="004242F1"/>
    <w:rsid w:val="00445A00"/>
    <w:rsid w:val="00451B0F"/>
    <w:rsid w:val="00477CC1"/>
    <w:rsid w:val="004A2B13"/>
    <w:rsid w:val="004A3F4E"/>
    <w:rsid w:val="004C2EE3"/>
    <w:rsid w:val="004D1610"/>
    <w:rsid w:val="004E4A22"/>
    <w:rsid w:val="004E7382"/>
    <w:rsid w:val="004F4061"/>
    <w:rsid w:val="00511968"/>
    <w:rsid w:val="00535B91"/>
    <w:rsid w:val="00551688"/>
    <w:rsid w:val="0055614C"/>
    <w:rsid w:val="00566D06"/>
    <w:rsid w:val="00586AF3"/>
    <w:rsid w:val="005B2EDD"/>
    <w:rsid w:val="005B7C2F"/>
    <w:rsid w:val="005C521E"/>
    <w:rsid w:val="005E14C2"/>
    <w:rsid w:val="0060329F"/>
    <w:rsid w:val="00606691"/>
    <w:rsid w:val="00607BA5"/>
    <w:rsid w:val="0061180A"/>
    <w:rsid w:val="00622F0E"/>
    <w:rsid w:val="00626EB6"/>
    <w:rsid w:val="00655D03"/>
    <w:rsid w:val="006774A5"/>
    <w:rsid w:val="00683388"/>
    <w:rsid w:val="00683F84"/>
    <w:rsid w:val="006A6A81"/>
    <w:rsid w:val="006D6689"/>
    <w:rsid w:val="006D6AC4"/>
    <w:rsid w:val="006D7755"/>
    <w:rsid w:val="006F293F"/>
    <w:rsid w:val="006F7393"/>
    <w:rsid w:val="0070224F"/>
    <w:rsid w:val="007115F7"/>
    <w:rsid w:val="00750411"/>
    <w:rsid w:val="00785689"/>
    <w:rsid w:val="0079754B"/>
    <w:rsid w:val="007A1E6D"/>
    <w:rsid w:val="007B0EB2"/>
    <w:rsid w:val="007B3BA2"/>
    <w:rsid w:val="00802CDA"/>
    <w:rsid w:val="00810B6F"/>
    <w:rsid w:val="00822CE0"/>
    <w:rsid w:val="00841AB1"/>
    <w:rsid w:val="008671E1"/>
    <w:rsid w:val="008C3F4D"/>
    <w:rsid w:val="008C68F1"/>
    <w:rsid w:val="00921803"/>
    <w:rsid w:val="00926503"/>
    <w:rsid w:val="00961260"/>
    <w:rsid w:val="00961859"/>
    <w:rsid w:val="009726D8"/>
    <w:rsid w:val="00990479"/>
    <w:rsid w:val="009925D1"/>
    <w:rsid w:val="009D7308"/>
    <w:rsid w:val="009F76DB"/>
    <w:rsid w:val="00A32C3B"/>
    <w:rsid w:val="00A45F4F"/>
    <w:rsid w:val="00A50D70"/>
    <w:rsid w:val="00A600A9"/>
    <w:rsid w:val="00A75ACB"/>
    <w:rsid w:val="00A77337"/>
    <w:rsid w:val="00A97B35"/>
    <w:rsid w:val="00AA55B7"/>
    <w:rsid w:val="00AA5B9E"/>
    <w:rsid w:val="00AB2407"/>
    <w:rsid w:val="00AB53DF"/>
    <w:rsid w:val="00AD024F"/>
    <w:rsid w:val="00B07E5C"/>
    <w:rsid w:val="00B625C0"/>
    <w:rsid w:val="00B811F7"/>
    <w:rsid w:val="00B825F9"/>
    <w:rsid w:val="00BA5DC6"/>
    <w:rsid w:val="00BA6196"/>
    <w:rsid w:val="00BC4BE1"/>
    <w:rsid w:val="00BC6D8C"/>
    <w:rsid w:val="00BF1032"/>
    <w:rsid w:val="00BF1B4B"/>
    <w:rsid w:val="00C34006"/>
    <w:rsid w:val="00C36B4C"/>
    <w:rsid w:val="00C426B1"/>
    <w:rsid w:val="00C43C45"/>
    <w:rsid w:val="00C5034F"/>
    <w:rsid w:val="00C51F65"/>
    <w:rsid w:val="00C560F8"/>
    <w:rsid w:val="00C629C1"/>
    <w:rsid w:val="00C65232"/>
    <w:rsid w:val="00C66160"/>
    <w:rsid w:val="00C721AC"/>
    <w:rsid w:val="00C87627"/>
    <w:rsid w:val="00C90D6A"/>
    <w:rsid w:val="00CA247E"/>
    <w:rsid w:val="00CA6D21"/>
    <w:rsid w:val="00CB1915"/>
    <w:rsid w:val="00CC72B6"/>
    <w:rsid w:val="00D0218D"/>
    <w:rsid w:val="00D25FB5"/>
    <w:rsid w:val="00D44223"/>
    <w:rsid w:val="00D6194D"/>
    <w:rsid w:val="00DA2529"/>
    <w:rsid w:val="00DB130A"/>
    <w:rsid w:val="00DB2CC2"/>
    <w:rsid w:val="00DB2EBB"/>
    <w:rsid w:val="00DC10A1"/>
    <w:rsid w:val="00DC655F"/>
    <w:rsid w:val="00DD0B59"/>
    <w:rsid w:val="00DD7EBD"/>
    <w:rsid w:val="00DE5368"/>
    <w:rsid w:val="00DF40E1"/>
    <w:rsid w:val="00DF62B6"/>
    <w:rsid w:val="00E02754"/>
    <w:rsid w:val="00E07225"/>
    <w:rsid w:val="00E434C0"/>
    <w:rsid w:val="00E5409F"/>
    <w:rsid w:val="00E604A9"/>
    <w:rsid w:val="00E727BF"/>
    <w:rsid w:val="00E807B9"/>
    <w:rsid w:val="00EB77AA"/>
    <w:rsid w:val="00EE6488"/>
    <w:rsid w:val="00F021FA"/>
    <w:rsid w:val="00F62E97"/>
    <w:rsid w:val="00F64209"/>
    <w:rsid w:val="00F676A2"/>
    <w:rsid w:val="00F73A13"/>
    <w:rsid w:val="00F77830"/>
    <w:rsid w:val="00F93BF5"/>
    <w:rsid w:val="00FB3577"/>
    <w:rsid w:val="00FC7839"/>
    <w:rsid w:val="00FF0804"/>
    <w:rsid w:val="00FF2DA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627CF20"/>
  <w15:chartTrackingRefBased/>
  <w15:docId w15:val="{48C7F419-8D2E-42E1-ADD4-05C52964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41C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styleId="Emphasis">
    <w:name w:val="Emphasis"/>
    <w:uiPriority w:val="20"/>
    <w:qFormat/>
    <w:rsid w:val="002C41C4"/>
    <w:rPr>
      <w:i/>
      <w:iCs/>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2C41C4"/>
  </w:style>
  <w:style w:type="paragraph" w:customStyle="1" w:styleId="AppNum">
    <w:name w:val="App Num"/>
    <w:basedOn w:val="Normal"/>
    <w:rsid w:val="002C41C4"/>
    <w:pPr>
      <w:numPr>
        <w:numId w:val="8"/>
      </w:numPr>
    </w:pPr>
    <w:rPr>
      <w:rFonts w:ascii="Courier New" w:hAnsi="Courier New"/>
      <w:kern w:val="0"/>
      <w:sz w:val="24"/>
    </w:rPr>
  </w:style>
  <w:style w:type="character" w:customStyle="1" w:styleId="ParaNumChar1">
    <w:name w:val="ParaNum Char1"/>
    <w:link w:val="ParaNum"/>
    <w:locked/>
    <w:rsid w:val="002C41C4"/>
    <w:rPr>
      <w:snapToGrid w:val="0"/>
      <w:kern w:val="28"/>
      <w:sz w:val="22"/>
    </w:rPr>
  </w:style>
  <w:style w:type="paragraph" w:styleId="ListParagraph">
    <w:name w:val="List Paragraph"/>
    <w:basedOn w:val="Normal"/>
    <w:uiPriority w:val="34"/>
    <w:qFormat/>
    <w:rsid w:val="002C41C4"/>
    <w:pPr>
      <w:ind w:left="720"/>
      <w:contextualSpacing/>
    </w:pPr>
  </w:style>
  <w:style w:type="paragraph" w:styleId="BalloonText">
    <w:name w:val="Balloon Text"/>
    <w:basedOn w:val="Normal"/>
    <w:link w:val="BalloonTextChar"/>
    <w:rsid w:val="00D6194D"/>
    <w:rPr>
      <w:rFonts w:ascii="Segoe UI" w:hAnsi="Segoe UI" w:cs="Segoe UI"/>
      <w:sz w:val="18"/>
      <w:szCs w:val="18"/>
    </w:rPr>
  </w:style>
  <w:style w:type="character" w:customStyle="1" w:styleId="BalloonTextChar">
    <w:name w:val="Balloon Text Char"/>
    <w:basedOn w:val="DefaultParagraphFont"/>
    <w:link w:val="BalloonText"/>
    <w:rsid w:val="00D6194D"/>
    <w:rPr>
      <w:rFonts w:ascii="Segoe UI" w:hAnsi="Segoe UI" w:cs="Segoe UI"/>
      <w:snapToGrid w:val="0"/>
      <w:kern w:val="28"/>
      <w:sz w:val="18"/>
      <w:szCs w:val="18"/>
    </w:rPr>
  </w:style>
  <w:style w:type="character" w:styleId="CommentReference">
    <w:name w:val="annotation reference"/>
    <w:basedOn w:val="DefaultParagraphFont"/>
    <w:rsid w:val="003B2442"/>
    <w:rPr>
      <w:sz w:val="16"/>
      <w:szCs w:val="16"/>
    </w:rPr>
  </w:style>
  <w:style w:type="paragraph" w:styleId="CommentText">
    <w:name w:val="annotation text"/>
    <w:basedOn w:val="Normal"/>
    <w:link w:val="CommentTextChar"/>
    <w:rsid w:val="003B2442"/>
    <w:rPr>
      <w:sz w:val="20"/>
    </w:rPr>
  </w:style>
  <w:style w:type="character" w:customStyle="1" w:styleId="CommentTextChar">
    <w:name w:val="Comment Text Char"/>
    <w:basedOn w:val="DefaultParagraphFont"/>
    <w:link w:val="CommentText"/>
    <w:rsid w:val="003B2442"/>
    <w:rPr>
      <w:snapToGrid w:val="0"/>
      <w:kern w:val="28"/>
    </w:rPr>
  </w:style>
  <w:style w:type="paragraph" w:styleId="CommentSubject">
    <w:name w:val="annotation subject"/>
    <w:basedOn w:val="CommentText"/>
    <w:next w:val="CommentText"/>
    <w:link w:val="CommentSubjectChar"/>
    <w:rsid w:val="003B2442"/>
    <w:rPr>
      <w:b/>
      <w:bCs/>
    </w:rPr>
  </w:style>
  <w:style w:type="character" w:customStyle="1" w:styleId="CommentSubjectChar">
    <w:name w:val="Comment Subject Char"/>
    <w:basedOn w:val="CommentTextChar"/>
    <w:link w:val="CommentSubject"/>
    <w:rsid w:val="003B2442"/>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