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16D36" w:rsidRPr="006539ED" w:rsidP="0032500C" w14:paraId="2CC6F748" w14:textId="3F8AE736">
      <w:pPr>
        <w:jc w:val="right"/>
        <w:rPr>
          <w:b/>
          <w:szCs w:val="22"/>
        </w:rPr>
      </w:pPr>
      <w:r>
        <w:rPr>
          <w:b/>
          <w:szCs w:val="22"/>
        </w:rPr>
        <w:t>DA 21-</w:t>
      </w:r>
      <w:r w:rsidR="0032500C">
        <w:rPr>
          <w:b/>
          <w:szCs w:val="22"/>
        </w:rPr>
        <w:t>607</w:t>
      </w:r>
    </w:p>
    <w:p w:rsidR="0032500C" w:rsidP="0032500C" w14:paraId="3E67BAD6" w14:textId="5814373B">
      <w:pPr>
        <w:spacing w:before="60" w:after="120"/>
        <w:jc w:val="right"/>
        <w:rPr>
          <w:b/>
          <w:szCs w:val="22"/>
        </w:rPr>
      </w:pPr>
      <w:r w:rsidRPr="006539ED">
        <w:rPr>
          <w:b/>
          <w:szCs w:val="22"/>
        </w:rPr>
        <w:t xml:space="preserve">Released:  </w:t>
      </w:r>
      <w:r w:rsidR="005D7167">
        <w:rPr>
          <w:b/>
          <w:szCs w:val="22"/>
        </w:rPr>
        <w:t>May</w:t>
      </w:r>
      <w:r w:rsidRPr="006539ED" w:rsidR="00F876CD">
        <w:rPr>
          <w:b/>
          <w:szCs w:val="22"/>
        </w:rPr>
        <w:t xml:space="preserve"> </w:t>
      </w:r>
      <w:r w:rsidR="00551158">
        <w:rPr>
          <w:b/>
          <w:szCs w:val="22"/>
        </w:rPr>
        <w:t>24</w:t>
      </w:r>
      <w:r w:rsidRPr="006539ED" w:rsidR="00F876CD">
        <w:rPr>
          <w:b/>
          <w:szCs w:val="22"/>
        </w:rPr>
        <w:t>, 202</w:t>
      </w:r>
      <w:r w:rsidRPr="006539ED" w:rsidR="00523451">
        <w:rPr>
          <w:b/>
          <w:szCs w:val="22"/>
        </w:rPr>
        <w:t>1</w:t>
      </w:r>
    </w:p>
    <w:p w:rsidR="0032500C" w:rsidRPr="0032500C" w:rsidP="0032500C" w14:paraId="1A97B45E" w14:textId="77777777">
      <w:pPr>
        <w:spacing w:before="60" w:after="120"/>
        <w:jc w:val="right"/>
        <w:rPr>
          <w:b/>
          <w:szCs w:val="22"/>
        </w:rPr>
      </w:pPr>
    </w:p>
    <w:p w:rsidR="00A16D36" w:rsidRPr="006539ED" w:rsidP="009A3416" w14:paraId="017AD710" w14:textId="4529EC5D">
      <w:pPr>
        <w:spacing w:after="120"/>
        <w:jc w:val="center"/>
        <w:rPr>
          <w:b/>
          <w:caps/>
          <w:szCs w:val="22"/>
        </w:rPr>
      </w:pPr>
      <w:r w:rsidRPr="006539ED">
        <w:rPr>
          <w:b/>
          <w:caps/>
          <w:szCs w:val="22"/>
        </w:rPr>
        <w:t xml:space="preserve">Wireline Competition bureau seeks comment on </w:t>
      </w:r>
      <w:r w:rsidR="004711C2">
        <w:rPr>
          <w:b/>
          <w:caps/>
          <w:szCs w:val="22"/>
        </w:rPr>
        <w:t xml:space="preserve">secure and trusted communications networks </w:t>
      </w:r>
      <w:r w:rsidRPr="006539ED" w:rsidR="004711C2">
        <w:rPr>
          <w:b/>
          <w:caps/>
          <w:szCs w:val="22"/>
        </w:rPr>
        <w:t xml:space="preserve">reimbursement program </w:t>
      </w:r>
      <w:r w:rsidRPr="006539ED">
        <w:rPr>
          <w:b/>
          <w:caps/>
          <w:szCs w:val="22"/>
        </w:rPr>
        <w:t xml:space="preserve">application </w:t>
      </w:r>
      <w:r w:rsidR="005D7167">
        <w:rPr>
          <w:b/>
          <w:caps/>
          <w:szCs w:val="22"/>
        </w:rPr>
        <w:t>Filings and process</w:t>
      </w:r>
      <w:r w:rsidRPr="006539ED">
        <w:rPr>
          <w:b/>
          <w:caps/>
          <w:szCs w:val="22"/>
        </w:rPr>
        <w:t xml:space="preserve"> </w:t>
      </w:r>
    </w:p>
    <w:p w:rsidR="00A16D36" w:rsidRPr="006539ED" w:rsidP="009A3416" w14:paraId="60992EE4" w14:textId="77777777">
      <w:pPr>
        <w:spacing w:after="120"/>
        <w:jc w:val="center"/>
        <w:rPr>
          <w:b/>
          <w:szCs w:val="22"/>
        </w:rPr>
      </w:pPr>
      <w:r w:rsidRPr="006539ED">
        <w:rPr>
          <w:b/>
          <w:szCs w:val="22"/>
        </w:rPr>
        <w:t>WC Docket No. 1</w:t>
      </w:r>
      <w:r w:rsidRPr="006539ED" w:rsidR="001510A9">
        <w:rPr>
          <w:b/>
          <w:szCs w:val="22"/>
        </w:rPr>
        <w:t>8</w:t>
      </w:r>
      <w:r w:rsidRPr="006539ED">
        <w:rPr>
          <w:b/>
          <w:szCs w:val="22"/>
        </w:rPr>
        <w:t>-89</w:t>
      </w:r>
    </w:p>
    <w:p w:rsidR="00F876CD" w:rsidRPr="006539ED" w:rsidP="009A3416" w14:paraId="6FA8D5DD" w14:textId="7B016907">
      <w:pPr>
        <w:spacing w:after="120"/>
        <w:rPr>
          <w:b/>
          <w:szCs w:val="22"/>
        </w:rPr>
      </w:pPr>
      <w:r w:rsidRPr="006539ED">
        <w:rPr>
          <w:b/>
          <w:szCs w:val="22"/>
        </w:rPr>
        <w:t xml:space="preserve">Comments Due: </w:t>
      </w:r>
      <w:r w:rsidR="005D7167">
        <w:rPr>
          <w:b/>
          <w:szCs w:val="22"/>
        </w:rPr>
        <w:t xml:space="preserve"> June </w:t>
      </w:r>
      <w:r w:rsidR="00551158">
        <w:rPr>
          <w:b/>
          <w:szCs w:val="22"/>
        </w:rPr>
        <w:t>23</w:t>
      </w:r>
      <w:r w:rsidRPr="006539ED">
        <w:rPr>
          <w:b/>
          <w:szCs w:val="22"/>
        </w:rPr>
        <w:t>, 2021</w:t>
      </w:r>
    </w:p>
    <w:p w:rsidR="001510A9" w:rsidRPr="006539ED" w:rsidP="00FE3062" w14:paraId="3B218050" w14:textId="67B3EB37">
      <w:pPr>
        <w:spacing w:after="120"/>
        <w:rPr>
          <w:bCs/>
          <w:szCs w:val="22"/>
        </w:rPr>
      </w:pPr>
      <w:r w:rsidRPr="006539ED">
        <w:rPr>
          <w:bCs/>
          <w:szCs w:val="22"/>
        </w:rPr>
        <w:tab/>
        <w:t>By this Public Notice, the Wireline Competition Bureau (Bureau)</w:t>
      </w:r>
      <w:r w:rsidR="00FE3062">
        <w:rPr>
          <w:bCs/>
          <w:szCs w:val="22"/>
        </w:rPr>
        <w:t xml:space="preserve"> seeks comment on</w:t>
      </w:r>
      <w:r w:rsidR="00C7348F">
        <w:rPr>
          <w:bCs/>
          <w:szCs w:val="22"/>
        </w:rPr>
        <w:t xml:space="preserve"> the </w:t>
      </w:r>
      <w:r w:rsidR="00FE3062">
        <w:rPr>
          <w:bCs/>
          <w:szCs w:val="22"/>
        </w:rPr>
        <w:t xml:space="preserve">proposed </w:t>
      </w:r>
      <w:r w:rsidR="00C7348F">
        <w:rPr>
          <w:bCs/>
          <w:szCs w:val="22"/>
        </w:rPr>
        <w:t xml:space="preserve">application filing process for </w:t>
      </w:r>
      <w:r w:rsidRPr="006539ED" w:rsidR="00C7348F">
        <w:rPr>
          <w:bCs/>
          <w:szCs w:val="22"/>
        </w:rPr>
        <w:t>the $1.9 billion Secure and Trusted Communications Networks Reimbursement Program (Reimbursement Program)</w:t>
      </w:r>
      <w:r w:rsidR="00B100B0">
        <w:rPr>
          <w:bCs/>
          <w:szCs w:val="22"/>
        </w:rPr>
        <w:t xml:space="preserve">.  The Bureau also seeks comment </w:t>
      </w:r>
      <w:r w:rsidRPr="006539ED" w:rsidR="00B44840">
        <w:rPr>
          <w:bCs/>
          <w:szCs w:val="22"/>
        </w:rPr>
        <w:t xml:space="preserve">on </w:t>
      </w:r>
      <w:r w:rsidR="00B100B0">
        <w:rPr>
          <w:bCs/>
          <w:szCs w:val="22"/>
        </w:rPr>
        <w:t>proposed</w:t>
      </w:r>
      <w:r w:rsidR="00C7348F">
        <w:rPr>
          <w:bCs/>
          <w:szCs w:val="22"/>
        </w:rPr>
        <w:t xml:space="preserve"> </w:t>
      </w:r>
      <w:r w:rsidR="00FE3062">
        <w:rPr>
          <w:bCs/>
          <w:szCs w:val="22"/>
        </w:rPr>
        <w:t xml:space="preserve">information </w:t>
      </w:r>
      <w:r w:rsidR="00B100B0">
        <w:rPr>
          <w:bCs/>
          <w:szCs w:val="22"/>
        </w:rPr>
        <w:t xml:space="preserve">fields </w:t>
      </w:r>
      <w:r w:rsidR="00FE3062">
        <w:rPr>
          <w:bCs/>
          <w:szCs w:val="22"/>
        </w:rPr>
        <w:t xml:space="preserve">to be </w:t>
      </w:r>
      <w:r w:rsidR="00C7348F">
        <w:rPr>
          <w:bCs/>
          <w:szCs w:val="22"/>
        </w:rPr>
        <w:t xml:space="preserve">collected </w:t>
      </w:r>
      <w:r w:rsidR="00B100B0">
        <w:rPr>
          <w:bCs/>
          <w:szCs w:val="22"/>
        </w:rPr>
        <w:t xml:space="preserve">on forms </w:t>
      </w:r>
      <w:r w:rsidRPr="006539ED" w:rsidR="002062DF">
        <w:rPr>
          <w:bCs/>
          <w:szCs w:val="22"/>
        </w:rPr>
        <w:t>eligible providers of advanced communications service</w:t>
      </w:r>
      <w:r w:rsidR="00C7348F">
        <w:rPr>
          <w:bCs/>
          <w:szCs w:val="22"/>
        </w:rPr>
        <w:t>s</w:t>
      </w:r>
      <w:r w:rsidR="00FE3062">
        <w:rPr>
          <w:bCs/>
          <w:szCs w:val="22"/>
        </w:rPr>
        <w:t xml:space="preserve"> </w:t>
      </w:r>
      <w:r w:rsidR="00CC558C">
        <w:rPr>
          <w:bCs/>
          <w:szCs w:val="22"/>
        </w:rPr>
        <w:t xml:space="preserve">will be required to submit to </w:t>
      </w:r>
      <w:r w:rsidRPr="006539ED" w:rsidR="002062DF">
        <w:rPr>
          <w:bCs/>
          <w:szCs w:val="22"/>
        </w:rPr>
        <w:t>request funding allocations and disbursements</w:t>
      </w:r>
      <w:r w:rsidR="00CC558C">
        <w:rPr>
          <w:bCs/>
          <w:szCs w:val="22"/>
        </w:rPr>
        <w:t xml:space="preserve"> from the Reimbursement Program</w:t>
      </w:r>
      <w:r w:rsidRPr="006539ED" w:rsidR="00B44840">
        <w:rPr>
          <w:bCs/>
          <w:szCs w:val="22"/>
        </w:rPr>
        <w:t xml:space="preserve">. </w:t>
      </w:r>
      <w:r w:rsidR="00B100B0">
        <w:rPr>
          <w:bCs/>
          <w:szCs w:val="22"/>
        </w:rPr>
        <w:t xml:space="preserve"> </w:t>
      </w:r>
      <w:r w:rsidR="00C71702">
        <w:rPr>
          <w:bCs/>
          <w:szCs w:val="22"/>
        </w:rPr>
        <w:t>The</w:t>
      </w:r>
      <w:r w:rsidR="00262F9D">
        <w:rPr>
          <w:bCs/>
          <w:szCs w:val="22"/>
        </w:rPr>
        <w:t>se</w:t>
      </w:r>
      <w:r w:rsidR="00C71702">
        <w:rPr>
          <w:bCs/>
          <w:szCs w:val="22"/>
        </w:rPr>
        <w:t xml:space="preserve"> </w:t>
      </w:r>
      <w:r w:rsidR="005E3BEB">
        <w:rPr>
          <w:bCs/>
          <w:szCs w:val="22"/>
        </w:rPr>
        <w:t>proposals provide interested parties</w:t>
      </w:r>
      <w:r w:rsidR="00A26491">
        <w:rPr>
          <w:bCs/>
          <w:szCs w:val="22"/>
        </w:rPr>
        <w:t xml:space="preserve"> with</w:t>
      </w:r>
      <w:r w:rsidR="005E3BEB">
        <w:rPr>
          <w:bCs/>
          <w:szCs w:val="22"/>
        </w:rPr>
        <w:t xml:space="preserve"> a</w:t>
      </w:r>
      <w:r w:rsidR="00262F9D">
        <w:rPr>
          <w:bCs/>
          <w:szCs w:val="22"/>
        </w:rPr>
        <w:t>n</w:t>
      </w:r>
      <w:r w:rsidR="005E3BEB">
        <w:rPr>
          <w:bCs/>
          <w:szCs w:val="22"/>
        </w:rPr>
        <w:t xml:space="preserve"> opportunity to improve the application filing process and information collected </w:t>
      </w:r>
      <w:r w:rsidR="00262F9D">
        <w:rPr>
          <w:bCs/>
          <w:szCs w:val="22"/>
        </w:rPr>
        <w:t xml:space="preserve">for the Reimbursement Program and </w:t>
      </w:r>
      <w:r w:rsidR="005E3BEB">
        <w:rPr>
          <w:bCs/>
          <w:szCs w:val="22"/>
        </w:rPr>
        <w:t xml:space="preserve">provide valuable insight into the </w:t>
      </w:r>
      <w:r w:rsidR="00262F9D">
        <w:rPr>
          <w:bCs/>
          <w:szCs w:val="22"/>
        </w:rPr>
        <w:t xml:space="preserve">Bureau’s </w:t>
      </w:r>
      <w:r w:rsidR="005E3BEB">
        <w:rPr>
          <w:bCs/>
          <w:szCs w:val="22"/>
        </w:rPr>
        <w:t>implementation as providers prepare to participate in the upcoming Reimbursement Program.</w:t>
      </w:r>
    </w:p>
    <w:p w:rsidR="00F06DAF" w:rsidRPr="006539ED" w:rsidP="00324A6F" w14:paraId="0F444ED0" w14:textId="13DDF5FE">
      <w:pPr>
        <w:pStyle w:val="Heading1"/>
      </w:pPr>
      <w:r w:rsidRPr="006539ED">
        <w:t>Background</w:t>
      </w:r>
    </w:p>
    <w:p w:rsidR="00FE3062" w:rsidRPr="00FF0108" w:rsidP="00FF0108" w14:paraId="4D3DCB9B" w14:textId="352B64AF">
      <w:pPr>
        <w:widowControl/>
        <w:spacing w:after="120"/>
        <w:ind w:firstLine="720"/>
        <w:rPr>
          <w:snapToGrid/>
          <w:kern w:val="0"/>
          <w:szCs w:val="22"/>
        </w:rPr>
      </w:pPr>
      <w:r w:rsidRPr="00FF0108">
        <w:rPr>
          <w:szCs w:val="22"/>
        </w:rPr>
        <w:t>The</w:t>
      </w:r>
      <w:r w:rsidRPr="00FF0108" w:rsidR="00065FC1">
        <w:rPr>
          <w:szCs w:val="22"/>
        </w:rPr>
        <w:t xml:space="preserve"> Secure and Trusted Communications Networks Act of 2019 (Secure Networks Act), </w:t>
      </w:r>
      <w:r w:rsidRPr="00FF0108" w:rsidR="006D7966">
        <w:rPr>
          <w:szCs w:val="22"/>
        </w:rPr>
        <w:t xml:space="preserve">as amended, </w:t>
      </w:r>
      <w:r w:rsidRPr="00FF0108">
        <w:rPr>
          <w:szCs w:val="22"/>
        </w:rPr>
        <w:t>direct</w:t>
      </w:r>
      <w:r w:rsidRPr="00FF0108" w:rsidR="00D70954">
        <w:rPr>
          <w:szCs w:val="22"/>
        </w:rPr>
        <w:t>s</w:t>
      </w:r>
      <w:r w:rsidRPr="00FF0108">
        <w:rPr>
          <w:szCs w:val="22"/>
        </w:rPr>
        <w:t xml:space="preserve"> </w:t>
      </w:r>
      <w:r w:rsidRPr="00FF0108" w:rsidR="00065FC1">
        <w:rPr>
          <w:szCs w:val="22"/>
        </w:rPr>
        <w:t xml:space="preserve">the Commission </w:t>
      </w:r>
      <w:r w:rsidRPr="00FF0108">
        <w:rPr>
          <w:szCs w:val="22"/>
        </w:rPr>
        <w:t xml:space="preserve">to </w:t>
      </w:r>
      <w:r w:rsidRPr="00FF0108" w:rsidR="00065FC1">
        <w:rPr>
          <w:szCs w:val="22"/>
        </w:rPr>
        <w:t xml:space="preserve">establish </w:t>
      </w:r>
      <w:r w:rsidR="007128C1">
        <w:rPr>
          <w:szCs w:val="22"/>
        </w:rPr>
        <w:t>the</w:t>
      </w:r>
      <w:r w:rsidRPr="00FF0108" w:rsidR="00065FC1">
        <w:rPr>
          <w:szCs w:val="22"/>
        </w:rPr>
        <w:t xml:space="preserve"> Reimbursement Program </w:t>
      </w:r>
      <w:r w:rsidR="00196878">
        <w:rPr>
          <w:szCs w:val="22"/>
        </w:rPr>
        <w:t xml:space="preserve">for the </w:t>
      </w:r>
      <w:r w:rsidRPr="00FF0108" w:rsidR="006D7966">
        <w:rPr>
          <w:szCs w:val="22"/>
        </w:rPr>
        <w:t>reimburse</w:t>
      </w:r>
      <w:r w:rsidRPr="00FF0108" w:rsidR="000E3DAE">
        <w:rPr>
          <w:szCs w:val="22"/>
        </w:rPr>
        <w:t>ment</w:t>
      </w:r>
      <w:r w:rsidR="00196878">
        <w:rPr>
          <w:szCs w:val="22"/>
        </w:rPr>
        <w:t xml:space="preserve"> of costs incurred by eligible </w:t>
      </w:r>
      <w:r w:rsidRPr="00FF0108" w:rsidR="006D7966">
        <w:rPr>
          <w:szCs w:val="22"/>
        </w:rPr>
        <w:t xml:space="preserve">providers of advanced communications services </w:t>
      </w:r>
      <w:r w:rsidRPr="00FF0108" w:rsidR="000E3DAE">
        <w:rPr>
          <w:szCs w:val="22"/>
        </w:rPr>
        <w:t>to replace</w:t>
      </w:r>
      <w:r w:rsidRPr="00FF0108" w:rsidR="006D7966">
        <w:rPr>
          <w:szCs w:val="22"/>
        </w:rPr>
        <w:t xml:space="preserve"> </w:t>
      </w:r>
      <w:r w:rsidRPr="00FF0108" w:rsidR="000E3DAE">
        <w:rPr>
          <w:szCs w:val="22"/>
        </w:rPr>
        <w:t>covered communications equipment or services</w:t>
      </w:r>
      <w:r w:rsidRPr="00FF0108" w:rsidR="00065FC1">
        <w:rPr>
          <w:szCs w:val="22"/>
        </w:rPr>
        <w:t>.</w:t>
      </w:r>
      <w:r>
        <w:rPr>
          <w:rStyle w:val="FootnoteReference"/>
          <w:szCs w:val="22"/>
        </w:rPr>
        <w:footnoteReference w:id="3"/>
      </w:r>
      <w:r w:rsidRPr="00FF0108">
        <w:rPr>
          <w:szCs w:val="22"/>
        </w:rPr>
        <w:t xml:space="preserve">  </w:t>
      </w:r>
      <w:r w:rsidRPr="00FF0108">
        <w:rPr>
          <w:szCs w:val="22"/>
        </w:rPr>
        <w:t xml:space="preserve">The Commission adopted the </w:t>
      </w:r>
      <w:r w:rsidRPr="00FF0108">
        <w:rPr>
          <w:i/>
          <w:iCs/>
          <w:szCs w:val="22"/>
        </w:rPr>
        <w:t>Second Report and Order</w:t>
      </w:r>
      <w:r w:rsidRPr="00FF0108">
        <w:rPr>
          <w:szCs w:val="22"/>
        </w:rPr>
        <w:t xml:space="preserve"> on December 10, 2020, establishing a framework for the Reimbursement Program.</w:t>
      </w:r>
      <w:r>
        <w:rPr>
          <w:rStyle w:val="FootnoteReference"/>
          <w:szCs w:val="22"/>
        </w:rPr>
        <w:footnoteReference w:id="4"/>
      </w:r>
      <w:r w:rsidRPr="00FF0108">
        <w:rPr>
          <w:szCs w:val="22"/>
        </w:rPr>
        <w:t xml:space="preserve">  On December 27, 2020, the President signed into law the Consolidated Appropriations Act, 2021, appropriating $1.9 billion to “carry out” the Reimbursement Program.</w:t>
      </w:r>
      <w:r>
        <w:rPr>
          <w:rStyle w:val="FootnoteReference"/>
          <w:szCs w:val="22"/>
        </w:rPr>
        <w:footnoteReference w:id="5"/>
      </w:r>
      <w:r w:rsidRPr="00FF0108">
        <w:rPr>
          <w:szCs w:val="22"/>
        </w:rPr>
        <w:t xml:space="preserve">  </w:t>
      </w:r>
    </w:p>
    <w:p w:rsidR="003B46A2" w:rsidP="00C53242" w14:paraId="50FFB9B5" w14:textId="5992A703">
      <w:pPr>
        <w:widowControl/>
        <w:spacing w:after="120"/>
        <w:ind w:firstLine="720"/>
        <w:rPr>
          <w:szCs w:val="22"/>
        </w:rPr>
      </w:pPr>
      <w:r w:rsidRPr="006539ED">
        <w:rPr>
          <w:szCs w:val="22"/>
        </w:rPr>
        <w:t xml:space="preserve">In the </w:t>
      </w:r>
      <w:r w:rsidRPr="006539ED">
        <w:rPr>
          <w:i/>
          <w:iCs/>
          <w:szCs w:val="22"/>
        </w:rPr>
        <w:t>Second Report and Order</w:t>
      </w:r>
      <w:r w:rsidRPr="006539ED">
        <w:rPr>
          <w:szCs w:val="22"/>
        </w:rPr>
        <w:t xml:space="preserve">, </w:t>
      </w:r>
      <w:r w:rsidRPr="006539ED" w:rsidR="00A048F0">
        <w:rPr>
          <w:szCs w:val="22"/>
        </w:rPr>
        <w:t xml:space="preserve">among other measures, </w:t>
      </w:r>
      <w:r w:rsidRPr="006539ED">
        <w:rPr>
          <w:szCs w:val="22"/>
        </w:rPr>
        <w:t>the Commission</w:t>
      </w:r>
      <w:r w:rsidRPr="006539ED" w:rsidR="000E3DAE">
        <w:rPr>
          <w:szCs w:val="22"/>
        </w:rPr>
        <w:t xml:space="preserve"> </w:t>
      </w:r>
      <w:r w:rsidR="00095D16">
        <w:rPr>
          <w:szCs w:val="22"/>
        </w:rPr>
        <w:t>structured</w:t>
      </w:r>
      <w:r w:rsidRPr="006539ED" w:rsidR="00095D16">
        <w:rPr>
          <w:szCs w:val="22"/>
        </w:rPr>
        <w:t xml:space="preserve"> </w:t>
      </w:r>
      <w:r w:rsidRPr="006539ED" w:rsidR="000E3DAE">
        <w:rPr>
          <w:szCs w:val="22"/>
        </w:rPr>
        <w:t>the</w:t>
      </w:r>
      <w:r w:rsidRPr="006539ED">
        <w:rPr>
          <w:szCs w:val="22"/>
        </w:rPr>
        <w:t xml:space="preserve"> </w:t>
      </w:r>
      <w:r w:rsidRPr="006539ED" w:rsidR="000E3DAE">
        <w:rPr>
          <w:szCs w:val="22"/>
        </w:rPr>
        <w:t xml:space="preserve">Reimbursement Program to reimburse eligible providers of advanced communications services for costs reasonably incurred </w:t>
      </w:r>
      <w:r w:rsidR="00120331">
        <w:rPr>
          <w:szCs w:val="22"/>
        </w:rPr>
        <w:t xml:space="preserve">in </w:t>
      </w:r>
      <w:r w:rsidRPr="006539ED" w:rsidR="000E3DAE">
        <w:rPr>
          <w:szCs w:val="22"/>
        </w:rPr>
        <w:t>removing</w:t>
      </w:r>
      <w:r w:rsidRPr="006539ED" w:rsidR="004312FA">
        <w:rPr>
          <w:szCs w:val="22"/>
        </w:rPr>
        <w:t>,</w:t>
      </w:r>
      <w:r w:rsidRPr="006539ED" w:rsidR="000E3DAE">
        <w:rPr>
          <w:szCs w:val="22"/>
        </w:rPr>
        <w:t xml:space="preserve"> replacing, and disposing of covered communications equipment and </w:t>
      </w:r>
      <w:r w:rsidRPr="006539ED" w:rsidR="000E3DAE">
        <w:rPr>
          <w:szCs w:val="22"/>
        </w:rPr>
        <w:t>services.</w:t>
      </w:r>
      <w:r>
        <w:rPr>
          <w:rStyle w:val="FootnoteReference"/>
          <w:szCs w:val="22"/>
        </w:rPr>
        <w:footnoteReference w:id="6"/>
      </w:r>
      <w:r w:rsidRPr="006539ED" w:rsidR="000E3DAE">
        <w:rPr>
          <w:szCs w:val="22"/>
        </w:rPr>
        <w:t xml:space="preserve">  </w:t>
      </w:r>
      <w:r w:rsidRPr="006539ED" w:rsidR="00DF7D00">
        <w:rPr>
          <w:szCs w:val="22"/>
        </w:rPr>
        <w:t>The Commission</w:t>
      </w:r>
      <w:r>
        <w:rPr>
          <w:szCs w:val="22"/>
        </w:rPr>
        <w:t>, consistent with the Secure Networks Act,</w:t>
      </w:r>
      <w:r w:rsidRPr="006539ED" w:rsidR="00DF7D00">
        <w:rPr>
          <w:szCs w:val="22"/>
        </w:rPr>
        <w:t xml:space="preserve"> required </w:t>
      </w:r>
      <w:r w:rsidRPr="006539ED" w:rsidR="00130E41">
        <w:rPr>
          <w:szCs w:val="22"/>
        </w:rPr>
        <w:t>Reimbursement P</w:t>
      </w:r>
      <w:r w:rsidRPr="006539ED" w:rsidR="00DF7D00">
        <w:rPr>
          <w:szCs w:val="22"/>
        </w:rPr>
        <w:t>rogram participants to submit estimated costs to receive funding allocations</w:t>
      </w:r>
      <w:r>
        <w:rPr>
          <w:szCs w:val="22"/>
        </w:rPr>
        <w:t>.</w:t>
      </w:r>
      <w:r>
        <w:rPr>
          <w:rStyle w:val="FootnoteReference"/>
          <w:szCs w:val="22"/>
        </w:rPr>
        <w:footnoteReference w:id="7"/>
      </w:r>
      <w:r>
        <w:rPr>
          <w:szCs w:val="22"/>
        </w:rPr>
        <w:t xml:space="preserve">  Then</w:t>
      </w:r>
      <w:r w:rsidRPr="006539ED" w:rsidR="00130E41">
        <w:rPr>
          <w:szCs w:val="22"/>
        </w:rPr>
        <w:t>, u</w:t>
      </w:r>
      <w:r w:rsidRPr="006539ED" w:rsidR="00DF7D00">
        <w:rPr>
          <w:szCs w:val="22"/>
        </w:rPr>
        <w:t xml:space="preserve">pon a showing of actual expenses incurred, </w:t>
      </w:r>
      <w:r>
        <w:rPr>
          <w:szCs w:val="22"/>
        </w:rPr>
        <w:t xml:space="preserve">recipients would </w:t>
      </w:r>
      <w:r w:rsidRPr="006539ED" w:rsidR="00130E41">
        <w:rPr>
          <w:szCs w:val="22"/>
        </w:rPr>
        <w:t>obtain funding disbursements on a rolling basis</w:t>
      </w:r>
      <w:r w:rsidRPr="006539ED">
        <w:rPr>
          <w:szCs w:val="22"/>
        </w:rPr>
        <w:t>.</w:t>
      </w:r>
      <w:r>
        <w:rPr>
          <w:rStyle w:val="FootnoteReference"/>
          <w:szCs w:val="22"/>
        </w:rPr>
        <w:footnoteReference w:id="8"/>
      </w:r>
      <w:r w:rsidRPr="006539ED">
        <w:rPr>
          <w:szCs w:val="22"/>
        </w:rPr>
        <w:t xml:space="preserve">  </w:t>
      </w:r>
    </w:p>
    <w:p w:rsidR="002C6DB7" w:rsidP="009A3416" w14:paraId="1A49A70E" w14:textId="5E291315">
      <w:pPr>
        <w:spacing w:after="120"/>
        <w:ind w:firstLine="720"/>
        <w:rPr>
          <w:szCs w:val="22"/>
        </w:rPr>
      </w:pPr>
      <w:r w:rsidRPr="006539ED">
        <w:rPr>
          <w:szCs w:val="22"/>
        </w:rPr>
        <w:t>T</w:t>
      </w:r>
      <w:r w:rsidRPr="006539ED" w:rsidR="00E163CF">
        <w:rPr>
          <w:szCs w:val="22"/>
        </w:rPr>
        <w:t xml:space="preserve">he Commission directed the Bureau to </w:t>
      </w:r>
      <w:r w:rsidRPr="006539ED" w:rsidR="00444FA7">
        <w:rPr>
          <w:szCs w:val="22"/>
        </w:rPr>
        <w:t>“</w:t>
      </w:r>
      <w:r w:rsidRPr="006539ED" w:rsidR="00E163CF">
        <w:rPr>
          <w:szCs w:val="22"/>
        </w:rPr>
        <w:t>create one or more forms to be used by entities to claim reimbursement from the Reimbursement Program</w:t>
      </w:r>
      <w:r w:rsidRPr="006539ED" w:rsidR="00444FA7">
        <w:rPr>
          <w:szCs w:val="22"/>
        </w:rPr>
        <w:t>, to report on their use of money disbursed and the status of their construction efforts, and for any other Reimbursement Program-related purposes</w:t>
      </w:r>
      <w:r w:rsidRPr="006539ED" w:rsidR="00E163CF">
        <w:rPr>
          <w:szCs w:val="22"/>
        </w:rPr>
        <w:t>.</w:t>
      </w:r>
      <w:r w:rsidRPr="006539ED" w:rsidR="00444FA7">
        <w:rPr>
          <w:szCs w:val="22"/>
        </w:rPr>
        <w:t>”</w:t>
      </w:r>
      <w:r>
        <w:rPr>
          <w:rStyle w:val="FootnoteReference"/>
          <w:szCs w:val="22"/>
        </w:rPr>
        <w:footnoteReference w:id="9"/>
      </w:r>
      <w:r w:rsidRPr="006539ED" w:rsidR="00444FA7">
        <w:rPr>
          <w:szCs w:val="22"/>
        </w:rPr>
        <w:t xml:space="preserve">  The Commission also directed the Bureau to “establish the timing and calculate</w:t>
      </w:r>
      <w:r w:rsidRPr="006539ED" w:rsidR="006505FE">
        <w:rPr>
          <w:szCs w:val="22"/>
        </w:rPr>
        <w:t xml:space="preserve"> </w:t>
      </w:r>
      <w:r w:rsidRPr="006539ED" w:rsidR="00444FA7">
        <w:rPr>
          <w:szCs w:val="22"/>
        </w:rPr>
        <w:t>the amount of the allocations to eligible entities from the Reimbursement Program, develop a final</w:t>
      </w:r>
      <w:r w:rsidRPr="006539ED" w:rsidR="006505FE">
        <w:rPr>
          <w:szCs w:val="22"/>
        </w:rPr>
        <w:t xml:space="preserve"> </w:t>
      </w:r>
      <w:r w:rsidRPr="006539ED" w:rsidR="00444FA7">
        <w:rPr>
          <w:szCs w:val="22"/>
        </w:rPr>
        <w:t xml:space="preserve">Catalog of Eligible Expenses </w:t>
      </w:r>
      <w:r w:rsidR="00D81987">
        <w:rPr>
          <w:szCs w:val="22"/>
        </w:rPr>
        <w:t xml:space="preserve">with the assistance of a contractor, and to </w:t>
      </w:r>
      <w:r w:rsidRPr="006539ED" w:rsidR="00444FA7">
        <w:rPr>
          <w:szCs w:val="22"/>
        </w:rPr>
        <w:t>make other determinations regarding</w:t>
      </w:r>
      <w:r w:rsidRPr="006539ED" w:rsidR="006505FE">
        <w:rPr>
          <w:szCs w:val="22"/>
        </w:rPr>
        <w:t xml:space="preserve"> </w:t>
      </w:r>
      <w:r w:rsidRPr="006539ED" w:rsidR="00444FA7">
        <w:rPr>
          <w:szCs w:val="22"/>
        </w:rPr>
        <w:t>eligible costs and the reimbursement process.</w:t>
      </w:r>
      <w:r w:rsidRPr="006539ED" w:rsidR="006505FE">
        <w:rPr>
          <w:szCs w:val="22"/>
        </w:rPr>
        <w:t>”</w:t>
      </w:r>
      <w:r>
        <w:rPr>
          <w:rStyle w:val="FootnoteReference"/>
          <w:szCs w:val="22"/>
        </w:rPr>
        <w:footnoteReference w:id="10"/>
      </w:r>
      <w:r w:rsidRPr="006539ED" w:rsidR="00444FA7">
        <w:rPr>
          <w:szCs w:val="22"/>
        </w:rPr>
        <w:t xml:space="preserve"> </w:t>
      </w:r>
      <w:r w:rsidRPr="006539ED" w:rsidR="006505FE">
        <w:rPr>
          <w:szCs w:val="22"/>
        </w:rPr>
        <w:t xml:space="preserve"> Further, the Commission directed the Bureau to “</w:t>
      </w:r>
      <w:r w:rsidRPr="006539ED" w:rsidR="00444FA7">
        <w:rPr>
          <w:szCs w:val="22"/>
        </w:rPr>
        <w:t>adopt the necessary policies and procedures relating to allocations, draw downs, payments, obligations,</w:t>
      </w:r>
      <w:r w:rsidRPr="006539ED" w:rsidR="006505FE">
        <w:rPr>
          <w:szCs w:val="22"/>
        </w:rPr>
        <w:t xml:space="preserve"> </w:t>
      </w:r>
      <w:r w:rsidRPr="006539ED" w:rsidR="00444FA7">
        <w:rPr>
          <w:szCs w:val="22"/>
        </w:rPr>
        <w:t>and expenditures of money from the Reimbursement Program to protect against waste, fraud, and abuse</w:t>
      </w:r>
      <w:r w:rsidRPr="006539ED" w:rsidR="006505FE">
        <w:rPr>
          <w:szCs w:val="22"/>
        </w:rPr>
        <w:t xml:space="preserve"> </w:t>
      </w:r>
      <w:r w:rsidRPr="006539ED" w:rsidR="00444FA7">
        <w:rPr>
          <w:szCs w:val="22"/>
        </w:rPr>
        <w:t>and to protect Reimbursement Program funds in the event of bankruptcy of a support recipient.</w:t>
      </w:r>
      <w:r w:rsidRPr="006539ED" w:rsidR="006505FE">
        <w:rPr>
          <w:szCs w:val="22"/>
        </w:rPr>
        <w:t>”</w:t>
      </w:r>
      <w:r>
        <w:rPr>
          <w:rStyle w:val="FootnoteReference"/>
          <w:szCs w:val="22"/>
        </w:rPr>
        <w:footnoteReference w:id="11"/>
      </w:r>
      <w:r w:rsidRPr="006539ED" w:rsidR="00FF56F3">
        <w:rPr>
          <w:szCs w:val="22"/>
        </w:rPr>
        <w:t xml:space="preserve">  </w:t>
      </w:r>
    </w:p>
    <w:p w:rsidR="00FE1166" w:rsidRPr="006539ED" w:rsidP="009A3416" w14:paraId="7CFEB046" w14:textId="7949DA01">
      <w:pPr>
        <w:spacing w:after="120"/>
        <w:ind w:firstLine="720"/>
        <w:rPr>
          <w:szCs w:val="22"/>
        </w:rPr>
      </w:pPr>
      <w:r>
        <w:rPr>
          <w:bCs/>
          <w:szCs w:val="22"/>
        </w:rPr>
        <w:t>On March 25, 2021, we</w:t>
      </w:r>
      <w:r w:rsidRPr="006539ED">
        <w:rPr>
          <w:szCs w:val="22"/>
        </w:rPr>
        <w:t xml:space="preserve"> sought comment on a preliminary </w:t>
      </w:r>
      <w:r w:rsidRPr="006539ED">
        <w:rPr>
          <w:bCs/>
          <w:szCs w:val="22"/>
        </w:rPr>
        <w:t xml:space="preserve">Catalog of </w:t>
      </w:r>
      <w:r>
        <w:rPr>
          <w:bCs/>
          <w:szCs w:val="22"/>
        </w:rPr>
        <w:t xml:space="preserve">Eligible </w:t>
      </w:r>
      <w:r w:rsidRPr="006539ED">
        <w:rPr>
          <w:bCs/>
          <w:szCs w:val="22"/>
        </w:rPr>
        <w:t xml:space="preserve">Expenses </w:t>
      </w:r>
      <w:r>
        <w:rPr>
          <w:bCs/>
          <w:szCs w:val="22"/>
        </w:rPr>
        <w:t xml:space="preserve">and Estimated Costs (Catalog) </w:t>
      </w:r>
      <w:r w:rsidRPr="006539ED">
        <w:rPr>
          <w:szCs w:val="22"/>
        </w:rPr>
        <w:t>identifying a range of cost estimates</w:t>
      </w:r>
      <w:r>
        <w:rPr>
          <w:szCs w:val="22"/>
        </w:rPr>
        <w:t xml:space="preserve"> </w:t>
      </w:r>
      <w:r w:rsidRPr="006539ED">
        <w:rPr>
          <w:szCs w:val="22"/>
        </w:rPr>
        <w:t>that may be eligible for reimbursement under the Reimbursement Program.</w:t>
      </w:r>
      <w:r>
        <w:rPr>
          <w:rStyle w:val="FootnoteReference"/>
          <w:bCs/>
          <w:szCs w:val="22"/>
        </w:rPr>
        <w:footnoteReference w:id="12"/>
      </w:r>
      <w:r w:rsidRPr="006539ED">
        <w:rPr>
          <w:bCs/>
          <w:szCs w:val="22"/>
        </w:rPr>
        <w:t xml:space="preserve"> </w:t>
      </w:r>
      <w:r w:rsidRPr="006539ED">
        <w:rPr>
          <w:szCs w:val="22"/>
        </w:rPr>
        <w:t xml:space="preserve"> </w:t>
      </w:r>
      <w:r>
        <w:rPr>
          <w:bCs/>
          <w:szCs w:val="22"/>
        </w:rPr>
        <w:t xml:space="preserve">On April </w:t>
      </w:r>
      <w:r w:rsidR="00285779">
        <w:rPr>
          <w:bCs/>
          <w:szCs w:val="22"/>
        </w:rPr>
        <w:t>28</w:t>
      </w:r>
      <w:r>
        <w:rPr>
          <w:bCs/>
          <w:szCs w:val="22"/>
        </w:rPr>
        <w:t xml:space="preserve">, 2021, the Bureau </w:t>
      </w:r>
      <w:r w:rsidRPr="00FC1794">
        <w:rPr>
          <w:bCs/>
          <w:szCs w:val="22"/>
        </w:rPr>
        <w:t>announce</w:t>
      </w:r>
      <w:r>
        <w:rPr>
          <w:bCs/>
          <w:szCs w:val="22"/>
        </w:rPr>
        <w:t>d</w:t>
      </w:r>
      <w:r w:rsidRPr="00FC1794">
        <w:rPr>
          <w:bCs/>
          <w:szCs w:val="22"/>
        </w:rPr>
        <w:t xml:space="preserve"> the selection of </w:t>
      </w:r>
      <w:r w:rsidR="00285779">
        <w:rPr>
          <w:bCs/>
          <w:szCs w:val="22"/>
        </w:rPr>
        <w:t>Ernst &amp; Young LLP</w:t>
      </w:r>
      <w:r w:rsidRPr="00FC1794">
        <w:rPr>
          <w:bCs/>
          <w:szCs w:val="22"/>
        </w:rPr>
        <w:t xml:space="preserve"> as the Fund Administrator for the Reimbursement Program.</w:t>
      </w:r>
      <w:r>
        <w:rPr>
          <w:rStyle w:val="FootnoteReference"/>
          <w:bCs/>
          <w:szCs w:val="22"/>
        </w:rPr>
        <w:footnoteReference w:id="13"/>
      </w:r>
      <w:r w:rsidRPr="00FC1794">
        <w:rPr>
          <w:bCs/>
          <w:szCs w:val="22"/>
        </w:rPr>
        <w:t xml:space="preserve">  </w:t>
      </w:r>
      <w:r>
        <w:rPr>
          <w:bCs/>
          <w:szCs w:val="22"/>
        </w:rPr>
        <w:t>The Fund Administrator</w:t>
      </w:r>
      <w:r w:rsidR="00F65307">
        <w:rPr>
          <w:bCs/>
          <w:szCs w:val="22"/>
        </w:rPr>
        <w:t xml:space="preserve"> </w:t>
      </w:r>
      <w:r w:rsidRPr="00324A6F" w:rsidR="00F65307">
        <w:rPr>
          <w:bCs/>
          <w:szCs w:val="22"/>
        </w:rPr>
        <w:t xml:space="preserve">will </w:t>
      </w:r>
      <w:r w:rsidR="005E3F73">
        <w:rPr>
          <w:bCs/>
          <w:szCs w:val="22"/>
        </w:rPr>
        <w:t>assist the Commission with the administration of the Reimbursement Program for</w:t>
      </w:r>
      <w:r w:rsidRPr="00324A6F" w:rsidR="005E3F73">
        <w:rPr>
          <w:bCs/>
          <w:szCs w:val="22"/>
        </w:rPr>
        <w:t xml:space="preserve"> </w:t>
      </w:r>
      <w:r w:rsidRPr="00324A6F" w:rsidR="00F65307">
        <w:rPr>
          <w:bCs/>
          <w:szCs w:val="22"/>
        </w:rPr>
        <w:t>the removal, replacement, and disposal of communications equipment and services posing a national security risk from the networks of providers of advanced communications service</w:t>
      </w:r>
      <w:r>
        <w:rPr>
          <w:bCs/>
          <w:szCs w:val="22"/>
        </w:rPr>
        <w:t>.</w:t>
      </w:r>
      <w:r>
        <w:rPr>
          <w:rStyle w:val="FootnoteReference"/>
          <w:bCs/>
          <w:szCs w:val="22"/>
        </w:rPr>
        <w:footnoteReference w:id="14"/>
      </w:r>
    </w:p>
    <w:p w:rsidR="00AF0BFE" w:rsidRPr="00313DCE" w:rsidP="003222E2" w14:paraId="169A9037" w14:textId="1D10EAC1">
      <w:pPr>
        <w:pStyle w:val="Heading1"/>
      </w:pPr>
      <w:r w:rsidRPr="00313DCE">
        <w:t>FCC Form 5640 - Application Request for Funding Allocation and Reimbursement Claim Requests</w:t>
      </w:r>
    </w:p>
    <w:p w:rsidR="00E069C1" w:rsidP="00F94597" w14:paraId="429B5670" w14:textId="707637C8">
      <w:pPr>
        <w:widowControl/>
        <w:spacing w:after="120"/>
        <w:ind w:firstLine="720"/>
        <w:rPr>
          <w:szCs w:val="22"/>
        </w:rPr>
      </w:pPr>
      <w:r>
        <w:t xml:space="preserve">In this section, we </w:t>
      </w:r>
      <w:r w:rsidR="00827A83">
        <w:t xml:space="preserve">describe the </w:t>
      </w:r>
      <w:r>
        <w:t xml:space="preserve">proposed approach to process </w:t>
      </w:r>
      <w:r w:rsidR="001B09C4">
        <w:t xml:space="preserve">and review </w:t>
      </w:r>
      <w:r>
        <w:t>application requests for funding allocation</w:t>
      </w:r>
      <w:r w:rsidR="001B09C4">
        <w:t>s</w:t>
      </w:r>
      <w:r>
        <w:t xml:space="preserve"> submitted by applicants and reimbursement claim requests submitted by participants.  </w:t>
      </w:r>
      <w:r w:rsidR="00014139">
        <w:rPr>
          <w:szCs w:val="22"/>
        </w:rPr>
        <w:t>We propose</w:t>
      </w:r>
      <w:r w:rsidR="00BB5B9F">
        <w:rPr>
          <w:szCs w:val="22"/>
        </w:rPr>
        <w:t xml:space="preserve"> </w:t>
      </w:r>
      <w:r w:rsidR="00014139">
        <w:rPr>
          <w:szCs w:val="22"/>
        </w:rPr>
        <w:t xml:space="preserve">to </w:t>
      </w:r>
      <w:r w:rsidR="00E63115">
        <w:rPr>
          <w:szCs w:val="22"/>
        </w:rPr>
        <w:t>issu</w:t>
      </w:r>
      <w:r w:rsidR="00014139">
        <w:rPr>
          <w:szCs w:val="22"/>
        </w:rPr>
        <w:t>e</w:t>
      </w:r>
      <w:r w:rsidR="00BB5B9F">
        <w:rPr>
          <w:szCs w:val="22"/>
        </w:rPr>
        <w:t xml:space="preserve"> </w:t>
      </w:r>
      <w:r w:rsidRPr="006539ED" w:rsidR="00774703">
        <w:rPr>
          <w:szCs w:val="22"/>
        </w:rPr>
        <w:t>Reimbursement Program funding allocations to eligible providers based on the estimated costs</w:t>
      </w:r>
      <w:r w:rsidRPr="006539ED" w:rsidR="00B91231">
        <w:rPr>
          <w:szCs w:val="22"/>
        </w:rPr>
        <w:t xml:space="preserve"> </w:t>
      </w:r>
      <w:r w:rsidR="00AB63F3">
        <w:rPr>
          <w:szCs w:val="22"/>
        </w:rPr>
        <w:t>identified in their application for the</w:t>
      </w:r>
      <w:r w:rsidRPr="006539ED" w:rsidR="00426D0C">
        <w:rPr>
          <w:szCs w:val="22"/>
        </w:rPr>
        <w:t xml:space="preserve"> </w:t>
      </w:r>
      <w:r w:rsidRPr="006539ED" w:rsidR="00AB63F3">
        <w:rPr>
          <w:szCs w:val="22"/>
        </w:rPr>
        <w:t>remov</w:t>
      </w:r>
      <w:r w:rsidR="00AB63F3">
        <w:rPr>
          <w:szCs w:val="22"/>
        </w:rPr>
        <w:t>al</w:t>
      </w:r>
      <w:r w:rsidRPr="006539ED" w:rsidR="00B91231">
        <w:rPr>
          <w:szCs w:val="22"/>
        </w:rPr>
        <w:t xml:space="preserve">, </w:t>
      </w:r>
      <w:r w:rsidRPr="006539ED" w:rsidR="00AB63F3">
        <w:rPr>
          <w:szCs w:val="22"/>
        </w:rPr>
        <w:t>replac</w:t>
      </w:r>
      <w:r w:rsidR="00AB63F3">
        <w:rPr>
          <w:szCs w:val="22"/>
        </w:rPr>
        <w:t>ement</w:t>
      </w:r>
      <w:r w:rsidRPr="006539ED" w:rsidR="00B91231">
        <w:rPr>
          <w:szCs w:val="22"/>
        </w:rPr>
        <w:t xml:space="preserve">, and </w:t>
      </w:r>
      <w:r w:rsidRPr="006539ED" w:rsidR="00AB63F3">
        <w:rPr>
          <w:szCs w:val="22"/>
        </w:rPr>
        <w:t>dispos</w:t>
      </w:r>
      <w:r w:rsidR="00AB63F3">
        <w:rPr>
          <w:szCs w:val="22"/>
        </w:rPr>
        <w:t>al</w:t>
      </w:r>
      <w:r w:rsidRPr="006539ED" w:rsidR="00AB63F3">
        <w:rPr>
          <w:szCs w:val="22"/>
        </w:rPr>
        <w:t xml:space="preserve"> </w:t>
      </w:r>
      <w:r w:rsidRPr="006539ED" w:rsidR="00B91231">
        <w:rPr>
          <w:szCs w:val="22"/>
        </w:rPr>
        <w:t xml:space="preserve">of </w:t>
      </w:r>
      <w:r w:rsidR="00AB63F3">
        <w:rPr>
          <w:szCs w:val="22"/>
        </w:rPr>
        <w:t xml:space="preserve">eligible </w:t>
      </w:r>
      <w:r w:rsidRPr="006539ED" w:rsidR="00B91231">
        <w:rPr>
          <w:szCs w:val="22"/>
        </w:rPr>
        <w:t>covered communications equipment and services</w:t>
      </w:r>
      <w:r w:rsidRPr="006539ED" w:rsidR="00774703">
        <w:rPr>
          <w:szCs w:val="22"/>
        </w:rPr>
        <w:t>.</w:t>
      </w:r>
      <w:r>
        <w:rPr>
          <w:rStyle w:val="FootnoteReference"/>
          <w:szCs w:val="22"/>
        </w:rPr>
        <w:footnoteReference w:id="15"/>
      </w:r>
      <w:r w:rsidRPr="006539ED" w:rsidR="00774703">
        <w:rPr>
          <w:szCs w:val="22"/>
        </w:rPr>
        <w:t xml:space="preserve">  </w:t>
      </w:r>
      <w:r w:rsidR="00014139">
        <w:rPr>
          <w:szCs w:val="22"/>
        </w:rPr>
        <w:t xml:space="preserve">We </w:t>
      </w:r>
      <w:r w:rsidR="00E006E0">
        <w:rPr>
          <w:szCs w:val="22"/>
        </w:rPr>
        <w:t xml:space="preserve">also </w:t>
      </w:r>
      <w:r w:rsidR="00014139">
        <w:rPr>
          <w:szCs w:val="22"/>
        </w:rPr>
        <w:t>propose to</w:t>
      </w:r>
      <w:r w:rsidR="004C0049">
        <w:t xml:space="preserve"> periodically release public notices announcing </w:t>
      </w:r>
      <w:r w:rsidR="007F67C3">
        <w:t>grants of</w:t>
      </w:r>
      <w:r w:rsidR="004C0049">
        <w:t xml:space="preserve"> funding allocations</w:t>
      </w:r>
      <w:r w:rsidR="00207A72">
        <w:t>.</w:t>
      </w:r>
      <w:r w:rsidR="00207A72">
        <w:t xml:space="preserve"> </w:t>
      </w:r>
      <w:r w:rsidR="007D1127">
        <w:t xml:space="preserve"> </w:t>
      </w:r>
      <w:r w:rsidR="00F16BDC">
        <w:rPr>
          <w:szCs w:val="22"/>
        </w:rPr>
        <w:t>As provided by the Commission’s rules, o</w:t>
      </w:r>
      <w:r w:rsidR="00AB63F3">
        <w:rPr>
          <w:szCs w:val="22"/>
        </w:rPr>
        <w:t xml:space="preserve">nce an allocation is </w:t>
      </w:r>
      <w:r w:rsidR="007F67C3">
        <w:rPr>
          <w:szCs w:val="22"/>
        </w:rPr>
        <w:t>granted</w:t>
      </w:r>
      <w:r w:rsidR="007B1244">
        <w:rPr>
          <w:szCs w:val="22"/>
        </w:rPr>
        <w:t xml:space="preserve"> </w:t>
      </w:r>
      <w:r w:rsidRPr="006539ED" w:rsidR="00774703">
        <w:rPr>
          <w:szCs w:val="22"/>
        </w:rPr>
        <w:t>recipient</w:t>
      </w:r>
      <w:r w:rsidR="00014139">
        <w:rPr>
          <w:szCs w:val="22"/>
        </w:rPr>
        <w:t>s</w:t>
      </w:r>
      <w:r w:rsidRPr="006539ED" w:rsidR="00774703">
        <w:rPr>
          <w:szCs w:val="22"/>
        </w:rPr>
        <w:t xml:space="preserve"> </w:t>
      </w:r>
      <w:r w:rsidR="007B1244">
        <w:rPr>
          <w:szCs w:val="22"/>
        </w:rPr>
        <w:t>can</w:t>
      </w:r>
      <w:r w:rsidR="00014139">
        <w:rPr>
          <w:szCs w:val="22"/>
        </w:rPr>
        <w:t xml:space="preserve"> </w:t>
      </w:r>
      <w:r w:rsidR="007B1244">
        <w:rPr>
          <w:szCs w:val="22"/>
        </w:rPr>
        <w:t xml:space="preserve">then </w:t>
      </w:r>
      <w:r w:rsidR="00BB5B9F">
        <w:rPr>
          <w:szCs w:val="22"/>
        </w:rPr>
        <w:t xml:space="preserve">request and receive </w:t>
      </w:r>
      <w:r w:rsidRPr="006539ED" w:rsidR="00774703">
        <w:rPr>
          <w:szCs w:val="22"/>
        </w:rPr>
        <w:t xml:space="preserve">funding disbursements </w:t>
      </w:r>
      <w:r w:rsidR="00827A83">
        <w:rPr>
          <w:szCs w:val="22"/>
        </w:rPr>
        <w:t>by</w:t>
      </w:r>
      <w:r w:rsidRPr="006539ED" w:rsidR="00827A83">
        <w:rPr>
          <w:szCs w:val="22"/>
        </w:rPr>
        <w:t xml:space="preserve"> </w:t>
      </w:r>
      <w:r w:rsidR="00AB63F3">
        <w:rPr>
          <w:szCs w:val="22"/>
        </w:rPr>
        <w:t xml:space="preserve">filing a </w:t>
      </w:r>
      <w:r w:rsidR="00227B4B">
        <w:rPr>
          <w:szCs w:val="22"/>
        </w:rPr>
        <w:t>R</w:t>
      </w:r>
      <w:r w:rsidR="00AB63F3">
        <w:rPr>
          <w:szCs w:val="22"/>
        </w:rPr>
        <w:t xml:space="preserve">eimbursement </w:t>
      </w:r>
      <w:r w:rsidR="00227B4B">
        <w:rPr>
          <w:szCs w:val="22"/>
        </w:rPr>
        <w:t>C</w:t>
      </w:r>
      <w:r w:rsidR="00AB63F3">
        <w:rPr>
          <w:szCs w:val="22"/>
        </w:rPr>
        <w:t xml:space="preserve">laim </w:t>
      </w:r>
      <w:r w:rsidR="00227B4B">
        <w:rPr>
          <w:szCs w:val="22"/>
        </w:rPr>
        <w:t>R</w:t>
      </w:r>
      <w:r w:rsidR="004C0049">
        <w:rPr>
          <w:szCs w:val="22"/>
        </w:rPr>
        <w:t xml:space="preserve">equest </w:t>
      </w:r>
      <w:r w:rsidRPr="006539ED" w:rsidR="00774703">
        <w:rPr>
          <w:szCs w:val="22"/>
        </w:rPr>
        <w:t>showing actual expenses incurred.</w:t>
      </w:r>
      <w:r>
        <w:rPr>
          <w:rStyle w:val="FootnoteReference"/>
          <w:szCs w:val="22"/>
        </w:rPr>
        <w:footnoteReference w:id="16"/>
      </w:r>
      <w:r w:rsidRPr="006539ED" w:rsidR="00774703">
        <w:rPr>
          <w:szCs w:val="22"/>
        </w:rPr>
        <w:t xml:space="preserve">  </w:t>
      </w:r>
      <w:r w:rsidR="007B1244">
        <w:rPr>
          <w:szCs w:val="22"/>
        </w:rPr>
        <w:t>Further</w:t>
      </w:r>
      <w:r w:rsidR="00F93929">
        <w:rPr>
          <w:szCs w:val="22"/>
        </w:rPr>
        <w:t>,</w:t>
      </w:r>
      <w:r w:rsidR="007B1244">
        <w:rPr>
          <w:szCs w:val="22"/>
        </w:rPr>
        <w:t xml:space="preserve"> per</w:t>
      </w:r>
      <w:r w:rsidR="00014139">
        <w:rPr>
          <w:szCs w:val="22"/>
        </w:rPr>
        <w:t xml:space="preserve"> the Commission’s rules, </w:t>
      </w:r>
      <w:r w:rsidR="000D09D3">
        <w:rPr>
          <w:szCs w:val="22"/>
        </w:rPr>
        <w:t xml:space="preserve">Reimbursement Program recipients must file </w:t>
      </w:r>
      <w:r w:rsidR="007F67C3">
        <w:rPr>
          <w:szCs w:val="22"/>
        </w:rPr>
        <w:t>an initial</w:t>
      </w:r>
      <w:r w:rsidR="000D09D3">
        <w:rPr>
          <w:szCs w:val="22"/>
        </w:rPr>
        <w:t xml:space="preserve"> Reimbursement Claim Request within one year </w:t>
      </w:r>
      <w:r w:rsidR="00AE0B5C">
        <w:rPr>
          <w:szCs w:val="22"/>
        </w:rPr>
        <w:t xml:space="preserve">after </w:t>
      </w:r>
      <w:r w:rsidR="000D09D3">
        <w:rPr>
          <w:szCs w:val="22"/>
        </w:rPr>
        <w:t>the</w:t>
      </w:r>
      <w:r w:rsidR="00AE0B5C">
        <w:rPr>
          <w:szCs w:val="22"/>
        </w:rPr>
        <w:t xml:space="preserve"> </w:t>
      </w:r>
      <w:r w:rsidR="007F67C3">
        <w:rPr>
          <w:szCs w:val="22"/>
        </w:rPr>
        <w:t>grant of a funding allocation</w:t>
      </w:r>
      <w:r w:rsidR="000D09D3">
        <w:rPr>
          <w:szCs w:val="22"/>
        </w:rPr>
        <w:t>.</w:t>
      </w:r>
      <w:r>
        <w:rPr>
          <w:rStyle w:val="FootnoteReference"/>
          <w:szCs w:val="22"/>
        </w:rPr>
        <w:footnoteReference w:id="17"/>
      </w:r>
      <w:r w:rsidR="000D09D3">
        <w:rPr>
          <w:szCs w:val="22"/>
        </w:rPr>
        <w:t xml:space="preserve"> </w:t>
      </w:r>
      <w:r w:rsidR="00DE705B">
        <w:rPr>
          <w:szCs w:val="22"/>
        </w:rPr>
        <w:t xml:space="preserve"> </w:t>
      </w:r>
      <w:r w:rsidR="00F93929">
        <w:rPr>
          <w:szCs w:val="22"/>
        </w:rPr>
        <w:t>R</w:t>
      </w:r>
      <w:r w:rsidRPr="006539ED" w:rsidR="00774703">
        <w:rPr>
          <w:szCs w:val="22"/>
        </w:rPr>
        <w:t xml:space="preserve">ecipients </w:t>
      </w:r>
      <w:r w:rsidR="00827A83">
        <w:rPr>
          <w:szCs w:val="22"/>
        </w:rPr>
        <w:t xml:space="preserve">also </w:t>
      </w:r>
      <w:r w:rsidRPr="006539ED" w:rsidR="00774703">
        <w:rPr>
          <w:szCs w:val="22"/>
        </w:rPr>
        <w:t xml:space="preserve">have one year from the </w:t>
      </w:r>
      <w:r w:rsidR="00827A83">
        <w:rPr>
          <w:szCs w:val="22"/>
        </w:rPr>
        <w:t>first</w:t>
      </w:r>
      <w:r w:rsidRPr="006539ED" w:rsidR="00827A83">
        <w:rPr>
          <w:szCs w:val="22"/>
        </w:rPr>
        <w:t xml:space="preserve"> </w:t>
      </w:r>
      <w:r w:rsidRPr="006539ED" w:rsidR="00774703">
        <w:rPr>
          <w:szCs w:val="22"/>
        </w:rPr>
        <w:t xml:space="preserve">disbursement </w:t>
      </w:r>
      <w:r w:rsidR="00AB63F3">
        <w:rPr>
          <w:szCs w:val="22"/>
        </w:rPr>
        <w:t>of funds</w:t>
      </w:r>
      <w:r w:rsidR="00177B9B">
        <w:rPr>
          <w:szCs w:val="22"/>
        </w:rPr>
        <w:t xml:space="preserve"> </w:t>
      </w:r>
      <w:r w:rsidRPr="006539ED" w:rsidR="00774703">
        <w:rPr>
          <w:szCs w:val="22"/>
        </w:rPr>
        <w:t>to complete the permanent removal, replacement, and disposal of covered communications equipment or services.</w:t>
      </w:r>
      <w:r>
        <w:rPr>
          <w:rStyle w:val="FootnoteReference"/>
          <w:szCs w:val="22"/>
        </w:rPr>
        <w:footnoteReference w:id="18"/>
      </w:r>
      <w:r w:rsidRPr="006539ED">
        <w:rPr>
          <w:szCs w:val="22"/>
        </w:rPr>
        <w:t xml:space="preserve"> </w:t>
      </w:r>
      <w:r w:rsidR="00DD5DB9">
        <w:rPr>
          <w:szCs w:val="22"/>
        </w:rPr>
        <w:t xml:space="preserve"> While there are additional filings associated with the Reimbursement Program,</w:t>
      </w:r>
      <w:r w:rsidR="00430E9D">
        <w:rPr>
          <w:szCs w:val="22"/>
        </w:rPr>
        <w:t xml:space="preserve"> </w:t>
      </w:r>
      <w:r w:rsidR="00A60648">
        <w:rPr>
          <w:szCs w:val="22"/>
        </w:rPr>
        <w:t>for example</w:t>
      </w:r>
      <w:r w:rsidR="00DD5DB9">
        <w:rPr>
          <w:szCs w:val="22"/>
        </w:rPr>
        <w:t>, status updates, spending reports,</w:t>
      </w:r>
      <w:r w:rsidR="00827004">
        <w:rPr>
          <w:szCs w:val="22"/>
        </w:rPr>
        <w:t xml:space="preserve"> extension requests,</w:t>
      </w:r>
      <w:r w:rsidR="00DD5DB9">
        <w:rPr>
          <w:szCs w:val="22"/>
        </w:rPr>
        <w:t xml:space="preserve"> </w:t>
      </w:r>
      <w:r w:rsidR="007B1244">
        <w:rPr>
          <w:szCs w:val="22"/>
        </w:rPr>
        <w:t xml:space="preserve">and a </w:t>
      </w:r>
      <w:r w:rsidR="00DD5DB9">
        <w:rPr>
          <w:szCs w:val="22"/>
        </w:rPr>
        <w:t>final certification</w:t>
      </w:r>
      <w:r w:rsidR="007B1244">
        <w:rPr>
          <w:szCs w:val="22"/>
        </w:rPr>
        <w:t xml:space="preserve"> of project completion</w:t>
      </w:r>
      <w:r w:rsidR="00F93929">
        <w:rPr>
          <w:szCs w:val="22"/>
        </w:rPr>
        <w:t>,</w:t>
      </w:r>
      <w:r w:rsidR="00B035BA">
        <w:rPr>
          <w:szCs w:val="22"/>
        </w:rPr>
        <w:t xml:space="preserve"> </w:t>
      </w:r>
      <w:r w:rsidR="00DD5DB9">
        <w:rPr>
          <w:szCs w:val="22"/>
        </w:rPr>
        <w:t>this Public Notice focuses on the Application Request for Funding Allocation and the Reimbursement Claim Request.</w:t>
      </w:r>
      <w:r w:rsidR="002D1AF7">
        <w:rPr>
          <w:szCs w:val="22"/>
        </w:rPr>
        <w:t xml:space="preserve">  </w:t>
      </w:r>
      <w:r w:rsidR="00AC3ED8">
        <w:rPr>
          <w:szCs w:val="22"/>
        </w:rPr>
        <w:t xml:space="preserve">After reviewing the comments received in response to this Public Notice, </w:t>
      </w:r>
      <w:r w:rsidR="00F93929">
        <w:rPr>
          <w:szCs w:val="22"/>
        </w:rPr>
        <w:t>w</w:t>
      </w:r>
      <w:r w:rsidR="002D1AF7">
        <w:rPr>
          <w:szCs w:val="22"/>
        </w:rPr>
        <w:t>e will releas</w:t>
      </w:r>
      <w:r w:rsidR="00014139">
        <w:rPr>
          <w:szCs w:val="22"/>
        </w:rPr>
        <w:t xml:space="preserve">e </w:t>
      </w:r>
      <w:r w:rsidR="002D1AF7">
        <w:rPr>
          <w:szCs w:val="22"/>
        </w:rPr>
        <w:t xml:space="preserve">a </w:t>
      </w:r>
      <w:r w:rsidR="00827A83">
        <w:rPr>
          <w:szCs w:val="22"/>
        </w:rPr>
        <w:t xml:space="preserve">final </w:t>
      </w:r>
      <w:r w:rsidR="002D1AF7">
        <w:rPr>
          <w:szCs w:val="22"/>
        </w:rPr>
        <w:t>public notice</w:t>
      </w:r>
      <w:r w:rsidR="007F67C3">
        <w:rPr>
          <w:szCs w:val="22"/>
        </w:rPr>
        <w:t xml:space="preserve"> </w:t>
      </w:r>
      <w:r w:rsidR="00AC3ED8">
        <w:rPr>
          <w:szCs w:val="22"/>
        </w:rPr>
        <w:t xml:space="preserve">announcing the filing </w:t>
      </w:r>
      <w:r w:rsidR="00827A83">
        <w:rPr>
          <w:szCs w:val="22"/>
        </w:rPr>
        <w:t xml:space="preserve">requirements </w:t>
      </w:r>
      <w:r w:rsidR="00AC3ED8">
        <w:rPr>
          <w:szCs w:val="22"/>
        </w:rPr>
        <w:t xml:space="preserve">and the information to be </w:t>
      </w:r>
      <w:r w:rsidR="00827A83">
        <w:rPr>
          <w:szCs w:val="22"/>
        </w:rPr>
        <w:t xml:space="preserve">reported in </w:t>
      </w:r>
      <w:r w:rsidR="00AC3ED8">
        <w:rPr>
          <w:szCs w:val="22"/>
        </w:rPr>
        <w:t>these filings</w:t>
      </w:r>
      <w:r w:rsidR="002D1AF7">
        <w:rPr>
          <w:szCs w:val="22"/>
        </w:rPr>
        <w:t xml:space="preserve">. </w:t>
      </w:r>
    </w:p>
    <w:p w:rsidR="00C603D8" w:rsidRPr="006539ED" w:rsidP="00C603D8" w14:paraId="6E3C6CD5" w14:textId="3CB890A4">
      <w:pPr>
        <w:widowControl/>
        <w:spacing w:after="120"/>
        <w:ind w:firstLine="720"/>
        <w:rPr>
          <w:szCs w:val="22"/>
        </w:rPr>
      </w:pPr>
      <w:r w:rsidRPr="00C81027">
        <w:rPr>
          <w:i/>
          <w:iCs/>
          <w:szCs w:val="22"/>
        </w:rPr>
        <w:t xml:space="preserve">Application Request for </w:t>
      </w:r>
      <w:r w:rsidRPr="00C81027" w:rsidR="00C81027">
        <w:rPr>
          <w:i/>
          <w:iCs/>
          <w:szCs w:val="22"/>
        </w:rPr>
        <w:t>Funding Allocation</w:t>
      </w:r>
      <w:r w:rsidR="00C81027">
        <w:rPr>
          <w:szCs w:val="22"/>
        </w:rPr>
        <w:t xml:space="preserve">.  </w:t>
      </w:r>
      <w:r w:rsidRPr="006539ED">
        <w:rPr>
          <w:bCs/>
          <w:szCs w:val="22"/>
        </w:rPr>
        <w:t xml:space="preserve">The Bureau </w:t>
      </w:r>
      <w:r w:rsidR="00C81027">
        <w:rPr>
          <w:bCs/>
          <w:szCs w:val="22"/>
        </w:rPr>
        <w:t>is develop</w:t>
      </w:r>
      <w:r w:rsidR="00410666">
        <w:rPr>
          <w:bCs/>
          <w:szCs w:val="22"/>
        </w:rPr>
        <w:t>ing</w:t>
      </w:r>
      <w:r w:rsidR="00C81027">
        <w:rPr>
          <w:bCs/>
          <w:szCs w:val="22"/>
        </w:rPr>
        <w:t xml:space="preserve"> an online portal through which applica</w:t>
      </w:r>
      <w:r w:rsidR="008408E7">
        <w:rPr>
          <w:bCs/>
          <w:szCs w:val="22"/>
        </w:rPr>
        <w:t>nts</w:t>
      </w:r>
      <w:r w:rsidR="00C81027">
        <w:rPr>
          <w:bCs/>
          <w:szCs w:val="22"/>
        </w:rPr>
        <w:t xml:space="preserve"> </w:t>
      </w:r>
      <w:r w:rsidR="006C5C77">
        <w:rPr>
          <w:bCs/>
          <w:szCs w:val="22"/>
        </w:rPr>
        <w:t xml:space="preserve">and recipients </w:t>
      </w:r>
      <w:r w:rsidR="00591816">
        <w:rPr>
          <w:bCs/>
          <w:szCs w:val="22"/>
        </w:rPr>
        <w:t xml:space="preserve">would </w:t>
      </w:r>
      <w:r w:rsidRPr="006539ED">
        <w:rPr>
          <w:bCs/>
          <w:szCs w:val="22"/>
        </w:rPr>
        <w:t xml:space="preserve">electronically </w:t>
      </w:r>
      <w:r w:rsidR="00C81027">
        <w:rPr>
          <w:bCs/>
          <w:szCs w:val="22"/>
        </w:rPr>
        <w:t xml:space="preserve">submit </w:t>
      </w:r>
      <w:r w:rsidR="008408E7">
        <w:rPr>
          <w:bCs/>
          <w:szCs w:val="22"/>
        </w:rPr>
        <w:t xml:space="preserve">all filings related to the Reimbursement Program, including </w:t>
      </w:r>
      <w:r w:rsidR="00970086">
        <w:rPr>
          <w:bCs/>
          <w:szCs w:val="22"/>
        </w:rPr>
        <w:t xml:space="preserve">the </w:t>
      </w:r>
      <w:r w:rsidR="008408E7">
        <w:rPr>
          <w:bCs/>
          <w:szCs w:val="22"/>
        </w:rPr>
        <w:t xml:space="preserve">Application </w:t>
      </w:r>
      <w:r w:rsidR="003F4B7B">
        <w:rPr>
          <w:bCs/>
          <w:szCs w:val="22"/>
        </w:rPr>
        <w:t>Request for Funding Al</w:t>
      </w:r>
      <w:r w:rsidR="000313D3">
        <w:rPr>
          <w:bCs/>
          <w:szCs w:val="22"/>
        </w:rPr>
        <w:t>l</w:t>
      </w:r>
      <w:r w:rsidR="003F4B7B">
        <w:rPr>
          <w:bCs/>
          <w:szCs w:val="22"/>
        </w:rPr>
        <w:t>ocation</w:t>
      </w:r>
      <w:r w:rsidRPr="006539ED">
        <w:rPr>
          <w:bCs/>
          <w:szCs w:val="22"/>
        </w:rPr>
        <w:t xml:space="preserve">.  </w:t>
      </w:r>
      <w:r w:rsidR="00C81027">
        <w:rPr>
          <w:bCs/>
          <w:szCs w:val="22"/>
        </w:rPr>
        <w:t xml:space="preserve">The Bureau </w:t>
      </w:r>
      <w:r w:rsidR="001B09C4">
        <w:rPr>
          <w:bCs/>
          <w:szCs w:val="22"/>
        </w:rPr>
        <w:t xml:space="preserve">also proposes to </w:t>
      </w:r>
      <w:r w:rsidR="00C81027">
        <w:rPr>
          <w:bCs/>
          <w:szCs w:val="22"/>
        </w:rPr>
        <w:t xml:space="preserve">utilize </w:t>
      </w:r>
      <w:r w:rsidR="000313D3">
        <w:rPr>
          <w:bCs/>
          <w:szCs w:val="22"/>
        </w:rPr>
        <w:t xml:space="preserve">a version of </w:t>
      </w:r>
      <w:r w:rsidR="00591816">
        <w:rPr>
          <w:bCs/>
          <w:szCs w:val="22"/>
        </w:rPr>
        <w:t xml:space="preserve">the </w:t>
      </w:r>
      <w:r w:rsidR="00C81027">
        <w:rPr>
          <w:bCs/>
          <w:szCs w:val="22"/>
        </w:rPr>
        <w:t xml:space="preserve">previously developed Reimbursement Fund Administration System (RFAS) </w:t>
      </w:r>
      <w:r w:rsidR="000313D3">
        <w:rPr>
          <w:bCs/>
          <w:szCs w:val="22"/>
        </w:rPr>
        <w:t>to</w:t>
      </w:r>
      <w:r w:rsidR="00C81027">
        <w:rPr>
          <w:bCs/>
          <w:szCs w:val="22"/>
        </w:rPr>
        <w:t xml:space="preserve"> process requests and </w:t>
      </w:r>
      <w:r w:rsidR="00BB5B9F">
        <w:rPr>
          <w:bCs/>
          <w:szCs w:val="22"/>
        </w:rPr>
        <w:t>coordinat</w:t>
      </w:r>
      <w:r w:rsidR="000313D3">
        <w:rPr>
          <w:bCs/>
          <w:szCs w:val="22"/>
        </w:rPr>
        <w:t>e</w:t>
      </w:r>
      <w:r w:rsidR="00BB5B9F">
        <w:rPr>
          <w:bCs/>
          <w:szCs w:val="22"/>
        </w:rPr>
        <w:t xml:space="preserve"> </w:t>
      </w:r>
      <w:r w:rsidR="00C81027">
        <w:rPr>
          <w:bCs/>
          <w:szCs w:val="22"/>
        </w:rPr>
        <w:t>interacti</w:t>
      </w:r>
      <w:r w:rsidR="00BB5B9F">
        <w:rPr>
          <w:bCs/>
          <w:szCs w:val="22"/>
        </w:rPr>
        <w:t xml:space="preserve">ons between </w:t>
      </w:r>
      <w:r w:rsidR="00C81027">
        <w:rPr>
          <w:bCs/>
          <w:szCs w:val="22"/>
        </w:rPr>
        <w:t>program participants</w:t>
      </w:r>
      <w:r w:rsidR="00BB5B9F">
        <w:rPr>
          <w:bCs/>
          <w:szCs w:val="22"/>
        </w:rPr>
        <w:t>, the Fund Administrator, and the Bureau</w:t>
      </w:r>
      <w:r w:rsidR="00C81027">
        <w:rPr>
          <w:bCs/>
          <w:szCs w:val="22"/>
        </w:rPr>
        <w:t>.</w:t>
      </w:r>
      <w:r w:rsidR="00463E17">
        <w:rPr>
          <w:bCs/>
          <w:szCs w:val="22"/>
        </w:rPr>
        <w:t xml:space="preserve">  </w:t>
      </w:r>
      <w:r w:rsidR="00591816">
        <w:rPr>
          <w:szCs w:val="22"/>
        </w:rPr>
        <w:t>Attached as Appendix A are the information fields the Bureau proposes to collect from providers seeking a funding allocation from the Reimbursement Program through an Application Request for Funding Allocation.</w:t>
      </w:r>
      <w:r>
        <w:rPr>
          <w:rStyle w:val="FootnoteReference"/>
          <w:bCs/>
          <w:szCs w:val="22"/>
        </w:rPr>
        <w:footnoteReference w:id="19"/>
      </w:r>
      <w:r w:rsidRPr="006539ED" w:rsidR="00591816">
        <w:rPr>
          <w:bCs/>
          <w:szCs w:val="22"/>
        </w:rPr>
        <w:t xml:space="preserve">  </w:t>
      </w:r>
      <w:r w:rsidR="00463E17">
        <w:rPr>
          <w:bCs/>
          <w:szCs w:val="22"/>
        </w:rPr>
        <w:t xml:space="preserve">We seek comment on these </w:t>
      </w:r>
      <w:r w:rsidR="00FD1694">
        <w:rPr>
          <w:bCs/>
          <w:szCs w:val="22"/>
        </w:rPr>
        <w:t>information fields</w:t>
      </w:r>
      <w:r w:rsidR="00BA11D2">
        <w:rPr>
          <w:bCs/>
          <w:szCs w:val="22"/>
        </w:rPr>
        <w:t xml:space="preserve"> and ask whether any of this information should not be required.  Are there additional information fields applicants should be required to provide?</w:t>
      </w:r>
      <w:r w:rsidR="00463E17">
        <w:rPr>
          <w:bCs/>
          <w:szCs w:val="22"/>
        </w:rPr>
        <w:t xml:space="preserve"> </w:t>
      </w:r>
    </w:p>
    <w:p w:rsidR="00BB5B9F" w:rsidP="00C603D8" w14:paraId="03C1D373" w14:textId="04929BE1">
      <w:pPr>
        <w:widowControl/>
        <w:spacing w:after="120"/>
        <w:ind w:firstLine="720"/>
        <w:rPr>
          <w:szCs w:val="22"/>
        </w:rPr>
      </w:pPr>
      <w:r w:rsidRPr="006539ED">
        <w:rPr>
          <w:bCs/>
          <w:szCs w:val="22"/>
        </w:rPr>
        <w:t>As required by the Secure Networks Act</w:t>
      </w:r>
      <w:r w:rsidR="00410666">
        <w:rPr>
          <w:bCs/>
          <w:szCs w:val="22"/>
        </w:rPr>
        <w:t xml:space="preserve"> and </w:t>
      </w:r>
      <w:r w:rsidR="00B40148">
        <w:rPr>
          <w:bCs/>
          <w:szCs w:val="22"/>
        </w:rPr>
        <w:t xml:space="preserve">the Commission’s </w:t>
      </w:r>
      <w:r w:rsidR="00410666">
        <w:rPr>
          <w:bCs/>
          <w:szCs w:val="22"/>
        </w:rPr>
        <w:t>rules</w:t>
      </w:r>
      <w:r w:rsidRPr="006539ED">
        <w:rPr>
          <w:bCs/>
          <w:szCs w:val="22"/>
        </w:rPr>
        <w:t xml:space="preserve">, the </w:t>
      </w:r>
      <w:r>
        <w:rPr>
          <w:bCs/>
          <w:szCs w:val="22"/>
        </w:rPr>
        <w:t xml:space="preserve">Application </w:t>
      </w:r>
      <w:r w:rsidR="00FE5794">
        <w:rPr>
          <w:bCs/>
          <w:szCs w:val="22"/>
        </w:rPr>
        <w:t xml:space="preserve">Request </w:t>
      </w:r>
      <w:r>
        <w:rPr>
          <w:bCs/>
          <w:szCs w:val="22"/>
        </w:rPr>
        <w:t xml:space="preserve">for Funding Allocation </w:t>
      </w:r>
      <w:r w:rsidRPr="006539ED">
        <w:rPr>
          <w:bCs/>
          <w:szCs w:val="22"/>
        </w:rPr>
        <w:t>requires applicants to submit an initial estimate of costs reasonably incurred for the permanent</w:t>
      </w:r>
      <w:r w:rsidR="00957470">
        <w:rPr>
          <w:bCs/>
          <w:szCs w:val="22"/>
        </w:rPr>
        <w:t xml:space="preserve"> removal, </w:t>
      </w:r>
      <w:r w:rsidRPr="006539ED">
        <w:rPr>
          <w:bCs/>
          <w:szCs w:val="22"/>
        </w:rPr>
        <w:t>replacement, and disposal of covered communications equipment or services.</w:t>
      </w:r>
      <w:r>
        <w:rPr>
          <w:rStyle w:val="FootnoteReference"/>
          <w:rFonts w:eastAsiaTheme="minorEastAsia"/>
          <w:szCs w:val="22"/>
        </w:rPr>
        <w:footnoteReference w:id="20"/>
      </w:r>
      <w:r w:rsidRPr="006539ED">
        <w:rPr>
          <w:szCs w:val="22"/>
        </w:rPr>
        <w:t xml:space="preserve"> </w:t>
      </w:r>
      <w:r w:rsidRPr="006539ED">
        <w:rPr>
          <w:bCs/>
          <w:szCs w:val="22"/>
        </w:rPr>
        <w:t xml:space="preserve"> </w:t>
      </w:r>
      <w:r w:rsidR="005D7873">
        <w:rPr>
          <w:bCs/>
          <w:szCs w:val="22"/>
        </w:rPr>
        <w:t xml:space="preserve">While we prefer </w:t>
      </w:r>
      <w:r w:rsidR="00463E17">
        <w:rPr>
          <w:bCs/>
          <w:szCs w:val="22"/>
        </w:rPr>
        <w:t xml:space="preserve">that </w:t>
      </w:r>
      <w:r w:rsidR="005D7873">
        <w:rPr>
          <w:bCs/>
          <w:szCs w:val="22"/>
        </w:rPr>
        <w:t>applicants submit estimates based on detailed engineering analysis and vendor quotes, a</w:t>
      </w:r>
      <w:r w:rsidRPr="006539ED" w:rsidR="005D7873">
        <w:rPr>
          <w:bCs/>
          <w:szCs w:val="22"/>
        </w:rPr>
        <w:t>pplicants</w:t>
      </w:r>
      <w:r w:rsidR="003D7591">
        <w:rPr>
          <w:bCs/>
          <w:szCs w:val="22"/>
        </w:rPr>
        <w:t xml:space="preserve"> may</w:t>
      </w:r>
      <w:r w:rsidR="007F67C3">
        <w:rPr>
          <w:bCs/>
          <w:szCs w:val="22"/>
        </w:rPr>
        <w:t xml:space="preserve">, </w:t>
      </w:r>
      <w:r w:rsidR="003D7591">
        <w:rPr>
          <w:bCs/>
          <w:szCs w:val="22"/>
        </w:rPr>
        <w:t xml:space="preserve">per the Commission’s rules, </w:t>
      </w:r>
      <w:r w:rsidRPr="006539ED">
        <w:rPr>
          <w:bCs/>
          <w:szCs w:val="22"/>
        </w:rPr>
        <w:t xml:space="preserve">rely upon the predetermined estimated costs identified in </w:t>
      </w:r>
      <w:r w:rsidR="00F93929">
        <w:rPr>
          <w:bCs/>
          <w:szCs w:val="22"/>
        </w:rPr>
        <w:t xml:space="preserve">the </w:t>
      </w:r>
      <w:r w:rsidR="00463E17">
        <w:rPr>
          <w:bCs/>
          <w:szCs w:val="22"/>
        </w:rPr>
        <w:t xml:space="preserve">final </w:t>
      </w:r>
      <w:r w:rsidRPr="006539ED">
        <w:rPr>
          <w:bCs/>
          <w:szCs w:val="22"/>
        </w:rPr>
        <w:t>Catalog made available by the Bureau.</w:t>
      </w:r>
      <w:r>
        <w:rPr>
          <w:rStyle w:val="FootnoteReference"/>
          <w:bCs/>
          <w:szCs w:val="22"/>
        </w:rPr>
        <w:footnoteReference w:id="21"/>
      </w:r>
      <w:r w:rsidRPr="006539ED">
        <w:rPr>
          <w:bCs/>
          <w:szCs w:val="22"/>
        </w:rPr>
        <w:t xml:space="preserve">  </w:t>
      </w:r>
      <w:r w:rsidR="00B832A8">
        <w:rPr>
          <w:szCs w:val="22"/>
        </w:rPr>
        <w:t>T</w:t>
      </w:r>
      <w:r w:rsidRPr="006539ED">
        <w:rPr>
          <w:szCs w:val="22"/>
        </w:rPr>
        <w:t xml:space="preserve">he Bureau </w:t>
      </w:r>
      <w:r w:rsidR="00B832A8">
        <w:rPr>
          <w:szCs w:val="22"/>
        </w:rPr>
        <w:t>plans to subsequently</w:t>
      </w:r>
      <w:r w:rsidRPr="006539ED">
        <w:rPr>
          <w:szCs w:val="22"/>
        </w:rPr>
        <w:t xml:space="preserve"> announce the </w:t>
      </w:r>
      <w:r w:rsidR="00B832A8">
        <w:rPr>
          <w:szCs w:val="22"/>
        </w:rPr>
        <w:t>adoption</w:t>
      </w:r>
      <w:r w:rsidRPr="006539ED" w:rsidR="00B832A8">
        <w:rPr>
          <w:szCs w:val="22"/>
        </w:rPr>
        <w:t xml:space="preserve"> </w:t>
      </w:r>
      <w:r w:rsidRPr="006539ED">
        <w:rPr>
          <w:szCs w:val="22"/>
        </w:rPr>
        <w:t xml:space="preserve">of the final Catalog in a forthcoming public notice.  The final Catalog will contain a list of many, but not necessarily all, of the relevant expenses.  </w:t>
      </w:r>
    </w:p>
    <w:p w:rsidR="00C603D8" w:rsidP="00C853D6" w14:paraId="1F281753" w14:textId="52DE2653">
      <w:pPr>
        <w:widowControl/>
        <w:spacing w:after="120"/>
        <w:ind w:firstLine="720"/>
        <w:rPr>
          <w:szCs w:val="22"/>
        </w:rPr>
      </w:pPr>
      <w:r>
        <w:rPr>
          <w:szCs w:val="22"/>
        </w:rPr>
        <w:t>For purposes of reviewing initial estimated costs, w</w:t>
      </w:r>
      <w:r w:rsidR="00BB5B9F">
        <w:rPr>
          <w:szCs w:val="22"/>
        </w:rPr>
        <w:t xml:space="preserve">e propose </w:t>
      </w:r>
      <w:r w:rsidR="00022B70">
        <w:rPr>
          <w:szCs w:val="22"/>
        </w:rPr>
        <w:t xml:space="preserve">to </w:t>
      </w:r>
      <w:r>
        <w:rPr>
          <w:szCs w:val="22"/>
        </w:rPr>
        <w:t>bas</w:t>
      </w:r>
      <w:r w:rsidR="00022B70">
        <w:rPr>
          <w:szCs w:val="22"/>
        </w:rPr>
        <w:t>e</w:t>
      </w:r>
      <w:r>
        <w:rPr>
          <w:szCs w:val="22"/>
        </w:rPr>
        <w:t xml:space="preserve"> our evaluation on</w:t>
      </w:r>
      <w:r w:rsidR="0087240B">
        <w:rPr>
          <w:szCs w:val="22"/>
        </w:rPr>
        <w:t xml:space="preserve"> </w:t>
      </w:r>
      <w:r w:rsidR="00BB5B9F">
        <w:rPr>
          <w:szCs w:val="22"/>
        </w:rPr>
        <w:t xml:space="preserve">the </w:t>
      </w:r>
      <w:r w:rsidR="00591816">
        <w:rPr>
          <w:szCs w:val="22"/>
        </w:rPr>
        <w:t xml:space="preserve">average </w:t>
      </w:r>
      <w:r w:rsidR="00BB5B9F">
        <w:rPr>
          <w:szCs w:val="22"/>
        </w:rPr>
        <w:t xml:space="preserve">between the minimum and maximum </w:t>
      </w:r>
      <w:r w:rsidR="00022B70">
        <w:rPr>
          <w:szCs w:val="22"/>
        </w:rPr>
        <w:t xml:space="preserve">costs listed in the </w:t>
      </w:r>
      <w:r w:rsidR="00BB5B9F">
        <w:rPr>
          <w:szCs w:val="22"/>
        </w:rPr>
        <w:t>cost estimate range for a particular itemized expense listed in the Catalog</w:t>
      </w:r>
      <w:r w:rsidR="00022B70">
        <w:rPr>
          <w:szCs w:val="22"/>
        </w:rPr>
        <w:t>,</w:t>
      </w:r>
      <w:r>
        <w:rPr>
          <w:rStyle w:val="FootnoteReference"/>
          <w:szCs w:val="22"/>
        </w:rPr>
        <w:footnoteReference w:id="22"/>
      </w:r>
      <w:r w:rsidR="0087240B">
        <w:rPr>
          <w:szCs w:val="22"/>
        </w:rPr>
        <w:t xml:space="preserve"> </w:t>
      </w:r>
      <w:r w:rsidR="00022B70">
        <w:rPr>
          <w:szCs w:val="22"/>
        </w:rPr>
        <w:t>rather than</w:t>
      </w:r>
      <w:r w:rsidR="0087240B">
        <w:rPr>
          <w:szCs w:val="22"/>
        </w:rPr>
        <w:t xml:space="preserve"> </w:t>
      </w:r>
      <w:r w:rsidR="00FC3250">
        <w:rPr>
          <w:szCs w:val="22"/>
        </w:rPr>
        <w:t>allowing applicants to choose an</w:t>
      </w:r>
      <w:r w:rsidR="00022B70">
        <w:rPr>
          <w:szCs w:val="22"/>
        </w:rPr>
        <w:t>y</w:t>
      </w:r>
      <w:r w:rsidR="00FC3250">
        <w:rPr>
          <w:szCs w:val="22"/>
        </w:rPr>
        <w:t xml:space="preserve"> amount within the </w:t>
      </w:r>
      <w:r w:rsidR="00E96727">
        <w:rPr>
          <w:szCs w:val="22"/>
        </w:rPr>
        <w:t xml:space="preserve">cost estimate </w:t>
      </w:r>
      <w:r w:rsidR="00FC3250">
        <w:rPr>
          <w:szCs w:val="22"/>
        </w:rPr>
        <w:t>range</w:t>
      </w:r>
      <w:r w:rsidR="00022B70">
        <w:rPr>
          <w:szCs w:val="22"/>
        </w:rPr>
        <w:t xml:space="preserve">. </w:t>
      </w:r>
      <w:r w:rsidR="00EC7D22">
        <w:rPr>
          <w:szCs w:val="22"/>
        </w:rPr>
        <w:t xml:space="preserve"> </w:t>
      </w:r>
      <w:r w:rsidR="00022B70">
        <w:rPr>
          <w:szCs w:val="22"/>
        </w:rPr>
        <w:t xml:space="preserve">We believe allowing applicants to select a cost within the range </w:t>
      </w:r>
      <w:r w:rsidR="00FC3250">
        <w:rPr>
          <w:szCs w:val="22"/>
        </w:rPr>
        <w:t xml:space="preserve">would inevitably lead to the selection of the maximum amount </w:t>
      </w:r>
      <w:r w:rsidR="00AF4BFE">
        <w:rPr>
          <w:szCs w:val="22"/>
        </w:rPr>
        <w:t>in the range</w:t>
      </w:r>
      <w:r w:rsidR="00022B70">
        <w:rPr>
          <w:szCs w:val="22"/>
        </w:rPr>
        <w:t xml:space="preserve"> and </w:t>
      </w:r>
      <w:r w:rsidR="00B33EC4">
        <w:rPr>
          <w:szCs w:val="22"/>
        </w:rPr>
        <w:t>could result in</w:t>
      </w:r>
      <w:r w:rsidR="00AF4BFE">
        <w:rPr>
          <w:szCs w:val="22"/>
        </w:rPr>
        <w:t xml:space="preserve"> </w:t>
      </w:r>
      <w:r w:rsidR="00FC3250">
        <w:rPr>
          <w:szCs w:val="22"/>
        </w:rPr>
        <w:t>a substantial overestimation of cost</w:t>
      </w:r>
      <w:r w:rsidR="00E96727">
        <w:rPr>
          <w:szCs w:val="22"/>
        </w:rPr>
        <w:t>s</w:t>
      </w:r>
      <w:r w:rsidR="00FC3250">
        <w:rPr>
          <w:szCs w:val="22"/>
        </w:rPr>
        <w:t xml:space="preserve"> upon which allocations are based</w:t>
      </w:r>
      <w:r w:rsidR="00022B70">
        <w:rPr>
          <w:szCs w:val="22"/>
        </w:rPr>
        <w:t>,</w:t>
      </w:r>
      <w:r w:rsidR="00FC3250">
        <w:rPr>
          <w:szCs w:val="22"/>
        </w:rPr>
        <w:t xml:space="preserve"> to the detriment of </w:t>
      </w:r>
      <w:r w:rsidR="00022B70">
        <w:rPr>
          <w:szCs w:val="22"/>
        </w:rPr>
        <w:t xml:space="preserve">the Reimbursement Program and </w:t>
      </w:r>
      <w:r w:rsidR="00FC3250">
        <w:rPr>
          <w:szCs w:val="22"/>
        </w:rPr>
        <w:t>other participants</w:t>
      </w:r>
      <w:r w:rsidR="00B33EC4">
        <w:rPr>
          <w:szCs w:val="22"/>
        </w:rPr>
        <w:t>.</w:t>
      </w:r>
      <w:r w:rsidR="00FC3250">
        <w:rPr>
          <w:szCs w:val="22"/>
        </w:rPr>
        <w:t xml:space="preserve">  By using the average cost estimate, we can mitigate this concern</w:t>
      </w:r>
      <w:r w:rsidR="00022B70">
        <w:rPr>
          <w:szCs w:val="22"/>
        </w:rPr>
        <w:t xml:space="preserve"> as well as reduce the administrative burden on applicants</w:t>
      </w:r>
      <w:r w:rsidR="00FC3250">
        <w:rPr>
          <w:szCs w:val="22"/>
        </w:rPr>
        <w:t>.</w:t>
      </w:r>
      <w:r w:rsidR="00AF4BFE">
        <w:rPr>
          <w:szCs w:val="22"/>
        </w:rPr>
        <w:t xml:space="preserve"> </w:t>
      </w:r>
      <w:r w:rsidR="00C342C7">
        <w:rPr>
          <w:szCs w:val="22"/>
        </w:rPr>
        <w:t xml:space="preserve"> </w:t>
      </w:r>
      <w:r w:rsidR="00D905B5">
        <w:rPr>
          <w:szCs w:val="22"/>
        </w:rPr>
        <w:t>However</w:t>
      </w:r>
      <w:r w:rsidR="00FC3250">
        <w:rPr>
          <w:szCs w:val="22"/>
        </w:rPr>
        <w:t>, i</w:t>
      </w:r>
      <w:r w:rsidRPr="006539ED">
        <w:rPr>
          <w:szCs w:val="22"/>
        </w:rPr>
        <w:t xml:space="preserve">f an applicant </w:t>
      </w:r>
      <w:r w:rsidR="00B832A8">
        <w:rPr>
          <w:szCs w:val="22"/>
        </w:rPr>
        <w:t>finds</w:t>
      </w:r>
      <w:r w:rsidRPr="006539ED">
        <w:rPr>
          <w:szCs w:val="22"/>
        </w:rPr>
        <w:t xml:space="preserve"> a Catalog cost estimate </w:t>
      </w:r>
      <w:r w:rsidR="00F95EA7">
        <w:rPr>
          <w:szCs w:val="22"/>
        </w:rPr>
        <w:t xml:space="preserve">average </w:t>
      </w:r>
      <w:r w:rsidRPr="006539ED">
        <w:rPr>
          <w:szCs w:val="22"/>
        </w:rPr>
        <w:t xml:space="preserve">does not fully account for its costs or a cost category is not identified in the Catalog, </w:t>
      </w:r>
      <w:r w:rsidR="00D905B5">
        <w:rPr>
          <w:szCs w:val="22"/>
        </w:rPr>
        <w:t xml:space="preserve">the </w:t>
      </w:r>
      <w:r w:rsidRPr="006539ED">
        <w:rPr>
          <w:szCs w:val="22"/>
        </w:rPr>
        <w:t>applicant</w:t>
      </w:r>
      <w:r w:rsidR="003D7591">
        <w:rPr>
          <w:szCs w:val="22"/>
        </w:rPr>
        <w:t>, in accordance with the Commission’s rules, can</w:t>
      </w:r>
      <w:r w:rsidRPr="006539ED" w:rsidR="005F3D0A">
        <w:rPr>
          <w:szCs w:val="22"/>
        </w:rPr>
        <w:t xml:space="preserve"> </w:t>
      </w:r>
      <w:r w:rsidR="00D905B5">
        <w:rPr>
          <w:szCs w:val="22"/>
        </w:rPr>
        <w:t xml:space="preserve">instead </w:t>
      </w:r>
      <w:r w:rsidRPr="006539ED">
        <w:rPr>
          <w:szCs w:val="22"/>
        </w:rPr>
        <w:t>provide its own individualized cost estimate.</w:t>
      </w:r>
      <w:r>
        <w:rPr>
          <w:rStyle w:val="FootnoteReference"/>
          <w:szCs w:val="22"/>
        </w:rPr>
        <w:footnoteReference w:id="23"/>
      </w:r>
      <w:r w:rsidRPr="006539ED">
        <w:rPr>
          <w:szCs w:val="22"/>
        </w:rPr>
        <w:t xml:space="preserve">  </w:t>
      </w:r>
      <w:r w:rsidR="00F95EA7">
        <w:rPr>
          <w:szCs w:val="22"/>
        </w:rPr>
        <w:t>A</w:t>
      </w:r>
      <w:r w:rsidRPr="006539ED">
        <w:rPr>
          <w:szCs w:val="22"/>
        </w:rPr>
        <w:t>pplicants provid</w:t>
      </w:r>
      <w:r w:rsidR="00F95EA7">
        <w:rPr>
          <w:szCs w:val="22"/>
        </w:rPr>
        <w:t>ing</w:t>
      </w:r>
      <w:r w:rsidRPr="006539ED">
        <w:rPr>
          <w:szCs w:val="22"/>
        </w:rPr>
        <w:t xml:space="preserve"> individualized cost estimates </w:t>
      </w:r>
      <w:r w:rsidR="00B40148">
        <w:rPr>
          <w:szCs w:val="22"/>
        </w:rPr>
        <w:t>would be required to</w:t>
      </w:r>
      <w:r w:rsidRPr="006539ED" w:rsidR="00B40148">
        <w:rPr>
          <w:szCs w:val="22"/>
        </w:rPr>
        <w:t xml:space="preserve"> </w:t>
      </w:r>
      <w:r w:rsidRPr="006539ED">
        <w:rPr>
          <w:szCs w:val="22"/>
        </w:rPr>
        <w:t>submit additional supporting documentation (e.g., vendor quotes) and certify the cost estimate is made in good faith</w:t>
      </w:r>
      <w:r w:rsidR="00463E17">
        <w:rPr>
          <w:szCs w:val="22"/>
        </w:rPr>
        <w:t>,</w:t>
      </w:r>
      <w:r w:rsidR="00734F60">
        <w:rPr>
          <w:szCs w:val="22"/>
        </w:rPr>
        <w:t xml:space="preserve"> as required by the </w:t>
      </w:r>
      <w:r w:rsidR="00734F60">
        <w:rPr>
          <w:szCs w:val="22"/>
        </w:rPr>
        <w:t>Commission’s rules</w:t>
      </w:r>
      <w:r w:rsidRPr="006539ED">
        <w:rPr>
          <w:szCs w:val="22"/>
        </w:rPr>
        <w:t>.</w:t>
      </w:r>
      <w:r>
        <w:rPr>
          <w:rStyle w:val="FootnoteReference"/>
          <w:szCs w:val="22"/>
        </w:rPr>
        <w:footnoteReference w:id="24"/>
      </w:r>
      <w:r w:rsidRPr="006539ED">
        <w:rPr>
          <w:szCs w:val="22"/>
        </w:rPr>
        <w:t xml:space="preserve">  </w:t>
      </w:r>
      <w:r w:rsidR="00A60648">
        <w:rPr>
          <w:szCs w:val="22"/>
        </w:rPr>
        <w:t xml:space="preserve">Our proposed </w:t>
      </w:r>
      <w:r w:rsidR="00D905B5">
        <w:rPr>
          <w:szCs w:val="22"/>
        </w:rPr>
        <w:t>approach</w:t>
      </w:r>
      <w:r w:rsidR="00463E17">
        <w:rPr>
          <w:szCs w:val="22"/>
        </w:rPr>
        <w:t xml:space="preserve"> </w:t>
      </w:r>
      <w:r w:rsidR="00734F60">
        <w:rPr>
          <w:szCs w:val="22"/>
        </w:rPr>
        <w:t xml:space="preserve">to use the average cost estimate from the Catalog </w:t>
      </w:r>
      <w:r w:rsidR="00D905B5">
        <w:rPr>
          <w:szCs w:val="22"/>
        </w:rPr>
        <w:t xml:space="preserve">balances </w:t>
      </w:r>
      <w:r w:rsidR="00957CAC">
        <w:rPr>
          <w:szCs w:val="22"/>
        </w:rPr>
        <w:t>the Commission’s</w:t>
      </w:r>
      <w:r w:rsidR="00D905B5">
        <w:rPr>
          <w:szCs w:val="22"/>
        </w:rPr>
        <w:t xml:space="preserve"> goals of </w:t>
      </w:r>
      <w:r w:rsidR="00957CAC">
        <w:rPr>
          <w:szCs w:val="22"/>
        </w:rPr>
        <w:t>protecting</w:t>
      </w:r>
      <w:r w:rsidR="00D905B5">
        <w:rPr>
          <w:szCs w:val="22"/>
        </w:rPr>
        <w:t xml:space="preserve"> </w:t>
      </w:r>
      <w:r w:rsidR="00957CAC">
        <w:rPr>
          <w:szCs w:val="22"/>
        </w:rPr>
        <w:t xml:space="preserve">against </w:t>
      </w:r>
      <w:r w:rsidR="00D905B5">
        <w:rPr>
          <w:szCs w:val="22"/>
        </w:rPr>
        <w:t>waste, fraud, and abuse while facilitating</w:t>
      </w:r>
      <w:r w:rsidR="00957CAC">
        <w:rPr>
          <w:szCs w:val="22"/>
        </w:rPr>
        <w:t xml:space="preserve"> the production of estimates of costs reasonably incurred by applicants.</w:t>
      </w:r>
      <w:r>
        <w:rPr>
          <w:rStyle w:val="FootnoteReference"/>
          <w:szCs w:val="22"/>
        </w:rPr>
        <w:footnoteReference w:id="25"/>
      </w:r>
      <w:r w:rsidR="00957CAC">
        <w:rPr>
          <w:szCs w:val="22"/>
        </w:rPr>
        <w:t xml:space="preserve"> </w:t>
      </w:r>
      <w:r w:rsidR="00A60648">
        <w:rPr>
          <w:szCs w:val="22"/>
        </w:rPr>
        <w:t xml:space="preserve"> </w:t>
      </w:r>
      <w:r w:rsidR="003E4199">
        <w:rPr>
          <w:szCs w:val="22"/>
        </w:rPr>
        <w:t>We seek comment on these proposals.</w:t>
      </w:r>
    </w:p>
    <w:p w:rsidR="00FC3250" w:rsidRPr="006539ED" w:rsidP="00C603D8" w14:paraId="67886CA4" w14:textId="4058B1C2">
      <w:pPr>
        <w:widowControl/>
        <w:spacing w:after="120"/>
        <w:ind w:firstLine="720"/>
        <w:rPr>
          <w:szCs w:val="22"/>
        </w:rPr>
      </w:pPr>
      <w:r>
        <w:rPr>
          <w:szCs w:val="22"/>
        </w:rPr>
        <w:t>W</w:t>
      </w:r>
      <w:r>
        <w:rPr>
          <w:szCs w:val="22"/>
        </w:rPr>
        <w:t xml:space="preserve">e </w:t>
      </w:r>
      <w:r w:rsidR="003E4199">
        <w:rPr>
          <w:szCs w:val="22"/>
        </w:rPr>
        <w:t xml:space="preserve">further </w:t>
      </w:r>
      <w:r>
        <w:rPr>
          <w:szCs w:val="22"/>
        </w:rPr>
        <w:t xml:space="preserve">propose </w:t>
      </w:r>
      <w:r w:rsidR="00C342C7">
        <w:rPr>
          <w:szCs w:val="22"/>
        </w:rPr>
        <w:t xml:space="preserve">requiring </w:t>
      </w:r>
      <w:r>
        <w:rPr>
          <w:szCs w:val="22"/>
        </w:rPr>
        <w:t xml:space="preserve">applicants </w:t>
      </w:r>
      <w:r w:rsidR="00C342C7">
        <w:rPr>
          <w:szCs w:val="22"/>
        </w:rPr>
        <w:t xml:space="preserve">to </w:t>
      </w:r>
      <w:r>
        <w:rPr>
          <w:szCs w:val="22"/>
        </w:rPr>
        <w:t>identify in their application</w:t>
      </w:r>
      <w:r w:rsidR="00AF4BFE">
        <w:rPr>
          <w:szCs w:val="22"/>
        </w:rPr>
        <w:t xml:space="preserve"> </w:t>
      </w:r>
      <w:r w:rsidR="00C342C7">
        <w:rPr>
          <w:szCs w:val="22"/>
        </w:rPr>
        <w:t xml:space="preserve">for </w:t>
      </w:r>
      <w:r w:rsidR="00C05494">
        <w:rPr>
          <w:szCs w:val="22"/>
        </w:rPr>
        <w:t xml:space="preserve">each </w:t>
      </w:r>
      <w:r>
        <w:rPr>
          <w:szCs w:val="22"/>
        </w:rPr>
        <w:t>location site</w:t>
      </w:r>
      <w:r w:rsidR="00C342C7">
        <w:rPr>
          <w:szCs w:val="22"/>
        </w:rPr>
        <w:t>:</w:t>
      </w:r>
      <w:r>
        <w:rPr>
          <w:szCs w:val="22"/>
        </w:rPr>
        <w:t xml:space="preserve"> (1) where covered communications equipment or services are located </w:t>
      </w:r>
      <w:r w:rsidR="00621744">
        <w:rPr>
          <w:szCs w:val="22"/>
        </w:rPr>
        <w:t xml:space="preserve">(e.g., </w:t>
      </w:r>
      <w:r w:rsidR="00520C47">
        <w:rPr>
          <w:szCs w:val="22"/>
        </w:rPr>
        <w:t xml:space="preserve">address, </w:t>
      </w:r>
      <w:r w:rsidR="00621744">
        <w:rPr>
          <w:szCs w:val="22"/>
        </w:rPr>
        <w:t>longitude and latitude</w:t>
      </w:r>
      <w:r w:rsidR="00520C47">
        <w:rPr>
          <w:szCs w:val="22"/>
        </w:rPr>
        <w:t>, etc.</w:t>
      </w:r>
      <w:r w:rsidR="00621744">
        <w:rPr>
          <w:szCs w:val="22"/>
        </w:rPr>
        <w:t xml:space="preserve">) </w:t>
      </w:r>
      <w:r>
        <w:rPr>
          <w:szCs w:val="22"/>
        </w:rPr>
        <w:t>and documentation supporting the acquisition/existence of such covered equipment or services; and (2) the itemized cost estimates</w:t>
      </w:r>
      <w:r w:rsidR="00EC7D22">
        <w:rPr>
          <w:szCs w:val="22"/>
        </w:rPr>
        <w:t>, taken from the Catalog where applicable,</w:t>
      </w:r>
      <w:r>
        <w:rPr>
          <w:szCs w:val="22"/>
        </w:rPr>
        <w:t xml:space="preserve"> </w:t>
      </w:r>
      <w:r w:rsidR="00EC7D22">
        <w:rPr>
          <w:szCs w:val="22"/>
        </w:rPr>
        <w:t xml:space="preserve">that are </w:t>
      </w:r>
      <w:r>
        <w:rPr>
          <w:szCs w:val="22"/>
        </w:rPr>
        <w:t xml:space="preserve">associated with the removal, replacement, and disposal of covered equipment or services at each site.  We also </w:t>
      </w:r>
      <w:r w:rsidR="00C342C7">
        <w:rPr>
          <w:szCs w:val="22"/>
        </w:rPr>
        <w:t xml:space="preserve">propose </w:t>
      </w:r>
      <w:r>
        <w:rPr>
          <w:szCs w:val="22"/>
        </w:rPr>
        <w:t>allow</w:t>
      </w:r>
      <w:r w:rsidR="00C342C7">
        <w:rPr>
          <w:szCs w:val="22"/>
        </w:rPr>
        <w:t>ing</w:t>
      </w:r>
      <w:r>
        <w:rPr>
          <w:szCs w:val="22"/>
        </w:rPr>
        <w:t xml:space="preserve"> </w:t>
      </w:r>
      <w:r w:rsidR="00C342C7">
        <w:rPr>
          <w:szCs w:val="22"/>
        </w:rPr>
        <w:t xml:space="preserve">applicants to report in their applications non-site specific </w:t>
      </w:r>
      <w:r w:rsidR="00C05494">
        <w:rPr>
          <w:szCs w:val="22"/>
        </w:rPr>
        <w:t>cost estimates</w:t>
      </w:r>
      <w:r w:rsidR="00C342C7">
        <w:rPr>
          <w:szCs w:val="22"/>
        </w:rPr>
        <w:t>,</w:t>
      </w:r>
      <w:r w:rsidR="00DA7B6F">
        <w:rPr>
          <w:szCs w:val="22"/>
        </w:rPr>
        <w:t xml:space="preserve"> </w:t>
      </w:r>
      <w:r w:rsidR="00A60648">
        <w:rPr>
          <w:szCs w:val="22"/>
        </w:rPr>
        <w:t>that is,</w:t>
      </w:r>
      <w:r w:rsidR="00C342C7">
        <w:rPr>
          <w:szCs w:val="22"/>
        </w:rPr>
        <w:t xml:space="preserve"> network-wide costs that apply to several site locations such as </w:t>
      </w:r>
      <w:r w:rsidR="00C05494">
        <w:rPr>
          <w:szCs w:val="22"/>
        </w:rPr>
        <w:t>disposal costs or software upgrades.</w:t>
      </w:r>
      <w:r w:rsidR="002840DD">
        <w:rPr>
          <w:szCs w:val="22"/>
        </w:rPr>
        <w:t xml:space="preserve">  </w:t>
      </w:r>
      <w:r w:rsidR="00F95EA7">
        <w:rPr>
          <w:szCs w:val="22"/>
        </w:rPr>
        <w:t>To facilitate application preparation and ease the filing burden on applicants, we</w:t>
      </w:r>
      <w:r w:rsidR="000B2639">
        <w:rPr>
          <w:szCs w:val="22"/>
        </w:rPr>
        <w:t xml:space="preserve"> </w:t>
      </w:r>
      <w:r w:rsidR="00354B80">
        <w:rPr>
          <w:szCs w:val="22"/>
        </w:rPr>
        <w:t>will</w:t>
      </w:r>
      <w:r w:rsidR="000B2639">
        <w:rPr>
          <w:szCs w:val="22"/>
        </w:rPr>
        <w:t xml:space="preserve"> </w:t>
      </w:r>
      <w:r w:rsidR="00F95EA7">
        <w:rPr>
          <w:szCs w:val="22"/>
        </w:rPr>
        <w:t>evaluate the use of batch uploads to allow applicants to provide and generate site-specific information in the application.</w:t>
      </w:r>
      <w:r w:rsidR="003E4199">
        <w:rPr>
          <w:szCs w:val="22"/>
        </w:rPr>
        <w:t xml:space="preserve">  We seek comment on these proposals.</w:t>
      </w:r>
    </w:p>
    <w:p w:rsidR="00C603D8" w:rsidRPr="00C96D76" w:rsidP="00C603D8" w14:paraId="60138D03" w14:textId="094EED76">
      <w:pPr>
        <w:widowControl/>
        <w:autoSpaceDE w:val="0"/>
        <w:autoSpaceDN w:val="0"/>
        <w:adjustRightInd w:val="0"/>
        <w:spacing w:after="120"/>
        <w:ind w:firstLine="720"/>
        <w:rPr>
          <w:szCs w:val="22"/>
        </w:rPr>
      </w:pPr>
      <w:r>
        <w:rPr>
          <w:szCs w:val="22"/>
        </w:rPr>
        <w:t>A</w:t>
      </w:r>
      <w:r w:rsidRPr="006539ED">
        <w:rPr>
          <w:szCs w:val="22"/>
        </w:rPr>
        <w:t xml:space="preserve">pplicants </w:t>
      </w:r>
      <w:r w:rsidR="005E2870">
        <w:rPr>
          <w:szCs w:val="22"/>
        </w:rPr>
        <w:t>are</w:t>
      </w:r>
      <w:r w:rsidRPr="006539ED">
        <w:rPr>
          <w:szCs w:val="22"/>
        </w:rPr>
        <w:t xml:space="preserve"> required </w:t>
      </w:r>
      <w:r w:rsidR="00C05494">
        <w:rPr>
          <w:szCs w:val="22"/>
        </w:rPr>
        <w:t xml:space="preserve">to provide </w:t>
      </w:r>
      <w:r w:rsidRPr="006539ED">
        <w:rPr>
          <w:szCs w:val="22"/>
        </w:rPr>
        <w:t xml:space="preserve">certifications </w:t>
      </w:r>
      <w:r w:rsidR="00471882">
        <w:rPr>
          <w:szCs w:val="22"/>
        </w:rPr>
        <w:t>pursuant to</w:t>
      </w:r>
      <w:r w:rsidRPr="006539ED">
        <w:rPr>
          <w:szCs w:val="22"/>
        </w:rPr>
        <w:t xml:space="preserve"> section 4(d)(4) of the Secure Networks Act</w:t>
      </w:r>
      <w:r w:rsidR="00EE232E">
        <w:rPr>
          <w:szCs w:val="22"/>
        </w:rPr>
        <w:t xml:space="preserve"> and </w:t>
      </w:r>
      <w:r w:rsidR="00957470">
        <w:rPr>
          <w:szCs w:val="22"/>
        </w:rPr>
        <w:t xml:space="preserve">section </w:t>
      </w:r>
      <w:r w:rsidR="00EE232E">
        <w:rPr>
          <w:szCs w:val="22"/>
        </w:rPr>
        <w:t>1.50004(c) of the Commission’s rules</w:t>
      </w:r>
      <w:r w:rsidRPr="006539ED">
        <w:rPr>
          <w:szCs w:val="22"/>
        </w:rPr>
        <w:t xml:space="preserve">, </w:t>
      </w:r>
      <w:r>
        <w:rPr>
          <w:szCs w:val="22"/>
        </w:rPr>
        <w:t xml:space="preserve">and </w:t>
      </w:r>
      <w:r w:rsidRPr="006539ED">
        <w:rPr>
          <w:szCs w:val="22"/>
        </w:rPr>
        <w:t>a</w:t>
      </w:r>
      <w:r w:rsidR="005D316F">
        <w:rPr>
          <w:szCs w:val="22"/>
        </w:rPr>
        <w:t xml:space="preserve"> plan and</w:t>
      </w:r>
      <w:r w:rsidRPr="006539ED">
        <w:rPr>
          <w:szCs w:val="22"/>
        </w:rPr>
        <w:t xml:space="preserve"> specific timeline for the removal, replacement, and disposal of the covered communications equipment or services.</w:t>
      </w:r>
      <w:r>
        <w:rPr>
          <w:rStyle w:val="FootnoteReference"/>
          <w:rFonts w:eastAsiaTheme="minorEastAsia"/>
          <w:szCs w:val="22"/>
        </w:rPr>
        <w:footnoteReference w:id="26"/>
      </w:r>
      <w:r w:rsidRPr="006539ED">
        <w:rPr>
          <w:szCs w:val="22"/>
        </w:rPr>
        <w:t xml:space="preserve"> </w:t>
      </w:r>
      <w:r>
        <w:rPr>
          <w:szCs w:val="22"/>
        </w:rPr>
        <w:t xml:space="preserve"> </w:t>
      </w:r>
      <w:r w:rsidRPr="006539ED">
        <w:rPr>
          <w:szCs w:val="22"/>
        </w:rPr>
        <w:t xml:space="preserve">Applicants </w:t>
      </w:r>
      <w:r>
        <w:rPr>
          <w:szCs w:val="22"/>
        </w:rPr>
        <w:t>are also</w:t>
      </w:r>
      <w:r w:rsidRPr="006539ED">
        <w:rPr>
          <w:szCs w:val="22"/>
        </w:rPr>
        <w:t xml:space="preserve"> required</w:t>
      </w:r>
      <w:r w:rsidR="00734F60">
        <w:rPr>
          <w:szCs w:val="22"/>
        </w:rPr>
        <w:t xml:space="preserve"> by the Commission’s rules</w:t>
      </w:r>
      <w:r w:rsidRPr="006539ED">
        <w:rPr>
          <w:szCs w:val="22"/>
        </w:rPr>
        <w:t xml:space="preserve"> to certify in good faith that</w:t>
      </w:r>
      <w:r>
        <w:rPr>
          <w:szCs w:val="22"/>
        </w:rPr>
        <w:t>:</w:t>
      </w:r>
      <w:r w:rsidRPr="006539ED">
        <w:rPr>
          <w:szCs w:val="22"/>
        </w:rPr>
        <w:t xml:space="preserve"> </w:t>
      </w:r>
      <w:r>
        <w:rPr>
          <w:szCs w:val="22"/>
        </w:rPr>
        <w:t>“</w:t>
      </w:r>
      <w:r w:rsidRPr="006539ED">
        <w:rPr>
          <w:rFonts w:eastAsia="TimesNewRomanPSMT"/>
          <w:snapToGrid/>
          <w:color w:val="010101"/>
          <w:kern w:val="0"/>
          <w:szCs w:val="22"/>
        </w:rPr>
        <w:t>(A) it will reasonably incur the estimated costs claimed as eligible for reimbursement;</w:t>
      </w:r>
      <w:r>
        <w:rPr>
          <w:rFonts w:eastAsia="TimesNewRomanPSMT"/>
          <w:snapToGrid/>
          <w:color w:val="010101"/>
          <w:kern w:val="0"/>
          <w:szCs w:val="22"/>
        </w:rPr>
        <w:t xml:space="preserve"> </w:t>
      </w:r>
      <w:r w:rsidRPr="006539ED">
        <w:rPr>
          <w:rFonts w:eastAsia="TimesNewRomanPSMT"/>
          <w:snapToGrid/>
          <w:color w:val="010101"/>
          <w:kern w:val="0"/>
          <w:szCs w:val="22"/>
        </w:rPr>
        <w:t xml:space="preserve">(B) it will use all money received from the </w:t>
      </w:r>
      <w:r w:rsidRPr="006539ED">
        <w:rPr>
          <w:rFonts w:eastAsia="TimesNewRomanPSMT"/>
          <w:snapToGrid/>
          <w:color w:val="000000"/>
          <w:kern w:val="0"/>
          <w:szCs w:val="22"/>
        </w:rPr>
        <w:t xml:space="preserve">Reimbursement Program </w:t>
      </w:r>
      <w:r w:rsidRPr="006539ED">
        <w:rPr>
          <w:rFonts w:eastAsia="TimesNewRomanPSMT"/>
          <w:snapToGrid/>
          <w:color w:val="010101"/>
          <w:kern w:val="0"/>
          <w:szCs w:val="22"/>
        </w:rPr>
        <w:t>only for expenses eligible for</w:t>
      </w:r>
      <w:r>
        <w:rPr>
          <w:rFonts w:eastAsia="TimesNewRomanPSMT"/>
          <w:snapToGrid/>
          <w:color w:val="010101"/>
          <w:kern w:val="0"/>
          <w:szCs w:val="22"/>
        </w:rPr>
        <w:t xml:space="preserve"> </w:t>
      </w:r>
      <w:r w:rsidRPr="006539ED">
        <w:rPr>
          <w:rFonts w:eastAsia="TimesNewRomanPSMT"/>
          <w:snapToGrid/>
          <w:color w:val="010101"/>
          <w:kern w:val="0"/>
          <w:szCs w:val="22"/>
        </w:rPr>
        <w:t>reimbursement;</w:t>
      </w:r>
      <w:r>
        <w:rPr>
          <w:rFonts w:eastAsia="TimesNewRomanPSMT"/>
          <w:snapToGrid/>
          <w:color w:val="010101"/>
          <w:kern w:val="0"/>
          <w:szCs w:val="22"/>
        </w:rPr>
        <w:t xml:space="preserve"> </w:t>
      </w:r>
      <w:r w:rsidRPr="006539ED">
        <w:rPr>
          <w:rFonts w:eastAsia="TimesNewRomanPSMT"/>
          <w:snapToGrid/>
          <w:color w:val="010101"/>
          <w:kern w:val="0"/>
          <w:szCs w:val="22"/>
        </w:rPr>
        <w:t>(C) it will comply with all policies and procedures relating to allocations, draw downs, payments,</w:t>
      </w:r>
      <w:r>
        <w:rPr>
          <w:rFonts w:eastAsia="TimesNewRomanPSMT"/>
          <w:snapToGrid/>
          <w:color w:val="010101"/>
          <w:kern w:val="0"/>
          <w:szCs w:val="22"/>
        </w:rPr>
        <w:t xml:space="preserve"> </w:t>
      </w:r>
      <w:r w:rsidRPr="006539ED">
        <w:rPr>
          <w:rFonts w:eastAsia="TimesNewRomanPSMT"/>
          <w:snapToGrid/>
          <w:color w:val="010101"/>
          <w:kern w:val="0"/>
          <w:szCs w:val="22"/>
        </w:rPr>
        <w:t xml:space="preserve">obligations, and expenditures of money from the </w:t>
      </w:r>
      <w:r w:rsidRPr="006539ED">
        <w:rPr>
          <w:rFonts w:eastAsia="TimesNewRomanPSMT"/>
          <w:snapToGrid/>
          <w:color w:val="000000"/>
          <w:kern w:val="0"/>
          <w:szCs w:val="22"/>
        </w:rPr>
        <w:t>Reimbursement Program</w:t>
      </w:r>
      <w:r w:rsidRPr="006539ED">
        <w:rPr>
          <w:rFonts w:eastAsia="TimesNewRomanPSMT"/>
          <w:snapToGrid/>
          <w:color w:val="010101"/>
          <w:kern w:val="0"/>
          <w:szCs w:val="22"/>
        </w:rPr>
        <w:t>;</w:t>
      </w:r>
      <w:r>
        <w:rPr>
          <w:rFonts w:eastAsia="TimesNewRomanPSMT"/>
          <w:snapToGrid/>
          <w:color w:val="010101"/>
          <w:kern w:val="0"/>
          <w:szCs w:val="22"/>
        </w:rPr>
        <w:t xml:space="preserve"> </w:t>
      </w:r>
      <w:r w:rsidRPr="006539ED">
        <w:rPr>
          <w:rFonts w:eastAsia="TimesNewRomanPSMT"/>
          <w:snapToGrid/>
          <w:color w:val="010101"/>
          <w:kern w:val="0"/>
          <w:szCs w:val="22"/>
        </w:rPr>
        <w:t>(D) it will maintain detailed records, including receipts, of all costs eligible for reimbursement actually</w:t>
      </w:r>
      <w:r>
        <w:rPr>
          <w:rFonts w:eastAsia="TimesNewRomanPSMT"/>
          <w:snapToGrid/>
          <w:color w:val="010101"/>
          <w:kern w:val="0"/>
          <w:szCs w:val="22"/>
        </w:rPr>
        <w:t xml:space="preserve"> </w:t>
      </w:r>
      <w:r w:rsidRPr="006539ED">
        <w:rPr>
          <w:rFonts w:eastAsia="TimesNewRomanPSMT"/>
          <w:snapToGrid/>
          <w:color w:val="010101"/>
          <w:kern w:val="0"/>
          <w:szCs w:val="22"/>
        </w:rPr>
        <w:t>incurred for a period of 10 years; and</w:t>
      </w:r>
      <w:r>
        <w:rPr>
          <w:rFonts w:eastAsia="TimesNewRomanPSMT"/>
          <w:snapToGrid/>
          <w:color w:val="010101"/>
          <w:kern w:val="0"/>
          <w:szCs w:val="22"/>
        </w:rPr>
        <w:t xml:space="preserve"> </w:t>
      </w:r>
      <w:r w:rsidRPr="006539ED">
        <w:rPr>
          <w:rFonts w:eastAsia="TimesNewRomanPSMT"/>
          <w:snapToGrid/>
          <w:color w:val="010101"/>
          <w:kern w:val="0"/>
          <w:szCs w:val="22"/>
        </w:rPr>
        <w:t>(E) it will file all required documentation for its expenses.</w:t>
      </w:r>
      <w:r>
        <w:rPr>
          <w:rFonts w:eastAsia="TimesNewRomanPSMT"/>
          <w:snapToGrid/>
          <w:color w:val="010101"/>
          <w:kern w:val="0"/>
          <w:szCs w:val="22"/>
        </w:rPr>
        <w:t>”</w:t>
      </w:r>
      <w:r>
        <w:rPr>
          <w:rStyle w:val="FootnoteReference"/>
          <w:rFonts w:eastAsia="TimesNewRomanPSMT"/>
          <w:snapToGrid/>
          <w:kern w:val="0"/>
          <w:szCs w:val="22"/>
        </w:rPr>
        <w:footnoteReference w:id="27"/>
      </w:r>
      <w:r w:rsidRPr="006539ED">
        <w:rPr>
          <w:szCs w:val="22"/>
        </w:rPr>
        <w:t xml:space="preserve"> </w:t>
      </w:r>
      <w:r w:rsidR="00D71D7B">
        <w:rPr>
          <w:szCs w:val="22"/>
        </w:rPr>
        <w:t xml:space="preserve">  </w:t>
      </w:r>
    </w:p>
    <w:p w:rsidR="00C603D8" w:rsidRPr="006539ED" w:rsidP="00C603D8" w14:paraId="37DB2C3A" w14:textId="2ACA5284">
      <w:pPr>
        <w:spacing w:after="120"/>
        <w:ind w:firstLine="720"/>
        <w:rPr>
          <w:szCs w:val="22"/>
        </w:rPr>
      </w:pPr>
      <w:r>
        <w:rPr>
          <w:szCs w:val="22"/>
        </w:rPr>
        <w:t xml:space="preserve">We propose </w:t>
      </w:r>
      <w:r w:rsidR="000B2639">
        <w:rPr>
          <w:szCs w:val="22"/>
        </w:rPr>
        <w:t xml:space="preserve">to </w:t>
      </w:r>
      <w:r>
        <w:rPr>
          <w:szCs w:val="22"/>
        </w:rPr>
        <w:t>requir</w:t>
      </w:r>
      <w:r w:rsidR="000B2639">
        <w:rPr>
          <w:szCs w:val="22"/>
        </w:rPr>
        <w:t xml:space="preserve">e </w:t>
      </w:r>
      <w:r>
        <w:rPr>
          <w:szCs w:val="22"/>
        </w:rPr>
        <w:t>a</w:t>
      </w:r>
      <w:r w:rsidRPr="006539ED">
        <w:rPr>
          <w:szCs w:val="22"/>
        </w:rPr>
        <w:t xml:space="preserve">pplicants </w:t>
      </w:r>
      <w:r w:rsidR="00C05494">
        <w:rPr>
          <w:szCs w:val="22"/>
        </w:rPr>
        <w:t>to</w:t>
      </w:r>
      <w:r w:rsidRPr="006539ED">
        <w:rPr>
          <w:szCs w:val="22"/>
        </w:rPr>
        <w:t xml:space="preserve"> obtain</w:t>
      </w:r>
      <w:r w:rsidR="005D7873">
        <w:rPr>
          <w:szCs w:val="22"/>
        </w:rPr>
        <w:t xml:space="preserve"> or utilize</w:t>
      </w:r>
      <w:r w:rsidRPr="006539ED">
        <w:rPr>
          <w:szCs w:val="22"/>
        </w:rPr>
        <w:t xml:space="preserve"> an</w:t>
      </w:r>
      <w:r w:rsidR="005D7873">
        <w:rPr>
          <w:szCs w:val="22"/>
        </w:rPr>
        <w:t xml:space="preserve"> </w:t>
      </w:r>
      <w:r w:rsidRPr="006539ED">
        <w:rPr>
          <w:szCs w:val="22"/>
        </w:rPr>
        <w:t>FCC Registration Number (FRN)</w:t>
      </w:r>
      <w:r w:rsidR="00C05494">
        <w:rPr>
          <w:szCs w:val="22"/>
        </w:rPr>
        <w:t xml:space="preserve"> issued by the </w:t>
      </w:r>
      <w:r w:rsidRPr="006539ED" w:rsidR="00C05494">
        <w:rPr>
          <w:rFonts w:eastAsia="TimesNewRomanPSMT"/>
          <w:snapToGrid/>
          <w:kern w:val="0"/>
          <w:szCs w:val="22"/>
        </w:rPr>
        <w:t>Commission</w:t>
      </w:r>
      <w:r w:rsidRPr="006539ED" w:rsidR="00C05494">
        <w:rPr>
          <w:szCs w:val="22"/>
        </w:rPr>
        <w:t xml:space="preserve"> Registration System (CORES)</w:t>
      </w:r>
      <w:r w:rsidR="00C05494">
        <w:rPr>
          <w:szCs w:val="22"/>
        </w:rPr>
        <w:t xml:space="preserve"> to access the online filing portal to file a Reimbursement Program application</w:t>
      </w:r>
      <w:r w:rsidRPr="006539ED">
        <w:rPr>
          <w:szCs w:val="22"/>
        </w:rPr>
        <w:t>.</w:t>
      </w:r>
      <w:r>
        <w:rPr>
          <w:rStyle w:val="FootnoteReference"/>
          <w:szCs w:val="22"/>
        </w:rPr>
        <w:footnoteReference w:id="28"/>
      </w:r>
      <w:r w:rsidRPr="006539ED">
        <w:rPr>
          <w:szCs w:val="22"/>
        </w:rPr>
        <w:t xml:space="preserve"> </w:t>
      </w:r>
      <w:r>
        <w:rPr>
          <w:szCs w:val="22"/>
        </w:rPr>
        <w:t xml:space="preserve"> </w:t>
      </w:r>
      <w:r>
        <w:rPr>
          <w:szCs w:val="22"/>
        </w:rPr>
        <w:t xml:space="preserve">An </w:t>
      </w:r>
      <w:r w:rsidR="00A42F81">
        <w:rPr>
          <w:szCs w:val="22"/>
        </w:rPr>
        <w:t xml:space="preserve">FRN </w:t>
      </w:r>
      <w:r>
        <w:rPr>
          <w:szCs w:val="22"/>
        </w:rPr>
        <w:t>is an identifying number that is assigned to e</w:t>
      </w:r>
      <w:r w:rsidRPr="00A42F81" w:rsidR="00A42F81">
        <w:rPr>
          <w:szCs w:val="22"/>
        </w:rPr>
        <w:t>ntities doing business with the Commission</w:t>
      </w:r>
      <w:r w:rsidR="00A42F81">
        <w:rPr>
          <w:szCs w:val="22"/>
        </w:rPr>
        <w:t>.</w:t>
      </w:r>
      <w:r>
        <w:rPr>
          <w:rStyle w:val="FootnoteReference"/>
          <w:szCs w:val="22"/>
        </w:rPr>
        <w:footnoteReference w:id="29"/>
      </w:r>
      <w:r w:rsidR="00A42F81">
        <w:rPr>
          <w:szCs w:val="22"/>
        </w:rPr>
        <w:t xml:space="preserve">  </w:t>
      </w:r>
      <w:r w:rsidR="00C05494">
        <w:rPr>
          <w:szCs w:val="22"/>
        </w:rPr>
        <w:t xml:space="preserve">We also </w:t>
      </w:r>
      <w:r w:rsidR="00FC0C71">
        <w:rPr>
          <w:szCs w:val="22"/>
        </w:rPr>
        <w:t xml:space="preserve">propose </w:t>
      </w:r>
      <w:r w:rsidR="00C05494">
        <w:rPr>
          <w:szCs w:val="22"/>
        </w:rPr>
        <w:t>to require</w:t>
      </w:r>
      <w:r>
        <w:rPr>
          <w:szCs w:val="22"/>
        </w:rPr>
        <w:t xml:space="preserve"> a</w:t>
      </w:r>
      <w:r w:rsidRPr="006539ED">
        <w:rPr>
          <w:szCs w:val="22"/>
        </w:rPr>
        <w:t xml:space="preserve">pplicants </w:t>
      </w:r>
      <w:r w:rsidR="00C05494">
        <w:rPr>
          <w:szCs w:val="22"/>
        </w:rPr>
        <w:t>to</w:t>
      </w:r>
      <w:r w:rsidRPr="006539ED">
        <w:rPr>
          <w:szCs w:val="22"/>
        </w:rPr>
        <w:t xml:space="preserve"> register with the System for Award Management (SAM)</w:t>
      </w:r>
      <w:r w:rsidR="00C05494">
        <w:rPr>
          <w:szCs w:val="22"/>
        </w:rPr>
        <w:t xml:space="preserve"> and provide the SAM </w:t>
      </w:r>
      <w:r w:rsidRPr="005C0E13" w:rsidR="005C0E13">
        <w:rPr>
          <w:szCs w:val="22"/>
        </w:rPr>
        <w:t xml:space="preserve">Commercial and Government Entity (CAGE) Code </w:t>
      </w:r>
      <w:r w:rsidR="00C05494">
        <w:rPr>
          <w:szCs w:val="22"/>
        </w:rPr>
        <w:t xml:space="preserve">in </w:t>
      </w:r>
      <w:r w:rsidR="005C0E13">
        <w:rPr>
          <w:szCs w:val="22"/>
        </w:rPr>
        <w:t>their</w:t>
      </w:r>
      <w:r w:rsidR="00C05494">
        <w:rPr>
          <w:szCs w:val="22"/>
        </w:rPr>
        <w:t xml:space="preserve"> application</w:t>
      </w:r>
      <w:r w:rsidR="005C0E13">
        <w:rPr>
          <w:szCs w:val="22"/>
        </w:rPr>
        <w:t>s</w:t>
      </w:r>
      <w:r w:rsidRPr="006539ED">
        <w:rPr>
          <w:spacing w:val="-2"/>
          <w:szCs w:val="22"/>
        </w:rPr>
        <w:t>.</w:t>
      </w:r>
      <w:r>
        <w:rPr>
          <w:rStyle w:val="FootnoteReference"/>
          <w:spacing w:val="-2"/>
          <w:szCs w:val="22"/>
        </w:rPr>
        <w:footnoteReference w:id="30"/>
      </w:r>
      <w:r w:rsidRPr="006539ED">
        <w:rPr>
          <w:spacing w:val="-2"/>
          <w:szCs w:val="22"/>
        </w:rPr>
        <w:t xml:space="preserve">  SAM is</w:t>
      </w:r>
      <w:r w:rsidRPr="006539ED">
        <w:rPr>
          <w:szCs w:val="22"/>
        </w:rPr>
        <w:t xml:space="preserve"> a government-wide application that collects, validates, stores, and disseminates business information about the federal government’s contracting partners in support of federal awards, grants, and electronic payment processes.</w:t>
      </w:r>
      <w:r>
        <w:rPr>
          <w:rStyle w:val="FootnoteReference"/>
          <w:szCs w:val="22"/>
        </w:rPr>
        <w:footnoteReference w:id="31"/>
      </w:r>
      <w:r w:rsidRPr="006539ED">
        <w:rPr>
          <w:szCs w:val="22"/>
        </w:rPr>
        <w:t xml:space="preserve">  </w:t>
      </w:r>
      <w:r w:rsidRPr="00B94D11" w:rsidR="00B94D11">
        <w:rPr>
          <w:szCs w:val="22"/>
        </w:rPr>
        <w:t xml:space="preserve">Registration in the </w:t>
      </w:r>
      <w:r w:rsidR="00B94D11">
        <w:rPr>
          <w:szCs w:val="22"/>
        </w:rPr>
        <w:t>SAM</w:t>
      </w:r>
      <w:r w:rsidRPr="00B94D11" w:rsidR="00B94D11">
        <w:rPr>
          <w:szCs w:val="22"/>
        </w:rPr>
        <w:t xml:space="preserve"> provides the </w:t>
      </w:r>
      <w:r w:rsidR="002C04DB">
        <w:rPr>
          <w:szCs w:val="22"/>
        </w:rPr>
        <w:t>Commission</w:t>
      </w:r>
      <w:r w:rsidRPr="00B94D11" w:rsidR="002C04DB">
        <w:rPr>
          <w:szCs w:val="22"/>
        </w:rPr>
        <w:t xml:space="preserve"> </w:t>
      </w:r>
      <w:r w:rsidRPr="00B94D11" w:rsidR="00B94D11">
        <w:rPr>
          <w:szCs w:val="22"/>
        </w:rPr>
        <w:t>with an authoritative source for information necessary to provide funding to applicants and to ensure accurate reporting pursuant to the D</w:t>
      </w:r>
      <w:r w:rsidR="004D6DDF">
        <w:rPr>
          <w:szCs w:val="22"/>
        </w:rPr>
        <w:t>igital Accountability and Transparency (DATA) Act.</w:t>
      </w:r>
      <w:r>
        <w:rPr>
          <w:rStyle w:val="FootnoteReference"/>
          <w:szCs w:val="22"/>
        </w:rPr>
        <w:footnoteReference w:id="32"/>
      </w:r>
      <w:r w:rsidR="004D6DDF">
        <w:rPr>
          <w:szCs w:val="22"/>
        </w:rPr>
        <w:t xml:space="preserve"> </w:t>
      </w:r>
      <w:r w:rsidR="00B03833">
        <w:rPr>
          <w:szCs w:val="22"/>
        </w:rPr>
        <w:t xml:space="preserve"> </w:t>
      </w:r>
      <w:r w:rsidR="00463E17">
        <w:rPr>
          <w:szCs w:val="22"/>
        </w:rPr>
        <w:t xml:space="preserve">We </w:t>
      </w:r>
      <w:r w:rsidR="00463E17">
        <w:rPr>
          <w:szCs w:val="22"/>
        </w:rPr>
        <w:t>also propose to require a</w:t>
      </w:r>
      <w:r w:rsidR="00C05494">
        <w:rPr>
          <w:szCs w:val="22"/>
        </w:rPr>
        <w:t>pplicants to provide in their application a</w:t>
      </w:r>
      <w:r w:rsidR="00A9777B">
        <w:rPr>
          <w:szCs w:val="22"/>
        </w:rPr>
        <w:t xml:space="preserve"> Data Universal Numbering System (</w:t>
      </w:r>
      <w:r w:rsidR="00417CDC">
        <w:rPr>
          <w:szCs w:val="22"/>
        </w:rPr>
        <w:t>DUNS</w:t>
      </w:r>
      <w:r w:rsidR="00A9777B">
        <w:rPr>
          <w:szCs w:val="22"/>
        </w:rPr>
        <w:t>)</w:t>
      </w:r>
      <w:r w:rsidR="00417CDC">
        <w:rPr>
          <w:szCs w:val="22"/>
        </w:rPr>
        <w:t xml:space="preserve"> number </w:t>
      </w:r>
      <w:r w:rsidR="00036F33">
        <w:rPr>
          <w:szCs w:val="22"/>
        </w:rPr>
        <w:t>or</w:t>
      </w:r>
      <w:r w:rsidR="00C05494">
        <w:rPr>
          <w:szCs w:val="22"/>
        </w:rPr>
        <w:t xml:space="preserve"> </w:t>
      </w:r>
      <w:r w:rsidR="00036F33">
        <w:rPr>
          <w:szCs w:val="22"/>
        </w:rPr>
        <w:t xml:space="preserve">where applicable, the </w:t>
      </w:r>
      <w:r w:rsidR="00C05494">
        <w:rPr>
          <w:szCs w:val="22"/>
        </w:rPr>
        <w:t>DUNS+4</w:t>
      </w:r>
      <w:r w:rsidR="00417CDC">
        <w:rPr>
          <w:szCs w:val="22"/>
        </w:rPr>
        <w:t xml:space="preserve"> </w:t>
      </w:r>
      <w:r w:rsidR="00C05494">
        <w:rPr>
          <w:szCs w:val="22"/>
        </w:rPr>
        <w:t>number</w:t>
      </w:r>
      <w:r w:rsidR="00417CDC">
        <w:rPr>
          <w:szCs w:val="22"/>
        </w:rPr>
        <w:t xml:space="preserve">, </w:t>
      </w:r>
      <w:r w:rsidR="00583D1F">
        <w:rPr>
          <w:szCs w:val="22"/>
        </w:rPr>
        <w:t>which</w:t>
      </w:r>
      <w:r w:rsidR="00C05494">
        <w:rPr>
          <w:szCs w:val="22"/>
        </w:rPr>
        <w:t xml:space="preserve"> provides banking information to assist the Commission in the electronic payment of funds</w:t>
      </w:r>
      <w:r w:rsidR="006D1AD5">
        <w:rPr>
          <w:szCs w:val="22"/>
        </w:rPr>
        <w:t xml:space="preserve"> to program recipients</w:t>
      </w:r>
      <w:r w:rsidR="00C05494">
        <w:rPr>
          <w:szCs w:val="22"/>
        </w:rPr>
        <w:t>.</w:t>
      </w:r>
      <w:r>
        <w:rPr>
          <w:rStyle w:val="FootnoteReference"/>
          <w:szCs w:val="22"/>
        </w:rPr>
        <w:footnoteReference w:id="33"/>
      </w:r>
      <w:r w:rsidR="00463E17">
        <w:rPr>
          <w:szCs w:val="22"/>
        </w:rPr>
        <w:t xml:space="preserve">  We seek comment on these proposals. </w:t>
      </w:r>
      <w:r w:rsidRPr="006539ED">
        <w:rPr>
          <w:spacing w:val="-2"/>
          <w:szCs w:val="22"/>
        </w:rPr>
        <w:t xml:space="preserve"> </w:t>
      </w:r>
    </w:p>
    <w:p w:rsidR="00FE1166" w:rsidP="00354B80" w14:paraId="03CADD8B" w14:textId="280AADC1">
      <w:pPr>
        <w:widowControl/>
        <w:spacing w:after="120"/>
        <w:ind w:firstLine="720"/>
        <w:rPr>
          <w:szCs w:val="22"/>
        </w:rPr>
      </w:pPr>
      <w:r w:rsidRPr="00FF0108">
        <w:rPr>
          <w:i/>
          <w:iCs/>
          <w:szCs w:val="22"/>
        </w:rPr>
        <w:t>Filing Window</w:t>
      </w:r>
      <w:r>
        <w:rPr>
          <w:szCs w:val="22"/>
        </w:rPr>
        <w:t xml:space="preserve">.  Per </w:t>
      </w:r>
      <w:r w:rsidR="0077019B">
        <w:rPr>
          <w:szCs w:val="22"/>
        </w:rPr>
        <w:t>s</w:t>
      </w:r>
      <w:r>
        <w:rPr>
          <w:szCs w:val="22"/>
        </w:rPr>
        <w:t>ection 1.50004(b) of the Commission’s rules, the Bureau “shall announce the opening of an initial application filing window for eligible providers seeking to participate in the Reimbursement Program.”</w:t>
      </w:r>
      <w:r>
        <w:rPr>
          <w:rStyle w:val="FootnoteReference"/>
          <w:szCs w:val="22"/>
        </w:rPr>
        <w:footnoteReference w:id="34"/>
      </w:r>
      <w:r>
        <w:rPr>
          <w:szCs w:val="22"/>
        </w:rPr>
        <w:t xml:space="preserve">  The Bureau is required to “treat all eligible providers filing an application within any filing window as if their applications were simultaneously received” and “[f]</w:t>
      </w:r>
      <w:r>
        <w:rPr>
          <w:szCs w:val="22"/>
        </w:rPr>
        <w:t>unding</w:t>
      </w:r>
      <w:r>
        <w:rPr>
          <w:szCs w:val="22"/>
        </w:rPr>
        <w:t xml:space="preserve"> requests submitted outside of a filing window will not be accepted.”</w:t>
      </w:r>
      <w:r>
        <w:rPr>
          <w:rStyle w:val="FootnoteReference"/>
          <w:szCs w:val="22"/>
        </w:rPr>
        <w:footnoteReference w:id="35"/>
      </w:r>
      <w:r w:rsidR="00F82EDA">
        <w:rPr>
          <w:szCs w:val="22"/>
        </w:rPr>
        <w:t xml:space="preserve">  </w:t>
      </w:r>
      <w:r w:rsidR="00463E17">
        <w:rPr>
          <w:szCs w:val="22"/>
        </w:rPr>
        <w:t>Thus, a</w:t>
      </w:r>
      <w:r w:rsidR="00BE5275">
        <w:rPr>
          <w:szCs w:val="22"/>
        </w:rPr>
        <w:t>pplications submitted after the filing window closes are considered untimely and will not be accepted.</w:t>
      </w:r>
      <w:r>
        <w:rPr>
          <w:rStyle w:val="FootnoteReference"/>
          <w:szCs w:val="22"/>
        </w:rPr>
        <w:footnoteReference w:id="36"/>
      </w:r>
      <w:r w:rsidR="00BE5275">
        <w:rPr>
          <w:szCs w:val="22"/>
        </w:rPr>
        <w:t xml:space="preserve"> </w:t>
      </w:r>
      <w:r w:rsidR="00354B80">
        <w:rPr>
          <w:szCs w:val="22"/>
        </w:rPr>
        <w:t xml:space="preserve"> </w:t>
      </w:r>
      <w:r w:rsidR="008A6264">
        <w:rPr>
          <w:szCs w:val="22"/>
        </w:rPr>
        <w:t xml:space="preserve">Once the filing window opens, </w:t>
      </w:r>
      <w:r w:rsidR="00C8560E">
        <w:rPr>
          <w:szCs w:val="22"/>
        </w:rPr>
        <w:t xml:space="preserve">we propose </w:t>
      </w:r>
      <w:r w:rsidR="00463E17">
        <w:rPr>
          <w:szCs w:val="22"/>
        </w:rPr>
        <w:t xml:space="preserve">to allow </w:t>
      </w:r>
      <w:r w:rsidR="00CB3384">
        <w:rPr>
          <w:szCs w:val="22"/>
        </w:rPr>
        <w:t xml:space="preserve">applicants consisting of multiple subsidiaries or affiliates to choose to file at either the holding company-level or by individual subsidiary or affiliate. </w:t>
      </w:r>
      <w:r w:rsidR="00EC7D22">
        <w:rPr>
          <w:szCs w:val="22"/>
        </w:rPr>
        <w:t xml:space="preserve"> </w:t>
      </w:r>
      <w:r w:rsidR="008A6264">
        <w:rPr>
          <w:szCs w:val="22"/>
        </w:rPr>
        <w:t xml:space="preserve">While the filing window remains open, applicants </w:t>
      </w:r>
      <w:r w:rsidR="00354B80">
        <w:rPr>
          <w:szCs w:val="22"/>
        </w:rPr>
        <w:t xml:space="preserve">will be able </w:t>
      </w:r>
      <w:r w:rsidR="000B2639">
        <w:rPr>
          <w:szCs w:val="22"/>
        </w:rPr>
        <w:t xml:space="preserve">to </w:t>
      </w:r>
      <w:r w:rsidR="008A6264">
        <w:rPr>
          <w:szCs w:val="22"/>
        </w:rPr>
        <w:t>initiate, save, submit, and make changes to submitted applications until</w:t>
      </w:r>
      <w:r w:rsidR="00472D98">
        <w:rPr>
          <w:szCs w:val="22"/>
        </w:rPr>
        <w:t xml:space="preserve"> </w:t>
      </w:r>
      <w:r w:rsidR="008A6264">
        <w:rPr>
          <w:szCs w:val="22"/>
        </w:rPr>
        <w:t xml:space="preserve">the filing window closes.  </w:t>
      </w:r>
      <w:r w:rsidR="002034F2">
        <w:rPr>
          <w:szCs w:val="22"/>
        </w:rPr>
        <w:t xml:space="preserve">We seek comment on these proposals.  </w:t>
      </w:r>
    </w:p>
    <w:p w:rsidR="00857550" w:rsidP="009A3416" w14:paraId="1C4DC6A4" w14:textId="7D2DEE1F">
      <w:pPr>
        <w:widowControl/>
        <w:spacing w:after="120"/>
        <w:ind w:firstLine="720"/>
        <w:rPr>
          <w:szCs w:val="22"/>
        </w:rPr>
      </w:pPr>
      <w:r>
        <w:rPr>
          <w:i/>
          <w:iCs/>
          <w:szCs w:val="22"/>
        </w:rPr>
        <w:t>Reviewing Applications</w:t>
      </w:r>
      <w:r w:rsidR="00751324">
        <w:rPr>
          <w:szCs w:val="22"/>
        </w:rPr>
        <w:t xml:space="preserve">.  </w:t>
      </w:r>
      <w:r w:rsidR="00D54DB3">
        <w:rPr>
          <w:szCs w:val="22"/>
        </w:rPr>
        <w:t>Consistent with t</w:t>
      </w:r>
      <w:r w:rsidR="00EC7D22">
        <w:rPr>
          <w:szCs w:val="22"/>
        </w:rPr>
        <w:t>he Secure Networks Act</w:t>
      </w:r>
      <w:r w:rsidR="00D54DB3">
        <w:rPr>
          <w:szCs w:val="22"/>
        </w:rPr>
        <w:t>,</w:t>
      </w:r>
      <w:r w:rsidR="00EC7D22">
        <w:rPr>
          <w:szCs w:val="22"/>
        </w:rPr>
        <w:t xml:space="preserve"> the Commission’s rules </w:t>
      </w:r>
      <w:r w:rsidR="00D54DB3">
        <w:rPr>
          <w:szCs w:val="22"/>
        </w:rPr>
        <w:t>require the Bureau to approve or deny “applications to receive a funding allocation . . . within 90 days after the close of the applicable filing window.”</w:t>
      </w:r>
      <w:r>
        <w:rPr>
          <w:rStyle w:val="FootnoteReference"/>
          <w:szCs w:val="22"/>
        </w:rPr>
        <w:footnoteReference w:id="37"/>
      </w:r>
      <w:r w:rsidR="00D54DB3">
        <w:rPr>
          <w:szCs w:val="22"/>
        </w:rPr>
        <w:t xml:space="preserve">  </w:t>
      </w:r>
      <w:r w:rsidR="00CB50E7">
        <w:rPr>
          <w:szCs w:val="22"/>
        </w:rPr>
        <w:t>We propose that d</w:t>
      </w:r>
      <w:r w:rsidR="004F497D">
        <w:rPr>
          <w:szCs w:val="22"/>
        </w:rPr>
        <w:t>uring th</w:t>
      </w:r>
      <w:r w:rsidR="009D57B7">
        <w:rPr>
          <w:szCs w:val="22"/>
        </w:rPr>
        <w:t>is</w:t>
      </w:r>
      <w:r w:rsidR="004F497D">
        <w:rPr>
          <w:szCs w:val="22"/>
        </w:rPr>
        <w:t xml:space="preserve"> 90</w:t>
      </w:r>
      <w:r w:rsidR="00A82DAF">
        <w:rPr>
          <w:szCs w:val="22"/>
        </w:rPr>
        <w:t>-</w:t>
      </w:r>
      <w:r w:rsidR="004F497D">
        <w:rPr>
          <w:szCs w:val="22"/>
        </w:rPr>
        <w:t xml:space="preserve">day period, </w:t>
      </w:r>
      <w:r w:rsidR="002D6769">
        <w:rPr>
          <w:szCs w:val="22"/>
        </w:rPr>
        <w:t>t</w:t>
      </w:r>
      <w:r w:rsidR="00A82DAF">
        <w:rPr>
          <w:szCs w:val="22"/>
        </w:rPr>
        <w:t xml:space="preserve">he </w:t>
      </w:r>
      <w:r w:rsidR="004F497D">
        <w:rPr>
          <w:szCs w:val="22"/>
        </w:rPr>
        <w:t>Fund Administrator</w:t>
      </w:r>
      <w:r w:rsidRPr="006539ED" w:rsidR="004F497D">
        <w:rPr>
          <w:szCs w:val="22"/>
        </w:rPr>
        <w:t xml:space="preserve"> will review </w:t>
      </w:r>
      <w:r w:rsidR="009D57B7">
        <w:rPr>
          <w:szCs w:val="22"/>
        </w:rPr>
        <w:t xml:space="preserve">each </w:t>
      </w:r>
      <w:r w:rsidRPr="006539ED" w:rsidR="004F497D">
        <w:rPr>
          <w:szCs w:val="22"/>
        </w:rPr>
        <w:t xml:space="preserve">application to </w:t>
      </w:r>
      <w:r w:rsidR="004F497D">
        <w:rPr>
          <w:szCs w:val="22"/>
        </w:rPr>
        <w:t>assess</w:t>
      </w:r>
      <w:r w:rsidRPr="006539ED" w:rsidR="004F497D">
        <w:rPr>
          <w:szCs w:val="22"/>
        </w:rPr>
        <w:t xml:space="preserve"> whether the application is complete, the applicant is eligible</w:t>
      </w:r>
      <w:r w:rsidR="004F497D">
        <w:rPr>
          <w:szCs w:val="22"/>
        </w:rPr>
        <w:t xml:space="preserve"> for the Reimbursement Program</w:t>
      </w:r>
      <w:r w:rsidRPr="006539ED" w:rsidR="004F497D">
        <w:rPr>
          <w:szCs w:val="22"/>
        </w:rPr>
        <w:t>,</w:t>
      </w:r>
      <w:r>
        <w:rPr>
          <w:rStyle w:val="FootnoteReference"/>
          <w:szCs w:val="22"/>
        </w:rPr>
        <w:footnoteReference w:id="38"/>
      </w:r>
      <w:r w:rsidRPr="006539ED" w:rsidR="004F497D">
        <w:rPr>
          <w:szCs w:val="22"/>
        </w:rPr>
        <w:t xml:space="preserve"> and the reasonableness of the cost estimates provided</w:t>
      </w:r>
      <w:r w:rsidR="004F497D">
        <w:rPr>
          <w:szCs w:val="22"/>
        </w:rPr>
        <w:t xml:space="preserve"> by the applicant</w:t>
      </w:r>
      <w:r w:rsidRPr="006539ED" w:rsidR="004F497D">
        <w:rPr>
          <w:szCs w:val="22"/>
        </w:rPr>
        <w:t>.</w:t>
      </w:r>
      <w:r>
        <w:rPr>
          <w:rStyle w:val="FootnoteReference"/>
          <w:szCs w:val="22"/>
        </w:rPr>
        <w:footnoteReference w:id="39"/>
      </w:r>
      <w:r w:rsidRPr="006539ED" w:rsidR="004F497D">
        <w:rPr>
          <w:szCs w:val="22"/>
        </w:rPr>
        <w:t xml:space="preserve">  </w:t>
      </w:r>
      <w:r w:rsidR="00CB50E7">
        <w:rPr>
          <w:szCs w:val="22"/>
        </w:rPr>
        <w:t xml:space="preserve">We </w:t>
      </w:r>
      <w:r w:rsidR="00A334DE">
        <w:rPr>
          <w:szCs w:val="22"/>
        </w:rPr>
        <w:t>propose requiring the</w:t>
      </w:r>
      <w:r w:rsidR="00CB50E7">
        <w:rPr>
          <w:szCs w:val="22"/>
        </w:rPr>
        <w:t xml:space="preserve"> </w:t>
      </w:r>
      <w:r w:rsidR="00966184">
        <w:rPr>
          <w:szCs w:val="22"/>
        </w:rPr>
        <w:t xml:space="preserve">Fund Administrator </w:t>
      </w:r>
      <w:r w:rsidR="00A334DE">
        <w:rPr>
          <w:szCs w:val="22"/>
        </w:rPr>
        <w:t>to</w:t>
      </w:r>
      <w:r w:rsidR="00966184">
        <w:rPr>
          <w:szCs w:val="22"/>
        </w:rPr>
        <w:t xml:space="preserve"> </w:t>
      </w:r>
      <w:r w:rsidR="00E83451">
        <w:rPr>
          <w:szCs w:val="22"/>
        </w:rPr>
        <w:t>identify potentially duplicate and otherwise erroneously filed applications</w:t>
      </w:r>
      <w:r w:rsidR="00CB3384">
        <w:rPr>
          <w:szCs w:val="22"/>
        </w:rPr>
        <w:t xml:space="preserve"> and to </w:t>
      </w:r>
      <w:r w:rsidR="00BA7E01">
        <w:rPr>
          <w:szCs w:val="22"/>
        </w:rPr>
        <w:t>advis</w:t>
      </w:r>
      <w:r w:rsidR="00A334DE">
        <w:rPr>
          <w:szCs w:val="22"/>
        </w:rPr>
        <w:t>e</w:t>
      </w:r>
      <w:r w:rsidR="00BA7E01">
        <w:rPr>
          <w:szCs w:val="22"/>
        </w:rPr>
        <w:t xml:space="preserve"> the Bureau on </w:t>
      </w:r>
      <w:r w:rsidR="00751324">
        <w:rPr>
          <w:szCs w:val="22"/>
        </w:rPr>
        <w:t>its</w:t>
      </w:r>
      <w:r w:rsidR="00BA7E01">
        <w:rPr>
          <w:szCs w:val="22"/>
        </w:rPr>
        <w:t xml:space="preserve"> finding</w:t>
      </w:r>
      <w:r w:rsidR="00D639D9">
        <w:rPr>
          <w:szCs w:val="22"/>
        </w:rPr>
        <w:t xml:space="preserve">s.  </w:t>
      </w:r>
      <w:r w:rsidR="00D35F69">
        <w:rPr>
          <w:szCs w:val="22"/>
        </w:rPr>
        <w:t xml:space="preserve">After considering the Fund Administrator’s initial findings, </w:t>
      </w:r>
      <w:r w:rsidR="0000690F">
        <w:rPr>
          <w:szCs w:val="22"/>
        </w:rPr>
        <w:t xml:space="preserve">we </w:t>
      </w:r>
      <w:r w:rsidR="00A334DE">
        <w:rPr>
          <w:szCs w:val="22"/>
        </w:rPr>
        <w:t>propose having</w:t>
      </w:r>
      <w:r w:rsidR="0000690F">
        <w:rPr>
          <w:szCs w:val="22"/>
        </w:rPr>
        <w:t xml:space="preserve"> </w:t>
      </w:r>
      <w:r w:rsidR="00D35F69">
        <w:rPr>
          <w:szCs w:val="22"/>
        </w:rPr>
        <w:t>t</w:t>
      </w:r>
      <w:r w:rsidR="00D639D9">
        <w:rPr>
          <w:szCs w:val="22"/>
        </w:rPr>
        <w:t xml:space="preserve">he Bureau </w:t>
      </w:r>
      <w:r w:rsidR="009768D7">
        <w:rPr>
          <w:szCs w:val="22"/>
        </w:rPr>
        <w:t>next</w:t>
      </w:r>
      <w:r w:rsidR="00D639D9">
        <w:rPr>
          <w:szCs w:val="22"/>
        </w:rPr>
        <w:t xml:space="preserve"> issu</w:t>
      </w:r>
      <w:r w:rsidR="00365554">
        <w:rPr>
          <w:szCs w:val="22"/>
        </w:rPr>
        <w:t>e</w:t>
      </w:r>
      <w:r w:rsidR="00D639D9">
        <w:rPr>
          <w:szCs w:val="22"/>
        </w:rPr>
        <w:t xml:space="preserve"> a public notice announcing those applications initially found eligible and accepted for filing</w:t>
      </w:r>
      <w:r w:rsidR="00966184">
        <w:rPr>
          <w:szCs w:val="22"/>
        </w:rPr>
        <w:t xml:space="preserve">, and those deemed </w:t>
      </w:r>
      <w:r w:rsidR="00616388">
        <w:rPr>
          <w:szCs w:val="22"/>
        </w:rPr>
        <w:t>materially deficient</w:t>
      </w:r>
      <w:r w:rsidR="00D639D9">
        <w:rPr>
          <w:szCs w:val="22"/>
        </w:rPr>
        <w:t>.</w:t>
      </w:r>
      <w:r w:rsidR="0000690F">
        <w:rPr>
          <w:szCs w:val="22"/>
        </w:rPr>
        <w:t xml:space="preserve"> </w:t>
      </w:r>
      <w:r w:rsidR="00C80976">
        <w:rPr>
          <w:szCs w:val="22"/>
        </w:rPr>
        <w:t xml:space="preserve"> </w:t>
      </w:r>
      <w:r w:rsidR="00FF7DC5">
        <w:t>I</w:t>
      </w:r>
      <w:r w:rsidRPr="00FA30BB" w:rsidR="000F6E92">
        <w:t>nitial finding</w:t>
      </w:r>
      <w:r w:rsidR="000F6E92">
        <w:t>s</w:t>
      </w:r>
      <w:r w:rsidRPr="00FA30BB" w:rsidR="000F6E92">
        <w:t xml:space="preserve"> that </w:t>
      </w:r>
      <w:r w:rsidR="000F6E92">
        <w:t>an</w:t>
      </w:r>
      <w:r w:rsidRPr="00FA30BB" w:rsidR="000F6E92">
        <w:t xml:space="preserve"> application is eligible and accepted for filing </w:t>
      </w:r>
      <w:r w:rsidR="00FF7DC5">
        <w:t xml:space="preserve">would </w:t>
      </w:r>
      <w:r w:rsidRPr="00FA30BB" w:rsidR="000F6E92">
        <w:t>provid</w:t>
      </w:r>
      <w:r w:rsidR="00FF7DC5">
        <w:t>e</w:t>
      </w:r>
      <w:r w:rsidRPr="00FA30BB" w:rsidR="000F6E92">
        <w:t xml:space="preserve"> no guarantee that the applicant will ultimately be determin</w:t>
      </w:r>
      <w:r w:rsidRPr="00CB50E7" w:rsidR="000F6E92">
        <w:t xml:space="preserve">ed eligible by the Bureau </w:t>
      </w:r>
      <w:r w:rsidR="0054440B">
        <w:t>or</w:t>
      </w:r>
      <w:r w:rsidRPr="00CB50E7" w:rsidR="000F6E92">
        <w:t xml:space="preserve"> will receive a funding allocation or disbursement.</w:t>
      </w:r>
      <w:r w:rsidR="000F6E92">
        <w:t xml:space="preserve">  </w:t>
      </w:r>
      <w:r w:rsidR="003A6D3C">
        <w:t xml:space="preserve">Pursuant to the Commission’s rules, </w:t>
      </w:r>
      <w:r w:rsidR="003A6D3C">
        <w:rPr>
          <w:szCs w:val="22"/>
        </w:rPr>
        <w:t>a</w:t>
      </w:r>
      <w:r w:rsidR="00966184">
        <w:rPr>
          <w:szCs w:val="22"/>
        </w:rPr>
        <w:t xml:space="preserve">pplicants </w:t>
      </w:r>
      <w:r w:rsidR="00D905B5">
        <w:rPr>
          <w:szCs w:val="22"/>
        </w:rPr>
        <w:t xml:space="preserve">that submitted </w:t>
      </w:r>
      <w:r w:rsidR="00966184">
        <w:rPr>
          <w:szCs w:val="22"/>
        </w:rPr>
        <w:t>applications</w:t>
      </w:r>
      <w:r w:rsidR="00A35304">
        <w:rPr>
          <w:szCs w:val="22"/>
        </w:rPr>
        <w:t xml:space="preserve"> </w:t>
      </w:r>
      <w:r w:rsidR="00256F5F">
        <w:rPr>
          <w:szCs w:val="22"/>
        </w:rPr>
        <w:t xml:space="preserve">initially </w:t>
      </w:r>
      <w:r w:rsidR="00616388">
        <w:rPr>
          <w:szCs w:val="22"/>
        </w:rPr>
        <w:t xml:space="preserve">deemed materially deficient </w:t>
      </w:r>
      <w:r w:rsidR="00C80976">
        <w:rPr>
          <w:szCs w:val="22"/>
        </w:rPr>
        <w:t xml:space="preserve">would then </w:t>
      </w:r>
      <w:r w:rsidR="00966184">
        <w:rPr>
          <w:szCs w:val="22"/>
        </w:rPr>
        <w:t xml:space="preserve">have </w:t>
      </w:r>
      <w:r w:rsidR="00A35304">
        <w:rPr>
          <w:szCs w:val="22"/>
        </w:rPr>
        <w:t>15</w:t>
      </w:r>
      <w:r w:rsidR="00CB50E7">
        <w:rPr>
          <w:szCs w:val="22"/>
        </w:rPr>
        <w:t xml:space="preserve"> </w:t>
      </w:r>
      <w:r w:rsidR="00A35304">
        <w:rPr>
          <w:szCs w:val="22"/>
        </w:rPr>
        <w:t>day</w:t>
      </w:r>
      <w:r w:rsidR="00966184">
        <w:rPr>
          <w:szCs w:val="22"/>
        </w:rPr>
        <w:t>s</w:t>
      </w:r>
      <w:r w:rsidR="00A35304">
        <w:rPr>
          <w:szCs w:val="22"/>
        </w:rPr>
        <w:t xml:space="preserve"> </w:t>
      </w:r>
      <w:r w:rsidR="00B00CE4">
        <w:rPr>
          <w:szCs w:val="22"/>
        </w:rPr>
        <w:t xml:space="preserve">to </w:t>
      </w:r>
      <w:r w:rsidR="00A35304">
        <w:rPr>
          <w:szCs w:val="22"/>
        </w:rPr>
        <w:t>cure</w:t>
      </w:r>
      <w:r w:rsidR="00966184">
        <w:rPr>
          <w:szCs w:val="22"/>
        </w:rPr>
        <w:t xml:space="preserve"> their </w:t>
      </w:r>
      <w:r w:rsidR="00616388">
        <w:rPr>
          <w:szCs w:val="22"/>
        </w:rPr>
        <w:t>defects</w:t>
      </w:r>
      <w:r w:rsidR="00A35304">
        <w:rPr>
          <w:szCs w:val="22"/>
        </w:rPr>
        <w:t xml:space="preserve"> </w:t>
      </w:r>
      <w:r w:rsidR="008A2946">
        <w:rPr>
          <w:szCs w:val="22"/>
        </w:rPr>
        <w:t xml:space="preserve">before </w:t>
      </w:r>
      <w:r w:rsidR="005B67E4">
        <w:rPr>
          <w:szCs w:val="22"/>
        </w:rPr>
        <w:t>their application is</w:t>
      </w:r>
      <w:r w:rsidR="008A2946">
        <w:rPr>
          <w:szCs w:val="22"/>
        </w:rPr>
        <w:t xml:space="preserve"> denied</w:t>
      </w:r>
      <w:r w:rsidR="00A82DAF">
        <w:rPr>
          <w:szCs w:val="22"/>
        </w:rPr>
        <w:t>.</w:t>
      </w:r>
      <w:r w:rsidRPr="00A82DAF" w:rsidR="00A82DAF">
        <w:rPr>
          <w:rStyle w:val="FootnoteReference"/>
          <w:szCs w:val="22"/>
        </w:rPr>
        <w:t xml:space="preserve"> </w:t>
      </w:r>
      <w:r>
        <w:rPr>
          <w:rStyle w:val="FootnoteReference"/>
          <w:szCs w:val="22"/>
        </w:rPr>
        <w:footnoteReference w:id="40"/>
      </w:r>
      <w:r w:rsidR="00A82DAF">
        <w:rPr>
          <w:szCs w:val="22"/>
        </w:rPr>
        <w:t xml:space="preserve">  </w:t>
      </w:r>
      <w:r w:rsidR="00CB50E7">
        <w:rPr>
          <w:szCs w:val="22"/>
        </w:rPr>
        <w:t>We propose beginning t</w:t>
      </w:r>
      <w:r w:rsidR="00A82DAF">
        <w:rPr>
          <w:szCs w:val="22"/>
        </w:rPr>
        <w:t xml:space="preserve">he 15-day cure period </w:t>
      </w:r>
      <w:r w:rsidR="008A2946">
        <w:rPr>
          <w:szCs w:val="22"/>
        </w:rPr>
        <w:t>the day after</w:t>
      </w:r>
      <w:r w:rsidR="00A35304">
        <w:rPr>
          <w:szCs w:val="22"/>
        </w:rPr>
        <w:t xml:space="preserve"> </w:t>
      </w:r>
      <w:r w:rsidR="00CB2121">
        <w:rPr>
          <w:szCs w:val="22"/>
        </w:rPr>
        <w:t xml:space="preserve">the Bureau releases a </w:t>
      </w:r>
      <w:r w:rsidR="00A35304">
        <w:rPr>
          <w:szCs w:val="22"/>
        </w:rPr>
        <w:t>public notice announcing applications as acceptable for filing.</w:t>
      </w:r>
      <w:r>
        <w:rPr>
          <w:rStyle w:val="FootnoteReference"/>
          <w:szCs w:val="22"/>
        </w:rPr>
        <w:footnoteReference w:id="41"/>
      </w:r>
      <w:r w:rsidRPr="00B70924" w:rsidR="00B70924">
        <w:rPr>
          <w:szCs w:val="22"/>
        </w:rPr>
        <w:t xml:space="preserve"> </w:t>
      </w:r>
      <w:r w:rsidR="00C80976">
        <w:rPr>
          <w:szCs w:val="22"/>
        </w:rPr>
        <w:t xml:space="preserve"> </w:t>
      </w:r>
      <w:r w:rsidR="00B70924">
        <w:rPr>
          <w:szCs w:val="22"/>
        </w:rPr>
        <w:t xml:space="preserve">We seek comment on these proposals.  </w:t>
      </w:r>
    </w:p>
    <w:p w:rsidR="008A6264" w:rsidP="009A3416" w14:paraId="039202C1" w14:textId="4B8FA826">
      <w:pPr>
        <w:widowControl/>
        <w:spacing w:after="120"/>
        <w:ind w:firstLine="720"/>
        <w:rPr>
          <w:szCs w:val="22"/>
        </w:rPr>
      </w:pPr>
      <w:r>
        <w:rPr>
          <w:szCs w:val="22"/>
        </w:rPr>
        <w:t xml:space="preserve">We also propose having the </w:t>
      </w:r>
      <w:r w:rsidR="00857550">
        <w:rPr>
          <w:szCs w:val="22"/>
        </w:rPr>
        <w:t xml:space="preserve">Fund Administrator evaluate the gross cost estimate demand contained in </w:t>
      </w:r>
      <w:r w:rsidR="009362BA">
        <w:rPr>
          <w:szCs w:val="22"/>
        </w:rPr>
        <w:t xml:space="preserve">all </w:t>
      </w:r>
      <w:r w:rsidR="00857550">
        <w:rPr>
          <w:szCs w:val="22"/>
        </w:rPr>
        <w:t xml:space="preserve">applications </w:t>
      </w:r>
      <w:r w:rsidR="00751324">
        <w:rPr>
          <w:szCs w:val="22"/>
        </w:rPr>
        <w:t xml:space="preserve">found acceptable for filing to </w:t>
      </w:r>
      <w:r w:rsidR="00857550">
        <w:rPr>
          <w:szCs w:val="22"/>
        </w:rPr>
        <w:t>assist the Bureau in determining whether</w:t>
      </w:r>
      <w:r w:rsidR="00616388">
        <w:rPr>
          <w:szCs w:val="22"/>
        </w:rPr>
        <w:t xml:space="preserve"> estimated</w:t>
      </w:r>
      <w:r w:rsidR="00857550">
        <w:rPr>
          <w:szCs w:val="22"/>
        </w:rPr>
        <w:t xml:space="preserve"> demand exceeds available funding</w:t>
      </w:r>
      <w:r w:rsidR="00616388">
        <w:rPr>
          <w:szCs w:val="22"/>
        </w:rPr>
        <w:t xml:space="preserve">.  If estimated demand exceeds available funding, the </w:t>
      </w:r>
      <w:r w:rsidR="0054440B">
        <w:rPr>
          <w:szCs w:val="22"/>
        </w:rPr>
        <w:t xml:space="preserve">Commission directed the </w:t>
      </w:r>
      <w:r w:rsidR="00616388">
        <w:rPr>
          <w:szCs w:val="22"/>
        </w:rPr>
        <w:t xml:space="preserve">Bureau </w:t>
      </w:r>
      <w:r w:rsidR="0044494F">
        <w:rPr>
          <w:szCs w:val="22"/>
        </w:rPr>
        <w:t xml:space="preserve">to </w:t>
      </w:r>
      <w:r w:rsidR="00857550">
        <w:rPr>
          <w:szCs w:val="22"/>
        </w:rPr>
        <w:t>prioritize funding</w:t>
      </w:r>
      <w:r w:rsidR="00616388">
        <w:rPr>
          <w:szCs w:val="22"/>
        </w:rPr>
        <w:t xml:space="preserve"> </w:t>
      </w:r>
      <w:r w:rsidR="00751324">
        <w:rPr>
          <w:szCs w:val="22"/>
        </w:rPr>
        <w:t xml:space="preserve">and application processing </w:t>
      </w:r>
      <w:r w:rsidR="00857550">
        <w:rPr>
          <w:szCs w:val="22"/>
        </w:rPr>
        <w:t xml:space="preserve">in accordance with the </w:t>
      </w:r>
      <w:r w:rsidR="00857550">
        <w:rPr>
          <w:szCs w:val="22"/>
        </w:rPr>
        <w:t>Commission’s rules.</w:t>
      </w:r>
      <w:r>
        <w:rPr>
          <w:rStyle w:val="FootnoteReference"/>
          <w:szCs w:val="22"/>
        </w:rPr>
        <w:footnoteReference w:id="42"/>
      </w:r>
      <w:r w:rsidR="00751324">
        <w:rPr>
          <w:szCs w:val="22"/>
        </w:rPr>
        <w:t xml:space="preserve">  </w:t>
      </w:r>
      <w:r w:rsidR="0054440B">
        <w:rPr>
          <w:szCs w:val="22"/>
        </w:rPr>
        <w:t xml:space="preserve">We anticipate that the Fund Administrator’s </w:t>
      </w:r>
      <w:r w:rsidR="00751324">
        <w:rPr>
          <w:szCs w:val="22"/>
        </w:rPr>
        <w:t xml:space="preserve">initial </w:t>
      </w:r>
      <w:r w:rsidR="0054440B">
        <w:rPr>
          <w:szCs w:val="22"/>
        </w:rPr>
        <w:t xml:space="preserve">application </w:t>
      </w:r>
      <w:r w:rsidR="00751324">
        <w:rPr>
          <w:szCs w:val="22"/>
        </w:rPr>
        <w:t xml:space="preserve">evaluation will </w:t>
      </w:r>
      <w:r w:rsidRPr="009768D7" w:rsidR="00751324">
        <w:rPr>
          <w:i/>
          <w:iCs/>
          <w:szCs w:val="22"/>
        </w:rPr>
        <w:t>not</w:t>
      </w:r>
      <w:r w:rsidR="00751324">
        <w:rPr>
          <w:szCs w:val="22"/>
        </w:rPr>
        <w:t xml:space="preserve"> involve an in-depth review of the reported cost estimates</w:t>
      </w:r>
      <w:r w:rsidR="00FD1694">
        <w:rPr>
          <w:szCs w:val="22"/>
        </w:rPr>
        <w:t xml:space="preserve"> in order to more quickly determine the gross demand figure.</w:t>
      </w:r>
      <w:r w:rsidR="00EB49E5">
        <w:rPr>
          <w:szCs w:val="22"/>
        </w:rPr>
        <w:t xml:space="preserve"> </w:t>
      </w:r>
      <w:r w:rsidR="00FD1694">
        <w:rPr>
          <w:szCs w:val="22"/>
        </w:rPr>
        <w:t xml:space="preserve"> We </w:t>
      </w:r>
      <w:r>
        <w:rPr>
          <w:szCs w:val="22"/>
        </w:rPr>
        <w:t xml:space="preserve">comment on this approach.  </w:t>
      </w:r>
    </w:p>
    <w:p w:rsidR="00B03900" w:rsidP="009A3416" w14:paraId="4463D0F4" w14:textId="5EB9438C">
      <w:pPr>
        <w:widowControl/>
        <w:spacing w:after="120"/>
        <w:ind w:firstLine="720"/>
        <w:rPr>
          <w:szCs w:val="22"/>
        </w:rPr>
      </w:pPr>
      <w:r>
        <w:rPr>
          <w:szCs w:val="22"/>
        </w:rPr>
        <w:t>Per the Commission’s rules, the 90-day application review period commences after the close of the applicable filing window.</w:t>
      </w:r>
      <w:r>
        <w:rPr>
          <w:rStyle w:val="FootnoteReference"/>
          <w:szCs w:val="22"/>
        </w:rPr>
        <w:footnoteReference w:id="43"/>
      </w:r>
      <w:r>
        <w:rPr>
          <w:szCs w:val="22"/>
        </w:rPr>
        <w:t xml:space="preserve">  </w:t>
      </w:r>
      <w:r w:rsidR="007A58C3">
        <w:rPr>
          <w:szCs w:val="22"/>
        </w:rPr>
        <w:t xml:space="preserve">We </w:t>
      </w:r>
      <w:r>
        <w:rPr>
          <w:szCs w:val="22"/>
        </w:rPr>
        <w:t xml:space="preserve">will </w:t>
      </w:r>
      <w:r w:rsidR="007A58C3">
        <w:rPr>
          <w:szCs w:val="22"/>
        </w:rPr>
        <w:t xml:space="preserve">also </w:t>
      </w:r>
      <w:r>
        <w:rPr>
          <w:szCs w:val="22"/>
        </w:rPr>
        <w:t xml:space="preserve">have </w:t>
      </w:r>
      <w:r w:rsidR="007A58C3">
        <w:rPr>
          <w:szCs w:val="22"/>
        </w:rPr>
        <w:t xml:space="preserve">the </w:t>
      </w:r>
      <w:r>
        <w:rPr>
          <w:szCs w:val="22"/>
        </w:rPr>
        <w:t>Fund Administrator advis</w:t>
      </w:r>
      <w:r w:rsidR="007A58C3">
        <w:rPr>
          <w:szCs w:val="22"/>
        </w:rPr>
        <w:t>e</w:t>
      </w:r>
      <w:r>
        <w:rPr>
          <w:szCs w:val="22"/>
        </w:rPr>
        <w:t xml:space="preserve"> the Bureau</w:t>
      </w:r>
      <w:r w:rsidR="006A3FA9">
        <w:rPr>
          <w:szCs w:val="22"/>
        </w:rPr>
        <w:t xml:space="preserve"> on whether, based on the number of applications filed during the filing window, </w:t>
      </w:r>
      <w:r>
        <w:rPr>
          <w:szCs w:val="22"/>
        </w:rPr>
        <w:t xml:space="preserve">to </w:t>
      </w:r>
      <w:r w:rsidR="006A3FA9">
        <w:rPr>
          <w:szCs w:val="22"/>
        </w:rPr>
        <w:t>extend the 90-day deadline for granting or denying applications</w:t>
      </w:r>
      <w:r w:rsidR="008E2354">
        <w:rPr>
          <w:szCs w:val="22"/>
        </w:rPr>
        <w:t>,</w:t>
      </w:r>
      <w:r w:rsidR="0054440B">
        <w:rPr>
          <w:szCs w:val="22"/>
        </w:rPr>
        <w:t xml:space="preserve"> and seek comment on this approach</w:t>
      </w:r>
      <w:r>
        <w:rPr>
          <w:szCs w:val="22"/>
        </w:rPr>
        <w:t>.</w:t>
      </w:r>
      <w:r>
        <w:rPr>
          <w:rStyle w:val="FootnoteReference"/>
          <w:szCs w:val="22"/>
        </w:rPr>
        <w:footnoteReference w:id="44"/>
      </w:r>
      <w:r>
        <w:rPr>
          <w:szCs w:val="22"/>
        </w:rPr>
        <w:t xml:space="preserve">  </w:t>
      </w:r>
    </w:p>
    <w:p w:rsidR="00EB2FBD" w:rsidP="009A3416" w14:paraId="39D7958B" w14:textId="23A48C5A">
      <w:pPr>
        <w:spacing w:after="120"/>
        <w:ind w:firstLine="720"/>
      </w:pPr>
      <w:r w:rsidRPr="00B94D11">
        <w:rPr>
          <w:i/>
          <w:iCs/>
          <w:szCs w:val="22"/>
        </w:rPr>
        <w:t>Funding Allocation</w:t>
      </w:r>
      <w:r>
        <w:rPr>
          <w:szCs w:val="22"/>
        </w:rPr>
        <w:t xml:space="preserve">.  </w:t>
      </w:r>
      <w:r w:rsidR="00207A72">
        <w:rPr>
          <w:szCs w:val="22"/>
        </w:rPr>
        <w:t>The</w:t>
      </w:r>
      <w:r w:rsidR="00207A72">
        <w:t xml:space="preserve"> Bureau </w:t>
      </w:r>
      <w:r w:rsidR="000A7303">
        <w:t>proposes</w:t>
      </w:r>
      <w:r w:rsidR="003A6D3C">
        <w:t xml:space="preserve"> to</w:t>
      </w:r>
      <w:r w:rsidR="000A7303">
        <w:t xml:space="preserve"> </w:t>
      </w:r>
      <w:r w:rsidR="00207A72">
        <w:t>periodically releas</w:t>
      </w:r>
      <w:r w:rsidR="003A6D3C">
        <w:t>e</w:t>
      </w:r>
      <w:r w:rsidR="00207A72">
        <w:t xml:space="preserve"> public notices announcing recipients selected for funding allocations and the amount of their funding allocation.  </w:t>
      </w:r>
      <w:r w:rsidR="000A7303">
        <w:t>We propose treating th</w:t>
      </w:r>
      <w:r w:rsidR="005E6273">
        <w:t>i</w:t>
      </w:r>
      <w:r>
        <w:t>s</w:t>
      </w:r>
      <w:r w:rsidR="000A7303">
        <w:t xml:space="preserve"> public </w:t>
      </w:r>
      <w:r w:rsidR="00C80976">
        <w:t xml:space="preserve">notice </w:t>
      </w:r>
      <w:r w:rsidR="000A7303">
        <w:t xml:space="preserve">as </w:t>
      </w:r>
      <w:r w:rsidR="00207A72">
        <w:t>official Bureau approval of a Reimbursement Program application.</w:t>
      </w:r>
      <w:r>
        <w:rPr>
          <w:rStyle w:val="FootnoteReference"/>
        </w:rPr>
        <w:footnoteReference w:id="45"/>
      </w:r>
      <w:r w:rsidR="00207A72">
        <w:t xml:space="preserve">  </w:t>
      </w:r>
      <w:r>
        <w:t xml:space="preserve">We also propose </w:t>
      </w:r>
      <w:r w:rsidR="003A6D3C">
        <w:t xml:space="preserve">to </w:t>
      </w:r>
      <w:r w:rsidR="00207A72">
        <w:t xml:space="preserve">notify recipients </w:t>
      </w:r>
      <w:r w:rsidR="00FD1694">
        <w:t xml:space="preserve">directly </w:t>
      </w:r>
      <w:r w:rsidR="00207A72">
        <w:t xml:space="preserve">of their funding allocations by email.  </w:t>
      </w:r>
      <w:r w:rsidR="001E28D7">
        <w:t>We seek comment on these proposals.</w:t>
      </w:r>
    </w:p>
    <w:p w:rsidR="00B55F0A" w:rsidRPr="006539ED" w:rsidP="009A3416" w14:paraId="63F1D634" w14:textId="535B8E32">
      <w:pPr>
        <w:spacing w:after="120"/>
        <w:ind w:firstLine="720"/>
        <w:rPr>
          <w:szCs w:val="22"/>
        </w:rPr>
      </w:pPr>
      <w:r w:rsidRPr="000A7303">
        <w:rPr>
          <w:szCs w:val="22"/>
        </w:rPr>
        <w:t>As</w:t>
      </w:r>
      <w:r w:rsidR="00F93911">
        <w:rPr>
          <w:szCs w:val="22"/>
        </w:rPr>
        <w:t xml:space="preserve"> directed</w:t>
      </w:r>
      <w:r w:rsidRPr="00EB2FBD">
        <w:rPr>
          <w:szCs w:val="22"/>
        </w:rPr>
        <w:t xml:space="preserve"> by the Commis</w:t>
      </w:r>
      <w:r w:rsidRPr="0070582D">
        <w:rPr>
          <w:szCs w:val="22"/>
        </w:rPr>
        <w:t xml:space="preserve">sion in the </w:t>
      </w:r>
      <w:r w:rsidRPr="00F9477F">
        <w:rPr>
          <w:i/>
          <w:iCs/>
          <w:szCs w:val="22"/>
        </w:rPr>
        <w:t>Second Report and Order</w:t>
      </w:r>
      <w:r w:rsidRPr="000A7303">
        <w:rPr>
          <w:szCs w:val="22"/>
        </w:rPr>
        <w:t xml:space="preserve">, </w:t>
      </w:r>
      <w:r w:rsidRPr="006421A5">
        <w:rPr>
          <w:szCs w:val="22"/>
        </w:rPr>
        <w:t>“</w:t>
      </w:r>
      <w:r w:rsidRPr="00EB2FBD">
        <w:rPr>
          <w:szCs w:val="22"/>
        </w:rPr>
        <w:t>t</w:t>
      </w:r>
      <w:r w:rsidRPr="000A7303" w:rsidR="004F300E">
        <w:rPr>
          <w:szCs w:val="22"/>
        </w:rPr>
        <w:t>he funding amount allocated represents the maximum amount eligible for draw down by</w:t>
      </w:r>
      <w:r w:rsidRPr="000A7303">
        <w:rPr>
          <w:szCs w:val="22"/>
        </w:rPr>
        <w:t xml:space="preserve"> an</w:t>
      </w:r>
      <w:r w:rsidRPr="000A7303" w:rsidR="004F300E">
        <w:rPr>
          <w:szCs w:val="22"/>
        </w:rPr>
        <w:t xml:space="preserve"> </w:t>
      </w:r>
      <w:r w:rsidRPr="00F9477F">
        <w:rPr>
          <w:snapToGrid/>
          <w:kern w:val="0"/>
          <w:szCs w:val="22"/>
        </w:rPr>
        <w:t>eligible provider unless a subsequent funding allocation is made</w:t>
      </w:r>
      <w:r w:rsidRPr="000A7303" w:rsidR="00B94D11">
        <w:rPr>
          <w:szCs w:val="22"/>
        </w:rPr>
        <w:t>.</w:t>
      </w:r>
      <w:r w:rsidRPr="000A7303">
        <w:rPr>
          <w:szCs w:val="22"/>
        </w:rPr>
        <w:t>”</w:t>
      </w:r>
      <w:r>
        <w:rPr>
          <w:rStyle w:val="FootnoteReference"/>
          <w:szCs w:val="22"/>
        </w:rPr>
        <w:footnoteReference w:id="46"/>
      </w:r>
      <w:r w:rsidR="00B94D11">
        <w:rPr>
          <w:szCs w:val="22"/>
        </w:rPr>
        <w:t xml:space="preserve">  </w:t>
      </w:r>
      <w:r w:rsidR="001E28D7">
        <w:rPr>
          <w:szCs w:val="22"/>
        </w:rPr>
        <w:t>Accordingly, o</w:t>
      </w:r>
      <w:r w:rsidR="0070582D">
        <w:rPr>
          <w:szCs w:val="22"/>
        </w:rPr>
        <w:t xml:space="preserve">nce the Bureau makes a </w:t>
      </w:r>
      <w:r w:rsidR="001E28D7">
        <w:rPr>
          <w:szCs w:val="22"/>
        </w:rPr>
        <w:t xml:space="preserve">funding allocation </w:t>
      </w:r>
      <w:r w:rsidR="0070582D">
        <w:rPr>
          <w:szCs w:val="22"/>
        </w:rPr>
        <w:t xml:space="preserve">determination, </w:t>
      </w:r>
      <w:r w:rsidR="001E28D7">
        <w:rPr>
          <w:szCs w:val="22"/>
        </w:rPr>
        <w:t xml:space="preserve">the Bureau will not </w:t>
      </w:r>
      <w:r w:rsidR="00BE6C22">
        <w:rPr>
          <w:szCs w:val="22"/>
        </w:rPr>
        <w:t>adjust</w:t>
      </w:r>
      <w:r w:rsidR="001E28D7">
        <w:rPr>
          <w:szCs w:val="22"/>
        </w:rPr>
        <w:t xml:space="preserve"> the funding allocation amount </w:t>
      </w:r>
      <w:r w:rsidR="00BE6C22">
        <w:rPr>
          <w:szCs w:val="22"/>
        </w:rPr>
        <w:t xml:space="preserve">even if there is a change in the </w:t>
      </w:r>
      <w:r w:rsidR="00CB2121">
        <w:rPr>
          <w:szCs w:val="22"/>
        </w:rPr>
        <w:t xml:space="preserve">participant’s </w:t>
      </w:r>
      <w:r w:rsidR="00BE6C22">
        <w:rPr>
          <w:szCs w:val="22"/>
        </w:rPr>
        <w:t xml:space="preserve">plans or if actual costs exceed estimated costs.  To the extent a participant requires additional funding in excess of its allocated amount, </w:t>
      </w:r>
      <w:r w:rsidR="0070582D">
        <w:rPr>
          <w:szCs w:val="22"/>
        </w:rPr>
        <w:t xml:space="preserve">the participant </w:t>
      </w:r>
      <w:r w:rsidR="00BE6C22">
        <w:rPr>
          <w:szCs w:val="22"/>
        </w:rPr>
        <w:t xml:space="preserve">would need to file a new application if an additional filing window </w:t>
      </w:r>
      <w:r w:rsidR="001E28D7">
        <w:rPr>
          <w:szCs w:val="22"/>
        </w:rPr>
        <w:t>is announced</w:t>
      </w:r>
      <w:r w:rsidR="00BE6C22">
        <w:rPr>
          <w:szCs w:val="22"/>
        </w:rPr>
        <w:t>.</w:t>
      </w:r>
      <w:r w:rsidR="00D8422F">
        <w:rPr>
          <w:szCs w:val="22"/>
        </w:rPr>
        <w:t xml:space="preserve">  </w:t>
      </w:r>
    </w:p>
    <w:p w:rsidR="003F4B7B" w:rsidP="007E7DCB" w14:paraId="24D27765" w14:textId="20BDA447">
      <w:pPr>
        <w:spacing w:after="120"/>
        <w:ind w:firstLine="720"/>
        <w:rPr>
          <w:bCs/>
          <w:szCs w:val="22"/>
        </w:rPr>
      </w:pPr>
      <w:r w:rsidRPr="00BE6C22">
        <w:rPr>
          <w:i/>
          <w:iCs/>
          <w:szCs w:val="22"/>
        </w:rPr>
        <w:t>Reimbursement Claim Request</w:t>
      </w:r>
      <w:r>
        <w:rPr>
          <w:szCs w:val="22"/>
        </w:rPr>
        <w:t xml:space="preserve">.  </w:t>
      </w:r>
      <w:r w:rsidR="009C0F16">
        <w:rPr>
          <w:szCs w:val="22"/>
        </w:rPr>
        <w:t>In this section</w:t>
      </w:r>
      <w:r w:rsidR="00F93911">
        <w:rPr>
          <w:szCs w:val="22"/>
        </w:rPr>
        <w:t>,</w:t>
      </w:r>
      <w:r w:rsidR="009C0F16">
        <w:rPr>
          <w:szCs w:val="22"/>
        </w:rPr>
        <w:t xml:space="preserve"> </w:t>
      </w:r>
      <w:r w:rsidR="009C0F16">
        <w:t xml:space="preserve">we </w:t>
      </w:r>
      <w:r w:rsidR="00F93911">
        <w:t xml:space="preserve">outline our </w:t>
      </w:r>
      <w:r w:rsidR="009C0F16">
        <w:t>propose</w:t>
      </w:r>
      <w:r w:rsidR="00F93911">
        <w:t xml:space="preserve">d </w:t>
      </w:r>
      <w:r w:rsidR="009C0F16">
        <w:t xml:space="preserve">approach to process recipients’ requests for reimbursement.  </w:t>
      </w:r>
      <w:r w:rsidRPr="006539ED" w:rsidR="009B705B">
        <w:rPr>
          <w:szCs w:val="22"/>
        </w:rPr>
        <w:t xml:space="preserve">Following the approval and issuance of a funding allocation, </w:t>
      </w:r>
      <w:r w:rsidR="00FF7DC5">
        <w:rPr>
          <w:szCs w:val="22"/>
        </w:rPr>
        <w:t xml:space="preserve">a </w:t>
      </w:r>
      <w:r w:rsidRPr="006539ED" w:rsidR="009B705B">
        <w:rPr>
          <w:szCs w:val="22"/>
        </w:rPr>
        <w:t>recipient</w:t>
      </w:r>
      <w:r w:rsidR="0070582D">
        <w:rPr>
          <w:szCs w:val="22"/>
        </w:rPr>
        <w:t xml:space="preserve"> </w:t>
      </w:r>
      <w:r w:rsidRPr="006539ED" w:rsidR="009B705B">
        <w:rPr>
          <w:szCs w:val="22"/>
        </w:rPr>
        <w:t>may</w:t>
      </w:r>
      <w:r w:rsidR="00FF7DC5">
        <w:rPr>
          <w:szCs w:val="22"/>
        </w:rPr>
        <w:t>, as provided by the Commission’s rules,</w:t>
      </w:r>
      <w:r w:rsidRPr="006539ED" w:rsidR="009B705B">
        <w:rPr>
          <w:szCs w:val="22"/>
        </w:rPr>
        <w:t xml:space="preserve"> file a </w:t>
      </w:r>
      <w:r w:rsidR="000313D3">
        <w:rPr>
          <w:szCs w:val="22"/>
        </w:rPr>
        <w:t>R</w:t>
      </w:r>
      <w:r w:rsidRPr="006539ED" w:rsidR="009B705B">
        <w:rPr>
          <w:szCs w:val="22"/>
        </w:rPr>
        <w:t xml:space="preserve">eimbursement </w:t>
      </w:r>
      <w:r w:rsidR="000313D3">
        <w:rPr>
          <w:szCs w:val="22"/>
        </w:rPr>
        <w:t>C</w:t>
      </w:r>
      <w:r w:rsidRPr="006539ED" w:rsidR="009B705B">
        <w:rPr>
          <w:szCs w:val="22"/>
        </w:rPr>
        <w:t xml:space="preserve">laim </w:t>
      </w:r>
      <w:r w:rsidR="000313D3">
        <w:rPr>
          <w:szCs w:val="22"/>
        </w:rPr>
        <w:t>R</w:t>
      </w:r>
      <w:r w:rsidRPr="006539ED" w:rsidR="009B705B">
        <w:rPr>
          <w:szCs w:val="22"/>
        </w:rPr>
        <w:t>equest for the draw down disbursement of funds from the recipient’s funding allocation.</w:t>
      </w:r>
      <w:r>
        <w:rPr>
          <w:rStyle w:val="FootnoteReference"/>
          <w:szCs w:val="22"/>
        </w:rPr>
        <w:footnoteReference w:id="47"/>
      </w:r>
      <w:r w:rsidRPr="006539ED" w:rsidR="009B705B">
        <w:rPr>
          <w:szCs w:val="22"/>
        </w:rPr>
        <w:t xml:space="preserve"> </w:t>
      </w:r>
      <w:r w:rsidRPr="006539ED" w:rsidR="002C6DB7">
        <w:rPr>
          <w:szCs w:val="22"/>
        </w:rPr>
        <w:t xml:space="preserve"> </w:t>
      </w:r>
      <w:r w:rsidR="0070582D">
        <w:rPr>
          <w:szCs w:val="22"/>
        </w:rPr>
        <w:t xml:space="preserve">Pursuant to the Commission’s rules, </w:t>
      </w:r>
      <w:r w:rsidR="00735705">
        <w:rPr>
          <w:szCs w:val="22"/>
        </w:rPr>
        <w:t>a recipient must file a</w:t>
      </w:r>
      <w:r w:rsidR="00821195">
        <w:rPr>
          <w:szCs w:val="22"/>
        </w:rPr>
        <w:t xml:space="preserve">n initial </w:t>
      </w:r>
      <w:r w:rsidR="00735705">
        <w:rPr>
          <w:szCs w:val="22"/>
        </w:rPr>
        <w:t>Reimbursement Claim Request</w:t>
      </w:r>
      <w:r w:rsidRPr="00BA11D2" w:rsidR="00BA11D2">
        <w:rPr>
          <w:szCs w:val="22"/>
        </w:rPr>
        <w:t xml:space="preserve"> </w:t>
      </w:r>
      <w:r w:rsidR="00BA11D2">
        <w:rPr>
          <w:szCs w:val="22"/>
        </w:rPr>
        <w:t>within one year following the approval by the Bureau of a funding allocation</w:t>
      </w:r>
      <w:r w:rsidR="00735705">
        <w:rPr>
          <w:szCs w:val="22"/>
        </w:rPr>
        <w:t>.</w:t>
      </w:r>
      <w:r>
        <w:rPr>
          <w:rStyle w:val="FootnoteReference"/>
          <w:szCs w:val="22"/>
        </w:rPr>
        <w:footnoteReference w:id="48"/>
      </w:r>
      <w:r w:rsidR="00735705">
        <w:rPr>
          <w:szCs w:val="22"/>
        </w:rPr>
        <w:t xml:space="preserve">  </w:t>
      </w:r>
      <w:r w:rsidR="000C51C0">
        <w:rPr>
          <w:szCs w:val="22"/>
        </w:rPr>
        <w:t xml:space="preserve">The Bureau proposes to collect </w:t>
      </w:r>
      <w:r w:rsidR="00210630">
        <w:rPr>
          <w:szCs w:val="22"/>
        </w:rPr>
        <w:t xml:space="preserve">the </w:t>
      </w:r>
      <w:r w:rsidR="000C51C0">
        <w:rPr>
          <w:szCs w:val="22"/>
        </w:rPr>
        <w:t>information reflected in Appendix B from recipients filing a Reimbursement Claim Request</w:t>
      </w:r>
      <w:r>
        <w:rPr>
          <w:szCs w:val="22"/>
        </w:rPr>
        <w:t>.</w:t>
      </w:r>
      <w:r>
        <w:rPr>
          <w:rStyle w:val="FootnoteReference"/>
          <w:bCs/>
          <w:szCs w:val="22"/>
        </w:rPr>
        <w:footnoteReference w:id="49"/>
      </w:r>
      <w:r w:rsidRPr="006539ED">
        <w:rPr>
          <w:bCs/>
          <w:szCs w:val="22"/>
        </w:rPr>
        <w:t xml:space="preserve">  </w:t>
      </w:r>
      <w:r w:rsidR="00E717D7">
        <w:rPr>
          <w:bCs/>
          <w:szCs w:val="22"/>
        </w:rPr>
        <w:t>We seek comment on the</w:t>
      </w:r>
      <w:r w:rsidR="009C0F16">
        <w:rPr>
          <w:bCs/>
          <w:szCs w:val="22"/>
        </w:rPr>
        <w:t xml:space="preserve"> </w:t>
      </w:r>
      <w:r w:rsidR="007A58C3">
        <w:rPr>
          <w:bCs/>
          <w:szCs w:val="22"/>
        </w:rPr>
        <w:t xml:space="preserve">information </w:t>
      </w:r>
      <w:r w:rsidR="00E717D7">
        <w:rPr>
          <w:bCs/>
          <w:szCs w:val="22"/>
        </w:rPr>
        <w:t>fields</w:t>
      </w:r>
      <w:r w:rsidR="009C0F16">
        <w:rPr>
          <w:bCs/>
          <w:szCs w:val="22"/>
        </w:rPr>
        <w:t xml:space="preserve"> included in the proposed Reimbursement Claim Request</w:t>
      </w:r>
      <w:r w:rsidR="00E717D7">
        <w:rPr>
          <w:bCs/>
          <w:szCs w:val="22"/>
        </w:rPr>
        <w:t>.  Is this sufficient information for applicants to provide?  Are there additional information fi</w:t>
      </w:r>
      <w:r w:rsidR="00BE5BFE">
        <w:rPr>
          <w:bCs/>
          <w:szCs w:val="22"/>
        </w:rPr>
        <w:t>elds we should include?</w:t>
      </w:r>
    </w:p>
    <w:p w:rsidR="009F31BE" w:rsidP="007E7DCB" w14:paraId="31CD650D" w14:textId="2653F888">
      <w:pPr>
        <w:spacing w:after="120"/>
        <w:ind w:firstLine="720"/>
        <w:rPr>
          <w:szCs w:val="22"/>
        </w:rPr>
      </w:pPr>
      <w:r>
        <w:rPr>
          <w:szCs w:val="22"/>
        </w:rPr>
        <w:t>Pursuant to the Commission’s rules, t</w:t>
      </w:r>
      <w:r w:rsidRPr="006539ED" w:rsidR="009B705B">
        <w:rPr>
          <w:szCs w:val="22"/>
        </w:rPr>
        <w:t xml:space="preserve">he recipient must show in the </w:t>
      </w:r>
      <w:r w:rsidR="000313D3">
        <w:rPr>
          <w:szCs w:val="22"/>
        </w:rPr>
        <w:t>R</w:t>
      </w:r>
      <w:r w:rsidRPr="006539ED" w:rsidR="009B705B">
        <w:rPr>
          <w:szCs w:val="22"/>
        </w:rPr>
        <w:t xml:space="preserve">eimbursement </w:t>
      </w:r>
      <w:r w:rsidR="000313D3">
        <w:rPr>
          <w:szCs w:val="22"/>
        </w:rPr>
        <w:t>C</w:t>
      </w:r>
      <w:r w:rsidRPr="006539ED" w:rsidR="009B705B">
        <w:rPr>
          <w:szCs w:val="22"/>
        </w:rPr>
        <w:t xml:space="preserve">laim </w:t>
      </w:r>
      <w:r w:rsidR="000313D3">
        <w:rPr>
          <w:szCs w:val="22"/>
        </w:rPr>
        <w:t>R</w:t>
      </w:r>
      <w:r w:rsidRPr="006539ED" w:rsidR="00B55F0A">
        <w:rPr>
          <w:szCs w:val="22"/>
        </w:rPr>
        <w:t xml:space="preserve">equest </w:t>
      </w:r>
      <w:r w:rsidR="00A33F59">
        <w:rPr>
          <w:szCs w:val="22"/>
        </w:rPr>
        <w:t>“</w:t>
      </w:r>
      <w:r w:rsidRPr="006539ED" w:rsidR="009B705B">
        <w:rPr>
          <w:szCs w:val="22"/>
        </w:rPr>
        <w:t>actual expenses reasonably incurred for the removal, replacement, and disposal of covered communications equipment or service.</w:t>
      </w:r>
      <w:r w:rsidR="00A33F59">
        <w:rPr>
          <w:szCs w:val="22"/>
        </w:rPr>
        <w:t>”</w:t>
      </w:r>
      <w:r>
        <w:rPr>
          <w:rStyle w:val="FootnoteReference"/>
          <w:szCs w:val="22"/>
        </w:rPr>
        <w:footnoteReference w:id="50"/>
      </w:r>
      <w:r w:rsidRPr="006539ED" w:rsidR="009B705B">
        <w:rPr>
          <w:szCs w:val="22"/>
        </w:rPr>
        <w:t xml:space="preserve"> </w:t>
      </w:r>
      <w:r w:rsidRPr="006539ED" w:rsidR="00B55F0A">
        <w:rPr>
          <w:szCs w:val="22"/>
        </w:rPr>
        <w:t xml:space="preserve"> </w:t>
      </w:r>
      <w:r w:rsidR="00A33F59">
        <w:rPr>
          <w:szCs w:val="22"/>
        </w:rPr>
        <w:t xml:space="preserve">Consistent with the </w:t>
      </w:r>
      <w:r w:rsidRPr="00F9477F" w:rsidR="00A33F59">
        <w:rPr>
          <w:i/>
          <w:iCs/>
          <w:szCs w:val="22"/>
        </w:rPr>
        <w:t>Second Report and Order</w:t>
      </w:r>
      <w:r w:rsidR="00A33F59">
        <w:rPr>
          <w:szCs w:val="22"/>
        </w:rPr>
        <w:t>, we propose requiring r</w:t>
      </w:r>
      <w:r w:rsidR="000313D3">
        <w:rPr>
          <w:szCs w:val="22"/>
        </w:rPr>
        <w:t>ecipients</w:t>
      </w:r>
      <w:r w:rsidR="00ED0218">
        <w:rPr>
          <w:szCs w:val="22"/>
        </w:rPr>
        <w:t>’</w:t>
      </w:r>
      <w:r w:rsidRPr="006539ED" w:rsidR="00E26F59">
        <w:rPr>
          <w:szCs w:val="22"/>
        </w:rPr>
        <w:t xml:space="preserve"> </w:t>
      </w:r>
      <w:r w:rsidR="000313D3">
        <w:rPr>
          <w:szCs w:val="22"/>
        </w:rPr>
        <w:t>R</w:t>
      </w:r>
      <w:r w:rsidRPr="006539ED" w:rsidR="00E26F59">
        <w:rPr>
          <w:szCs w:val="22"/>
        </w:rPr>
        <w:t xml:space="preserve">eimbursement </w:t>
      </w:r>
      <w:r w:rsidR="000313D3">
        <w:rPr>
          <w:szCs w:val="22"/>
        </w:rPr>
        <w:t>C</w:t>
      </w:r>
      <w:r w:rsidRPr="006539ED" w:rsidR="00E26F59">
        <w:rPr>
          <w:szCs w:val="22"/>
        </w:rPr>
        <w:t>laim</w:t>
      </w:r>
      <w:r w:rsidR="000313D3">
        <w:rPr>
          <w:szCs w:val="22"/>
        </w:rPr>
        <w:t xml:space="preserve"> R</w:t>
      </w:r>
      <w:r w:rsidRPr="006539ED" w:rsidR="00E26F59">
        <w:rPr>
          <w:szCs w:val="22"/>
        </w:rPr>
        <w:t>equest</w:t>
      </w:r>
      <w:r w:rsidR="00F84986">
        <w:rPr>
          <w:szCs w:val="22"/>
        </w:rPr>
        <w:t>s</w:t>
      </w:r>
      <w:r w:rsidRPr="006539ED" w:rsidR="00E26F59">
        <w:rPr>
          <w:szCs w:val="22"/>
        </w:rPr>
        <w:t xml:space="preserve"> </w:t>
      </w:r>
      <w:r w:rsidR="00A33F59">
        <w:rPr>
          <w:szCs w:val="22"/>
        </w:rPr>
        <w:t xml:space="preserve">to </w:t>
      </w:r>
      <w:r w:rsidRPr="006539ED" w:rsidR="00E26F59">
        <w:rPr>
          <w:szCs w:val="22"/>
        </w:rPr>
        <w:t xml:space="preserve">include supporting documentation including </w:t>
      </w:r>
      <w:r w:rsidRPr="006539ED" w:rsidR="00E26F59">
        <w:rPr>
          <w:szCs w:val="22"/>
        </w:rPr>
        <w:t>invoices and other cost documentation</w:t>
      </w:r>
      <w:r w:rsidR="00BA11D2">
        <w:rPr>
          <w:szCs w:val="22"/>
        </w:rPr>
        <w:t xml:space="preserve"> </w:t>
      </w:r>
      <w:r w:rsidRPr="006539ED" w:rsidR="00E26F59">
        <w:rPr>
          <w:szCs w:val="22"/>
        </w:rPr>
        <w:t>to obtain reimbursement funds from their allocation.</w:t>
      </w:r>
      <w:r>
        <w:rPr>
          <w:rStyle w:val="FootnoteReference"/>
          <w:szCs w:val="22"/>
        </w:rPr>
        <w:footnoteReference w:id="51"/>
      </w:r>
      <w:r w:rsidRPr="006539ED" w:rsidR="00E26F59">
        <w:rPr>
          <w:szCs w:val="22"/>
        </w:rPr>
        <w:t xml:space="preserve">  </w:t>
      </w:r>
      <w:r w:rsidR="00CD4F11">
        <w:rPr>
          <w:szCs w:val="22"/>
        </w:rPr>
        <w:t>We propose allowing r</w:t>
      </w:r>
      <w:r w:rsidRPr="006539ED" w:rsidR="00E26F59">
        <w:rPr>
          <w:szCs w:val="22"/>
        </w:rPr>
        <w:t xml:space="preserve">ecipients </w:t>
      </w:r>
      <w:r w:rsidR="00CD4F11">
        <w:rPr>
          <w:szCs w:val="22"/>
        </w:rPr>
        <w:t xml:space="preserve">to </w:t>
      </w:r>
      <w:r w:rsidRPr="006539ED" w:rsidR="00E26F59">
        <w:rPr>
          <w:szCs w:val="22"/>
        </w:rPr>
        <w:t xml:space="preserve">submit multiple </w:t>
      </w:r>
      <w:r w:rsidR="00BB7F0F">
        <w:rPr>
          <w:szCs w:val="22"/>
        </w:rPr>
        <w:t>R</w:t>
      </w:r>
      <w:r w:rsidRPr="006539ED" w:rsidR="00E26F59">
        <w:rPr>
          <w:szCs w:val="22"/>
        </w:rPr>
        <w:t xml:space="preserve">eimbursement </w:t>
      </w:r>
      <w:r w:rsidR="00BB7F0F">
        <w:rPr>
          <w:szCs w:val="22"/>
        </w:rPr>
        <w:t>Claim R</w:t>
      </w:r>
      <w:r w:rsidRPr="006539ED" w:rsidR="00E26F59">
        <w:rPr>
          <w:szCs w:val="22"/>
        </w:rPr>
        <w:t>equests as they incur expenses throughout the reimbursement period.</w:t>
      </w:r>
      <w:r>
        <w:rPr>
          <w:rStyle w:val="FootnoteReference"/>
          <w:szCs w:val="22"/>
        </w:rPr>
        <w:footnoteReference w:id="52"/>
      </w:r>
      <w:r w:rsidRPr="006539ED" w:rsidR="00E26F59">
        <w:rPr>
          <w:szCs w:val="22"/>
        </w:rPr>
        <w:t xml:space="preserve">  </w:t>
      </w:r>
      <w:r w:rsidR="00CD4F11">
        <w:rPr>
          <w:szCs w:val="22"/>
        </w:rPr>
        <w:t xml:space="preserve">The Commission directed the Bureau to “review </w:t>
      </w:r>
      <w:r w:rsidRPr="00CD4F11" w:rsidR="00CD4F11">
        <w:rPr>
          <w:szCs w:val="22"/>
        </w:rPr>
        <w:t>reimbursement claims to ensure that disbursements are made only for costs reasonably incurred.</w:t>
      </w:r>
      <w:r w:rsidR="00CD4F11">
        <w:rPr>
          <w:szCs w:val="22"/>
        </w:rPr>
        <w:t>”</w:t>
      </w:r>
      <w:r>
        <w:rPr>
          <w:rStyle w:val="FootnoteReference"/>
          <w:szCs w:val="22"/>
        </w:rPr>
        <w:footnoteReference w:id="53"/>
      </w:r>
      <w:r w:rsidR="00CD4F11">
        <w:rPr>
          <w:szCs w:val="22"/>
        </w:rPr>
        <w:t xml:space="preserve">  </w:t>
      </w:r>
      <w:r>
        <w:rPr>
          <w:szCs w:val="22"/>
        </w:rPr>
        <w:t>We propose having t</w:t>
      </w:r>
      <w:r w:rsidRPr="006539ED" w:rsidR="009B705B">
        <w:rPr>
          <w:szCs w:val="22"/>
        </w:rPr>
        <w:t xml:space="preserve">he Bureau, with the assistance of the </w:t>
      </w:r>
      <w:r w:rsidR="00ED0218">
        <w:rPr>
          <w:szCs w:val="22"/>
        </w:rPr>
        <w:t xml:space="preserve">Fund </w:t>
      </w:r>
      <w:r w:rsidRPr="006539ED" w:rsidR="009B705B">
        <w:rPr>
          <w:szCs w:val="22"/>
        </w:rPr>
        <w:t xml:space="preserve">Administrator, review and grant or deny </w:t>
      </w:r>
      <w:r w:rsidR="00BB7F0F">
        <w:rPr>
          <w:szCs w:val="22"/>
        </w:rPr>
        <w:t>R</w:t>
      </w:r>
      <w:r w:rsidRPr="006539ED" w:rsidR="009B705B">
        <w:rPr>
          <w:szCs w:val="22"/>
        </w:rPr>
        <w:t xml:space="preserve">eimbursement </w:t>
      </w:r>
      <w:r w:rsidR="00BB7F0F">
        <w:rPr>
          <w:szCs w:val="22"/>
        </w:rPr>
        <w:t>C</w:t>
      </w:r>
      <w:r w:rsidRPr="006539ED" w:rsidR="009B705B">
        <w:rPr>
          <w:szCs w:val="22"/>
        </w:rPr>
        <w:t>laim</w:t>
      </w:r>
      <w:r w:rsidR="00BB7F0F">
        <w:rPr>
          <w:szCs w:val="22"/>
        </w:rPr>
        <w:t xml:space="preserve"> Requests</w:t>
      </w:r>
      <w:r w:rsidRPr="006539ED" w:rsidR="009B705B">
        <w:rPr>
          <w:szCs w:val="22"/>
        </w:rPr>
        <w:t xml:space="preserve"> for actual costs reasonably incurred</w:t>
      </w:r>
      <w:r w:rsidR="00772F79">
        <w:rPr>
          <w:szCs w:val="22"/>
        </w:rPr>
        <w:t xml:space="preserve"> and seek comment on this approach</w:t>
      </w:r>
      <w:r w:rsidRPr="006539ED" w:rsidR="009B705B">
        <w:rPr>
          <w:szCs w:val="22"/>
        </w:rPr>
        <w:t xml:space="preserve">.  </w:t>
      </w:r>
    </w:p>
    <w:p w:rsidR="007517FF" w:rsidRPr="006539ED" w:rsidP="007E7DCB" w14:paraId="576CCB0C" w14:textId="6A17A465">
      <w:pPr>
        <w:spacing w:after="120"/>
        <w:ind w:firstLine="720"/>
        <w:rPr>
          <w:szCs w:val="22"/>
        </w:rPr>
      </w:pPr>
      <w:r>
        <w:rPr>
          <w:szCs w:val="22"/>
        </w:rPr>
        <w:t>We propose to have t</w:t>
      </w:r>
      <w:r>
        <w:rPr>
          <w:szCs w:val="22"/>
        </w:rPr>
        <w:t xml:space="preserve">he </w:t>
      </w:r>
      <w:r w:rsidR="00E408A7">
        <w:rPr>
          <w:szCs w:val="22"/>
        </w:rPr>
        <w:t xml:space="preserve">online </w:t>
      </w:r>
      <w:r>
        <w:rPr>
          <w:szCs w:val="22"/>
        </w:rPr>
        <w:t xml:space="preserve">filing system carry forward the itemized </w:t>
      </w:r>
      <w:r w:rsidR="00E408A7">
        <w:rPr>
          <w:szCs w:val="22"/>
        </w:rPr>
        <w:t xml:space="preserve">initial </w:t>
      </w:r>
      <w:r>
        <w:rPr>
          <w:szCs w:val="22"/>
        </w:rPr>
        <w:t xml:space="preserve">cost estimates </w:t>
      </w:r>
      <w:r w:rsidR="000313D3">
        <w:rPr>
          <w:szCs w:val="22"/>
        </w:rPr>
        <w:t xml:space="preserve">identified by the applicant </w:t>
      </w:r>
      <w:r>
        <w:rPr>
          <w:szCs w:val="22"/>
        </w:rPr>
        <w:t xml:space="preserve">in </w:t>
      </w:r>
      <w:r w:rsidR="000313D3">
        <w:rPr>
          <w:szCs w:val="22"/>
        </w:rPr>
        <w:t>its</w:t>
      </w:r>
      <w:r>
        <w:rPr>
          <w:szCs w:val="22"/>
        </w:rPr>
        <w:t xml:space="preserve"> </w:t>
      </w:r>
      <w:r w:rsidR="00E408A7">
        <w:rPr>
          <w:szCs w:val="22"/>
        </w:rPr>
        <w:t>A</w:t>
      </w:r>
      <w:r>
        <w:rPr>
          <w:szCs w:val="22"/>
        </w:rPr>
        <w:t xml:space="preserve">pplication </w:t>
      </w:r>
      <w:r w:rsidR="00E408A7">
        <w:rPr>
          <w:szCs w:val="22"/>
        </w:rPr>
        <w:t>R</w:t>
      </w:r>
      <w:r>
        <w:rPr>
          <w:szCs w:val="22"/>
        </w:rPr>
        <w:t xml:space="preserve">equest for </w:t>
      </w:r>
      <w:r w:rsidR="00E408A7">
        <w:rPr>
          <w:szCs w:val="22"/>
        </w:rPr>
        <w:t>F</w:t>
      </w:r>
      <w:r>
        <w:rPr>
          <w:szCs w:val="22"/>
        </w:rPr>
        <w:t xml:space="preserve">unding </w:t>
      </w:r>
      <w:r w:rsidR="00E408A7">
        <w:rPr>
          <w:szCs w:val="22"/>
        </w:rPr>
        <w:t>A</w:t>
      </w:r>
      <w:r>
        <w:rPr>
          <w:szCs w:val="22"/>
        </w:rPr>
        <w:t xml:space="preserve">llocation, and </w:t>
      </w:r>
      <w:r w:rsidR="007C59EB">
        <w:rPr>
          <w:szCs w:val="22"/>
        </w:rPr>
        <w:t xml:space="preserve">that </w:t>
      </w:r>
      <w:r>
        <w:rPr>
          <w:szCs w:val="22"/>
        </w:rPr>
        <w:t xml:space="preserve">recipients </w:t>
      </w:r>
      <w:r w:rsidR="007C59EB">
        <w:rPr>
          <w:szCs w:val="22"/>
        </w:rPr>
        <w:t xml:space="preserve">be required </w:t>
      </w:r>
      <w:r>
        <w:rPr>
          <w:szCs w:val="22"/>
        </w:rPr>
        <w:t xml:space="preserve">to </w:t>
      </w:r>
      <w:r w:rsidR="00E408A7">
        <w:rPr>
          <w:szCs w:val="22"/>
        </w:rPr>
        <w:t xml:space="preserve">link </w:t>
      </w:r>
      <w:r>
        <w:rPr>
          <w:szCs w:val="22"/>
        </w:rPr>
        <w:t xml:space="preserve">actual costs incurred and the supporting invoice documentation to these itemized </w:t>
      </w:r>
      <w:r w:rsidR="00E408A7">
        <w:rPr>
          <w:szCs w:val="22"/>
        </w:rPr>
        <w:t xml:space="preserve">initial </w:t>
      </w:r>
      <w:r>
        <w:rPr>
          <w:szCs w:val="22"/>
        </w:rPr>
        <w:t xml:space="preserve">cost estimates.  </w:t>
      </w:r>
      <w:r w:rsidR="00BA11D2">
        <w:rPr>
          <w:szCs w:val="22"/>
        </w:rPr>
        <w:t>R</w:t>
      </w:r>
      <w:r w:rsidR="00C959EE">
        <w:rPr>
          <w:szCs w:val="22"/>
        </w:rPr>
        <w:t xml:space="preserve">ecipients </w:t>
      </w:r>
      <w:r w:rsidR="00BA11D2">
        <w:rPr>
          <w:szCs w:val="22"/>
        </w:rPr>
        <w:t xml:space="preserve">will be required to </w:t>
      </w:r>
      <w:r w:rsidR="00C959EE">
        <w:rPr>
          <w:szCs w:val="22"/>
        </w:rPr>
        <w:t xml:space="preserve">submit invoices </w:t>
      </w:r>
      <w:r w:rsidR="00677660">
        <w:rPr>
          <w:szCs w:val="22"/>
        </w:rPr>
        <w:t xml:space="preserve">through the online portal as attachments to a recipient’s Reimbursement Claim Request.  </w:t>
      </w:r>
      <w:r>
        <w:rPr>
          <w:szCs w:val="22"/>
        </w:rPr>
        <w:t xml:space="preserve">With each invoice uploaded, </w:t>
      </w:r>
      <w:r w:rsidR="00C959EE">
        <w:rPr>
          <w:szCs w:val="22"/>
        </w:rPr>
        <w:t xml:space="preserve">we propose requiring </w:t>
      </w:r>
      <w:r>
        <w:rPr>
          <w:szCs w:val="22"/>
        </w:rPr>
        <w:t xml:space="preserve">the </w:t>
      </w:r>
      <w:r w:rsidR="00BA11D2">
        <w:rPr>
          <w:szCs w:val="22"/>
        </w:rPr>
        <w:t xml:space="preserve">recipient </w:t>
      </w:r>
      <w:r>
        <w:rPr>
          <w:szCs w:val="22"/>
        </w:rPr>
        <w:t xml:space="preserve">to provide specific details related to the invoice (vendor name, date issued, description of contents, etc.) to assist reviewers in linking invoices to specific itemized cost estimates. </w:t>
      </w:r>
      <w:r w:rsidR="00AE0D8B">
        <w:rPr>
          <w:szCs w:val="22"/>
        </w:rPr>
        <w:t xml:space="preserve"> </w:t>
      </w:r>
      <w:r>
        <w:rPr>
          <w:szCs w:val="22"/>
        </w:rPr>
        <w:t>Also</w:t>
      </w:r>
      <w:r w:rsidR="00E408A7">
        <w:rPr>
          <w:szCs w:val="22"/>
        </w:rPr>
        <w:t>,</w:t>
      </w:r>
      <w:r w:rsidR="00C959EE">
        <w:rPr>
          <w:szCs w:val="22"/>
        </w:rPr>
        <w:t xml:space="preserve"> </w:t>
      </w:r>
      <w:r>
        <w:rPr>
          <w:szCs w:val="22"/>
        </w:rPr>
        <w:t>while not require</w:t>
      </w:r>
      <w:r w:rsidR="00CB3384">
        <w:rPr>
          <w:szCs w:val="22"/>
        </w:rPr>
        <w:t>d</w:t>
      </w:r>
      <w:r>
        <w:rPr>
          <w:szCs w:val="22"/>
        </w:rPr>
        <w:t xml:space="preserve"> at the funding allocation stage</w:t>
      </w:r>
      <w:r w:rsidR="00FF7DC5">
        <w:rPr>
          <w:szCs w:val="22"/>
        </w:rPr>
        <w:t xml:space="preserve"> for those relying on the Catalog</w:t>
      </w:r>
      <w:r>
        <w:rPr>
          <w:szCs w:val="22"/>
        </w:rPr>
        <w:t xml:space="preserve">, </w:t>
      </w:r>
      <w:r w:rsidR="00C959EE">
        <w:rPr>
          <w:szCs w:val="22"/>
        </w:rPr>
        <w:t xml:space="preserve">we propose requiring </w:t>
      </w:r>
      <w:r w:rsidR="00BA11D2">
        <w:rPr>
          <w:szCs w:val="22"/>
        </w:rPr>
        <w:t xml:space="preserve">recipients </w:t>
      </w:r>
      <w:r>
        <w:rPr>
          <w:szCs w:val="22"/>
        </w:rPr>
        <w:t xml:space="preserve">seeking disbursements to </w:t>
      </w:r>
      <w:r w:rsidR="00BA11D2">
        <w:rPr>
          <w:szCs w:val="22"/>
        </w:rPr>
        <w:t xml:space="preserve">provide </w:t>
      </w:r>
      <w:r w:rsidR="00AF47D1">
        <w:rPr>
          <w:szCs w:val="22"/>
        </w:rPr>
        <w:t>vendor</w:t>
      </w:r>
      <w:r w:rsidR="00BA11D2">
        <w:rPr>
          <w:szCs w:val="22"/>
        </w:rPr>
        <w:t xml:space="preserve"> and </w:t>
      </w:r>
      <w:r w:rsidR="00AF47D1">
        <w:rPr>
          <w:szCs w:val="22"/>
        </w:rPr>
        <w:t>suppl</w:t>
      </w:r>
      <w:r w:rsidR="006C7002">
        <w:rPr>
          <w:szCs w:val="22"/>
        </w:rPr>
        <w:t>i</w:t>
      </w:r>
      <w:r w:rsidR="00AF47D1">
        <w:rPr>
          <w:szCs w:val="22"/>
        </w:rPr>
        <w:t xml:space="preserve">er </w:t>
      </w:r>
      <w:r>
        <w:rPr>
          <w:szCs w:val="22"/>
        </w:rPr>
        <w:t xml:space="preserve">quotes </w:t>
      </w:r>
      <w:r w:rsidR="000313D3">
        <w:rPr>
          <w:szCs w:val="22"/>
        </w:rPr>
        <w:t xml:space="preserve">with </w:t>
      </w:r>
      <w:r w:rsidR="00BA11D2">
        <w:rPr>
          <w:szCs w:val="22"/>
        </w:rPr>
        <w:t xml:space="preserve">the </w:t>
      </w:r>
      <w:r w:rsidR="000313D3">
        <w:rPr>
          <w:szCs w:val="22"/>
        </w:rPr>
        <w:t>Reimbursement Claim Request</w:t>
      </w:r>
      <w:r w:rsidR="00EB49E5">
        <w:rPr>
          <w:szCs w:val="22"/>
        </w:rPr>
        <w:t>.  The Fund Administrator will review the quote and the associated invoice to evaluate the reasonableness of the reimbursement claim</w:t>
      </w:r>
      <w:r w:rsidR="000313D3">
        <w:rPr>
          <w:szCs w:val="22"/>
        </w:rPr>
        <w:t>.</w:t>
      </w:r>
      <w:r w:rsidR="00C82999">
        <w:rPr>
          <w:szCs w:val="22"/>
        </w:rPr>
        <w:t xml:space="preserve">  </w:t>
      </w:r>
      <w:r w:rsidR="00C959EE">
        <w:rPr>
          <w:szCs w:val="22"/>
        </w:rPr>
        <w:t xml:space="preserve">We anticipate that this </w:t>
      </w:r>
      <w:r w:rsidR="00677660">
        <w:rPr>
          <w:szCs w:val="22"/>
        </w:rPr>
        <w:t xml:space="preserve">will </w:t>
      </w:r>
      <w:r w:rsidR="00AE0D8B">
        <w:rPr>
          <w:szCs w:val="22"/>
        </w:rPr>
        <w:t>ensure Reimbursement Program funding is spent as intended</w:t>
      </w:r>
      <w:r w:rsidR="0006063D">
        <w:rPr>
          <w:szCs w:val="22"/>
        </w:rPr>
        <w:t xml:space="preserve"> and avoid reimbursement for duplicative costs</w:t>
      </w:r>
      <w:r w:rsidR="00AE0D8B">
        <w:rPr>
          <w:szCs w:val="22"/>
        </w:rPr>
        <w:t>.</w:t>
      </w:r>
      <w:r w:rsidR="002036F7">
        <w:rPr>
          <w:szCs w:val="22"/>
        </w:rPr>
        <w:t xml:space="preserve"> </w:t>
      </w:r>
      <w:r w:rsidR="00C959EE">
        <w:rPr>
          <w:szCs w:val="22"/>
        </w:rPr>
        <w:t xml:space="preserve"> </w:t>
      </w:r>
      <w:r w:rsidR="002036F7">
        <w:rPr>
          <w:szCs w:val="22"/>
        </w:rPr>
        <w:t>We seek comment on these proposals.</w:t>
      </w:r>
    </w:p>
    <w:p w:rsidR="003F4B7B" w:rsidP="003F4B7B" w14:paraId="7248E0B7" w14:textId="1C95879F">
      <w:pPr>
        <w:widowControl/>
        <w:spacing w:after="120"/>
        <w:ind w:firstLine="720"/>
        <w:rPr>
          <w:bCs/>
          <w:szCs w:val="22"/>
        </w:rPr>
      </w:pPr>
      <w:r>
        <w:rPr>
          <w:szCs w:val="22"/>
        </w:rPr>
        <w:t>Pursuant to the Commission’s rules, r</w:t>
      </w:r>
      <w:r w:rsidRPr="006539ED" w:rsidR="00952D7B">
        <w:rPr>
          <w:szCs w:val="22"/>
        </w:rPr>
        <w:t xml:space="preserve">ecipients </w:t>
      </w:r>
      <w:r w:rsidR="00C959EE">
        <w:rPr>
          <w:szCs w:val="22"/>
        </w:rPr>
        <w:t>are required to</w:t>
      </w:r>
      <w:r w:rsidRPr="006539ED" w:rsidR="00C959EE">
        <w:rPr>
          <w:szCs w:val="22"/>
        </w:rPr>
        <w:t xml:space="preserve"> </w:t>
      </w:r>
      <w:r w:rsidRPr="006539ED" w:rsidR="00952D7B">
        <w:rPr>
          <w:szCs w:val="22"/>
        </w:rPr>
        <w:t xml:space="preserve">file </w:t>
      </w:r>
      <w:r w:rsidR="00952D7B">
        <w:rPr>
          <w:szCs w:val="22"/>
        </w:rPr>
        <w:t>all R</w:t>
      </w:r>
      <w:r w:rsidRPr="006539ED" w:rsidR="00952D7B">
        <w:rPr>
          <w:szCs w:val="22"/>
        </w:rPr>
        <w:t xml:space="preserve">eimbursement </w:t>
      </w:r>
      <w:r w:rsidR="00952D7B">
        <w:rPr>
          <w:szCs w:val="22"/>
        </w:rPr>
        <w:t>Claim Requests</w:t>
      </w:r>
      <w:r w:rsidRPr="006539ED" w:rsidR="00952D7B">
        <w:rPr>
          <w:szCs w:val="22"/>
        </w:rPr>
        <w:t xml:space="preserve"> </w:t>
      </w:r>
      <w:r w:rsidR="000C09BB">
        <w:rPr>
          <w:szCs w:val="22"/>
        </w:rPr>
        <w:t>no later than</w:t>
      </w:r>
      <w:r w:rsidRPr="006539ED" w:rsidR="000C09BB">
        <w:rPr>
          <w:szCs w:val="22"/>
        </w:rPr>
        <w:t xml:space="preserve"> </w:t>
      </w:r>
      <w:r w:rsidRPr="006539ED" w:rsidR="00952D7B">
        <w:rPr>
          <w:szCs w:val="22"/>
        </w:rPr>
        <w:t>120 days following the expiration of the one-year removal, replacement, and disposal term.</w:t>
      </w:r>
      <w:r>
        <w:rPr>
          <w:rStyle w:val="FootnoteReference"/>
          <w:rFonts w:eastAsiaTheme="minorEastAsia"/>
          <w:szCs w:val="22"/>
        </w:rPr>
        <w:footnoteReference w:id="54"/>
      </w:r>
      <w:r w:rsidRPr="006539ED" w:rsidR="00952D7B">
        <w:rPr>
          <w:szCs w:val="22"/>
        </w:rPr>
        <w:t xml:space="preserve">  </w:t>
      </w:r>
      <w:r w:rsidRPr="006539ED" w:rsidR="00AF7558">
        <w:rPr>
          <w:szCs w:val="22"/>
        </w:rPr>
        <w:t xml:space="preserve">Prior to the expiration of the 120-day deadline, recipients </w:t>
      </w:r>
      <w:r w:rsidR="00C959EE">
        <w:rPr>
          <w:szCs w:val="22"/>
        </w:rPr>
        <w:t xml:space="preserve">are permitted to </w:t>
      </w:r>
      <w:r w:rsidRPr="006539ED" w:rsidR="00AF7558">
        <w:rPr>
          <w:szCs w:val="22"/>
        </w:rPr>
        <w:t xml:space="preserve">request and </w:t>
      </w:r>
      <w:r w:rsidR="00101E86">
        <w:rPr>
          <w:szCs w:val="22"/>
        </w:rPr>
        <w:t xml:space="preserve">will </w:t>
      </w:r>
      <w:r w:rsidRPr="006539ED" w:rsidR="00AF7558">
        <w:rPr>
          <w:szCs w:val="22"/>
        </w:rPr>
        <w:t>receive a</w:t>
      </w:r>
      <w:r w:rsidR="007517FF">
        <w:rPr>
          <w:szCs w:val="22"/>
        </w:rPr>
        <w:t>n automatic</w:t>
      </w:r>
      <w:r w:rsidRPr="006539ED" w:rsidR="00AF7558">
        <w:rPr>
          <w:szCs w:val="22"/>
        </w:rPr>
        <w:t xml:space="preserve"> 120-day extension.  </w:t>
      </w:r>
      <w:r>
        <w:rPr>
          <w:szCs w:val="22"/>
        </w:rPr>
        <w:t>Further, as required by the Commission’s rules, a</w:t>
      </w:r>
      <w:r w:rsidRPr="006539ED" w:rsidR="00AF7558">
        <w:rPr>
          <w:szCs w:val="22"/>
        </w:rPr>
        <w:t>fter the expiration of the deadline, any allocated but unclaimed funds will revert automatically to the Reimbursement Program for reallocation to other participants pursuant to a future filing window.</w:t>
      </w:r>
      <w:r>
        <w:rPr>
          <w:rStyle w:val="FootnoteReference"/>
          <w:szCs w:val="22"/>
        </w:rPr>
        <w:footnoteReference w:id="55"/>
      </w:r>
      <w:r w:rsidRPr="00C51CDD" w:rsidR="00AF7558">
        <w:rPr>
          <w:szCs w:val="22"/>
        </w:rPr>
        <w:t xml:space="preserve"> </w:t>
      </w:r>
      <w:r w:rsidR="00C31A96">
        <w:rPr>
          <w:szCs w:val="22"/>
        </w:rPr>
        <w:t xml:space="preserve"> </w:t>
      </w:r>
      <w:r w:rsidRPr="00F9477F" w:rsidR="00C51CDD">
        <w:rPr>
          <w:szCs w:val="22"/>
        </w:rPr>
        <w:t xml:space="preserve">If a petition for an extension of the removal, replacement, and disposal term is pending when the term expires, then </w:t>
      </w:r>
      <w:r w:rsidR="00C51CDD">
        <w:rPr>
          <w:szCs w:val="22"/>
        </w:rPr>
        <w:t xml:space="preserve">we propose staying the </w:t>
      </w:r>
      <w:r w:rsidRPr="00F9477F" w:rsidR="00C51CDD">
        <w:rPr>
          <w:szCs w:val="22"/>
        </w:rPr>
        <w:t>automatic reversion of the unallocated funds until</w:t>
      </w:r>
      <w:r w:rsidR="00636BA1">
        <w:rPr>
          <w:szCs w:val="22"/>
        </w:rPr>
        <w:t xml:space="preserve"> we act on </w:t>
      </w:r>
      <w:r w:rsidRPr="00F9477F" w:rsidR="00C51CDD">
        <w:rPr>
          <w:szCs w:val="22"/>
        </w:rPr>
        <w:t>the extension request</w:t>
      </w:r>
      <w:r w:rsidR="00101E86">
        <w:rPr>
          <w:szCs w:val="22"/>
        </w:rPr>
        <w:t xml:space="preserve">.  We </w:t>
      </w:r>
      <w:r w:rsidR="00C51CDD">
        <w:rPr>
          <w:szCs w:val="22"/>
        </w:rPr>
        <w:t>seek comment on this approach</w:t>
      </w:r>
      <w:r w:rsidRPr="00F9477F" w:rsidR="00C51CDD">
        <w:rPr>
          <w:szCs w:val="22"/>
        </w:rPr>
        <w:t>.</w:t>
      </w:r>
      <w:r w:rsidRPr="00C51CDD" w:rsidR="00AF7558">
        <w:rPr>
          <w:szCs w:val="22"/>
        </w:rPr>
        <w:t xml:space="preserve"> </w:t>
      </w:r>
    </w:p>
    <w:p w:rsidR="007C6804" w:rsidP="00010818" w14:paraId="3D05DAA3" w14:textId="51355D15">
      <w:pPr>
        <w:widowControl/>
        <w:spacing w:after="120"/>
        <w:ind w:firstLine="720"/>
        <w:rPr>
          <w:bCs/>
          <w:szCs w:val="22"/>
        </w:rPr>
      </w:pPr>
      <w:r w:rsidRPr="003F4B7B">
        <w:rPr>
          <w:bCs/>
          <w:i/>
          <w:iCs/>
          <w:szCs w:val="22"/>
        </w:rPr>
        <w:t>Amendments, Modifications, and Administrative Updates</w:t>
      </w:r>
      <w:r>
        <w:rPr>
          <w:bCs/>
          <w:szCs w:val="22"/>
        </w:rPr>
        <w:t xml:space="preserve">.  </w:t>
      </w:r>
      <w:r w:rsidR="00312610">
        <w:rPr>
          <w:bCs/>
          <w:szCs w:val="22"/>
        </w:rPr>
        <w:t xml:space="preserve">Because </w:t>
      </w:r>
      <w:r w:rsidR="00633EE6">
        <w:rPr>
          <w:bCs/>
          <w:szCs w:val="22"/>
        </w:rPr>
        <w:t xml:space="preserve">a </w:t>
      </w:r>
      <w:r w:rsidR="00312610">
        <w:rPr>
          <w:bCs/>
          <w:szCs w:val="22"/>
        </w:rPr>
        <w:t>provider’s circumstances and</w:t>
      </w:r>
      <w:r w:rsidR="005F1611">
        <w:rPr>
          <w:bCs/>
          <w:szCs w:val="22"/>
        </w:rPr>
        <w:t xml:space="preserve"> </w:t>
      </w:r>
      <w:r w:rsidR="00312610">
        <w:rPr>
          <w:bCs/>
          <w:szCs w:val="22"/>
        </w:rPr>
        <w:t xml:space="preserve">plans may change over the course of the program, we </w:t>
      </w:r>
      <w:r w:rsidR="00C959EE">
        <w:rPr>
          <w:bCs/>
          <w:szCs w:val="22"/>
        </w:rPr>
        <w:t xml:space="preserve">propose </w:t>
      </w:r>
      <w:r w:rsidR="00C31A96">
        <w:rPr>
          <w:bCs/>
          <w:szCs w:val="22"/>
        </w:rPr>
        <w:t xml:space="preserve">to </w:t>
      </w:r>
      <w:r w:rsidR="00312610">
        <w:rPr>
          <w:bCs/>
          <w:szCs w:val="22"/>
        </w:rPr>
        <w:t xml:space="preserve">allow participants to </w:t>
      </w:r>
      <w:r w:rsidR="00E032F6">
        <w:rPr>
          <w:bCs/>
          <w:szCs w:val="22"/>
        </w:rPr>
        <w:t>amend</w:t>
      </w:r>
      <w:r w:rsidR="00010818">
        <w:rPr>
          <w:bCs/>
          <w:szCs w:val="22"/>
        </w:rPr>
        <w:t xml:space="preserve">, </w:t>
      </w:r>
      <w:r w:rsidR="00E032F6">
        <w:rPr>
          <w:bCs/>
          <w:szCs w:val="22"/>
        </w:rPr>
        <w:t>modify</w:t>
      </w:r>
      <w:r w:rsidR="00010818">
        <w:rPr>
          <w:bCs/>
          <w:szCs w:val="22"/>
        </w:rPr>
        <w:t xml:space="preserve">, and/or </w:t>
      </w:r>
      <w:r w:rsidR="00821195">
        <w:rPr>
          <w:bCs/>
          <w:szCs w:val="22"/>
        </w:rPr>
        <w:t xml:space="preserve">file administrative </w:t>
      </w:r>
      <w:r w:rsidR="00010818">
        <w:rPr>
          <w:bCs/>
          <w:szCs w:val="22"/>
        </w:rPr>
        <w:t>update</w:t>
      </w:r>
      <w:r w:rsidR="00821195">
        <w:rPr>
          <w:bCs/>
          <w:szCs w:val="22"/>
        </w:rPr>
        <w:t>s</w:t>
      </w:r>
      <w:r w:rsidR="000343F9">
        <w:rPr>
          <w:bCs/>
          <w:szCs w:val="22"/>
        </w:rPr>
        <w:t>.</w:t>
      </w:r>
      <w:r>
        <w:rPr>
          <w:rStyle w:val="FootnoteReference"/>
          <w:bCs/>
          <w:szCs w:val="22"/>
        </w:rPr>
        <w:footnoteReference w:id="56"/>
      </w:r>
      <w:r w:rsidR="000343F9">
        <w:rPr>
          <w:bCs/>
          <w:szCs w:val="22"/>
        </w:rPr>
        <w:t xml:space="preserve">  </w:t>
      </w:r>
      <w:r w:rsidR="00C959EE">
        <w:rPr>
          <w:bCs/>
          <w:szCs w:val="22"/>
        </w:rPr>
        <w:t>We propose to subject a</w:t>
      </w:r>
      <w:r>
        <w:rPr>
          <w:bCs/>
          <w:szCs w:val="22"/>
        </w:rPr>
        <w:t>mendment and modification</w:t>
      </w:r>
      <w:r w:rsidR="00C959EE">
        <w:rPr>
          <w:bCs/>
          <w:szCs w:val="22"/>
        </w:rPr>
        <w:t xml:space="preserve"> requests </w:t>
      </w:r>
      <w:r>
        <w:rPr>
          <w:bCs/>
          <w:szCs w:val="22"/>
        </w:rPr>
        <w:t xml:space="preserve">to review by the Fund Administrator and action by the Bureau.  </w:t>
      </w:r>
      <w:r w:rsidR="00636BA1">
        <w:rPr>
          <w:bCs/>
          <w:szCs w:val="22"/>
        </w:rPr>
        <w:t>W</w:t>
      </w:r>
      <w:r w:rsidR="00BF2EA9">
        <w:rPr>
          <w:bCs/>
          <w:szCs w:val="22"/>
        </w:rPr>
        <w:t>e propose to deny</w:t>
      </w:r>
      <w:r w:rsidR="00744B6C">
        <w:rPr>
          <w:bCs/>
          <w:szCs w:val="22"/>
        </w:rPr>
        <w:t>, as a general matter, a</w:t>
      </w:r>
      <w:r w:rsidR="00A34AE7">
        <w:rPr>
          <w:bCs/>
          <w:szCs w:val="22"/>
        </w:rPr>
        <w:t>mendment</w:t>
      </w:r>
      <w:r w:rsidR="00BF2EA9">
        <w:rPr>
          <w:bCs/>
          <w:szCs w:val="22"/>
        </w:rPr>
        <w:t xml:space="preserve"> requests</w:t>
      </w:r>
      <w:r w:rsidR="00821195">
        <w:rPr>
          <w:bCs/>
          <w:szCs w:val="22"/>
        </w:rPr>
        <w:t xml:space="preserve"> </w:t>
      </w:r>
      <w:r>
        <w:rPr>
          <w:bCs/>
          <w:szCs w:val="22"/>
        </w:rPr>
        <w:t>to an Application Request for Funding Allocation</w:t>
      </w:r>
      <w:r w:rsidR="00821195">
        <w:rPr>
          <w:bCs/>
          <w:szCs w:val="22"/>
        </w:rPr>
        <w:t xml:space="preserve"> that would </w:t>
      </w:r>
      <w:r w:rsidR="00CE0303">
        <w:rPr>
          <w:bCs/>
          <w:szCs w:val="22"/>
        </w:rPr>
        <w:t xml:space="preserve">result in </w:t>
      </w:r>
      <w:r>
        <w:rPr>
          <w:bCs/>
          <w:szCs w:val="22"/>
        </w:rPr>
        <w:t xml:space="preserve">an </w:t>
      </w:r>
      <w:r w:rsidR="00CE0303">
        <w:rPr>
          <w:bCs/>
          <w:szCs w:val="22"/>
        </w:rPr>
        <w:t xml:space="preserve">increase </w:t>
      </w:r>
      <w:r w:rsidR="00265D12">
        <w:rPr>
          <w:bCs/>
          <w:szCs w:val="22"/>
        </w:rPr>
        <w:t xml:space="preserve">to </w:t>
      </w:r>
      <w:r>
        <w:rPr>
          <w:bCs/>
          <w:szCs w:val="22"/>
        </w:rPr>
        <w:t xml:space="preserve">the </w:t>
      </w:r>
      <w:r w:rsidR="00821195">
        <w:rPr>
          <w:bCs/>
          <w:szCs w:val="22"/>
        </w:rPr>
        <w:t xml:space="preserve">total </w:t>
      </w:r>
      <w:r w:rsidR="00A34AE7">
        <w:rPr>
          <w:bCs/>
          <w:szCs w:val="22"/>
        </w:rPr>
        <w:t>cost estimate.</w:t>
      </w:r>
      <w:r w:rsidR="00636BA1">
        <w:rPr>
          <w:bCs/>
          <w:szCs w:val="22"/>
        </w:rPr>
        <w:t xml:space="preserve">  Denying amendment requests that would increase the total cost estimate would ensure that fluctuating cost estimates during the funding allocation review process do not negatively impact our ability to assess overall demand versus available funding.</w:t>
      </w:r>
      <w:r w:rsidR="00A34AE7">
        <w:rPr>
          <w:bCs/>
          <w:szCs w:val="22"/>
        </w:rPr>
        <w:t xml:space="preserve">  </w:t>
      </w:r>
      <w:r w:rsidR="005C734A">
        <w:rPr>
          <w:szCs w:val="22"/>
        </w:rPr>
        <w:t xml:space="preserve">We seek comment on </w:t>
      </w:r>
      <w:r w:rsidR="002036F7">
        <w:rPr>
          <w:szCs w:val="22"/>
        </w:rPr>
        <w:t>these proposals</w:t>
      </w:r>
      <w:r w:rsidR="005C734A">
        <w:rPr>
          <w:szCs w:val="22"/>
        </w:rPr>
        <w:t xml:space="preserve">.  </w:t>
      </w:r>
    </w:p>
    <w:p w:rsidR="00CC443A" w:rsidP="00010818" w14:paraId="0DCBDD48" w14:textId="573BE58D">
      <w:pPr>
        <w:widowControl/>
        <w:spacing w:after="120"/>
        <w:ind w:firstLine="720"/>
        <w:rPr>
          <w:szCs w:val="22"/>
        </w:rPr>
      </w:pPr>
      <w:r>
        <w:rPr>
          <w:bCs/>
          <w:szCs w:val="22"/>
        </w:rPr>
        <w:t xml:space="preserve">Following the grant of </w:t>
      </w:r>
      <w:r w:rsidR="00C97759">
        <w:rPr>
          <w:bCs/>
          <w:szCs w:val="22"/>
        </w:rPr>
        <w:t xml:space="preserve">an </w:t>
      </w:r>
      <w:r>
        <w:rPr>
          <w:bCs/>
          <w:szCs w:val="22"/>
        </w:rPr>
        <w:t xml:space="preserve">Application Request for Funding Allocation, </w:t>
      </w:r>
      <w:r w:rsidR="00BF2EA9">
        <w:rPr>
          <w:bCs/>
          <w:szCs w:val="22"/>
        </w:rPr>
        <w:t>we propose</w:t>
      </w:r>
      <w:r w:rsidR="00C31A96">
        <w:rPr>
          <w:bCs/>
          <w:szCs w:val="22"/>
        </w:rPr>
        <w:t xml:space="preserve"> to</w:t>
      </w:r>
      <w:r w:rsidR="00BF2EA9">
        <w:rPr>
          <w:bCs/>
          <w:szCs w:val="22"/>
        </w:rPr>
        <w:t xml:space="preserve"> allo</w:t>
      </w:r>
      <w:r w:rsidR="00C31A96">
        <w:rPr>
          <w:bCs/>
          <w:szCs w:val="22"/>
        </w:rPr>
        <w:t>w</w:t>
      </w:r>
      <w:r w:rsidR="00BF2EA9">
        <w:rPr>
          <w:bCs/>
          <w:szCs w:val="22"/>
        </w:rPr>
        <w:t xml:space="preserve"> </w:t>
      </w:r>
      <w:r>
        <w:rPr>
          <w:bCs/>
          <w:szCs w:val="22"/>
        </w:rPr>
        <w:t>r</w:t>
      </w:r>
      <w:r w:rsidR="00265D12">
        <w:rPr>
          <w:bCs/>
          <w:szCs w:val="22"/>
        </w:rPr>
        <w:t>ecipients to submit modification</w:t>
      </w:r>
      <w:r w:rsidR="00010818">
        <w:rPr>
          <w:bCs/>
          <w:szCs w:val="22"/>
        </w:rPr>
        <w:t xml:space="preserve"> filings</w:t>
      </w:r>
      <w:r w:rsidR="00265D12">
        <w:rPr>
          <w:bCs/>
          <w:szCs w:val="22"/>
        </w:rPr>
        <w:t xml:space="preserve"> to change itemized expenses and locations identified on their filings.  </w:t>
      </w:r>
      <w:r w:rsidR="00DB668B">
        <w:rPr>
          <w:bCs/>
          <w:szCs w:val="22"/>
        </w:rPr>
        <w:t>W</w:t>
      </w:r>
      <w:r w:rsidRPr="00636BA1" w:rsidR="00B83CD4">
        <w:rPr>
          <w:bCs/>
          <w:szCs w:val="22"/>
        </w:rPr>
        <w:t>hile</w:t>
      </w:r>
      <w:r w:rsidR="00B83CD4">
        <w:rPr>
          <w:bCs/>
          <w:szCs w:val="22"/>
        </w:rPr>
        <w:t xml:space="preserve"> such modifications may in fact change </w:t>
      </w:r>
      <w:r w:rsidR="001E28D7">
        <w:rPr>
          <w:bCs/>
          <w:szCs w:val="22"/>
        </w:rPr>
        <w:t xml:space="preserve">the </w:t>
      </w:r>
      <w:r w:rsidR="00B83CD4">
        <w:rPr>
          <w:bCs/>
          <w:szCs w:val="22"/>
        </w:rPr>
        <w:t xml:space="preserve">cost </w:t>
      </w:r>
      <w:r w:rsidR="001E28D7">
        <w:rPr>
          <w:bCs/>
          <w:szCs w:val="22"/>
        </w:rPr>
        <w:t>of the project</w:t>
      </w:r>
      <w:r w:rsidR="00B83CD4">
        <w:rPr>
          <w:bCs/>
          <w:szCs w:val="22"/>
        </w:rPr>
        <w:t xml:space="preserve">, </w:t>
      </w:r>
      <w:r w:rsidR="00DB668B">
        <w:rPr>
          <w:bCs/>
          <w:szCs w:val="22"/>
        </w:rPr>
        <w:t xml:space="preserve">as directed by the Commission in the </w:t>
      </w:r>
      <w:r w:rsidR="00DB668B">
        <w:rPr>
          <w:bCs/>
          <w:i/>
          <w:iCs/>
          <w:szCs w:val="22"/>
        </w:rPr>
        <w:t xml:space="preserve">Second Report and </w:t>
      </w:r>
      <w:r w:rsidRPr="00755F8E" w:rsidR="00DB668B">
        <w:rPr>
          <w:bCs/>
          <w:i/>
          <w:iCs/>
          <w:szCs w:val="22"/>
        </w:rPr>
        <w:t>Order</w:t>
      </w:r>
      <w:r w:rsidR="00DB668B">
        <w:rPr>
          <w:bCs/>
          <w:szCs w:val="22"/>
        </w:rPr>
        <w:t xml:space="preserve">, </w:t>
      </w:r>
      <w:r w:rsidR="00B83CD4">
        <w:rPr>
          <w:bCs/>
          <w:szCs w:val="22"/>
        </w:rPr>
        <w:t>we will not alter the funding allocation issued.</w:t>
      </w:r>
      <w:r>
        <w:rPr>
          <w:rStyle w:val="FootnoteReference"/>
          <w:bCs/>
          <w:szCs w:val="22"/>
        </w:rPr>
        <w:footnoteReference w:id="57"/>
      </w:r>
      <w:r w:rsidR="00B83CD4">
        <w:rPr>
          <w:bCs/>
          <w:szCs w:val="22"/>
        </w:rPr>
        <w:t xml:space="preserve">  </w:t>
      </w:r>
      <w:r w:rsidR="00F214EE">
        <w:rPr>
          <w:szCs w:val="22"/>
        </w:rPr>
        <w:t>W</w:t>
      </w:r>
      <w:r>
        <w:rPr>
          <w:szCs w:val="22"/>
        </w:rPr>
        <w:t xml:space="preserve">e </w:t>
      </w:r>
      <w:r w:rsidR="00F214EE">
        <w:rPr>
          <w:szCs w:val="22"/>
        </w:rPr>
        <w:t xml:space="preserve">also </w:t>
      </w:r>
      <w:r w:rsidR="00DA483E">
        <w:rPr>
          <w:szCs w:val="22"/>
        </w:rPr>
        <w:t xml:space="preserve">propose </w:t>
      </w:r>
      <w:r w:rsidR="00F214EE">
        <w:rPr>
          <w:szCs w:val="22"/>
        </w:rPr>
        <w:t>allowing</w:t>
      </w:r>
      <w:r>
        <w:rPr>
          <w:szCs w:val="22"/>
        </w:rPr>
        <w:t xml:space="preserve"> participants to file administrative updates </w:t>
      </w:r>
      <w:r w:rsidR="00010818">
        <w:rPr>
          <w:szCs w:val="22"/>
        </w:rPr>
        <w:t>for</w:t>
      </w:r>
      <w:r>
        <w:rPr>
          <w:szCs w:val="22"/>
        </w:rPr>
        <w:t xml:space="preserve"> </w:t>
      </w:r>
      <w:r w:rsidR="00010818">
        <w:rPr>
          <w:szCs w:val="22"/>
        </w:rPr>
        <w:t xml:space="preserve">routine, non-material </w:t>
      </w:r>
      <w:r>
        <w:rPr>
          <w:szCs w:val="22"/>
        </w:rPr>
        <w:t xml:space="preserve">changes to </w:t>
      </w:r>
      <w:r w:rsidR="00010818">
        <w:rPr>
          <w:szCs w:val="22"/>
        </w:rPr>
        <w:t xml:space="preserve">filings such as </w:t>
      </w:r>
      <w:r w:rsidR="007C6804">
        <w:rPr>
          <w:szCs w:val="22"/>
        </w:rPr>
        <w:t>changes to the applicant’s</w:t>
      </w:r>
      <w:r>
        <w:rPr>
          <w:szCs w:val="22"/>
        </w:rPr>
        <w:t xml:space="preserve"> contact information</w:t>
      </w:r>
      <w:r w:rsidR="00932575">
        <w:rPr>
          <w:szCs w:val="22"/>
        </w:rPr>
        <w:t xml:space="preserve"> (</w:t>
      </w:r>
      <w:r>
        <w:rPr>
          <w:szCs w:val="22"/>
        </w:rPr>
        <w:t>e.g., address</w:t>
      </w:r>
      <w:r w:rsidR="00D50445">
        <w:rPr>
          <w:szCs w:val="22"/>
        </w:rPr>
        <w:t xml:space="preserve">, </w:t>
      </w:r>
      <w:r>
        <w:rPr>
          <w:szCs w:val="22"/>
        </w:rPr>
        <w:t>phone number</w:t>
      </w:r>
      <w:r w:rsidR="00D50445">
        <w:rPr>
          <w:szCs w:val="22"/>
        </w:rPr>
        <w:t>, and contact name</w:t>
      </w:r>
      <w:r w:rsidR="00932575">
        <w:rPr>
          <w:szCs w:val="22"/>
        </w:rPr>
        <w:t>)</w:t>
      </w:r>
      <w:r>
        <w:rPr>
          <w:szCs w:val="22"/>
        </w:rPr>
        <w:t xml:space="preserve">.  </w:t>
      </w:r>
      <w:r w:rsidR="00DA483E">
        <w:rPr>
          <w:szCs w:val="22"/>
        </w:rPr>
        <w:t>We propose</w:t>
      </w:r>
      <w:r w:rsidR="00C31A96">
        <w:rPr>
          <w:szCs w:val="22"/>
        </w:rPr>
        <w:t xml:space="preserve"> enabling</w:t>
      </w:r>
      <w:r w:rsidR="00DA483E">
        <w:rPr>
          <w:szCs w:val="22"/>
        </w:rPr>
        <w:t xml:space="preserve"> t</w:t>
      </w:r>
      <w:r>
        <w:rPr>
          <w:szCs w:val="22"/>
        </w:rPr>
        <w:t xml:space="preserve">he online filing system </w:t>
      </w:r>
      <w:r w:rsidR="00DA483E">
        <w:rPr>
          <w:szCs w:val="22"/>
        </w:rPr>
        <w:t xml:space="preserve">to </w:t>
      </w:r>
      <w:r>
        <w:rPr>
          <w:szCs w:val="22"/>
        </w:rPr>
        <w:t xml:space="preserve">automatically </w:t>
      </w:r>
      <w:r w:rsidR="00B3361B">
        <w:rPr>
          <w:szCs w:val="22"/>
        </w:rPr>
        <w:t xml:space="preserve">grant </w:t>
      </w:r>
      <w:r w:rsidR="00D50445">
        <w:rPr>
          <w:szCs w:val="22"/>
        </w:rPr>
        <w:t>a</w:t>
      </w:r>
      <w:r>
        <w:rPr>
          <w:szCs w:val="22"/>
        </w:rPr>
        <w:t xml:space="preserve">dministrative updates </w:t>
      </w:r>
      <w:r w:rsidR="00D50445">
        <w:rPr>
          <w:szCs w:val="22"/>
        </w:rPr>
        <w:t>once filed.</w:t>
      </w:r>
      <w:r w:rsidRPr="005C734A" w:rsidR="005C734A">
        <w:rPr>
          <w:szCs w:val="22"/>
        </w:rPr>
        <w:t xml:space="preserve"> </w:t>
      </w:r>
      <w:r w:rsidR="008B4581">
        <w:rPr>
          <w:szCs w:val="22"/>
        </w:rPr>
        <w:t xml:space="preserve"> </w:t>
      </w:r>
      <w:r w:rsidR="005C734A">
        <w:rPr>
          <w:szCs w:val="22"/>
        </w:rPr>
        <w:t xml:space="preserve">We seek comment on </w:t>
      </w:r>
      <w:r w:rsidR="008B4581">
        <w:rPr>
          <w:szCs w:val="22"/>
        </w:rPr>
        <w:t>these proposals</w:t>
      </w:r>
      <w:r w:rsidR="005C734A">
        <w:rPr>
          <w:szCs w:val="22"/>
        </w:rPr>
        <w:t xml:space="preserve">.  </w:t>
      </w:r>
    </w:p>
    <w:p w:rsidR="003F4B7B" w:rsidRPr="006539ED" w:rsidP="003F4B7B" w14:paraId="144AB8D2" w14:textId="4AA49FEB">
      <w:pPr>
        <w:widowControl/>
        <w:spacing w:after="120"/>
        <w:ind w:firstLine="720"/>
        <w:rPr>
          <w:szCs w:val="22"/>
        </w:rPr>
      </w:pPr>
      <w:r w:rsidRPr="003F4B7B">
        <w:rPr>
          <w:bCs/>
          <w:i/>
          <w:iCs/>
          <w:szCs w:val="22"/>
        </w:rPr>
        <w:t>Notification of Changes in Ownership</w:t>
      </w:r>
      <w:r>
        <w:rPr>
          <w:bCs/>
          <w:szCs w:val="22"/>
        </w:rPr>
        <w:t xml:space="preserve">.  </w:t>
      </w:r>
      <w:r w:rsidR="00B94073">
        <w:rPr>
          <w:bCs/>
          <w:szCs w:val="22"/>
        </w:rPr>
        <w:t>Because t</w:t>
      </w:r>
      <w:r w:rsidR="00D50445">
        <w:rPr>
          <w:bCs/>
          <w:szCs w:val="22"/>
        </w:rPr>
        <w:t xml:space="preserve">he Reimbursement Program will </w:t>
      </w:r>
      <w:r w:rsidR="007A4957">
        <w:rPr>
          <w:bCs/>
          <w:szCs w:val="22"/>
        </w:rPr>
        <w:t xml:space="preserve">be administered </w:t>
      </w:r>
      <w:r w:rsidR="00B94073">
        <w:rPr>
          <w:bCs/>
          <w:szCs w:val="22"/>
        </w:rPr>
        <w:t>over</w:t>
      </w:r>
      <w:r w:rsidR="007A4957">
        <w:rPr>
          <w:bCs/>
          <w:szCs w:val="22"/>
        </w:rPr>
        <w:t xml:space="preserve"> multiple years</w:t>
      </w:r>
      <w:r w:rsidR="00D50445">
        <w:rPr>
          <w:bCs/>
          <w:szCs w:val="22"/>
        </w:rPr>
        <w:t xml:space="preserve">, we propose </w:t>
      </w:r>
      <w:r w:rsidR="00B94073">
        <w:rPr>
          <w:bCs/>
          <w:szCs w:val="22"/>
        </w:rPr>
        <w:t xml:space="preserve">adapting </w:t>
      </w:r>
      <w:r w:rsidR="00D50445">
        <w:rPr>
          <w:bCs/>
          <w:szCs w:val="22"/>
        </w:rPr>
        <w:t xml:space="preserve">the </w:t>
      </w:r>
      <w:r w:rsidR="001B1C96">
        <w:rPr>
          <w:bCs/>
          <w:szCs w:val="22"/>
        </w:rPr>
        <w:t xml:space="preserve">online </w:t>
      </w:r>
      <w:r w:rsidR="00D50445">
        <w:rPr>
          <w:bCs/>
          <w:szCs w:val="22"/>
        </w:rPr>
        <w:t xml:space="preserve">filing system </w:t>
      </w:r>
      <w:r w:rsidR="00B94073">
        <w:rPr>
          <w:bCs/>
          <w:szCs w:val="22"/>
        </w:rPr>
        <w:t xml:space="preserve">to </w:t>
      </w:r>
      <w:r w:rsidR="00D50445">
        <w:rPr>
          <w:bCs/>
          <w:szCs w:val="22"/>
        </w:rPr>
        <w:t xml:space="preserve">account for the possibility that changes in ownership due to mergers and acquisitions may change </w:t>
      </w:r>
      <w:r w:rsidR="006A1B7F">
        <w:rPr>
          <w:bCs/>
          <w:szCs w:val="22"/>
        </w:rPr>
        <w:t xml:space="preserve">the </w:t>
      </w:r>
      <w:r w:rsidR="00D50445">
        <w:rPr>
          <w:bCs/>
          <w:szCs w:val="22"/>
        </w:rPr>
        <w:t xml:space="preserve">identity of </w:t>
      </w:r>
      <w:r w:rsidR="006A1B7F">
        <w:rPr>
          <w:bCs/>
          <w:szCs w:val="22"/>
        </w:rPr>
        <w:t xml:space="preserve">a </w:t>
      </w:r>
      <w:r w:rsidR="00D50445">
        <w:rPr>
          <w:bCs/>
          <w:szCs w:val="22"/>
        </w:rPr>
        <w:t xml:space="preserve">recipient for which </w:t>
      </w:r>
      <w:r w:rsidR="006A1B7F">
        <w:rPr>
          <w:bCs/>
          <w:szCs w:val="22"/>
        </w:rPr>
        <w:t xml:space="preserve">an </w:t>
      </w:r>
      <w:r w:rsidR="00D50445">
        <w:rPr>
          <w:bCs/>
          <w:szCs w:val="22"/>
        </w:rPr>
        <w:t>allocation</w:t>
      </w:r>
      <w:r w:rsidR="006A1B7F">
        <w:rPr>
          <w:bCs/>
          <w:szCs w:val="22"/>
        </w:rPr>
        <w:t xml:space="preserve"> was</w:t>
      </w:r>
      <w:r w:rsidR="00D50445">
        <w:rPr>
          <w:bCs/>
          <w:szCs w:val="22"/>
        </w:rPr>
        <w:t xml:space="preserve"> issued and </w:t>
      </w:r>
      <w:r w:rsidR="006A1B7F">
        <w:rPr>
          <w:bCs/>
          <w:szCs w:val="22"/>
        </w:rPr>
        <w:t xml:space="preserve">for which </w:t>
      </w:r>
      <w:r w:rsidR="00D50445">
        <w:rPr>
          <w:bCs/>
          <w:szCs w:val="22"/>
        </w:rPr>
        <w:t>disbursement claims are needed</w:t>
      </w:r>
      <w:r w:rsidR="00C664F0">
        <w:rPr>
          <w:bCs/>
          <w:szCs w:val="22"/>
        </w:rPr>
        <w:t xml:space="preserve"> and seek comment on this approach</w:t>
      </w:r>
      <w:r w:rsidR="00D50445">
        <w:rPr>
          <w:bCs/>
          <w:szCs w:val="22"/>
        </w:rPr>
        <w:t xml:space="preserve">.  We </w:t>
      </w:r>
      <w:r w:rsidRPr="00D50445" w:rsidR="00D50445">
        <w:rPr>
          <w:bCs/>
          <w:i/>
          <w:iCs/>
          <w:szCs w:val="22"/>
        </w:rPr>
        <w:t>do not</w:t>
      </w:r>
      <w:r w:rsidR="00D50445">
        <w:rPr>
          <w:bCs/>
          <w:szCs w:val="22"/>
        </w:rPr>
        <w:t xml:space="preserve"> propose </w:t>
      </w:r>
      <w:r w:rsidR="003E5B59">
        <w:rPr>
          <w:bCs/>
          <w:szCs w:val="22"/>
        </w:rPr>
        <w:t>requiring</w:t>
      </w:r>
      <w:r w:rsidR="00D50445">
        <w:rPr>
          <w:bCs/>
          <w:szCs w:val="22"/>
        </w:rPr>
        <w:t xml:space="preserve"> </w:t>
      </w:r>
      <w:r w:rsidR="00C75EA7">
        <w:rPr>
          <w:bCs/>
          <w:szCs w:val="22"/>
        </w:rPr>
        <w:t xml:space="preserve">a </w:t>
      </w:r>
      <w:r w:rsidR="00D50445">
        <w:rPr>
          <w:bCs/>
          <w:szCs w:val="22"/>
        </w:rPr>
        <w:t>prior approval process for such ownership changes</w:t>
      </w:r>
      <w:r w:rsidR="00A07C87">
        <w:rPr>
          <w:bCs/>
          <w:szCs w:val="22"/>
        </w:rPr>
        <w:t xml:space="preserve"> for purposes of the Reimbursement Program</w:t>
      </w:r>
      <w:r w:rsidR="00D50445">
        <w:rPr>
          <w:bCs/>
          <w:szCs w:val="22"/>
        </w:rPr>
        <w:t>.</w:t>
      </w:r>
      <w:r>
        <w:rPr>
          <w:rStyle w:val="FootnoteReference"/>
          <w:bCs/>
          <w:szCs w:val="22"/>
        </w:rPr>
        <w:footnoteReference w:id="58"/>
      </w:r>
      <w:r w:rsidR="00D50445">
        <w:rPr>
          <w:bCs/>
          <w:szCs w:val="22"/>
        </w:rPr>
        <w:t xml:space="preserve">  Instead, we </w:t>
      </w:r>
      <w:r w:rsidR="008E3CF6">
        <w:rPr>
          <w:bCs/>
          <w:szCs w:val="22"/>
        </w:rPr>
        <w:t xml:space="preserve">will institute </w:t>
      </w:r>
      <w:r w:rsidR="00D50445">
        <w:rPr>
          <w:bCs/>
          <w:szCs w:val="22"/>
        </w:rPr>
        <w:t xml:space="preserve">a streamlined </w:t>
      </w:r>
      <w:r w:rsidR="006A1B7F">
        <w:rPr>
          <w:bCs/>
          <w:szCs w:val="22"/>
        </w:rPr>
        <w:t>p</w:t>
      </w:r>
      <w:r w:rsidR="00D50445">
        <w:rPr>
          <w:bCs/>
          <w:szCs w:val="22"/>
        </w:rPr>
        <w:t>rocess whereby, post-consummation, a notification would be filed by the recipient of record</w:t>
      </w:r>
      <w:r w:rsidR="008E3CF6">
        <w:rPr>
          <w:bCs/>
          <w:szCs w:val="22"/>
        </w:rPr>
        <w:t>,</w:t>
      </w:r>
      <w:r w:rsidR="00D50445">
        <w:rPr>
          <w:bCs/>
          <w:szCs w:val="22"/>
        </w:rPr>
        <w:t xml:space="preserve"> </w:t>
      </w:r>
      <w:r w:rsidR="008E3CF6">
        <w:rPr>
          <w:bCs/>
          <w:szCs w:val="22"/>
        </w:rPr>
        <w:t xml:space="preserve">that is signed by both parties to the transaction, and </w:t>
      </w:r>
      <w:r w:rsidR="00D50445">
        <w:rPr>
          <w:bCs/>
          <w:szCs w:val="22"/>
        </w:rPr>
        <w:t>that includes an attachment explaining the ownership changes.  The Bureau</w:t>
      </w:r>
      <w:r w:rsidR="001B1C96">
        <w:rPr>
          <w:bCs/>
          <w:szCs w:val="22"/>
        </w:rPr>
        <w:t>,</w:t>
      </w:r>
      <w:r w:rsidR="00D50445">
        <w:rPr>
          <w:bCs/>
          <w:szCs w:val="22"/>
        </w:rPr>
        <w:t xml:space="preserve"> with the assistance of the Fund Administrator</w:t>
      </w:r>
      <w:r w:rsidR="001B1C96">
        <w:rPr>
          <w:bCs/>
          <w:szCs w:val="22"/>
        </w:rPr>
        <w:t>,</w:t>
      </w:r>
      <w:r w:rsidR="00D50445">
        <w:rPr>
          <w:bCs/>
          <w:szCs w:val="22"/>
        </w:rPr>
        <w:t xml:space="preserve"> could then determine how best to reflect these changes in the filing system </w:t>
      </w:r>
      <w:r w:rsidR="008E3CF6">
        <w:rPr>
          <w:bCs/>
          <w:szCs w:val="22"/>
        </w:rPr>
        <w:t xml:space="preserve">to avoid problems associated with determining </w:t>
      </w:r>
      <w:r w:rsidR="00D50445">
        <w:rPr>
          <w:bCs/>
          <w:szCs w:val="22"/>
        </w:rPr>
        <w:t xml:space="preserve">what allocation remains unclaimed and how to handle </w:t>
      </w:r>
      <w:r w:rsidR="006A1B7F">
        <w:rPr>
          <w:bCs/>
          <w:szCs w:val="22"/>
        </w:rPr>
        <w:t xml:space="preserve">transactions involving the acquisition of </w:t>
      </w:r>
      <w:r w:rsidR="003710EA">
        <w:rPr>
          <w:bCs/>
          <w:szCs w:val="22"/>
        </w:rPr>
        <w:t xml:space="preserve">discreet </w:t>
      </w:r>
      <w:r w:rsidR="006A1B7F">
        <w:rPr>
          <w:bCs/>
          <w:szCs w:val="22"/>
        </w:rPr>
        <w:t xml:space="preserve">network </w:t>
      </w:r>
      <w:r w:rsidR="003710EA">
        <w:rPr>
          <w:bCs/>
          <w:szCs w:val="22"/>
        </w:rPr>
        <w:t>components</w:t>
      </w:r>
      <w:r w:rsidR="00A07C87">
        <w:rPr>
          <w:bCs/>
          <w:szCs w:val="22"/>
        </w:rPr>
        <w:t>.</w:t>
      </w:r>
      <w:r w:rsidRPr="005C734A" w:rsidR="005C734A">
        <w:rPr>
          <w:szCs w:val="22"/>
        </w:rPr>
        <w:t xml:space="preserve"> </w:t>
      </w:r>
      <w:r w:rsidR="00C664F0">
        <w:rPr>
          <w:szCs w:val="22"/>
        </w:rPr>
        <w:t xml:space="preserve"> </w:t>
      </w:r>
      <w:r w:rsidR="005C734A">
        <w:rPr>
          <w:szCs w:val="22"/>
        </w:rPr>
        <w:t xml:space="preserve">We seek comment on </w:t>
      </w:r>
      <w:r w:rsidR="00C664F0">
        <w:rPr>
          <w:szCs w:val="22"/>
        </w:rPr>
        <w:t>these proposals</w:t>
      </w:r>
      <w:r w:rsidR="005C734A">
        <w:rPr>
          <w:szCs w:val="22"/>
        </w:rPr>
        <w:t xml:space="preserve">.  </w:t>
      </w:r>
    </w:p>
    <w:p w:rsidR="006F1D88" w:rsidP="00366618" w14:paraId="3F6EFBDC" w14:textId="3AED1355">
      <w:pPr>
        <w:widowControl/>
        <w:autoSpaceDE w:val="0"/>
        <w:autoSpaceDN w:val="0"/>
        <w:adjustRightInd w:val="0"/>
        <w:spacing w:after="120"/>
        <w:ind w:firstLine="720"/>
        <w:rPr>
          <w:bCs/>
          <w:szCs w:val="22"/>
        </w:rPr>
      </w:pPr>
      <w:r w:rsidRPr="003F4B7B">
        <w:rPr>
          <w:bCs/>
          <w:i/>
          <w:iCs/>
          <w:szCs w:val="22"/>
        </w:rPr>
        <w:t>Public Search Portal and Confidentiality</w:t>
      </w:r>
      <w:r>
        <w:rPr>
          <w:bCs/>
          <w:szCs w:val="22"/>
        </w:rPr>
        <w:t xml:space="preserve">.  </w:t>
      </w:r>
      <w:r w:rsidR="00C31A96">
        <w:rPr>
          <w:bCs/>
          <w:szCs w:val="22"/>
        </w:rPr>
        <w:t xml:space="preserve">Consistent with our rules, </w:t>
      </w:r>
      <w:r w:rsidR="008E3CF6">
        <w:rPr>
          <w:bCs/>
          <w:szCs w:val="22"/>
        </w:rPr>
        <w:t>we will</w:t>
      </w:r>
      <w:r w:rsidR="00F32B35">
        <w:rPr>
          <w:bCs/>
          <w:szCs w:val="22"/>
        </w:rPr>
        <w:t xml:space="preserve"> </w:t>
      </w:r>
      <w:r w:rsidRPr="006539ED" w:rsidR="00853661">
        <w:rPr>
          <w:bCs/>
          <w:szCs w:val="22"/>
        </w:rPr>
        <w:t xml:space="preserve">make </w:t>
      </w:r>
      <w:r w:rsidR="00F32B35">
        <w:rPr>
          <w:bCs/>
          <w:szCs w:val="22"/>
        </w:rPr>
        <w:t xml:space="preserve">publicly </w:t>
      </w:r>
      <w:r w:rsidRPr="006539ED" w:rsidR="00853661">
        <w:rPr>
          <w:bCs/>
          <w:szCs w:val="22"/>
        </w:rPr>
        <w:t>available</w:t>
      </w:r>
      <w:r w:rsidR="00FF64BB">
        <w:rPr>
          <w:bCs/>
          <w:szCs w:val="22"/>
        </w:rPr>
        <w:t>,</w:t>
      </w:r>
      <w:r w:rsidRPr="006539ED" w:rsidR="00853661">
        <w:rPr>
          <w:bCs/>
          <w:szCs w:val="22"/>
        </w:rPr>
        <w:t xml:space="preserve"> </w:t>
      </w:r>
      <w:r w:rsidR="00F32B35">
        <w:rPr>
          <w:bCs/>
          <w:szCs w:val="22"/>
        </w:rPr>
        <w:t>through an online search portal</w:t>
      </w:r>
      <w:r w:rsidR="00FF64BB">
        <w:rPr>
          <w:bCs/>
          <w:szCs w:val="22"/>
        </w:rPr>
        <w:t>,</w:t>
      </w:r>
      <w:r w:rsidR="00F32B35">
        <w:rPr>
          <w:bCs/>
          <w:szCs w:val="22"/>
        </w:rPr>
        <w:t xml:space="preserve"> </w:t>
      </w:r>
      <w:r w:rsidR="00E3315D">
        <w:rPr>
          <w:bCs/>
          <w:szCs w:val="22"/>
        </w:rPr>
        <w:t xml:space="preserve">general and summary </w:t>
      </w:r>
      <w:r w:rsidRPr="006539ED" w:rsidR="00853661">
        <w:rPr>
          <w:bCs/>
          <w:szCs w:val="22"/>
        </w:rPr>
        <w:t xml:space="preserve">information </w:t>
      </w:r>
      <w:r w:rsidR="00F32B35">
        <w:rPr>
          <w:bCs/>
          <w:szCs w:val="22"/>
        </w:rPr>
        <w:t>submitted by Reimbursement Program participants</w:t>
      </w:r>
      <w:r w:rsidRPr="006539ED" w:rsidR="00853661">
        <w:rPr>
          <w:bCs/>
          <w:szCs w:val="22"/>
        </w:rPr>
        <w:t>.</w:t>
      </w:r>
      <w:r>
        <w:rPr>
          <w:rStyle w:val="FootnoteReference"/>
          <w:bCs/>
          <w:szCs w:val="22"/>
        </w:rPr>
        <w:footnoteReference w:id="59"/>
      </w:r>
      <w:r w:rsidRPr="006539ED" w:rsidR="00853661">
        <w:rPr>
          <w:bCs/>
          <w:szCs w:val="22"/>
        </w:rPr>
        <w:t xml:space="preserve">  </w:t>
      </w:r>
      <w:r w:rsidRPr="006539ED" w:rsidR="00FF64BB">
        <w:rPr>
          <w:bCs/>
          <w:szCs w:val="22"/>
        </w:rPr>
        <w:t xml:space="preserve">As contemplated by the </w:t>
      </w:r>
      <w:r w:rsidRPr="006539ED" w:rsidR="00FF64BB">
        <w:rPr>
          <w:bCs/>
          <w:i/>
          <w:iCs/>
          <w:szCs w:val="22"/>
        </w:rPr>
        <w:t>Second Report and Order</w:t>
      </w:r>
      <w:r w:rsidRPr="006539ED" w:rsidR="00FF64BB">
        <w:rPr>
          <w:bCs/>
          <w:szCs w:val="22"/>
        </w:rPr>
        <w:t xml:space="preserve">, </w:t>
      </w:r>
      <w:r>
        <w:rPr>
          <w:bCs/>
          <w:szCs w:val="22"/>
        </w:rPr>
        <w:t xml:space="preserve">however, </w:t>
      </w:r>
      <w:r w:rsidRPr="006539ED" w:rsidR="00FF64BB">
        <w:rPr>
          <w:bCs/>
          <w:szCs w:val="22"/>
        </w:rPr>
        <w:t xml:space="preserve">we </w:t>
      </w:r>
      <w:r w:rsidR="00EA2D70">
        <w:rPr>
          <w:bCs/>
          <w:szCs w:val="22"/>
        </w:rPr>
        <w:t xml:space="preserve">will </w:t>
      </w:r>
      <w:r w:rsidRPr="006539ED" w:rsidR="00FF64BB">
        <w:rPr>
          <w:bCs/>
          <w:szCs w:val="22"/>
        </w:rPr>
        <w:t xml:space="preserve">consider </w:t>
      </w:r>
      <w:r w:rsidRPr="006539ED" w:rsidR="008E3CF6">
        <w:rPr>
          <w:bCs/>
          <w:szCs w:val="22"/>
        </w:rPr>
        <w:t xml:space="preserve">presumptively confidential </w:t>
      </w:r>
      <w:r w:rsidR="008E3CF6">
        <w:rPr>
          <w:bCs/>
          <w:szCs w:val="22"/>
        </w:rPr>
        <w:t xml:space="preserve">all </w:t>
      </w:r>
      <w:r w:rsidRPr="006539ED" w:rsidR="00FF64BB">
        <w:rPr>
          <w:bCs/>
          <w:szCs w:val="22"/>
        </w:rPr>
        <w:t xml:space="preserve">detailed accounting information </w:t>
      </w:r>
      <w:r w:rsidR="008E3CF6">
        <w:rPr>
          <w:bCs/>
          <w:szCs w:val="22"/>
        </w:rPr>
        <w:t>about</w:t>
      </w:r>
      <w:r w:rsidRPr="006539ED" w:rsidR="008E3CF6">
        <w:rPr>
          <w:bCs/>
          <w:szCs w:val="22"/>
        </w:rPr>
        <w:t xml:space="preserve"> </w:t>
      </w:r>
      <w:r w:rsidRPr="006539ED" w:rsidR="00FF64BB">
        <w:rPr>
          <w:bCs/>
          <w:szCs w:val="22"/>
        </w:rPr>
        <w:t>the covered communications equipment or services removed, replaced, and disposed, and the replacement equipment or services purchased, rented, leased, or otherwise obtained using Reimbursement Program funds</w:t>
      </w:r>
      <w:r w:rsidR="008E3CF6">
        <w:rPr>
          <w:bCs/>
          <w:szCs w:val="22"/>
        </w:rPr>
        <w:t>,</w:t>
      </w:r>
      <w:r w:rsidRPr="006539ED" w:rsidR="00FF64BB">
        <w:rPr>
          <w:bCs/>
          <w:szCs w:val="22"/>
        </w:rPr>
        <w:t xml:space="preserve"> and </w:t>
      </w:r>
      <w:r w:rsidR="008E3CF6">
        <w:rPr>
          <w:bCs/>
          <w:szCs w:val="22"/>
        </w:rPr>
        <w:t xml:space="preserve">we </w:t>
      </w:r>
      <w:r w:rsidR="00E3315D">
        <w:rPr>
          <w:bCs/>
          <w:szCs w:val="22"/>
        </w:rPr>
        <w:t>plan to</w:t>
      </w:r>
      <w:r w:rsidRPr="006539ED" w:rsidR="00E3315D">
        <w:rPr>
          <w:bCs/>
          <w:szCs w:val="22"/>
        </w:rPr>
        <w:t xml:space="preserve"> </w:t>
      </w:r>
      <w:r w:rsidRPr="006539ED" w:rsidR="00FF64BB">
        <w:rPr>
          <w:bCs/>
          <w:szCs w:val="22"/>
        </w:rPr>
        <w:t>withhold such disaggregated information from routine public inspection.</w:t>
      </w:r>
      <w:r>
        <w:rPr>
          <w:rStyle w:val="FootnoteReference"/>
          <w:bCs/>
          <w:szCs w:val="22"/>
        </w:rPr>
        <w:footnoteReference w:id="60"/>
      </w:r>
      <w:r w:rsidR="007802F7">
        <w:rPr>
          <w:bCs/>
          <w:szCs w:val="22"/>
        </w:rPr>
        <w:t xml:space="preserve">  </w:t>
      </w:r>
      <w:r w:rsidR="00B825CD">
        <w:rPr>
          <w:bCs/>
          <w:szCs w:val="22"/>
        </w:rPr>
        <w:t>W</w:t>
      </w:r>
      <w:r w:rsidR="001C45DF">
        <w:rPr>
          <w:bCs/>
          <w:szCs w:val="22"/>
        </w:rPr>
        <w:t xml:space="preserve">e </w:t>
      </w:r>
      <w:r w:rsidR="00B825CD">
        <w:rPr>
          <w:bCs/>
          <w:szCs w:val="22"/>
        </w:rPr>
        <w:t xml:space="preserve">also </w:t>
      </w:r>
      <w:r w:rsidR="001C45DF">
        <w:rPr>
          <w:bCs/>
          <w:szCs w:val="22"/>
        </w:rPr>
        <w:t xml:space="preserve">will treat as presumptively confidential and withhold from public inspection </w:t>
      </w:r>
      <w:r>
        <w:rPr>
          <w:bCs/>
          <w:szCs w:val="22"/>
        </w:rPr>
        <w:t>information such as “</w:t>
      </w:r>
      <w:r w:rsidR="001C45DF">
        <w:rPr>
          <w:bCs/>
          <w:szCs w:val="22"/>
        </w:rPr>
        <w:t>location</w:t>
      </w:r>
      <w:r>
        <w:rPr>
          <w:bCs/>
          <w:szCs w:val="22"/>
        </w:rPr>
        <w:t xml:space="preserve"> of the</w:t>
      </w:r>
      <w:r w:rsidR="00B825CD">
        <w:rPr>
          <w:bCs/>
          <w:szCs w:val="22"/>
        </w:rPr>
        <w:t xml:space="preserve"> equipment and services</w:t>
      </w:r>
      <w:r>
        <w:rPr>
          <w:bCs/>
          <w:szCs w:val="22"/>
        </w:rPr>
        <w:t>;</w:t>
      </w:r>
      <w:r w:rsidR="001C45DF">
        <w:rPr>
          <w:bCs/>
          <w:szCs w:val="22"/>
        </w:rPr>
        <w:t xml:space="preserve"> removal or replacement plans that include sensitive information</w:t>
      </w:r>
      <w:r>
        <w:rPr>
          <w:bCs/>
          <w:szCs w:val="22"/>
        </w:rPr>
        <w:t>;</w:t>
      </w:r>
      <w:r w:rsidR="001C45DF">
        <w:rPr>
          <w:bCs/>
          <w:szCs w:val="22"/>
        </w:rPr>
        <w:t xml:space="preserve"> </w:t>
      </w:r>
      <w:r>
        <w:rPr>
          <w:bCs/>
          <w:szCs w:val="22"/>
        </w:rPr>
        <w:t xml:space="preserve">the specific type of </w:t>
      </w:r>
      <w:r w:rsidR="001C45DF">
        <w:rPr>
          <w:bCs/>
          <w:szCs w:val="22"/>
        </w:rPr>
        <w:t>equipment and service</w:t>
      </w:r>
      <w:r w:rsidR="00981C15">
        <w:rPr>
          <w:bCs/>
          <w:szCs w:val="22"/>
        </w:rPr>
        <w:t>; and any other provider specific information</w:t>
      </w:r>
      <w:r w:rsidR="001C45DF">
        <w:rPr>
          <w:bCs/>
          <w:szCs w:val="22"/>
        </w:rPr>
        <w:t>.</w:t>
      </w:r>
      <w:r w:rsidR="00981C15">
        <w:rPr>
          <w:bCs/>
          <w:szCs w:val="22"/>
        </w:rPr>
        <w:t>”</w:t>
      </w:r>
      <w:r>
        <w:rPr>
          <w:rStyle w:val="FootnoteReference"/>
          <w:bCs/>
          <w:szCs w:val="22"/>
        </w:rPr>
        <w:footnoteReference w:id="61"/>
      </w:r>
      <w:r w:rsidR="001C45DF">
        <w:rPr>
          <w:bCs/>
          <w:szCs w:val="22"/>
        </w:rPr>
        <w:t xml:space="preserve">  </w:t>
      </w:r>
      <w:r w:rsidR="00B825CD">
        <w:rPr>
          <w:bCs/>
          <w:szCs w:val="22"/>
        </w:rPr>
        <w:t xml:space="preserve">The Commission </w:t>
      </w:r>
      <w:r w:rsidR="00FC3CE9">
        <w:rPr>
          <w:bCs/>
          <w:szCs w:val="22"/>
        </w:rPr>
        <w:t>found</w:t>
      </w:r>
      <w:r w:rsidR="00B825CD">
        <w:rPr>
          <w:bCs/>
          <w:szCs w:val="22"/>
        </w:rPr>
        <w:t xml:space="preserve"> that </w:t>
      </w:r>
      <w:r w:rsidR="00D1072B">
        <w:rPr>
          <w:bCs/>
          <w:szCs w:val="22"/>
        </w:rPr>
        <w:t>“</w:t>
      </w:r>
      <w:r w:rsidR="00B825CD">
        <w:rPr>
          <w:bCs/>
          <w:szCs w:val="22"/>
        </w:rPr>
        <w:t xml:space="preserve">this information would likely qualify as trade secrets under the </w:t>
      </w:r>
      <w:r w:rsidR="00D1072B">
        <w:rPr>
          <w:bCs/>
          <w:szCs w:val="22"/>
        </w:rPr>
        <w:t>[</w:t>
      </w:r>
      <w:r w:rsidR="00B825CD">
        <w:rPr>
          <w:bCs/>
          <w:szCs w:val="22"/>
        </w:rPr>
        <w:t>Freedom of Information Act</w:t>
      </w:r>
      <w:r w:rsidR="00D1072B">
        <w:rPr>
          <w:bCs/>
          <w:szCs w:val="22"/>
        </w:rPr>
        <w:t>]</w:t>
      </w:r>
      <w:r w:rsidR="00B825CD">
        <w:rPr>
          <w:bCs/>
          <w:szCs w:val="22"/>
        </w:rPr>
        <w:t>.</w:t>
      </w:r>
      <w:r w:rsidR="00D1072B">
        <w:rPr>
          <w:bCs/>
          <w:szCs w:val="22"/>
        </w:rPr>
        <w:t>”</w:t>
      </w:r>
      <w:r>
        <w:rPr>
          <w:rStyle w:val="FootnoteReference"/>
          <w:bCs/>
          <w:szCs w:val="22"/>
        </w:rPr>
        <w:footnoteReference w:id="62"/>
      </w:r>
      <w:r w:rsidR="00B825CD">
        <w:rPr>
          <w:bCs/>
          <w:szCs w:val="22"/>
        </w:rPr>
        <w:t xml:space="preserve">  </w:t>
      </w:r>
    </w:p>
    <w:p w:rsidR="007D7249" w:rsidRPr="006539ED" w:rsidP="00366618" w14:paraId="150DD576" w14:textId="70EE18C8">
      <w:pPr>
        <w:widowControl/>
        <w:autoSpaceDE w:val="0"/>
        <w:autoSpaceDN w:val="0"/>
        <w:adjustRightInd w:val="0"/>
        <w:spacing w:after="120"/>
        <w:ind w:firstLine="720"/>
        <w:rPr>
          <w:bCs/>
          <w:szCs w:val="22"/>
        </w:rPr>
      </w:pPr>
      <w:r>
        <w:rPr>
          <w:bCs/>
          <w:szCs w:val="22"/>
        </w:rPr>
        <w:t xml:space="preserve">We likewise </w:t>
      </w:r>
      <w:r w:rsidR="00B825CD">
        <w:rPr>
          <w:bCs/>
          <w:szCs w:val="22"/>
        </w:rPr>
        <w:t xml:space="preserve">propose to treat as presumptively confidential and withhold from public inspection vendor price quotes submitted with the Application Request for Funding Allocation and </w:t>
      </w:r>
      <w:r>
        <w:rPr>
          <w:bCs/>
          <w:szCs w:val="22"/>
        </w:rPr>
        <w:t>invoices</w:t>
      </w:r>
      <w:r w:rsidR="00B825CD">
        <w:rPr>
          <w:bCs/>
          <w:szCs w:val="22"/>
        </w:rPr>
        <w:t xml:space="preserve"> submitted with the Reimbursement Claim Requests, including itemized information on expenses actually incurred. </w:t>
      </w:r>
      <w:r>
        <w:rPr>
          <w:bCs/>
          <w:szCs w:val="22"/>
        </w:rPr>
        <w:t xml:space="preserve"> </w:t>
      </w:r>
      <w:r w:rsidR="00B825CD">
        <w:rPr>
          <w:bCs/>
          <w:szCs w:val="22"/>
        </w:rPr>
        <w:t xml:space="preserve">We also propose to treat as presumptively confidential and withhold from public inspection </w:t>
      </w:r>
      <w:r w:rsidR="00D1072B">
        <w:rPr>
          <w:bCs/>
          <w:szCs w:val="22"/>
        </w:rPr>
        <w:t xml:space="preserve">the specific timeline for the permanent removal, replacement, and disposal of covered communications </w:t>
      </w:r>
      <w:r w:rsidR="00D1072B">
        <w:rPr>
          <w:bCs/>
          <w:szCs w:val="22"/>
        </w:rPr>
        <w:t>equipment and services.</w:t>
      </w:r>
      <w:r>
        <w:rPr>
          <w:rStyle w:val="FootnoteReference"/>
          <w:bCs/>
          <w:szCs w:val="22"/>
        </w:rPr>
        <w:footnoteReference w:id="63"/>
      </w:r>
      <w:r w:rsidR="00D1072B">
        <w:rPr>
          <w:bCs/>
          <w:szCs w:val="22"/>
        </w:rPr>
        <w:t xml:space="preserve">  </w:t>
      </w:r>
      <w:r w:rsidR="00981C15">
        <w:rPr>
          <w:snapToGrid/>
          <w:kern w:val="0"/>
          <w:szCs w:val="22"/>
        </w:rPr>
        <w:t>We</w:t>
      </w:r>
      <w:r w:rsidR="00B23618">
        <w:rPr>
          <w:snapToGrid/>
          <w:kern w:val="0"/>
          <w:szCs w:val="22"/>
        </w:rPr>
        <w:t xml:space="preserve"> </w:t>
      </w:r>
      <w:r w:rsidR="00DA483E">
        <w:rPr>
          <w:snapToGrid/>
          <w:kern w:val="0"/>
          <w:szCs w:val="22"/>
        </w:rPr>
        <w:t xml:space="preserve">propose </w:t>
      </w:r>
      <w:r w:rsidR="00B23618">
        <w:rPr>
          <w:snapToGrid/>
          <w:kern w:val="0"/>
          <w:szCs w:val="22"/>
        </w:rPr>
        <w:t>allow</w:t>
      </w:r>
      <w:r w:rsidR="00DA483E">
        <w:rPr>
          <w:snapToGrid/>
          <w:kern w:val="0"/>
          <w:szCs w:val="22"/>
        </w:rPr>
        <w:t>ing</w:t>
      </w:r>
      <w:r w:rsidR="00B23618">
        <w:rPr>
          <w:snapToGrid/>
          <w:kern w:val="0"/>
          <w:szCs w:val="22"/>
        </w:rPr>
        <w:t xml:space="preserve"> filer</w:t>
      </w:r>
      <w:r w:rsidR="00E3315D">
        <w:rPr>
          <w:snapToGrid/>
          <w:kern w:val="0"/>
          <w:szCs w:val="22"/>
        </w:rPr>
        <w:t>s</w:t>
      </w:r>
      <w:r w:rsidR="00B23618">
        <w:rPr>
          <w:snapToGrid/>
          <w:kern w:val="0"/>
          <w:szCs w:val="22"/>
        </w:rPr>
        <w:t xml:space="preserve"> to </w:t>
      </w:r>
      <w:r w:rsidR="00981C15">
        <w:rPr>
          <w:snapToGrid/>
          <w:kern w:val="0"/>
          <w:szCs w:val="22"/>
        </w:rPr>
        <w:t xml:space="preserve">upload attachments to the online portal and </w:t>
      </w:r>
      <w:r w:rsidR="00B23618">
        <w:rPr>
          <w:snapToGrid/>
          <w:kern w:val="0"/>
          <w:szCs w:val="22"/>
        </w:rPr>
        <w:t>categorize whether the attachment is</w:t>
      </w:r>
      <w:r w:rsidR="00E3315D">
        <w:rPr>
          <w:snapToGrid/>
          <w:kern w:val="0"/>
          <w:szCs w:val="22"/>
        </w:rPr>
        <w:t xml:space="preserve"> confidential or public.  </w:t>
      </w:r>
      <w:r w:rsidR="00E77079">
        <w:rPr>
          <w:snapToGrid/>
          <w:kern w:val="0"/>
          <w:szCs w:val="22"/>
        </w:rPr>
        <w:t>We propose to withh</w:t>
      </w:r>
      <w:r w:rsidR="00614F6C">
        <w:rPr>
          <w:snapToGrid/>
          <w:kern w:val="0"/>
          <w:szCs w:val="22"/>
        </w:rPr>
        <w:t>old</w:t>
      </w:r>
      <w:r w:rsidR="00E77079">
        <w:rPr>
          <w:snapToGrid/>
          <w:kern w:val="0"/>
          <w:szCs w:val="22"/>
        </w:rPr>
        <w:t xml:space="preserve"> from routine public inspection</w:t>
      </w:r>
      <w:r w:rsidR="00614F6C">
        <w:rPr>
          <w:snapToGrid/>
          <w:kern w:val="0"/>
          <w:szCs w:val="22"/>
        </w:rPr>
        <w:t xml:space="preserve">, subject to the Commission’s rules, </w:t>
      </w:r>
      <w:r w:rsidR="00E77079">
        <w:rPr>
          <w:snapToGrid/>
          <w:kern w:val="0"/>
          <w:szCs w:val="22"/>
        </w:rPr>
        <w:t>a</w:t>
      </w:r>
      <w:r w:rsidR="00B23618">
        <w:rPr>
          <w:snapToGrid/>
          <w:kern w:val="0"/>
          <w:szCs w:val="22"/>
        </w:rPr>
        <w:t>tt</w:t>
      </w:r>
      <w:r w:rsidR="00FF64BB">
        <w:rPr>
          <w:snapToGrid/>
          <w:kern w:val="0"/>
          <w:szCs w:val="22"/>
        </w:rPr>
        <w:t xml:space="preserve">achments </w:t>
      </w:r>
      <w:r w:rsidR="00614F6C">
        <w:rPr>
          <w:snapToGrid/>
          <w:kern w:val="0"/>
          <w:szCs w:val="22"/>
        </w:rPr>
        <w:t xml:space="preserve">designated </w:t>
      </w:r>
      <w:r w:rsidR="00FF64BB">
        <w:rPr>
          <w:snapToGrid/>
          <w:kern w:val="0"/>
          <w:szCs w:val="22"/>
        </w:rPr>
        <w:t xml:space="preserve">as </w:t>
      </w:r>
      <w:r w:rsidR="00E77079">
        <w:rPr>
          <w:snapToGrid/>
          <w:kern w:val="0"/>
          <w:szCs w:val="22"/>
        </w:rPr>
        <w:t>“</w:t>
      </w:r>
      <w:r w:rsidR="00E3315D">
        <w:rPr>
          <w:snapToGrid/>
          <w:kern w:val="0"/>
          <w:szCs w:val="22"/>
        </w:rPr>
        <w:t>c</w:t>
      </w:r>
      <w:r w:rsidR="00FF64BB">
        <w:rPr>
          <w:snapToGrid/>
          <w:kern w:val="0"/>
          <w:szCs w:val="22"/>
        </w:rPr>
        <w:t>onfidential</w:t>
      </w:r>
      <w:r w:rsidR="00614F6C">
        <w:rPr>
          <w:snapToGrid/>
          <w:kern w:val="0"/>
          <w:szCs w:val="22"/>
        </w:rPr>
        <w:t>.</w:t>
      </w:r>
      <w:r w:rsidR="00E77079">
        <w:rPr>
          <w:snapToGrid/>
          <w:kern w:val="0"/>
          <w:szCs w:val="22"/>
        </w:rPr>
        <w:t>”</w:t>
      </w:r>
      <w:r>
        <w:rPr>
          <w:rStyle w:val="FootnoteReference"/>
          <w:snapToGrid/>
          <w:kern w:val="0"/>
          <w:szCs w:val="22"/>
        </w:rPr>
        <w:footnoteReference w:id="64"/>
      </w:r>
      <w:r w:rsidR="00FF64BB">
        <w:rPr>
          <w:snapToGrid/>
          <w:kern w:val="0"/>
          <w:szCs w:val="22"/>
        </w:rPr>
        <w:t xml:space="preserve"> </w:t>
      </w:r>
      <w:r w:rsidR="00B23618">
        <w:rPr>
          <w:snapToGrid/>
          <w:kern w:val="0"/>
          <w:szCs w:val="22"/>
        </w:rPr>
        <w:t xml:space="preserve"> </w:t>
      </w:r>
      <w:r>
        <w:rPr>
          <w:bCs/>
          <w:szCs w:val="22"/>
        </w:rPr>
        <w:t xml:space="preserve">We seek comment on these proposals. </w:t>
      </w:r>
    </w:p>
    <w:p w:rsidR="00FA2EC5" w:rsidRPr="006539ED" w:rsidP="009A3416" w14:paraId="4EC2D420" w14:textId="53BA9E41">
      <w:pPr>
        <w:widowControl/>
        <w:autoSpaceDE w:val="0"/>
        <w:autoSpaceDN w:val="0"/>
        <w:adjustRightInd w:val="0"/>
        <w:spacing w:after="120"/>
        <w:ind w:firstLine="720"/>
        <w:rPr>
          <w:rFonts w:eastAsia="TimesNewRomanPSMT"/>
          <w:snapToGrid/>
          <w:kern w:val="0"/>
          <w:szCs w:val="22"/>
        </w:rPr>
      </w:pPr>
      <w:r>
        <w:rPr>
          <w:snapToGrid/>
          <w:kern w:val="0"/>
          <w:szCs w:val="22"/>
        </w:rPr>
        <w:t xml:space="preserve">In addition to </w:t>
      </w:r>
      <w:r w:rsidR="00315A7C">
        <w:rPr>
          <w:snapToGrid/>
          <w:kern w:val="0"/>
          <w:szCs w:val="22"/>
        </w:rPr>
        <w:t xml:space="preserve">the </w:t>
      </w:r>
      <w:r>
        <w:rPr>
          <w:snapToGrid/>
          <w:kern w:val="0"/>
          <w:szCs w:val="22"/>
        </w:rPr>
        <w:t>approach proposed above, w</w:t>
      </w:r>
      <w:r w:rsidRPr="006539ED" w:rsidR="00D70954">
        <w:rPr>
          <w:snapToGrid/>
          <w:kern w:val="0"/>
          <w:szCs w:val="22"/>
        </w:rPr>
        <w:t xml:space="preserve">e seek comment on </w:t>
      </w:r>
      <w:r w:rsidRPr="006539ED" w:rsidR="00AE2F9A">
        <w:rPr>
          <w:snapToGrid/>
          <w:kern w:val="0"/>
          <w:szCs w:val="22"/>
        </w:rPr>
        <w:t>the extent to which</w:t>
      </w:r>
      <w:r w:rsidRPr="006539ED" w:rsidR="00D70954">
        <w:rPr>
          <w:snapToGrid/>
          <w:kern w:val="0"/>
          <w:szCs w:val="22"/>
        </w:rPr>
        <w:t xml:space="preserve"> </w:t>
      </w:r>
      <w:r w:rsidRPr="006539ED" w:rsidR="00853661">
        <w:rPr>
          <w:snapToGrid/>
          <w:kern w:val="0"/>
          <w:szCs w:val="22"/>
        </w:rPr>
        <w:t xml:space="preserve">the Bureau should treat </w:t>
      </w:r>
      <w:r w:rsidR="005112A6">
        <w:rPr>
          <w:snapToGrid/>
          <w:kern w:val="0"/>
          <w:szCs w:val="22"/>
        </w:rPr>
        <w:t xml:space="preserve">additional </w:t>
      </w:r>
      <w:r w:rsidRPr="006539ED" w:rsidR="00853661">
        <w:rPr>
          <w:snapToGrid/>
          <w:kern w:val="0"/>
          <w:szCs w:val="22"/>
        </w:rPr>
        <w:t xml:space="preserve">information fields </w:t>
      </w:r>
      <w:r w:rsidRPr="006539ED" w:rsidR="00D70954">
        <w:rPr>
          <w:snapToGrid/>
          <w:kern w:val="0"/>
          <w:szCs w:val="22"/>
        </w:rPr>
        <w:t xml:space="preserve">on the </w:t>
      </w:r>
      <w:r>
        <w:rPr>
          <w:snapToGrid/>
          <w:kern w:val="0"/>
          <w:szCs w:val="22"/>
        </w:rPr>
        <w:t xml:space="preserve">Application Request for Funding Allocation </w:t>
      </w:r>
      <w:r w:rsidR="007F157A">
        <w:rPr>
          <w:snapToGrid/>
          <w:kern w:val="0"/>
          <w:szCs w:val="22"/>
        </w:rPr>
        <w:t xml:space="preserve">in Appendix A </w:t>
      </w:r>
      <w:r>
        <w:rPr>
          <w:snapToGrid/>
          <w:kern w:val="0"/>
          <w:szCs w:val="22"/>
        </w:rPr>
        <w:t>and the Reimbursement Claim Request</w:t>
      </w:r>
      <w:r w:rsidR="007F157A">
        <w:rPr>
          <w:snapToGrid/>
          <w:kern w:val="0"/>
          <w:szCs w:val="22"/>
        </w:rPr>
        <w:t xml:space="preserve"> in Appendix B</w:t>
      </w:r>
      <w:r w:rsidRPr="006539ED" w:rsidR="00D70954">
        <w:rPr>
          <w:snapToGrid/>
          <w:kern w:val="0"/>
          <w:szCs w:val="22"/>
        </w:rPr>
        <w:t xml:space="preserve"> </w:t>
      </w:r>
      <w:r w:rsidRPr="006539ED" w:rsidR="00853661">
        <w:rPr>
          <w:snapToGrid/>
          <w:kern w:val="0"/>
          <w:szCs w:val="22"/>
        </w:rPr>
        <w:t xml:space="preserve">as presumptively </w:t>
      </w:r>
      <w:r w:rsidRPr="006539ED" w:rsidR="00D70954">
        <w:rPr>
          <w:snapToGrid/>
          <w:kern w:val="0"/>
          <w:szCs w:val="22"/>
        </w:rPr>
        <w:t xml:space="preserve">confidential </w:t>
      </w:r>
      <w:r w:rsidRPr="006539ED" w:rsidR="00AE2F9A">
        <w:rPr>
          <w:snapToGrid/>
          <w:kern w:val="0"/>
          <w:szCs w:val="22"/>
        </w:rPr>
        <w:t>and</w:t>
      </w:r>
      <w:r w:rsidRPr="006539ED" w:rsidR="00D70954">
        <w:rPr>
          <w:snapToGrid/>
          <w:kern w:val="0"/>
          <w:szCs w:val="22"/>
        </w:rPr>
        <w:t xml:space="preserve"> not subject to public disclosure.</w:t>
      </w:r>
      <w:r w:rsidRPr="006539ED" w:rsidR="00D70954">
        <w:rPr>
          <w:bCs/>
          <w:szCs w:val="22"/>
        </w:rPr>
        <w:t xml:space="preserve"> </w:t>
      </w:r>
      <w:r w:rsidRPr="006539ED" w:rsidR="002051B2">
        <w:rPr>
          <w:bCs/>
          <w:szCs w:val="22"/>
        </w:rPr>
        <w:t xml:space="preserve"> </w:t>
      </w:r>
      <w:r w:rsidRPr="006539ED" w:rsidR="00D70954">
        <w:rPr>
          <w:snapToGrid/>
          <w:kern w:val="0"/>
          <w:szCs w:val="22"/>
        </w:rPr>
        <w:t>If so, we invite parties to specify which</w:t>
      </w:r>
      <w:r w:rsidRPr="006539ED" w:rsidR="00AE2F9A">
        <w:rPr>
          <w:snapToGrid/>
          <w:kern w:val="0"/>
          <w:szCs w:val="22"/>
        </w:rPr>
        <w:t xml:space="preserve"> </w:t>
      </w:r>
      <w:r w:rsidRPr="006539ED" w:rsidR="00D70954">
        <w:rPr>
          <w:snapToGrid/>
          <w:kern w:val="0"/>
          <w:szCs w:val="22"/>
        </w:rPr>
        <w:t xml:space="preserve">information fields should be deemed </w:t>
      </w:r>
      <w:r w:rsidRPr="006539ED" w:rsidR="002051B2">
        <w:rPr>
          <w:snapToGrid/>
          <w:kern w:val="0"/>
          <w:szCs w:val="22"/>
        </w:rPr>
        <w:t xml:space="preserve">presumptively </w:t>
      </w:r>
      <w:r w:rsidRPr="006539ED" w:rsidR="00D70954">
        <w:rPr>
          <w:snapToGrid/>
          <w:kern w:val="0"/>
          <w:szCs w:val="22"/>
        </w:rPr>
        <w:t xml:space="preserve">confidential and </w:t>
      </w:r>
      <w:r w:rsidRPr="006539ED" w:rsidR="00AE2F9A">
        <w:rPr>
          <w:snapToGrid/>
          <w:kern w:val="0"/>
          <w:szCs w:val="22"/>
        </w:rPr>
        <w:t xml:space="preserve">the legal basis for the </w:t>
      </w:r>
      <w:r w:rsidRPr="006539ED" w:rsidR="00D70954">
        <w:rPr>
          <w:snapToGrid/>
          <w:kern w:val="0"/>
          <w:szCs w:val="22"/>
        </w:rPr>
        <w:t>presumption.</w:t>
      </w:r>
      <w:r w:rsidRPr="006539ED" w:rsidR="00D70954">
        <w:rPr>
          <w:bCs/>
          <w:szCs w:val="22"/>
        </w:rPr>
        <w:t xml:space="preserve"> </w:t>
      </w:r>
      <w:r w:rsidRPr="006539ED" w:rsidR="00AE2F9A">
        <w:rPr>
          <w:bCs/>
          <w:szCs w:val="22"/>
        </w:rPr>
        <w:t xml:space="preserve"> </w:t>
      </w:r>
    </w:p>
    <w:p w:rsidR="00C17574" w:rsidP="009A3416" w14:paraId="40A9A932" w14:textId="4E8C9E73">
      <w:pPr>
        <w:widowControl/>
        <w:autoSpaceDE w:val="0"/>
        <w:autoSpaceDN w:val="0"/>
        <w:adjustRightInd w:val="0"/>
        <w:spacing w:after="120"/>
        <w:ind w:firstLine="720"/>
      </w:pPr>
      <w:r>
        <w:rPr>
          <w:i/>
          <w:iCs/>
          <w:snapToGrid/>
          <w:kern w:val="0"/>
          <w:szCs w:val="22"/>
        </w:rPr>
        <w:t>Treasury Offset</w:t>
      </w:r>
      <w:r w:rsidR="0062431F">
        <w:rPr>
          <w:i/>
          <w:iCs/>
          <w:snapToGrid/>
          <w:kern w:val="0"/>
          <w:szCs w:val="22"/>
        </w:rPr>
        <w:t>.</w:t>
      </w:r>
      <w:r w:rsidR="004B1131">
        <w:rPr>
          <w:i/>
          <w:iCs/>
          <w:snapToGrid/>
          <w:kern w:val="0"/>
          <w:szCs w:val="22"/>
        </w:rPr>
        <w:t xml:space="preserve"> </w:t>
      </w:r>
      <w:r w:rsidR="00567515">
        <w:rPr>
          <w:snapToGrid/>
          <w:kern w:val="0"/>
          <w:szCs w:val="22"/>
        </w:rPr>
        <w:t xml:space="preserve"> </w:t>
      </w:r>
      <w:r w:rsidRPr="00C17574">
        <w:t>The </w:t>
      </w:r>
      <w:r w:rsidR="00187BF6">
        <w:t xml:space="preserve">U.S. Department of the </w:t>
      </w:r>
      <w:r w:rsidRPr="00C17574">
        <w:t>Treasury</w:t>
      </w:r>
      <w:r w:rsidR="00187BF6">
        <w:t xml:space="preserve"> (Treasury)</w:t>
      </w:r>
      <w:r w:rsidRPr="00C17574">
        <w:t xml:space="preserve"> has a number of collection tools, including the Treasury Offset Program (TOP), </w:t>
      </w:r>
      <w:r w:rsidR="00C53242">
        <w:t>whereby</w:t>
      </w:r>
      <w:r w:rsidRPr="00C17574">
        <w:t xml:space="preserve"> it collects delinquent debts owed to federal agencies and states by individuals and entities, by offsetting those debts against federal monies owed to the debtors.</w:t>
      </w:r>
      <w:r>
        <w:rPr>
          <w:rStyle w:val="FootnoteReference"/>
        </w:rPr>
        <w:footnoteReference w:id="65"/>
      </w:r>
      <w:r>
        <w:t xml:space="preserve"> </w:t>
      </w:r>
      <w:r w:rsidRPr="00C17574">
        <w:t xml:space="preserve"> </w:t>
      </w:r>
      <w:r>
        <w:t xml:space="preserve">Reimbursement Program participants </w:t>
      </w:r>
      <w:r w:rsidRPr="00C17574">
        <w:t>ow</w:t>
      </w:r>
      <w:r>
        <w:t>ing</w:t>
      </w:r>
      <w:r w:rsidRPr="00C17574">
        <w:t xml:space="preserve"> past-due debt to a federal agency or a state may have all or part of their </w:t>
      </w:r>
      <w:r>
        <w:t>disbursement</w:t>
      </w:r>
      <w:r w:rsidR="002C471A">
        <w:t xml:space="preserve"> </w:t>
      </w:r>
      <w:r w:rsidRPr="00C17574">
        <w:t xml:space="preserve">payments offset by Treasury to satisfy such debt. </w:t>
      </w:r>
      <w:r>
        <w:t xml:space="preserve"> </w:t>
      </w:r>
      <w:r w:rsidRPr="00C17574">
        <w:t>Prior to referral of its debt to Treasury, a</w:t>
      </w:r>
      <w:r w:rsidR="00C53242">
        <w:t xml:space="preserve">n entity </w:t>
      </w:r>
      <w:r w:rsidRPr="00C17574">
        <w:t>is notified of the debt owed, including repayment instructions.</w:t>
      </w:r>
      <w:r>
        <w:rPr>
          <w:rStyle w:val="FootnoteReference"/>
        </w:rPr>
        <w:footnoteReference w:id="66"/>
      </w:r>
      <w:r>
        <w:t xml:space="preserve">  </w:t>
      </w:r>
      <w:r w:rsidRPr="00C17574">
        <w:t xml:space="preserve">If the referred debt of a </w:t>
      </w:r>
      <w:r>
        <w:t xml:space="preserve">Reimbursement </w:t>
      </w:r>
      <w:r w:rsidRPr="00C17574">
        <w:t>Program participa</w:t>
      </w:r>
      <w:r>
        <w:t>nt</w:t>
      </w:r>
      <w:r w:rsidRPr="00C17574">
        <w:t xml:space="preserve"> remains outstanding at the time of a </w:t>
      </w:r>
      <w:r>
        <w:t xml:space="preserve">disbursement </w:t>
      </w:r>
      <w:r w:rsidRPr="00C17574">
        <w:t xml:space="preserve">payment from the </w:t>
      </w:r>
      <w:r>
        <w:t>Reimbursement</w:t>
      </w:r>
      <w:r w:rsidRPr="00C17574">
        <w:t xml:space="preserve"> Program to that p</w:t>
      </w:r>
      <w:r>
        <w:t>articipant</w:t>
      </w:r>
      <w:r w:rsidRPr="00C17574">
        <w:t>, the p</w:t>
      </w:r>
      <w:r>
        <w:t>articipant</w:t>
      </w:r>
      <w:r w:rsidRPr="00C17574">
        <w:t xml:space="preserve"> will be notified by Treasury that some or all of its payment has been offset to satisfy an outstanding federal or state debt. </w:t>
      </w:r>
      <w:r>
        <w:t xml:space="preserve"> </w:t>
      </w:r>
      <w:r w:rsidRPr="00C17574">
        <w:t>Program p</w:t>
      </w:r>
      <w:r>
        <w:t>articipants</w:t>
      </w:r>
      <w:r w:rsidRPr="00C17574">
        <w:t xml:space="preserve"> that owe past due federal or state debts </w:t>
      </w:r>
      <w:r w:rsidRPr="00C17574" w:rsidR="00DE2C52">
        <w:t>that ha</w:t>
      </w:r>
      <w:r w:rsidR="008D3CE7">
        <w:t>ve</w:t>
      </w:r>
      <w:r w:rsidRPr="00C17574" w:rsidR="00DE2C52">
        <w:t xml:space="preserve"> been referred to Treasury </w:t>
      </w:r>
      <w:r w:rsidRPr="00C17574">
        <w:t xml:space="preserve">are encouraged to resolve such debts </w:t>
      </w:r>
      <w:r w:rsidR="00CA2B0A">
        <w:t>prior to submitting their Application Request for Funding</w:t>
      </w:r>
      <w:r w:rsidR="007C6804">
        <w:t xml:space="preserve"> Allocation</w:t>
      </w:r>
      <w:r w:rsidR="00CA2B0A">
        <w:t>.</w:t>
      </w:r>
      <w:r>
        <w:rPr>
          <w:rStyle w:val="FootnoteReference"/>
        </w:rPr>
        <w:footnoteReference w:id="67"/>
      </w:r>
      <w:r w:rsidR="00CA2B0A">
        <w:t xml:space="preserve">  </w:t>
      </w:r>
      <w:r>
        <w:t>The Bureau lacks discretion to deviate from the requirements of the TOP.</w:t>
      </w:r>
    </w:p>
    <w:p w:rsidR="00196F94" w:rsidP="009A3416" w14:paraId="2D0415E4" w14:textId="6B97F4A0">
      <w:pPr>
        <w:widowControl/>
        <w:autoSpaceDE w:val="0"/>
        <w:autoSpaceDN w:val="0"/>
        <w:adjustRightInd w:val="0"/>
        <w:spacing w:after="120"/>
        <w:ind w:firstLine="720"/>
        <w:rPr>
          <w:snapToGrid/>
          <w:kern w:val="0"/>
          <w:szCs w:val="22"/>
        </w:rPr>
      </w:pPr>
      <w:r>
        <w:rPr>
          <w:i/>
          <w:iCs/>
          <w:snapToGrid/>
          <w:kern w:val="0"/>
          <w:szCs w:val="22"/>
        </w:rPr>
        <w:t>Red</w:t>
      </w:r>
      <w:r w:rsidR="0062431F">
        <w:rPr>
          <w:i/>
          <w:iCs/>
          <w:snapToGrid/>
          <w:kern w:val="0"/>
          <w:szCs w:val="22"/>
        </w:rPr>
        <w:t xml:space="preserve"> </w:t>
      </w:r>
      <w:r>
        <w:rPr>
          <w:i/>
          <w:iCs/>
          <w:snapToGrid/>
          <w:kern w:val="0"/>
          <w:szCs w:val="22"/>
        </w:rPr>
        <w:t>Light R</w:t>
      </w:r>
      <w:r w:rsidR="0062431F">
        <w:rPr>
          <w:i/>
          <w:iCs/>
          <w:snapToGrid/>
          <w:kern w:val="0"/>
          <w:szCs w:val="22"/>
        </w:rPr>
        <w:t>ule</w:t>
      </w:r>
      <w:r>
        <w:rPr>
          <w:snapToGrid/>
          <w:kern w:val="0"/>
          <w:szCs w:val="22"/>
        </w:rPr>
        <w:t>.</w:t>
      </w:r>
      <w:r w:rsidR="0062431F">
        <w:rPr>
          <w:snapToGrid/>
          <w:kern w:val="0"/>
          <w:szCs w:val="22"/>
        </w:rPr>
        <w:t xml:space="preserve">  We propose </w:t>
      </w:r>
      <w:r w:rsidRPr="0062431F" w:rsidR="0062431F">
        <w:rPr>
          <w:snapToGrid/>
          <w:kern w:val="0"/>
          <w:szCs w:val="22"/>
        </w:rPr>
        <w:t>to waive the Commission</w:t>
      </w:r>
      <w:r w:rsidR="0062431F">
        <w:rPr>
          <w:snapToGrid/>
          <w:kern w:val="0"/>
          <w:szCs w:val="22"/>
        </w:rPr>
        <w:t>’s</w:t>
      </w:r>
      <w:r w:rsidRPr="0062431F" w:rsidR="0062431F">
        <w:rPr>
          <w:snapToGrid/>
          <w:kern w:val="0"/>
          <w:szCs w:val="22"/>
        </w:rPr>
        <w:t xml:space="preserve"> “red light” rule with respect to applications </w:t>
      </w:r>
      <w:r w:rsidR="0062431F">
        <w:rPr>
          <w:snapToGrid/>
          <w:kern w:val="0"/>
          <w:szCs w:val="22"/>
        </w:rPr>
        <w:t>filed in</w:t>
      </w:r>
      <w:r w:rsidRPr="0062431F" w:rsidR="0062431F">
        <w:rPr>
          <w:snapToGrid/>
          <w:kern w:val="0"/>
          <w:szCs w:val="22"/>
        </w:rPr>
        <w:t xml:space="preserve"> the </w:t>
      </w:r>
      <w:r w:rsidR="0062431F">
        <w:rPr>
          <w:snapToGrid/>
          <w:kern w:val="0"/>
          <w:szCs w:val="22"/>
        </w:rPr>
        <w:t xml:space="preserve">Reimbursement </w:t>
      </w:r>
      <w:r w:rsidRPr="0062431F" w:rsidR="0062431F">
        <w:rPr>
          <w:snapToGrid/>
          <w:kern w:val="0"/>
          <w:szCs w:val="22"/>
        </w:rPr>
        <w:t>Program</w:t>
      </w:r>
      <w:r w:rsidR="005C734A">
        <w:rPr>
          <w:snapToGrid/>
          <w:kern w:val="0"/>
          <w:szCs w:val="22"/>
        </w:rPr>
        <w:t xml:space="preserve"> and seek comment on this approach</w:t>
      </w:r>
      <w:r w:rsidRPr="0062431F" w:rsidR="0062431F">
        <w:rPr>
          <w:snapToGrid/>
          <w:kern w:val="0"/>
          <w:szCs w:val="22"/>
        </w:rPr>
        <w:t>.</w:t>
      </w:r>
      <w:r>
        <w:rPr>
          <w:rStyle w:val="FootnoteReference"/>
          <w:snapToGrid/>
          <w:kern w:val="0"/>
          <w:szCs w:val="22"/>
        </w:rPr>
        <w:footnoteReference w:id="68"/>
      </w:r>
      <w:r w:rsidR="0062431F">
        <w:rPr>
          <w:snapToGrid/>
          <w:kern w:val="0"/>
          <w:szCs w:val="22"/>
        </w:rPr>
        <w:t xml:space="preserve"> </w:t>
      </w:r>
      <w:r w:rsidRPr="0062431F" w:rsidR="0062431F">
        <w:rPr>
          <w:snapToGrid/>
          <w:kern w:val="0"/>
          <w:szCs w:val="22"/>
        </w:rPr>
        <w:t xml:space="preserve"> As part of the collection and disbursement rules associated with the Debt Collection Improvement Act</w:t>
      </w:r>
      <w:r w:rsidR="007F157A">
        <w:rPr>
          <w:snapToGrid/>
          <w:kern w:val="0"/>
          <w:szCs w:val="22"/>
        </w:rPr>
        <w:t xml:space="preserve"> of 1996</w:t>
      </w:r>
      <w:r w:rsidRPr="0062431F" w:rsidR="0062431F">
        <w:rPr>
          <w:snapToGrid/>
          <w:kern w:val="0"/>
          <w:szCs w:val="22"/>
        </w:rPr>
        <w:t>,</w:t>
      </w:r>
      <w:r>
        <w:rPr>
          <w:rStyle w:val="FootnoteReference"/>
          <w:snapToGrid/>
          <w:kern w:val="0"/>
          <w:szCs w:val="22"/>
        </w:rPr>
        <w:footnoteReference w:id="69"/>
      </w:r>
      <w:r w:rsidRPr="0062431F" w:rsidR="0062431F">
        <w:rPr>
          <w:snapToGrid/>
          <w:kern w:val="0"/>
          <w:szCs w:val="22"/>
        </w:rPr>
        <w:t xml:space="preserve"> the Commission may withhold action on applications and requests made by any entity found to be delinquent in its debt to the Commission until full payment or resolution of such debt.</w:t>
      </w:r>
      <w:r>
        <w:rPr>
          <w:rStyle w:val="FootnoteReference"/>
          <w:snapToGrid/>
          <w:kern w:val="0"/>
          <w:szCs w:val="22"/>
        </w:rPr>
        <w:footnoteReference w:id="70"/>
      </w:r>
      <w:r w:rsidR="004B1131">
        <w:rPr>
          <w:snapToGrid/>
          <w:kern w:val="0"/>
          <w:szCs w:val="22"/>
        </w:rPr>
        <w:t xml:space="preserve"> </w:t>
      </w:r>
      <w:r w:rsidRPr="0062431F" w:rsidR="0062431F">
        <w:rPr>
          <w:snapToGrid/>
          <w:kern w:val="0"/>
          <w:szCs w:val="22"/>
        </w:rPr>
        <w:t xml:space="preserve"> This is commonly referred to as the Commission</w:t>
      </w:r>
      <w:r w:rsidR="004F7397">
        <w:rPr>
          <w:snapToGrid/>
          <w:kern w:val="0"/>
          <w:szCs w:val="22"/>
        </w:rPr>
        <w:t>’</w:t>
      </w:r>
      <w:r w:rsidRPr="0062431F" w:rsidR="0062431F">
        <w:rPr>
          <w:snapToGrid/>
          <w:kern w:val="0"/>
          <w:szCs w:val="22"/>
        </w:rPr>
        <w:t xml:space="preserve">s “red light” rule. </w:t>
      </w:r>
      <w:r w:rsidR="004B1131">
        <w:rPr>
          <w:snapToGrid/>
          <w:kern w:val="0"/>
          <w:szCs w:val="22"/>
        </w:rPr>
        <w:t xml:space="preserve"> Given the importance of removing communications equipment </w:t>
      </w:r>
      <w:r w:rsidR="004B1131">
        <w:rPr>
          <w:snapToGrid/>
          <w:kern w:val="0"/>
          <w:szCs w:val="22"/>
        </w:rPr>
        <w:t>and service that poses a national security risk from our Nation’s networks as soon as possible, w</w:t>
      </w:r>
      <w:r w:rsidRPr="0062431F" w:rsidR="0062431F">
        <w:rPr>
          <w:snapToGrid/>
          <w:kern w:val="0"/>
          <w:szCs w:val="22"/>
        </w:rPr>
        <w:t xml:space="preserve">e find </w:t>
      </w:r>
      <w:r w:rsidR="004B1131">
        <w:rPr>
          <w:snapToGrid/>
          <w:kern w:val="0"/>
          <w:szCs w:val="22"/>
        </w:rPr>
        <w:t>extremely unusual circumstances exist to justify waiving the red light rule to allow Reimbursement Program recipients to receive funding allocations and disbursements notwithstanding an outstanding delinquency with the Commission.  Any</w:t>
      </w:r>
      <w:r w:rsidRPr="0062431F" w:rsidR="0062431F">
        <w:rPr>
          <w:snapToGrid/>
          <w:kern w:val="0"/>
          <w:szCs w:val="22"/>
        </w:rPr>
        <w:t xml:space="preserve"> waiver </w:t>
      </w:r>
      <w:r w:rsidR="004B1131">
        <w:rPr>
          <w:snapToGrid/>
          <w:kern w:val="0"/>
          <w:szCs w:val="22"/>
        </w:rPr>
        <w:t>would</w:t>
      </w:r>
      <w:r w:rsidRPr="0062431F" w:rsidR="0062431F">
        <w:rPr>
          <w:snapToGrid/>
          <w:kern w:val="0"/>
          <w:szCs w:val="22"/>
        </w:rPr>
        <w:t xml:space="preserve"> not affect the Commissions</w:t>
      </w:r>
      <w:r w:rsidR="004B1131">
        <w:rPr>
          <w:snapToGrid/>
          <w:kern w:val="0"/>
          <w:szCs w:val="22"/>
        </w:rPr>
        <w:t>’</w:t>
      </w:r>
      <w:r w:rsidRPr="0062431F" w:rsidR="0062431F">
        <w:rPr>
          <w:snapToGrid/>
          <w:kern w:val="0"/>
          <w:szCs w:val="22"/>
        </w:rPr>
        <w:t xml:space="preserve"> right or obligation to collect any debt owed by an applicant by any other means available to the Commission, including by referral to the Treasury for collection.</w:t>
      </w:r>
    </w:p>
    <w:p w:rsidR="00D13C59" w:rsidRPr="00C82999" w:rsidP="00C82999" w14:paraId="5CA335A5" w14:textId="5B8F7EA0">
      <w:pPr>
        <w:pStyle w:val="ParaNum"/>
        <w:widowControl/>
        <w:numPr>
          <w:ilvl w:val="0"/>
          <w:numId w:val="0"/>
        </w:numPr>
        <w:ind w:firstLine="720"/>
        <w:rPr>
          <w:szCs w:val="22"/>
        </w:rPr>
      </w:pPr>
      <w:r w:rsidRPr="00C82999">
        <w:rPr>
          <w:i/>
          <w:iCs/>
          <w:snapToGrid/>
          <w:kern w:val="0"/>
          <w:szCs w:val="22"/>
        </w:rPr>
        <w:t>Do Not Pay</w:t>
      </w:r>
      <w:r>
        <w:rPr>
          <w:snapToGrid/>
          <w:kern w:val="0"/>
          <w:szCs w:val="22"/>
        </w:rPr>
        <w:t xml:space="preserve">.  </w:t>
      </w:r>
      <w:r w:rsidR="0075779E">
        <w:t xml:space="preserve">Before </w:t>
      </w:r>
      <w:r w:rsidR="004F7397">
        <w:t>releasing</w:t>
      </w:r>
      <w:r w:rsidR="0075779E">
        <w:t xml:space="preserve"> any </w:t>
      </w:r>
      <w:r w:rsidR="00571919">
        <w:t xml:space="preserve">Reimbursement Program </w:t>
      </w:r>
      <w:r w:rsidR="0075779E">
        <w:t xml:space="preserve">funds to </w:t>
      </w:r>
      <w:r w:rsidR="00571919">
        <w:t>participants</w:t>
      </w:r>
      <w:r w:rsidR="0075779E">
        <w:t xml:space="preserve">, </w:t>
      </w:r>
      <w:r w:rsidR="00103CCF">
        <w:t xml:space="preserve">we propose having </w:t>
      </w:r>
      <w:r>
        <w:t xml:space="preserve">the </w:t>
      </w:r>
      <w:r w:rsidR="00DA3F77">
        <w:t xml:space="preserve">Bureau and/or Fund Administrator, in coordination with the </w:t>
      </w:r>
      <w:r w:rsidR="003F34C8">
        <w:t>Commission’s Office of Managing Director (OMD),</w:t>
      </w:r>
      <w:r w:rsidR="00571919">
        <w:t xml:space="preserve"> </w:t>
      </w:r>
      <w:r w:rsidR="00E96927">
        <w:t xml:space="preserve">conduct a </w:t>
      </w:r>
      <w:r w:rsidR="008A11B2">
        <w:t xml:space="preserve">thorough </w:t>
      </w:r>
      <w:r>
        <w:t xml:space="preserve">review </w:t>
      </w:r>
      <w:r w:rsidR="00E96927">
        <w:t xml:space="preserve">of </w:t>
      </w:r>
      <w:r w:rsidR="00DA3F77">
        <w:t xml:space="preserve">the </w:t>
      </w:r>
      <w:r w:rsidR="008A11B2">
        <w:t xml:space="preserve">federal </w:t>
      </w:r>
      <w:r w:rsidR="00DA3F77">
        <w:t>Do Not Pay system</w:t>
      </w:r>
      <w:r w:rsidR="008A11B2">
        <w:t xml:space="preserve"> database</w:t>
      </w:r>
      <w:r w:rsidR="00DA3F77">
        <w:t xml:space="preserve"> to verify an applicant’s eligibility for payments and awards.</w:t>
      </w:r>
      <w:r w:rsidRPr="008A11B2" w:rsidR="008A11B2">
        <w:rPr>
          <w:rStyle w:val="FootnoteReference"/>
        </w:rPr>
        <w:t xml:space="preserve"> </w:t>
      </w:r>
      <w:r>
        <w:rPr>
          <w:rStyle w:val="FootnoteReference"/>
        </w:rPr>
        <w:footnoteReference w:id="71"/>
      </w:r>
      <w:r w:rsidR="00DA3F77">
        <w:t xml:space="preserve">  </w:t>
      </w:r>
      <w:r w:rsidR="008A11B2">
        <w:t xml:space="preserve">Pursuant to the Payment Integrity Information Act of 2019 (PIIA), the Commission is required to review applicable federal databases to determine eligibility for federal funds to </w:t>
      </w:r>
      <w:r>
        <w:t>prevent improper payments</w:t>
      </w:r>
      <w:r w:rsidR="008A11B2">
        <w:t>.</w:t>
      </w:r>
      <w:r>
        <w:rPr>
          <w:rStyle w:val="FootnoteReference"/>
        </w:rPr>
        <w:footnoteReference w:id="72"/>
      </w:r>
      <w:r>
        <w:t xml:space="preserve">  </w:t>
      </w:r>
      <w:r w:rsidR="008A11B2">
        <w:t>The Treasury’s Bureau of the Fiscal Service administers the Do Not Pay system database</w:t>
      </w:r>
      <w:r w:rsidR="00647BF4">
        <w:t xml:space="preserve">. </w:t>
      </w:r>
      <w:r w:rsidR="008A11B2">
        <w:t xml:space="preserve"> </w:t>
      </w:r>
      <w:r>
        <w:t>If a</w:t>
      </w:r>
      <w:r w:rsidR="00E270B4">
        <w:t xml:space="preserve">n applicant </w:t>
      </w:r>
      <w:r w:rsidR="002D7AD6">
        <w:t>is prohibited from receiving</w:t>
      </w:r>
      <w:r>
        <w:t xml:space="preserve"> payment</w:t>
      </w:r>
      <w:r w:rsidR="00A153BF">
        <w:t xml:space="preserve"> of </w:t>
      </w:r>
      <w:r w:rsidR="009E242B">
        <w:t>f</w:t>
      </w:r>
      <w:r w:rsidR="00A153BF">
        <w:t>ederal funds</w:t>
      </w:r>
      <w:r w:rsidRPr="002D7AD6" w:rsidR="002D7AD6">
        <w:t xml:space="preserve"> </w:t>
      </w:r>
      <w:r w:rsidR="002D7AD6">
        <w:t>pursuant to the Do Not Pay system</w:t>
      </w:r>
      <w:r>
        <w:t xml:space="preserve">, </w:t>
      </w:r>
      <w:r w:rsidR="00E270B4">
        <w:t>the Bureau</w:t>
      </w:r>
      <w:r>
        <w:t xml:space="preserve"> </w:t>
      </w:r>
      <w:r w:rsidR="00E270B4">
        <w:t xml:space="preserve">and/or Fund Administrator </w:t>
      </w:r>
      <w:r>
        <w:t>will withhold funding allocations and disbursements</w:t>
      </w:r>
      <w:r w:rsidR="002D7AD6">
        <w:t xml:space="preserve"> from the Reimbursement Program</w:t>
      </w:r>
      <w:r>
        <w:t>.</w:t>
      </w:r>
      <w:r>
        <w:rPr>
          <w:szCs w:val="22"/>
        </w:rPr>
        <w:t xml:space="preserve"> </w:t>
      </w:r>
      <w:r>
        <w:t xml:space="preserve"> </w:t>
      </w:r>
      <w:r w:rsidR="00103CCF">
        <w:t xml:space="preserve">We propose having the </w:t>
      </w:r>
      <w:r w:rsidR="00E270B4">
        <w:t xml:space="preserve">Bureau and/or Fund Administrator offer the </w:t>
      </w:r>
      <w:r w:rsidR="002D7AD6">
        <w:t xml:space="preserve">participant </w:t>
      </w:r>
      <w:r>
        <w:t xml:space="preserve">an opportunity to </w:t>
      </w:r>
      <w:r w:rsidR="0075779E">
        <w:t>cure</w:t>
      </w:r>
      <w:r>
        <w:t xml:space="preserve"> </w:t>
      </w:r>
      <w:r w:rsidR="00E96927">
        <w:t xml:space="preserve">any </w:t>
      </w:r>
      <w:r>
        <w:t xml:space="preserve">Do Not Pay issues if the recipient can produce evidence that its listing in the Do Not Pay system should be removed.  However, </w:t>
      </w:r>
      <w:r w:rsidR="00103CCF">
        <w:t xml:space="preserve">we propose requiring </w:t>
      </w:r>
      <w:r>
        <w:t xml:space="preserve">the </w:t>
      </w:r>
      <w:r w:rsidR="009E242B">
        <w:t>participant</w:t>
      </w:r>
      <w:r>
        <w:t xml:space="preserve"> </w:t>
      </w:r>
      <w:r w:rsidR="00103CCF">
        <w:t xml:space="preserve">to </w:t>
      </w:r>
      <w:r>
        <w:t xml:space="preserve">be responsible for working with the relevant agency to correct its information before a </w:t>
      </w:r>
      <w:r w:rsidR="0075779E">
        <w:t>R</w:t>
      </w:r>
      <w:r>
        <w:t>eimbursement</w:t>
      </w:r>
      <w:r w:rsidR="0075779E">
        <w:t xml:space="preserve"> Program</w:t>
      </w:r>
      <w:r>
        <w:t xml:space="preserve"> payment will be issued by Treasury.</w:t>
      </w:r>
      <w:r>
        <w:rPr>
          <w:rStyle w:val="FootnoteReference"/>
        </w:rPr>
        <w:footnoteReference w:id="73"/>
      </w:r>
    </w:p>
    <w:p w:rsidR="007D7249" w:rsidRPr="006539ED" w:rsidP="009A3416" w14:paraId="6B3C8C79" w14:textId="3783637E">
      <w:pPr>
        <w:widowControl/>
        <w:autoSpaceDE w:val="0"/>
        <w:autoSpaceDN w:val="0"/>
        <w:adjustRightInd w:val="0"/>
        <w:spacing w:after="120"/>
        <w:ind w:firstLine="720"/>
        <w:rPr>
          <w:bCs/>
          <w:szCs w:val="22"/>
        </w:rPr>
      </w:pPr>
      <w:r w:rsidRPr="006A1B7F">
        <w:rPr>
          <w:i/>
          <w:iCs/>
          <w:snapToGrid/>
          <w:kern w:val="0"/>
          <w:szCs w:val="22"/>
        </w:rPr>
        <w:t>Paperwork Reduction Act</w:t>
      </w:r>
      <w:r>
        <w:rPr>
          <w:snapToGrid/>
          <w:kern w:val="0"/>
          <w:szCs w:val="22"/>
        </w:rPr>
        <w:t xml:space="preserve">.  This Public Notice is separate and apart from our ongoing efforts to obtain </w:t>
      </w:r>
      <w:r w:rsidRPr="006539ED">
        <w:rPr>
          <w:snapToGrid/>
          <w:kern w:val="0"/>
          <w:szCs w:val="22"/>
        </w:rPr>
        <w:t xml:space="preserve">the </w:t>
      </w:r>
      <w:r>
        <w:rPr>
          <w:snapToGrid/>
          <w:kern w:val="0"/>
          <w:szCs w:val="22"/>
        </w:rPr>
        <w:t xml:space="preserve">approval of the </w:t>
      </w:r>
      <w:r w:rsidRPr="006539ED">
        <w:rPr>
          <w:snapToGrid/>
          <w:kern w:val="0"/>
          <w:szCs w:val="22"/>
        </w:rPr>
        <w:t>Office of Management and Budget (OMB)</w:t>
      </w:r>
      <w:r>
        <w:rPr>
          <w:snapToGrid/>
          <w:kern w:val="0"/>
          <w:szCs w:val="22"/>
        </w:rPr>
        <w:t xml:space="preserve"> for the new information collection requirements contained in the </w:t>
      </w:r>
      <w:r w:rsidRPr="006A1B7F">
        <w:rPr>
          <w:i/>
          <w:iCs/>
          <w:snapToGrid/>
          <w:kern w:val="0"/>
          <w:szCs w:val="22"/>
        </w:rPr>
        <w:t>Second Report and Order</w:t>
      </w:r>
      <w:r w:rsidRPr="006539ED">
        <w:rPr>
          <w:snapToGrid/>
          <w:kern w:val="0"/>
          <w:szCs w:val="22"/>
        </w:rPr>
        <w:t xml:space="preserve">. </w:t>
      </w:r>
      <w:r>
        <w:rPr>
          <w:snapToGrid/>
          <w:kern w:val="0"/>
          <w:szCs w:val="22"/>
        </w:rPr>
        <w:t xml:space="preserve"> That process provides</w:t>
      </w:r>
      <w:r w:rsidRPr="006539ED">
        <w:rPr>
          <w:snapToGrid/>
          <w:kern w:val="0"/>
          <w:szCs w:val="22"/>
        </w:rPr>
        <w:t xml:space="preserve"> </w:t>
      </w:r>
      <w:r>
        <w:rPr>
          <w:snapToGrid/>
          <w:kern w:val="0"/>
          <w:szCs w:val="22"/>
        </w:rPr>
        <w:t xml:space="preserve">the public with </w:t>
      </w:r>
      <w:r w:rsidRPr="006539ED">
        <w:rPr>
          <w:snapToGrid/>
          <w:kern w:val="0"/>
          <w:szCs w:val="22"/>
        </w:rPr>
        <w:t>additional opportunit</w:t>
      </w:r>
      <w:r>
        <w:rPr>
          <w:snapToGrid/>
          <w:kern w:val="0"/>
          <w:szCs w:val="22"/>
        </w:rPr>
        <w:t>ies</w:t>
      </w:r>
      <w:r w:rsidRPr="006539ED">
        <w:rPr>
          <w:snapToGrid/>
          <w:kern w:val="0"/>
          <w:szCs w:val="22"/>
        </w:rPr>
        <w:t xml:space="preserve"> to comment on th</w:t>
      </w:r>
      <w:r>
        <w:rPr>
          <w:snapToGrid/>
          <w:kern w:val="0"/>
          <w:szCs w:val="22"/>
        </w:rPr>
        <w:t>e new information collection requirements</w:t>
      </w:r>
      <w:r w:rsidR="0062431F">
        <w:rPr>
          <w:snapToGrid/>
          <w:kern w:val="0"/>
          <w:szCs w:val="22"/>
        </w:rPr>
        <w:t>, including the collections discussed herein</w:t>
      </w:r>
      <w:r w:rsidRPr="006539ED">
        <w:rPr>
          <w:bCs/>
          <w:szCs w:val="22"/>
        </w:rPr>
        <w:t>.</w:t>
      </w:r>
      <w:r>
        <w:rPr>
          <w:rStyle w:val="FootnoteReference"/>
          <w:bCs/>
          <w:szCs w:val="22"/>
        </w:rPr>
        <w:footnoteReference w:id="74"/>
      </w:r>
      <w:r w:rsidRPr="006539ED">
        <w:rPr>
          <w:bCs/>
          <w:szCs w:val="22"/>
        </w:rPr>
        <w:t xml:space="preserve">  </w:t>
      </w:r>
    </w:p>
    <w:p w:rsidR="007D7249" w:rsidRPr="006539ED" w:rsidP="00324A6F" w14:paraId="0CE5F9BE" w14:textId="7F2B67E2">
      <w:pPr>
        <w:pStyle w:val="Heading1"/>
        <w:rPr>
          <w:snapToGrid/>
          <w:kern w:val="0"/>
        </w:rPr>
      </w:pPr>
      <w:r w:rsidRPr="006539ED">
        <w:t>Instructions</w:t>
      </w:r>
      <w:r w:rsidR="003F4B7B">
        <w:t xml:space="preserve"> for Filing Comments</w:t>
      </w:r>
    </w:p>
    <w:p w:rsidR="00890CD5" w:rsidRPr="006539ED" w:rsidP="009A3416" w14:paraId="6DAAA432" w14:textId="77777777">
      <w:pPr>
        <w:widowControl/>
        <w:autoSpaceDE w:val="0"/>
        <w:autoSpaceDN w:val="0"/>
        <w:adjustRightInd w:val="0"/>
        <w:spacing w:after="120"/>
        <w:ind w:firstLine="720"/>
        <w:rPr>
          <w:rFonts w:eastAsia="TimesNewRomanPSMT"/>
          <w:snapToGrid/>
          <w:kern w:val="0"/>
          <w:szCs w:val="22"/>
        </w:rPr>
      </w:pPr>
      <w:r w:rsidRPr="006539ED">
        <w:rPr>
          <w:snapToGrid/>
          <w:kern w:val="0"/>
          <w:szCs w:val="22"/>
        </w:rPr>
        <w:t>Pursuant to sections 1.415 and 1.419 of the Commission’s rules,</w:t>
      </w:r>
      <w:r>
        <w:rPr>
          <w:rStyle w:val="FootnoteReference"/>
          <w:snapToGrid/>
          <w:kern w:val="0"/>
          <w:szCs w:val="22"/>
        </w:rPr>
        <w:footnoteReference w:id="75"/>
      </w:r>
      <w:r w:rsidRPr="006539ED">
        <w:rPr>
          <w:snapToGrid/>
          <w:kern w:val="0"/>
          <w:szCs w:val="22"/>
        </w:rPr>
        <w:t xml:space="preserve"> interested parties may file comments on or before the dates indicated on the first page of this document. </w:t>
      </w:r>
      <w:r w:rsidRPr="006539ED" w:rsidR="00E376E3">
        <w:rPr>
          <w:snapToGrid/>
          <w:kern w:val="0"/>
          <w:szCs w:val="22"/>
        </w:rPr>
        <w:t xml:space="preserve"> </w:t>
      </w:r>
      <w:r w:rsidRPr="006539ED">
        <w:rPr>
          <w:snapToGrid/>
          <w:kern w:val="0"/>
          <w:szCs w:val="22"/>
        </w:rPr>
        <w:t xml:space="preserve">Comments must reference </w:t>
      </w:r>
      <w:r w:rsidRPr="006539ED">
        <w:rPr>
          <w:b/>
          <w:bCs/>
          <w:snapToGrid/>
          <w:kern w:val="0"/>
          <w:szCs w:val="22"/>
        </w:rPr>
        <w:t>WC Docket No. 18-89</w:t>
      </w:r>
      <w:r w:rsidRPr="006539ED">
        <w:rPr>
          <w:snapToGrid/>
          <w:kern w:val="0"/>
          <w:szCs w:val="22"/>
        </w:rPr>
        <w:t xml:space="preserve"> and must be addressed to the Commission’s Secretary, Office of the Secretary, Federal Communications Commission.</w:t>
      </w:r>
    </w:p>
    <w:p w:rsidR="00890CD5" w:rsidRPr="006539ED" w:rsidP="009A3416" w14:paraId="4669F884" w14:textId="38309CD2">
      <w:pPr>
        <w:pStyle w:val="ParaNum"/>
        <w:widowControl/>
        <w:numPr>
          <w:ilvl w:val="0"/>
          <w:numId w:val="7"/>
        </w:numPr>
        <w:rPr>
          <w:szCs w:val="22"/>
        </w:rPr>
      </w:pPr>
      <w:r w:rsidRPr="006539ED">
        <w:rPr>
          <w:szCs w:val="22"/>
        </w:rPr>
        <w:t xml:space="preserve">Electronic Filers:  </w:t>
      </w:r>
      <w:r w:rsidR="00CA2B0A">
        <w:rPr>
          <w:szCs w:val="22"/>
        </w:rPr>
        <w:t>Comments</w:t>
      </w:r>
      <w:r w:rsidRPr="006539ED" w:rsidR="00CA2B0A">
        <w:rPr>
          <w:szCs w:val="22"/>
        </w:rPr>
        <w:t xml:space="preserve"> </w:t>
      </w:r>
      <w:r w:rsidRPr="006539ED">
        <w:rPr>
          <w:szCs w:val="22"/>
        </w:rPr>
        <w:t xml:space="preserve">may be filed electronically using the Internet by accessing the Commission’s Electronic Comment Filing System (ECFS): </w:t>
      </w:r>
      <w:hyperlink r:id="rId5" w:history="1">
        <w:r w:rsidRPr="006539ED">
          <w:rPr>
            <w:rStyle w:val="Hyperlink"/>
            <w:szCs w:val="22"/>
          </w:rPr>
          <w:t>www.fcc.gov/ecfs</w:t>
        </w:r>
      </w:hyperlink>
      <w:r w:rsidRPr="006539ED">
        <w:rPr>
          <w:rStyle w:val="Hyperlink"/>
          <w:szCs w:val="22"/>
          <w:u w:val="none"/>
        </w:rPr>
        <w:t>.</w:t>
      </w:r>
      <w:r>
        <w:rPr>
          <w:rStyle w:val="FootnoteReference"/>
          <w:szCs w:val="22"/>
        </w:rPr>
        <w:footnoteReference w:id="76"/>
      </w:r>
      <w:r w:rsidRPr="006539ED">
        <w:rPr>
          <w:szCs w:val="22"/>
        </w:rPr>
        <w:t xml:space="preserve">  </w:t>
      </w:r>
    </w:p>
    <w:p w:rsidR="00890CD5" w:rsidRPr="006539ED" w:rsidP="009A3416" w14:paraId="6A6FBE96" w14:textId="13C6B2B5">
      <w:pPr>
        <w:pStyle w:val="ParaNum"/>
        <w:widowControl/>
        <w:numPr>
          <w:ilvl w:val="0"/>
          <w:numId w:val="7"/>
        </w:numPr>
        <w:rPr>
          <w:szCs w:val="22"/>
        </w:rPr>
      </w:pPr>
      <w:r w:rsidRPr="006539ED">
        <w:rPr>
          <w:szCs w:val="22"/>
        </w:rPr>
        <w:t xml:space="preserve">Paper Filers:  Parties who choose to file by paper must file an original and one copy of each filing. </w:t>
      </w:r>
      <w:r w:rsidR="00476F1A">
        <w:rPr>
          <w:szCs w:val="22"/>
        </w:rPr>
        <w:t xml:space="preserve"> </w:t>
      </w:r>
      <w:r w:rsidRPr="006539ED">
        <w:rPr>
          <w:szCs w:val="22"/>
        </w:rPr>
        <w:t>Filings can be sent by commercial overnight courier, or by first-class or overnight U.S. Postal Service mail.</w:t>
      </w:r>
    </w:p>
    <w:p w:rsidR="00890CD5" w:rsidRPr="006539ED" w:rsidP="009A3416" w14:paraId="5BEF6A24" w14:textId="77777777">
      <w:pPr>
        <w:widowControl/>
        <w:numPr>
          <w:ilvl w:val="2"/>
          <w:numId w:val="8"/>
        </w:numPr>
        <w:spacing w:after="120"/>
        <w:rPr>
          <w:rFonts w:eastAsia="PMingLiU"/>
          <w:snapToGrid/>
          <w:kern w:val="0"/>
          <w:szCs w:val="22"/>
        </w:rPr>
      </w:pPr>
      <w:r w:rsidRPr="006539ED">
        <w:rPr>
          <w:rFonts w:eastAsia="PMingLiU"/>
          <w:snapToGrid/>
          <w:kern w:val="0"/>
          <w:szCs w:val="22"/>
        </w:rPr>
        <w:t>Commercial overnight mail (other than U.S. Postal Service Express Mail and Priority Mail) must be sent to 9050 Junction Drive, Annapolis Junction, MD 20701.</w:t>
      </w:r>
    </w:p>
    <w:p w:rsidR="00890CD5" w:rsidRPr="006539ED" w:rsidP="009A3416" w14:paraId="0AC7C544" w14:textId="77777777">
      <w:pPr>
        <w:widowControl/>
        <w:numPr>
          <w:ilvl w:val="2"/>
          <w:numId w:val="8"/>
        </w:numPr>
        <w:spacing w:after="120"/>
        <w:rPr>
          <w:rFonts w:eastAsia="PMingLiU"/>
          <w:snapToGrid/>
          <w:kern w:val="0"/>
          <w:szCs w:val="22"/>
        </w:rPr>
      </w:pPr>
      <w:r w:rsidRPr="006539ED">
        <w:rPr>
          <w:rFonts w:eastAsia="PMingLiU"/>
          <w:snapToGrid/>
          <w:kern w:val="0"/>
          <w:szCs w:val="22"/>
        </w:rPr>
        <w:t>U.S. Postal Service First-Class, Express, and Priority mail must be addressed to 45 L Street NE, Washington, DC 20554.</w:t>
      </w:r>
    </w:p>
    <w:p w:rsidR="00890CD5" w:rsidRPr="006539ED" w:rsidP="009A3416" w14:paraId="2CE7818B" w14:textId="77777777">
      <w:pPr>
        <w:widowControl/>
        <w:numPr>
          <w:ilvl w:val="0"/>
          <w:numId w:val="8"/>
        </w:numPr>
        <w:spacing w:after="120"/>
        <w:rPr>
          <w:szCs w:val="22"/>
        </w:rPr>
      </w:pPr>
      <w:r w:rsidRPr="006539ED">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77"/>
      </w:r>
      <w:r w:rsidRPr="006539ED">
        <w:rPr>
          <w:szCs w:val="22"/>
        </w:rPr>
        <w:t xml:space="preserve">  </w:t>
      </w:r>
    </w:p>
    <w:p w:rsidR="00890CD5" w:rsidRPr="006539ED" w:rsidP="009A3416" w14:paraId="4861820B" w14:textId="77777777">
      <w:pPr>
        <w:widowControl/>
        <w:spacing w:after="120"/>
        <w:ind w:firstLine="720"/>
        <w:rPr>
          <w:szCs w:val="22"/>
        </w:rPr>
      </w:pPr>
      <w:r w:rsidRPr="006539ED">
        <w:rPr>
          <w:i/>
          <w:iCs/>
          <w:szCs w:val="22"/>
        </w:rPr>
        <w:t>People with Disabilities</w:t>
      </w:r>
      <w:r w:rsidRPr="006539ED">
        <w:rPr>
          <w:szCs w:val="22"/>
        </w:rPr>
        <w:t xml:space="preserve">. To request materials in accessible formats for people with disabilities (Braille, large print, electronic files, audio format), we ask that requests for accommodations be made as soon as possible in order to allow the agency to satisfy such requests whenever possible.  Send an email to </w:t>
      </w:r>
      <w:hyperlink r:id="rId6" w:history="1">
        <w:r w:rsidRPr="006539ED">
          <w:rPr>
            <w:rStyle w:val="Hyperlink"/>
            <w:szCs w:val="22"/>
          </w:rPr>
          <w:t>fcc504@fcc.gov</w:t>
        </w:r>
      </w:hyperlink>
      <w:r w:rsidRPr="006539ED">
        <w:rPr>
          <w:szCs w:val="22"/>
        </w:rPr>
        <w:t xml:space="preserve"> or call the Consumer and Governmental Affairs Bureau at (202) 418-0530.</w:t>
      </w:r>
    </w:p>
    <w:p w:rsidR="00890CD5" w:rsidRPr="006539ED" w:rsidP="009A3416" w14:paraId="5FC6C3F3" w14:textId="77777777">
      <w:pPr>
        <w:pStyle w:val="ParaNum"/>
        <w:widowControl/>
        <w:numPr>
          <w:ilvl w:val="0"/>
          <w:numId w:val="0"/>
        </w:numPr>
        <w:ind w:firstLine="720"/>
        <w:rPr>
          <w:szCs w:val="22"/>
        </w:rPr>
      </w:pPr>
      <w:r w:rsidRPr="006539ED">
        <w:rPr>
          <w:i/>
          <w:iCs/>
          <w:szCs w:val="22"/>
        </w:rPr>
        <w:t>Ex Parte Rules</w:t>
      </w:r>
      <w:r w:rsidRPr="006539ED">
        <w:rPr>
          <w:szCs w:val="22"/>
        </w:rPr>
        <w:t xml:space="preserve">.  The proceeding this Order initiates shall be treated as a “permit-but-disclose” proceeding in accordance with the Commission’s </w:t>
      </w:r>
      <w:r w:rsidRPr="006539ED">
        <w:rPr>
          <w:i/>
          <w:iCs/>
          <w:szCs w:val="22"/>
        </w:rPr>
        <w:t xml:space="preserve">ex parte </w:t>
      </w:r>
      <w:r w:rsidRPr="006539ED">
        <w:rPr>
          <w:szCs w:val="22"/>
        </w:rPr>
        <w:t>rules.</w:t>
      </w:r>
      <w:r>
        <w:rPr>
          <w:rStyle w:val="FootnoteReference"/>
          <w:szCs w:val="22"/>
        </w:rPr>
        <w:footnoteReference w:id="78"/>
      </w:r>
      <w:r w:rsidRPr="006539ED">
        <w:rPr>
          <w:szCs w:val="22"/>
        </w:rPr>
        <w:t xml:space="preserve">  Persons making </w:t>
      </w:r>
      <w:r w:rsidRPr="006539ED">
        <w:rPr>
          <w:i/>
          <w:iCs/>
          <w:szCs w:val="22"/>
        </w:rPr>
        <w:t>ex parte</w:t>
      </w:r>
      <w:r w:rsidRPr="006539E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539ED">
        <w:rPr>
          <w:i/>
          <w:iCs/>
          <w:szCs w:val="22"/>
        </w:rPr>
        <w:t>ex parte</w:t>
      </w:r>
      <w:r w:rsidRPr="006539ED">
        <w:rPr>
          <w:szCs w:val="22"/>
        </w:rPr>
        <w:t xml:space="preserve"> presentations are reminded that memoranda summarizing the presentation must (1) list all persons attending or otherwise participating in the meeting at which the </w:t>
      </w:r>
      <w:r w:rsidRPr="006539ED">
        <w:rPr>
          <w:i/>
          <w:iCs/>
          <w:szCs w:val="22"/>
        </w:rPr>
        <w:t>ex parte</w:t>
      </w:r>
      <w:r w:rsidRPr="006539E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539ED">
        <w:rPr>
          <w:i/>
          <w:iCs/>
          <w:szCs w:val="22"/>
        </w:rPr>
        <w:t>ex parte</w:t>
      </w:r>
      <w:r w:rsidRPr="006539ED">
        <w:rPr>
          <w:szCs w:val="22"/>
        </w:rPr>
        <w:t xml:space="preserve"> meetings are deemed to be written </w:t>
      </w:r>
      <w:r w:rsidRPr="006539ED">
        <w:rPr>
          <w:i/>
          <w:iCs/>
          <w:szCs w:val="22"/>
        </w:rPr>
        <w:t>ex parte</w:t>
      </w:r>
      <w:r w:rsidRPr="006539ED">
        <w:rPr>
          <w:szCs w:val="22"/>
        </w:rPr>
        <w:t xml:space="preserve"> presentations and must be filed consistent with rule 1.1206(b).  In proceedings governed by rule 1.49(f) or for which the Commission has made available a method of electronic filing, written </w:t>
      </w:r>
      <w:r w:rsidRPr="006539ED">
        <w:rPr>
          <w:i/>
          <w:iCs/>
          <w:szCs w:val="22"/>
        </w:rPr>
        <w:t>ex parte</w:t>
      </w:r>
      <w:r w:rsidRPr="006539ED">
        <w:rPr>
          <w:szCs w:val="22"/>
        </w:rPr>
        <w:t xml:space="preserve"> presentations and memoranda summarizing oral </w:t>
      </w:r>
      <w:r w:rsidRPr="006539ED">
        <w:rPr>
          <w:i/>
          <w:iCs/>
          <w:szCs w:val="22"/>
        </w:rPr>
        <w:t>ex parte</w:t>
      </w:r>
      <w:r w:rsidRPr="006539ED">
        <w:rPr>
          <w:szCs w:val="22"/>
        </w:rPr>
        <w:t xml:space="preserve"> presentations, and all attachments thereto, must be filed in their native format (e.g., .doc, .xml, .ppt, searchable .pdf).  Participants in this proceeding should familiarize themselves with the Commission’s </w:t>
      </w:r>
      <w:r w:rsidRPr="006539ED">
        <w:rPr>
          <w:i/>
          <w:iCs/>
          <w:szCs w:val="22"/>
        </w:rPr>
        <w:t>ex parte</w:t>
      </w:r>
      <w:r w:rsidRPr="006539ED">
        <w:rPr>
          <w:szCs w:val="22"/>
        </w:rPr>
        <w:t xml:space="preserve"> rules.</w:t>
      </w:r>
    </w:p>
    <w:p w:rsidR="00890CD5" w:rsidRPr="006539ED" w:rsidP="009A3416" w14:paraId="675826F4" w14:textId="77777777">
      <w:pPr>
        <w:pStyle w:val="ParaNum"/>
        <w:numPr>
          <w:ilvl w:val="0"/>
          <w:numId w:val="0"/>
        </w:numPr>
        <w:ind w:firstLine="720"/>
        <w:rPr>
          <w:szCs w:val="22"/>
        </w:rPr>
      </w:pPr>
      <w:r w:rsidRPr="006539ED">
        <w:rPr>
          <w:szCs w:val="22"/>
        </w:rPr>
        <w:t xml:space="preserve">For additional information on this matter, please email </w:t>
      </w:r>
      <w:hyperlink r:id="rId7" w:history="1">
        <w:r w:rsidRPr="006539ED">
          <w:rPr>
            <w:rStyle w:val="Hyperlink"/>
            <w:szCs w:val="22"/>
          </w:rPr>
          <w:t>supplychain@fcc.gov</w:t>
        </w:r>
      </w:hyperlink>
      <w:r w:rsidRPr="006539ED">
        <w:rPr>
          <w:szCs w:val="22"/>
        </w:rPr>
        <w:t xml:space="preserve">. </w:t>
      </w:r>
    </w:p>
    <w:p w:rsidR="002B213E" w:rsidP="009A3416" w14:paraId="3BDB4B23" w14:textId="64D11145">
      <w:pPr>
        <w:pStyle w:val="ParaNum"/>
        <w:numPr>
          <w:ilvl w:val="0"/>
          <w:numId w:val="0"/>
        </w:numPr>
        <w:jc w:val="center"/>
        <w:rPr>
          <w:b/>
          <w:bCs/>
          <w:szCs w:val="22"/>
        </w:rPr>
      </w:pPr>
      <w:r w:rsidRPr="006539ED">
        <w:rPr>
          <w:b/>
          <w:bCs/>
          <w:szCs w:val="22"/>
        </w:rPr>
        <w:t xml:space="preserve">- FCC </w:t>
      </w:r>
      <w:r w:rsidR="00392483">
        <w:rPr>
          <w:b/>
          <w:bCs/>
          <w:szCs w:val="22"/>
        </w:rPr>
        <w:t>–</w:t>
      </w:r>
    </w:p>
    <w:p w:rsidR="0053679B" w:rsidP="00392483" w14:paraId="3781966F" w14:textId="77777777">
      <w:pPr>
        <w:pStyle w:val="ParaNum"/>
        <w:numPr>
          <w:ilvl w:val="0"/>
          <w:numId w:val="0"/>
        </w:numPr>
        <w:rPr>
          <w:szCs w:val="22"/>
        </w:rPr>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A46F4D" w:rsidP="00392483" w14:paraId="2245A007" w14:textId="77777777">
      <w:pPr>
        <w:pStyle w:val="ParaNum"/>
        <w:numPr>
          <w:ilvl w:val="0"/>
          <w:numId w:val="0"/>
        </w:numPr>
        <w:rPr>
          <w:szCs w:val="22"/>
        </w:rPr>
        <w:sectPr w:rsidSect="0053679B">
          <w:endnotePr>
            <w:numFmt w:val="decimal"/>
          </w:endnotePr>
          <w:type w:val="continuous"/>
          <w:pgSz w:w="12240" w:h="15840"/>
          <w:pgMar w:top="1440" w:right="1440" w:bottom="720" w:left="1440" w:header="630" w:footer="720" w:gutter="0"/>
          <w:pgNumType w:start="1"/>
          <w:cols w:space="720"/>
          <w:noEndnote/>
          <w:titlePg/>
        </w:sectPr>
      </w:pPr>
    </w:p>
    <w:p w:rsidR="00491D1F" w:rsidRPr="00050A20" w:rsidP="00491D1F" w14:paraId="06092CD9" w14:textId="77777777">
      <w:pPr>
        <w:pStyle w:val="NoSpacing"/>
        <w:jc w:val="center"/>
        <w:rPr>
          <w:rFonts w:asciiTheme="minorHAnsi" w:hAnsiTheme="minorHAnsi" w:cstheme="minorHAnsi"/>
          <w:b/>
          <w:bCs/>
        </w:rPr>
      </w:pPr>
      <w:r w:rsidRPr="00050A20">
        <w:rPr>
          <w:rFonts w:asciiTheme="minorHAnsi" w:hAnsiTheme="minorHAnsi" w:cstheme="minorHAnsi"/>
          <w:b/>
          <w:bCs/>
        </w:rPr>
        <w:t>APPENDIX A</w:t>
      </w:r>
    </w:p>
    <w:p w:rsidR="00491D1F" w:rsidRPr="00050A20" w:rsidP="00491D1F" w14:paraId="290A25EC" w14:textId="77777777">
      <w:pPr>
        <w:pStyle w:val="NoSpacing"/>
        <w:jc w:val="center"/>
        <w:rPr>
          <w:rFonts w:asciiTheme="minorHAnsi" w:hAnsiTheme="minorHAnsi" w:cstheme="minorHAnsi"/>
          <w:b/>
          <w:bCs/>
        </w:rPr>
      </w:pPr>
    </w:p>
    <w:p w:rsidR="00491D1F" w:rsidRPr="00050A20" w:rsidP="00491D1F" w14:paraId="055DA535" w14:textId="77777777">
      <w:pPr>
        <w:pStyle w:val="NoSpacing"/>
        <w:jc w:val="center"/>
        <w:rPr>
          <w:rFonts w:asciiTheme="minorHAnsi" w:hAnsiTheme="minorHAnsi" w:cstheme="minorHAnsi"/>
          <w:b/>
          <w:bCs/>
        </w:rPr>
      </w:pPr>
      <w:r w:rsidRPr="00050A20">
        <w:rPr>
          <w:rFonts w:asciiTheme="minorHAnsi" w:hAnsiTheme="minorHAnsi" w:cstheme="minorHAnsi"/>
          <w:b/>
          <w:bCs/>
        </w:rPr>
        <w:t>Supply Chain Reimbursement Program</w:t>
      </w:r>
    </w:p>
    <w:p w:rsidR="00491D1F" w:rsidRPr="00050A20" w:rsidP="00491D1F" w14:paraId="749786E4" w14:textId="77777777">
      <w:pPr>
        <w:pStyle w:val="NoSpacing"/>
        <w:jc w:val="center"/>
        <w:rPr>
          <w:rFonts w:asciiTheme="minorHAnsi" w:hAnsiTheme="minorHAnsi" w:cstheme="minorHAnsi"/>
        </w:rPr>
      </w:pPr>
      <w:r w:rsidRPr="00193BE7">
        <w:rPr>
          <w:rFonts w:asciiTheme="minorHAnsi" w:hAnsiTheme="minorHAnsi" w:cstheme="minorHAnsi"/>
        </w:rPr>
        <w:t>Form 5640:</w:t>
      </w:r>
      <w:r w:rsidRPr="00050A20">
        <w:rPr>
          <w:rFonts w:asciiTheme="minorHAnsi" w:hAnsiTheme="minorHAnsi" w:cstheme="minorHAnsi"/>
          <w:b/>
          <w:bCs/>
        </w:rPr>
        <w:t xml:space="preserve"> </w:t>
      </w:r>
      <w:r w:rsidRPr="00050A20">
        <w:rPr>
          <w:rFonts w:asciiTheme="minorHAnsi" w:hAnsiTheme="minorHAnsi" w:cstheme="minorHAnsi"/>
        </w:rPr>
        <w:t>Application Request for Funding Allocation, Section 1.50004(c)</w:t>
      </w:r>
    </w:p>
    <w:p w:rsidR="00491D1F" w:rsidRPr="00050A20" w:rsidP="00491D1F" w14:paraId="741ED236" w14:textId="77777777">
      <w:pPr>
        <w:pStyle w:val="NoSpacing"/>
        <w:jc w:val="center"/>
        <w:rPr>
          <w:rFonts w:asciiTheme="minorHAnsi" w:hAnsiTheme="minorHAnsi" w:cstheme="minorHAnsi"/>
        </w:rPr>
      </w:pPr>
      <w:r w:rsidRPr="00050A20">
        <w:rPr>
          <w:rFonts w:asciiTheme="minorHAnsi" w:hAnsiTheme="minorHAnsi" w:cstheme="minorHAnsi"/>
        </w:rPr>
        <w:t>Information Submitted Using Online Portal</w:t>
      </w:r>
    </w:p>
    <w:p w:rsidR="00491D1F" w:rsidRPr="00050A20" w:rsidP="00491D1F" w14:paraId="5D734558" w14:textId="77777777">
      <w:pPr>
        <w:pStyle w:val="NoSpacing"/>
        <w:rPr>
          <w:rFonts w:eastAsia="Times New Roman" w:asciiTheme="minorHAnsi" w:hAnsiTheme="minorHAnsi" w:cstheme="minorHAnsi"/>
        </w:rPr>
      </w:pPr>
    </w:p>
    <w:p w:rsidR="00491D1F" w:rsidRPr="00050A20" w:rsidP="00491D1F" w14:paraId="2A38382E" w14:textId="77777777">
      <w:pPr>
        <w:pStyle w:val="NoSpacing"/>
        <w:jc w:val="center"/>
        <w:rPr>
          <w:rFonts w:asciiTheme="minorHAnsi" w:hAnsiTheme="minorHAnsi" w:cstheme="minorHAnsi"/>
          <w:lang w:val="en-CA"/>
        </w:rPr>
      </w:pPr>
      <w:r w:rsidRPr="00050A20">
        <w:rPr>
          <w:rFonts w:eastAsia="Times New Roman" w:asciiTheme="minorHAnsi" w:hAnsiTheme="minorHAnsi" w:cstheme="minorHAnsi"/>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p>
    <w:p w:rsidR="00491D1F" w:rsidRPr="00050A20" w:rsidP="00491D1F" w14:paraId="49D0162D" w14:textId="77777777">
      <w:pPr>
        <w:pStyle w:val="NoSpacing"/>
        <w:rPr>
          <w:rFonts w:asciiTheme="minorHAnsi" w:hAnsiTheme="minorHAnsi" w:cstheme="minorHAnsi"/>
        </w:rPr>
      </w:pPr>
    </w:p>
    <w:tbl>
      <w:tblPr>
        <w:tblStyle w:val="TableGrid"/>
        <w:tblW w:w="13063" w:type="dxa"/>
        <w:tblLook w:val="04A0"/>
      </w:tblPr>
      <w:tblGrid>
        <w:gridCol w:w="1058"/>
        <w:gridCol w:w="3294"/>
        <w:gridCol w:w="1816"/>
        <w:gridCol w:w="6895"/>
      </w:tblGrid>
      <w:tr w14:paraId="3A671328" w14:textId="77777777" w:rsidTr="00EE016D">
        <w:tblPrEx>
          <w:tblW w:w="13063" w:type="dxa"/>
          <w:tblLook w:val="04A0"/>
        </w:tblPrEx>
        <w:trPr>
          <w:tblHeader/>
        </w:trPr>
        <w:tc>
          <w:tcPr>
            <w:tcW w:w="1058" w:type="dxa"/>
            <w:shd w:val="clear" w:color="auto" w:fill="D9D9D9" w:themeFill="background1" w:themeFillShade="D9"/>
          </w:tcPr>
          <w:p w:rsidR="00491D1F" w:rsidRPr="00050A20" w:rsidP="00EE016D" w14:paraId="4EEF918A" w14:textId="77777777">
            <w:pPr>
              <w:pStyle w:val="NoSpacing"/>
              <w:rPr>
                <w:rFonts w:asciiTheme="minorHAnsi" w:hAnsiTheme="minorHAnsi" w:cstheme="minorHAnsi"/>
                <w:b/>
                <w:bCs/>
              </w:rPr>
            </w:pPr>
            <w:r w:rsidRPr="00050A20">
              <w:rPr>
                <w:rFonts w:asciiTheme="minorHAnsi" w:hAnsiTheme="minorHAnsi" w:cstheme="minorHAnsi"/>
                <w:b/>
                <w:bCs/>
              </w:rPr>
              <w:t>Item Number</w:t>
            </w:r>
          </w:p>
        </w:tc>
        <w:tc>
          <w:tcPr>
            <w:tcW w:w="3294" w:type="dxa"/>
            <w:shd w:val="clear" w:color="auto" w:fill="D9D9D9" w:themeFill="background1" w:themeFillShade="D9"/>
          </w:tcPr>
          <w:p w:rsidR="00491D1F" w:rsidRPr="00050A20" w:rsidP="00EE016D" w14:paraId="57AF4920" w14:textId="77777777">
            <w:pPr>
              <w:pStyle w:val="NoSpacing"/>
              <w:rPr>
                <w:rFonts w:asciiTheme="minorHAnsi" w:hAnsiTheme="minorHAnsi" w:cstheme="minorHAnsi"/>
                <w:b/>
                <w:bCs/>
              </w:rPr>
            </w:pPr>
            <w:r w:rsidRPr="00050A20">
              <w:rPr>
                <w:rFonts w:asciiTheme="minorHAnsi" w:hAnsiTheme="minorHAnsi" w:cstheme="minorHAnsi"/>
                <w:b/>
                <w:bCs/>
              </w:rPr>
              <w:t>Field(s) Description</w:t>
            </w:r>
          </w:p>
        </w:tc>
        <w:tc>
          <w:tcPr>
            <w:tcW w:w="1816" w:type="dxa"/>
            <w:shd w:val="clear" w:color="auto" w:fill="D9D9D9" w:themeFill="background1" w:themeFillShade="D9"/>
          </w:tcPr>
          <w:p w:rsidR="00491D1F" w:rsidRPr="00050A20" w:rsidP="00EE016D" w14:paraId="7A954356" w14:textId="77777777">
            <w:pPr>
              <w:pStyle w:val="NoSpacing"/>
              <w:rPr>
                <w:rFonts w:asciiTheme="minorHAnsi" w:hAnsiTheme="minorHAnsi" w:cstheme="minorHAnsi"/>
                <w:b/>
                <w:bCs/>
              </w:rPr>
            </w:pPr>
            <w:r w:rsidRPr="00050A20">
              <w:rPr>
                <w:rFonts w:asciiTheme="minorHAnsi" w:hAnsiTheme="minorHAnsi" w:cstheme="minorHAnsi"/>
                <w:b/>
                <w:bCs/>
              </w:rPr>
              <w:t>Category Type</w:t>
            </w:r>
          </w:p>
        </w:tc>
        <w:tc>
          <w:tcPr>
            <w:tcW w:w="6895" w:type="dxa"/>
            <w:shd w:val="clear" w:color="auto" w:fill="D9D9D9" w:themeFill="background1" w:themeFillShade="D9"/>
          </w:tcPr>
          <w:p w:rsidR="00491D1F" w:rsidRPr="00050A20" w:rsidP="00EE016D" w14:paraId="4B453DF7" w14:textId="77777777">
            <w:pPr>
              <w:pStyle w:val="NoSpacing"/>
              <w:rPr>
                <w:rFonts w:asciiTheme="minorHAnsi" w:hAnsiTheme="minorHAnsi" w:cstheme="minorHAnsi"/>
                <w:b/>
                <w:bCs/>
              </w:rPr>
            </w:pPr>
            <w:r w:rsidRPr="00050A20">
              <w:rPr>
                <w:rFonts w:asciiTheme="minorHAnsi" w:hAnsiTheme="minorHAnsi" w:cstheme="minorHAnsi"/>
                <w:b/>
                <w:bCs/>
              </w:rPr>
              <w:t>Purpose/Instructions</w:t>
            </w:r>
          </w:p>
        </w:tc>
      </w:tr>
      <w:tr w14:paraId="23E82A74" w14:textId="77777777" w:rsidTr="00EE016D">
        <w:tblPrEx>
          <w:tblW w:w="13063" w:type="dxa"/>
          <w:tblLook w:val="04A0"/>
        </w:tblPrEx>
        <w:tc>
          <w:tcPr>
            <w:tcW w:w="1058" w:type="dxa"/>
          </w:tcPr>
          <w:p w:rsidR="00491D1F" w:rsidRPr="00050A20" w:rsidP="00EE016D" w14:paraId="1F56CAFD" w14:textId="77777777">
            <w:pPr>
              <w:pStyle w:val="NoSpacing"/>
              <w:jc w:val="center"/>
              <w:rPr>
                <w:rFonts w:asciiTheme="minorHAnsi" w:hAnsiTheme="minorHAnsi" w:cstheme="minorHAnsi"/>
              </w:rPr>
            </w:pPr>
            <w:r w:rsidRPr="00050A20">
              <w:rPr>
                <w:rFonts w:asciiTheme="minorHAnsi" w:hAnsiTheme="minorHAnsi" w:cstheme="minorHAnsi"/>
              </w:rPr>
              <w:t>1</w:t>
            </w:r>
          </w:p>
        </w:tc>
        <w:tc>
          <w:tcPr>
            <w:tcW w:w="3294" w:type="dxa"/>
          </w:tcPr>
          <w:p w:rsidR="00491D1F" w:rsidRPr="00050A20" w:rsidP="00EE016D" w14:paraId="5FB5FD23" w14:textId="77777777">
            <w:pPr>
              <w:pStyle w:val="NoSpacing"/>
              <w:rPr>
                <w:rFonts w:asciiTheme="minorHAnsi" w:hAnsiTheme="minorHAnsi" w:cstheme="minorHAnsi"/>
              </w:rPr>
            </w:pPr>
            <w:r w:rsidRPr="00050A20">
              <w:rPr>
                <w:rFonts w:eastAsia="Arial" w:asciiTheme="minorHAnsi" w:hAnsiTheme="minorHAnsi" w:cstheme="minorHAnsi"/>
              </w:rPr>
              <w:t>Applicant’s FCC Registration Number (FRN).</w:t>
            </w:r>
          </w:p>
        </w:tc>
        <w:tc>
          <w:tcPr>
            <w:tcW w:w="1816" w:type="dxa"/>
          </w:tcPr>
          <w:p w:rsidR="00491D1F" w:rsidRPr="00050A20" w:rsidP="00EE016D" w14:paraId="63BD0E84" w14:textId="77777777">
            <w:pPr>
              <w:pStyle w:val="NoSpacing"/>
              <w:rPr>
                <w:rFonts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6F6A0445" w14:textId="77777777">
            <w:pPr>
              <w:tabs>
                <w:tab w:val="left" w:pos="2840"/>
              </w:tabs>
              <w:rPr>
                <w:rFonts w:cstheme="minorHAnsi"/>
                <w:color w:val="202124"/>
                <w:shd w:val="clear" w:color="auto" w:fill="FFFFFF"/>
              </w:rPr>
            </w:pPr>
            <w:r w:rsidRPr="00050A20">
              <w:rPr>
                <w:rFonts w:cstheme="minorHAnsi"/>
                <w:color w:val="202124"/>
                <w:shd w:val="clear" w:color="auto" w:fill="FFFFFF"/>
              </w:rPr>
              <w:t xml:space="preserve">A 10-digit number that is assigned by the Commission Registration System (CORES) to a business or individual registering with the FCC, </w:t>
            </w:r>
            <w:hyperlink r:id="rId13" w:history="1">
              <w:r w:rsidRPr="00050A20">
                <w:rPr>
                  <w:rStyle w:val="Hyperlink"/>
                  <w:rFonts w:cstheme="minorHAnsi"/>
                  <w:shd w:val="clear" w:color="auto" w:fill="FFFFFF"/>
                </w:rPr>
                <w:t>https://apps.fcc.gov/cores/userLogin.do</w:t>
              </w:r>
            </w:hyperlink>
            <w:r w:rsidRPr="00050A20">
              <w:rPr>
                <w:rFonts w:cstheme="minorHAnsi"/>
                <w:color w:val="202124"/>
                <w:shd w:val="clear" w:color="auto" w:fill="FFFFFF"/>
              </w:rPr>
              <w:t>.  This unique FRN is used to identify the registrant’s business dealings with the FCC.</w:t>
            </w:r>
          </w:p>
          <w:p w:rsidR="000A7D05" w:rsidRPr="00050A20" w:rsidP="00EE016D" w14:paraId="66E2BFE2" w14:textId="7A963486">
            <w:pPr>
              <w:tabs>
                <w:tab w:val="left" w:pos="2840"/>
              </w:tabs>
              <w:rPr>
                <w:rFonts w:cstheme="minorHAnsi"/>
                <w:color w:val="202124"/>
                <w:shd w:val="clear" w:color="auto" w:fill="FFFFFF"/>
              </w:rPr>
            </w:pPr>
          </w:p>
        </w:tc>
      </w:tr>
      <w:tr w14:paraId="545DD9C1" w14:textId="77777777" w:rsidTr="00EE016D">
        <w:tblPrEx>
          <w:tblW w:w="13063" w:type="dxa"/>
          <w:tblLook w:val="04A0"/>
        </w:tblPrEx>
        <w:tc>
          <w:tcPr>
            <w:tcW w:w="1058" w:type="dxa"/>
          </w:tcPr>
          <w:p w:rsidR="00491D1F" w:rsidRPr="00050A20" w:rsidP="00EE016D" w14:paraId="1CB16674" w14:textId="77777777">
            <w:pPr>
              <w:pStyle w:val="NoSpacing"/>
              <w:jc w:val="center"/>
              <w:rPr>
                <w:rFonts w:asciiTheme="minorHAnsi" w:hAnsiTheme="minorHAnsi" w:cstheme="minorHAnsi"/>
              </w:rPr>
            </w:pPr>
            <w:r w:rsidRPr="00050A20">
              <w:rPr>
                <w:rFonts w:asciiTheme="minorHAnsi" w:hAnsiTheme="minorHAnsi" w:cstheme="minorHAnsi"/>
              </w:rPr>
              <w:t>2</w:t>
            </w:r>
          </w:p>
        </w:tc>
        <w:tc>
          <w:tcPr>
            <w:tcW w:w="3294" w:type="dxa"/>
          </w:tcPr>
          <w:p w:rsidR="00491D1F" w:rsidRPr="00050A20" w:rsidP="00EE016D" w14:paraId="5CB44076" w14:textId="77777777">
            <w:pPr>
              <w:pStyle w:val="NoSpacing"/>
              <w:rPr>
                <w:rFonts w:asciiTheme="minorHAnsi" w:hAnsiTheme="minorHAnsi" w:cstheme="minorHAnsi"/>
              </w:rPr>
            </w:pPr>
            <w:r w:rsidRPr="00050A20">
              <w:rPr>
                <w:rFonts w:asciiTheme="minorHAnsi" w:hAnsiTheme="minorHAnsi" w:cstheme="minorHAnsi"/>
              </w:rPr>
              <w:t>Applicant’s Legal Name and “doing business” as name.</w:t>
            </w:r>
          </w:p>
        </w:tc>
        <w:tc>
          <w:tcPr>
            <w:tcW w:w="1816" w:type="dxa"/>
          </w:tcPr>
          <w:p w:rsidR="00491D1F" w:rsidRPr="00050A20" w:rsidP="00EE016D" w14:paraId="0A19E449" w14:textId="77777777">
            <w:pPr>
              <w:pStyle w:val="NoSpacing"/>
              <w:rPr>
                <w:rFonts w:asciiTheme="minorHAnsi" w:hAnsiTheme="minorHAnsi" w:cstheme="minorHAnsi"/>
              </w:rPr>
            </w:pPr>
            <w:r w:rsidRPr="00050A20">
              <w:rPr>
                <w:rFonts w:asciiTheme="minorHAnsi" w:hAnsiTheme="minorHAnsi" w:cstheme="minorHAnsi"/>
              </w:rPr>
              <w:t>ID &amp; contact information</w:t>
            </w:r>
          </w:p>
        </w:tc>
        <w:tc>
          <w:tcPr>
            <w:tcW w:w="6895" w:type="dxa"/>
          </w:tcPr>
          <w:p w:rsidR="00491D1F" w:rsidRPr="00050A20" w:rsidP="00EE016D" w14:paraId="1E5769D6" w14:textId="77777777">
            <w:pPr>
              <w:pStyle w:val="NoSpacing"/>
              <w:rPr>
                <w:rFonts w:asciiTheme="minorHAnsi" w:hAnsiTheme="minorHAnsi" w:cstheme="minorHAnsi"/>
              </w:rPr>
            </w:pPr>
            <w:r w:rsidRPr="00050A20">
              <w:rPr>
                <w:rFonts w:asciiTheme="minorHAnsi" w:hAnsiTheme="minorHAnsi" w:cstheme="minorHAnsi"/>
              </w:rPr>
              <w:t xml:space="preserve">This is the name of the Applicant submitting this request.  This information will be auto-generated by system based on the FRN submitted. </w:t>
            </w:r>
          </w:p>
          <w:p w:rsidR="00491D1F" w:rsidRPr="00050A20" w:rsidP="00EE016D" w14:paraId="1A83FBC1" w14:textId="77777777">
            <w:pPr>
              <w:pStyle w:val="NoSpacing"/>
              <w:rPr>
                <w:rFonts w:asciiTheme="minorHAnsi" w:hAnsiTheme="minorHAnsi" w:cstheme="minorHAnsi"/>
              </w:rPr>
            </w:pPr>
          </w:p>
        </w:tc>
      </w:tr>
      <w:tr w14:paraId="5DFEA19B" w14:textId="77777777" w:rsidTr="00EE016D">
        <w:tblPrEx>
          <w:tblW w:w="13063" w:type="dxa"/>
          <w:tblLook w:val="04A0"/>
        </w:tblPrEx>
        <w:tc>
          <w:tcPr>
            <w:tcW w:w="1058" w:type="dxa"/>
          </w:tcPr>
          <w:p w:rsidR="00491D1F" w:rsidRPr="00050A20" w:rsidP="00EE016D" w14:paraId="2F779542" w14:textId="77777777">
            <w:pPr>
              <w:pStyle w:val="NoSpacing"/>
              <w:jc w:val="center"/>
              <w:rPr>
                <w:rFonts w:asciiTheme="minorHAnsi" w:hAnsiTheme="minorHAnsi" w:cstheme="minorHAnsi"/>
              </w:rPr>
            </w:pPr>
            <w:r w:rsidRPr="00050A20">
              <w:rPr>
                <w:rFonts w:asciiTheme="minorHAnsi" w:hAnsiTheme="minorHAnsi" w:cstheme="minorHAnsi"/>
              </w:rPr>
              <w:t>3</w:t>
            </w:r>
          </w:p>
        </w:tc>
        <w:tc>
          <w:tcPr>
            <w:tcW w:w="3294" w:type="dxa"/>
          </w:tcPr>
          <w:p w:rsidR="00491D1F" w:rsidRPr="00050A20" w:rsidP="00EE016D" w14:paraId="19A5DE25" w14:textId="77777777">
            <w:pPr>
              <w:pStyle w:val="NoSpacing"/>
              <w:rPr>
                <w:rFonts w:asciiTheme="minorHAnsi" w:hAnsiTheme="minorHAnsi" w:cstheme="minorHAnsi"/>
              </w:rPr>
            </w:pPr>
            <w:r w:rsidRPr="00050A20">
              <w:rPr>
                <w:rFonts w:asciiTheme="minorHAnsi" w:hAnsiTheme="minorHAnsi" w:cstheme="minorHAnsi"/>
              </w:rPr>
              <w:t>Applicant’s Contact Information:</w:t>
            </w:r>
          </w:p>
          <w:p w:rsidR="00491D1F" w:rsidRPr="00050A20" w:rsidP="00491D1F" w14:paraId="0B47EAC4"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Street </w:t>
            </w:r>
            <w:r w:rsidRPr="00050A20">
              <w:rPr>
                <w:rFonts w:asciiTheme="minorHAnsi" w:hAnsiTheme="minorHAnsi" w:cstheme="minorHAnsi"/>
              </w:rPr>
              <w:t>Name;</w:t>
            </w:r>
          </w:p>
          <w:p w:rsidR="00491D1F" w:rsidRPr="00050A20" w:rsidP="00491D1F" w14:paraId="610612F4" w14:textId="77777777">
            <w:pPr>
              <w:pStyle w:val="NoSpacing"/>
              <w:numPr>
                <w:ilvl w:val="0"/>
                <w:numId w:val="19"/>
              </w:numPr>
              <w:rPr>
                <w:rFonts w:asciiTheme="minorHAnsi" w:hAnsiTheme="minorHAnsi" w:cstheme="minorHAnsi"/>
              </w:rPr>
            </w:pPr>
            <w:r w:rsidRPr="00050A20">
              <w:rPr>
                <w:rFonts w:asciiTheme="minorHAnsi" w:hAnsiTheme="minorHAnsi" w:cstheme="minorHAnsi"/>
              </w:rPr>
              <w:t>City;</w:t>
            </w:r>
          </w:p>
          <w:p w:rsidR="00491D1F" w:rsidRPr="00050A20" w:rsidP="00491D1F" w14:paraId="41120BDC" w14:textId="77777777">
            <w:pPr>
              <w:pStyle w:val="NoSpacing"/>
              <w:numPr>
                <w:ilvl w:val="0"/>
                <w:numId w:val="19"/>
              </w:numPr>
              <w:rPr>
                <w:rFonts w:asciiTheme="minorHAnsi" w:hAnsiTheme="minorHAnsi" w:cstheme="minorHAnsi"/>
              </w:rPr>
            </w:pPr>
            <w:r w:rsidRPr="00050A20">
              <w:rPr>
                <w:rFonts w:asciiTheme="minorHAnsi" w:hAnsiTheme="minorHAnsi" w:cstheme="minorHAnsi"/>
              </w:rPr>
              <w:t>State;</w:t>
            </w:r>
          </w:p>
          <w:p w:rsidR="00491D1F" w:rsidRPr="00050A20" w:rsidP="00491D1F" w14:paraId="6C5DBC01"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Zip </w:t>
            </w:r>
            <w:r w:rsidRPr="00050A20">
              <w:rPr>
                <w:rFonts w:asciiTheme="minorHAnsi" w:hAnsiTheme="minorHAnsi" w:cstheme="minorHAnsi"/>
              </w:rPr>
              <w:t>Code;</w:t>
            </w:r>
          </w:p>
          <w:p w:rsidR="00491D1F" w:rsidRPr="00050A20" w:rsidP="00491D1F" w14:paraId="63025E55"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Phone </w:t>
            </w:r>
            <w:r w:rsidRPr="00050A20">
              <w:rPr>
                <w:rFonts w:asciiTheme="minorHAnsi" w:hAnsiTheme="minorHAnsi" w:cstheme="minorHAnsi"/>
              </w:rPr>
              <w:t>#;</w:t>
            </w:r>
          </w:p>
          <w:p w:rsidR="00491D1F" w:rsidRPr="00050A20" w:rsidP="00491D1F" w14:paraId="6CE9D957" w14:textId="77777777">
            <w:pPr>
              <w:pStyle w:val="NoSpacing"/>
              <w:numPr>
                <w:ilvl w:val="0"/>
                <w:numId w:val="19"/>
              </w:numPr>
              <w:rPr>
                <w:rFonts w:asciiTheme="minorHAnsi" w:hAnsiTheme="minorHAnsi" w:cstheme="minorHAnsi"/>
              </w:rPr>
            </w:pPr>
            <w:r w:rsidRPr="00050A20">
              <w:rPr>
                <w:rFonts w:asciiTheme="minorHAnsi" w:hAnsiTheme="minorHAnsi" w:cstheme="minorHAnsi"/>
              </w:rPr>
              <w:t>Email.</w:t>
            </w:r>
          </w:p>
          <w:p w:rsidR="00491D1F" w:rsidRPr="00050A20" w:rsidP="00EE016D" w14:paraId="6243BF1D" w14:textId="77777777">
            <w:pPr>
              <w:pStyle w:val="NoSpacing"/>
              <w:ind w:left="720"/>
              <w:rPr>
                <w:rFonts w:asciiTheme="minorHAnsi" w:hAnsiTheme="minorHAnsi" w:cstheme="minorHAnsi"/>
              </w:rPr>
            </w:pPr>
          </w:p>
        </w:tc>
        <w:tc>
          <w:tcPr>
            <w:tcW w:w="1816" w:type="dxa"/>
          </w:tcPr>
          <w:p w:rsidR="00491D1F" w:rsidRPr="00050A20" w:rsidP="00EE016D" w14:paraId="5C079393" w14:textId="77777777">
            <w:pPr>
              <w:pStyle w:val="NoSpacing"/>
              <w:rPr>
                <w:rFonts w:asciiTheme="minorHAnsi" w:hAnsiTheme="minorHAnsi" w:cstheme="minorHAnsi"/>
              </w:rPr>
            </w:pPr>
            <w:r w:rsidRPr="00050A20">
              <w:rPr>
                <w:rFonts w:asciiTheme="minorHAnsi" w:hAnsiTheme="minorHAnsi" w:cstheme="minorHAnsi"/>
              </w:rPr>
              <w:t>ID &amp; contact information</w:t>
            </w:r>
          </w:p>
        </w:tc>
        <w:tc>
          <w:tcPr>
            <w:tcW w:w="6895" w:type="dxa"/>
          </w:tcPr>
          <w:p w:rsidR="00491D1F" w:rsidRPr="00050A20" w:rsidP="00EE016D" w14:paraId="29B558A7" w14:textId="77777777">
            <w:pPr>
              <w:tabs>
                <w:tab w:val="left" w:pos="2840"/>
              </w:tabs>
              <w:rPr>
                <w:rFonts w:eastAsia="Arial" w:cstheme="minorHAnsi"/>
              </w:rPr>
            </w:pPr>
            <w:r w:rsidRPr="00050A20">
              <w:rPr>
                <w:rFonts w:eastAsia="Arial" w:cstheme="minorHAnsi"/>
              </w:rPr>
              <w:t>This information on the Applicant will be auto-generated based on the FRN submitted.</w:t>
            </w:r>
          </w:p>
          <w:p w:rsidR="00491D1F" w:rsidRPr="00050A20" w:rsidP="00EE016D" w14:paraId="2D16C7E0" w14:textId="77777777">
            <w:pPr>
              <w:pStyle w:val="NoSpacing"/>
              <w:rPr>
                <w:rFonts w:asciiTheme="minorHAnsi" w:hAnsiTheme="minorHAnsi" w:cstheme="minorHAnsi"/>
              </w:rPr>
            </w:pPr>
          </w:p>
        </w:tc>
      </w:tr>
      <w:tr w14:paraId="15081925" w14:textId="77777777" w:rsidTr="00EE016D">
        <w:tblPrEx>
          <w:tblW w:w="13063" w:type="dxa"/>
          <w:tblLook w:val="04A0"/>
        </w:tblPrEx>
        <w:tc>
          <w:tcPr>
            <w:tcW w:w="1058" w:type="dxa"/>
          </w:tcPr>
          <w:p w:rsidR="00491D1F" w:rsidRPr="00050A20" w:rsidP="00EE016D" w14:paraId="0C8AB138" w14:textId="77777777">
            <w:pPr>
              <w:pStyle w:val="NoSpacing"/>
              <w:jc w:val="center"/>
              <w:rPr>
                <w:rFonts w:asciiTheme="minorHAnsi" w:hAnsiTheme="minorHAnsi" w:cstheme="minorHAnsi"/>
              </w:rPr>
            </w:pPr>
            <w:r w:rsidRPr="00050A20">
              <w:rPr>
                <w:rFonts w:asciiTheme="minorHAnsi" w:hAnsiTheme="minorHAnsi" w:cstheme="minorHAnsi"/>
              </w:rPr>
              <w:t>4</w:t>
            </w:r>
          </w:p>
        </w:tc>
        <w:tc>
          <w:tcPr>
            <w:tcW w:w="3294" w:type="dxa"/>
          </w:tcPr>
          <w:p w:rsidR="00491D1F" w:rsidRPr="00050A20" w:rsidP="00EE016D" w14:paraId="3FBD7920" w14:textId="77777777">
            <w:pPr>
              <w:pStyle w:val="NoSpacing"/>
              <w:rPr>
                <w:rFonts w:asciiTheme="minorHAnsi" w:hAnsiTheme="minorHAnsi" w:cstheme="minorHAnsi"/>
              </w:rPr>
            </w:pPr>
            <w:r w:rsidRPr="00050A20">
              <w:rPr>
                <w:rFonts w:eastAsia="Arial" w:asciiTheme="minorHAnsi" w:hAnsiTheme="minorHAnsi" w:cstheme="minorHAnsi"/>
              </w:rPr>
              <w:t xml:space="preserve">Applicant’s System Award Management (SAM) registration number (i.e., the </w:t>
            </w:r>
            <w:r w:rsidRPr="00050A20">
              <w:rPr>
                <w:rFonts w:asciiTheme="minorHAnsi" w:hAnsiTheme="minorHAnsi" w:cstheme="minorHAnsi"/>
                <w:shd w:val="clear" w:color="auto" w:fill="FFFFFF"/>
              </w:rPr>
              <w:t>Commercial and Government Entity (CAGE) Code).</w:t>
            </w:r>
          </w:p>
        </w:tc>
        <w:tc>
          <w:tcPr>
            <w:tcW w:w="1816" w:type="dxa"/>
          </w:tcPr>
          <w:p w:rsidR="00491D1F" w:rsidRPr="00050A20" w:rsidP="00EE016D" w14:paraId="62DC9AE9"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442FD820" w14:textId="77777777">
            <w:pPr>
              <w:pStyle w:val="NoSpacing"/>
              <w:rPr>
                <w:rFonts w:asciiTheme="minorHAnsi" w:hAnsiTheme="minorHAnsi" w:cstheme="minorHAnsi"/>
              </w:rPr>
            </w:pPr>
          </w:p>
        </w:tc>
        <w:tc>
          <w:tcPr>
            <w:tcW w:w="6895" w:type="dxa"/>
          </w:tcPr>
          <w:p w:rsidR="00491D1F" w:rsidRPr="00050A20" w:rsidP="00EE016D" w14:paraId="7A832AA6" w14:textId="77777777">
            <w:pPr>
              <w:rPr>
                <w:rFonts w:cstheme="minorHAnsi"/>
                <w:color w:val="333333"/>
                <w:shd w:val="clear" w:color="auto" w:fill="FFFFFF"/>
              </w:rPr>
            </w:pPr>
            <w:r w:rsidRPr="00050A20">
              <w:rPr>
                <w:rFonts w:eastAsia="Arial" w:cstheme="minorHAnsi"/>
              </w:rPr>
              <w:t xml:space="preserve">The CAGE code is a five-character identifier, which is used by entities doing business with the Federal government to provide banking and other related information.  SAM </w:t>
            </w:r>
            <w:r w:rsidRPr="00050A20">
              <w:rPr>
                <w:rFonts w:cstheme="minorHAnsi"/>
                <w:color w:val="333333"/>
                <w:shd w:val="clear" w:color="auto" w:fill="FFFFFF"/>
              </w:rPr>
              <w:t xml:space="preserve">is a government-wide portal that consolidates the capabilities of multiple systems and information sources used by the Federal government in conducting the acquisition and financial assistance (which includes grants and cooperative agreements) processes, </w:t>
            </w:r>
            <w:hyperlink r:id="rId14" w:history="1">
              <w:r w:rsidRPr="00050A20">
                <w:rPr>
                  <w:rStyle w:val="Hyperlink"/>
                  <w:rFonts w:cstheme="minorHAnsi"/>
                  <w:shd w:val="clear" w:color="auto" w:fill="FFFFFF"/>
                </w:rPr>
                <w:t>https://www.sam.gov/SAM/</w:t>
              </w:r>
            </w:hyperlink>
            <w:r w:rsidRPr="00050A20">
              <w:rPr>
                <w:rFonts w:cstheme="minorHAnsi"/>
                <w:color w:val="333333"/>
                <w:shd w:val="clear" w:color="auto" w:fill="FFFFFF"/>
              </w:rPr>
              <w:t>.</w:t>
            </w:r>
          </w:p>
        </w:tc>
      </w:tr>
      <w:tr w14:paraId="0407D31E" w14:textId="77777777" w:rsidTr="00EE016D">
        <w:tblPrEx>
          <w:tblW w:w="13063" w:type="dxa"/>
          <w:tblLook w:val="04A0"/>
        </w:tblPrEx>
        <w:tc>
          <w:tcPr>
            <w:tcW w:w="1058" w:type="dxa"/>
          </w:tcPr>
          <w:p w:rsidR="00491D1F" w:rsidRPr="00050A20" w:rsidP="00EE016D" w14:paraId="72B95736" w14:textId="77777777">
            <w:pPr>
              <w:pStyle w:val="NoSpacing"/>
              <w:jc w:val="center"/>
              <w:rPr>
                <w:rFonts w:asciiTheme="minorHAnsi" w:hAnsiTheme="minorHAnsi" w:cstheme="minorHAnsi"/>
              </w:rPr>
            </w:pPr>
            <w:r w:rsidRPr="00050A20">
              <w:rPr>
                <w:rFonts w:asciiTheme="minorHAnsi" w:hAnsiTheme="minorHAnsi" w:cstheme="minorHAnsi"/>
              </w:rPr>
              <w:t>5</w:t>
            </w:r>
          </w:p>
        </w:tc>
        <w:tc>
          <w:tcPr>
            <w:tcW w:w="3294" w:type="dxa"/>
          </w:tcPr>
          <w:p w:rsidR="00491D1F" w:rsidRPr="00050A20" w:rsidP="00EE016D" w14:paraId="4B53AA5A" w14:textId="77777777">
            <w:pPr>
              <w:pStyle w:val="NoSpacing"/>
              <w:rPr>
                <w:rFonts w:asciiTheme="minorHAnsi" w:hAnsiTheme="minorHAnsi" w:cstheme="minorHAnsi"/>
              </w:rPr>
            </w:pPr>
            <w:r w:rsidRPr="00050A20">
              <w:rPr>
                <w:rFonts w:asciiTheme="minorHAnsi" w:hAnsiTheme="minorHAnsi" w:cstheme="minorHAnsi"/>
              </w:rPr>
              <w:t>Data Universal Numbering System (DUNS) Number</w:t>
            </w:r>
          </w:p>
          <w:p w:rsidR="00491D1F" w:rsidRPr="00050A20" w:rsidP="00EE016D" w14:paraId="63BB22B9" w14:textId="77777777">
            <w:pPr>
              <w:pStyle w:val="NoSpacing"/>
              <w:rPr>
                <w:rFonts w:asciiTheme="minorHAnsi" w:hAnsiTheme="minorHAnsi" w:cstheme="minorHAnsi"/>
              </w:rPr>
            </w:pPr>
          </w:p>
        </w:tc>
        <w:tc>
          <w:tcPr>
            <w:tcW w:w="1816" w:type="dxa"/>
          </w:tcPr>
          <w:p w:rsidR="00491D1F" w:rsidRPr="00050A20" w:rsidP="00EE016D" w14:paraId="1D2FFFDB"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55773692" w14:textId="77777777">
            <w:pPr>
              <w:pStyle w:val="NoSpacing"/>
              <w:rPr>
                <w:rFonts w:asciiTheme="minorHAnsi" w:hAnsiTheme="minorHAnsi" w:cstheme="minorHAnsi"/>
              </w:rPr>
            </w:pPr>
          </w:p>
        </w:tc>
        <w:tc>
          <w:tcPr>
            <w:tcW w:w="6895" w:type="dxa"/>
          </w:tcPr>
          <w:p w:rsidR="00491D1F" w:rsidRPr="00050A20" w:rsidP="00EE016D" w14:paraId="597559DA" w14:textId="77777777">
            <w:pPr>
              <w:pStyle w:val="NoSpacing"/>
              <w:rPr>
                <w:rFonts w:asciiTheme="minorHAnsi" w:hAnsiTheme="minorHAnsi" w:cstheme="minorHAnsi"/>
              </w:rPr>
            </w:pPr>
            <w:r w:rsidRPr="00050A20">
              <w:rPr>
                <w:rFonts w:asciiTheme="minorHAnsi" w:hAnsiTheme="minorHAnsi" w:cstheme="minorHAnsi"/>
              </w:rPr>
              <w:t xml:space="preserve">A Data Universal Numbering System (DUNS) Number </w:t>
            </w:r>
            <w:r w:rsidRPr="00050A20">
              <w:rPr>
                <w:rFonts w:asciiTheme="minorHAnsi" w:hAnsiTheme="minorHAnsi" w:cstheme="minorHAnsi"/>
                <w:color w:val="363636"/>
                <w:shd w:val="clear" w:color="auto" w:fill="FFFFFF"/>
              </w:rPr>
              <w:t xml:space="preserve">is a unique nine-digit number assigned by Dun &amp; Bradstreet that is used to identify organizations, </w:t>
            </w:r>
            <w:hyperlink r:id="rId15" w:history="1">
              <w:r w:rsidRPr="00050A20">
                <w:rPr>
                  <w:rStyle w:val="Hyperlink"/>
                  <w:rFonts w:asciiTheme="minorHAnsi" w:hAnsiTheme="minorHAnsi" w:cstheme="minorHAnsi"/>
                  <w:shd w:val="clear" w:color="auto" w:fill="FFFFFF"/>
                </w:rPr>
                <w:t>https://www.dnb.com/duns-number.html</w:t>
              </w:r>
            </w:hyperlink>
            <w:r w:rsidRPr="00050A20">
              <w:rPr>
                <w:rFonts w:asciiTheme="minorHAnsi" w:hAnsiTheme="minorHAnsi" w:cstheme="minorHAnsi"/>
                <w:color w:val="363636"/>
                <w:shd w:val="clear" w:color="auto" w:fill="FFFFFF"/>
              </w:rPr>
              <w:t>.  Applicant will need to provide the DUNS number associated with the SAM CAGE coder identified in response to Item 4.</w:t>
            </w:r>
          </w:p>
          <w:p w:rsidR="00491D1F" w:rsidRPr="00050A20" w:rsidP="00EE016D" w14:paraId="0604DFBC" w14:textId="77777777">
            <w:pPr>
              <w:pStyle w:val="NoSpacing"/>
              <w:rPr>
                <w:rFonts w:asciiTheme="minorHAnsi" w:hAnsiTheme="minorHAnsi" w:cstheme="minorHAnsi"/>
              </w:rPr>
            </w:pPr>
          </w:p>
        </w:tc>
      </w:tr>
      <w:tr w14:paraId="799C4117" w14:textId="77777777" w:rsidTr="00EE016D">
        <w:tblPrEx>
          <w:tblW w:w="13063" w:type="dxa"/>
          <w:tblLook w:val="04A0"/>
        </w:tblPrEx>
        <w:tc>
          <w:tcPr>
            <w:tcW w:w="1058" w:type="dxa"/>
          </w:tcPr>
          <w:p w:rsidR="00491D1F" w:rsidRPr="00050A20" w:rsidP="00EE016D" w14:paraId="3B3AD2A2" w14:textId="77777777">
            <w:pPr>
              <w:pStyle w:val="NoSpacing"/>
              <w:jc w:val="center"/>
              <w:rPr>
                <w:rFonts w:asciiTheme="minorHAnsi" w:hAnsiTheme="minorHAnsi" w:cstheme="minorHAnsi"/>
              </w:rPr>
            </w:pPr>
            <w:r w:rsidRPr="00050A20">
              <w:rPr>
                <w:rFonts w:asciiTheme="minorHAnsi" w:hAnsiTheme="minorHAnsi" w:cstheme="minorHAnsi"/>
              </w:rPr>
              <w:t>6</w:t>
            </w:r>
          </w:p>
        </w:tc>
        <w:tc>
          <w:tcPr>
            <w:tcW w:w="3294" w:type="dxa"/>
          </w:tcPr>
          <w:p w:rsidR="00491D1F" w:rsidRPr="00050A20" w:rsidP="00EE016D" w14:paraId="5AAF552F" w14:textId="77777777">
            <w:pPr>
              <w:pStyle w:val="NoSpacing"/>
              <w:rPr>
                <w:rFonts w:asciiTheme="minorHAnsi" w:hAnsiTheme="minorHAnsi" w:cstheme="minorHAnsi"/>
              </w:rPr>
            </w:pPr>
            <w:r w:rsidRPr="00050A20">
              <w:rPr>
                <w:rFonts w:asciiTheme="minorHAnsi" w:hAnsiTheme="minorHAnsi" w:cstheme="minorHAnsi"/>
              </w:rPr>
              <w:t>DUNS+4</w:t>
            </w:r>
          </w:p>
          <w:p w:rsidR="00491D1F" w:rsidRPr="00050A20" w:rsidP="00EE016D" w14:paraId="1363DF18" w14:textId="77777777">
            <w:pPr>
              <w:pStyle w:val="NoSpacing"/>
              <w:rPr>
                <w:rFonts w:asciiTheme="minorHAnsi" w:hAnsiTheme="minorHAnsi" w:cstheme="minorHAnsi"/>
              </w:rPr>
            </w:pPr>
          </w:p>
        </w:tc>
        <w:tc>
          <w:tcPr>
            <w:tcW w:w="1816" w:type="dxa"/>
          </w:tcPr>
          <w:p w:rsidR="00491D1F" w:rsidRPr="00050A20" w:rsidP="00EE016D" w14:paraId="79724839"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3049AEDD" w14:textId="77777777">
            <w:pPr>
              <w:pStyle w:val="NoSpacing"/>
              <w:rPr>
                <w:rFonts w:asciiTheme="minorHAnsi" w:hAnsiTheme="minorHAnsi" w:cstheme="minorHAnsi"/>
              </w:rPr>
            </w:pPr>
          </w:p>
        </w:tc>
        <w:tc>
          <w:tcPr>
            <w:tcW w:w="6895" w:type="dxa"/>
          </w:tcPr>
          <w:p w:rsidR="00491D1F" w:rsidRPr="00050A20" w:rsidP="00EE016D" w14:paraId="15C62D61" w14:textId="77777777">
            <w:pPr>
              <w:pStyle w:val="NoSpacing"/>
              <w:rPr>
                <w:rFonts w:asciiTheme="minorHAnsi" w:hAnsiTheme="minorHAnsi" w:cstheme="minorHAnsi"/>
              </w:rPr>
            </w:pPr>
            <w:r w:rsidRPr="00050A20">
              <w:rPr>
                <w:rFonts w:asciiTheme="minorHAnsi" w:hAnsiTheme="minorHAnsi"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w:t>
            </w:r>
            <w:r w:rsidRPr="00193BE7">
              <w:rPr>
                <w:rFonts w:asciiTheme="minorHAnsi" w:hAnsiTheme="minorHAnsi" w:cstheme="minorHAnsi"/>
              </w:rPr>
              <w:t xml:space="preserve">SAM Non-Federal User Guide, </w:t>
            </w:r>
            <w:hyperlink r:id="rId16" w:history="1">
              <w:r w:rsidRPr="00193BE7">
                <w:rPr>
                  <w:rStyle w:val="Hyperlink"/>
                  <w:rFonts w:asciiTheme="minorHAnsi" w:hAnsiTheme="minorHAnsi" w:cstheme="minorHAnsi"/>
                </w:rPr>
                <w:t>https://sam.gov/SAM/SAM_Guide/SAM_Non_Federal_User_Guide/</w:t>
              </w:r>
              <w:r w:rsidRPr="00193BE7">
                <w:rPr>
                  <w:rStyle w:val="Hyperlink"/>
                  <w:rFonts w:asciiTheme="minorHAnsi" w:hAnsiTheme="minorHAnsi" w:cstheme="minorHAnsi"/>
                </w:rPr>
                <w:br/>
                <w:t>SAM_Non_Fed_User_Guide.html</w:t>
              </w:r>
            </w:hyperlink>
            <w:r w:rsidRPr="00050A20">
              <w:rPr>
                <w:rFonts w:asciiTheme="minorHAnsi" w:hAnsiTheme="minorHAnsi" w:cstheme="minorHAnsi"/>
              </w:rPr>
              <w:t>.</w:t>
            </w:r>
          </w:p>
          <w:p w:rsidR="00491D1F" w:rsidRPr="00050A20" w:rsidP="00EE016D" w14:paraId="6EC79496" w14:textId="77777777">
            <w:pPr>
              <w:pStyle w:val="NoSpacing"/>
              <w:rPr>
                <w:rFonts w:asciiTheme="minorHAnsi" w:hAnsiTheme="minorHAnsi" w:cstheme="minorHAnsi"/>
              </w:rPr>
            </w:pPr>
          </w:p>
        </w:tc>
      </w:tr>
      <w:tr w14:paraId="0504A644" w14:textId="77777777" w:rsidTr="00EE016D">
        <w:tblPrEx>
          <w:tblW w:w="13063" w:type="dxa"/>
          <w:tblLook w:val="04A0"/>
        </w:tblPrEx>
        <w:tc>
          <w:tcPr>
            <w:tcW w:w="1058" w:type="dxa"/>
          </w:tcPr>
          <w:p w:rsidR="00491D1F" w:rsidRPr="00050A20" w:rsidP="00EE016D" w14:paraId="7A7A0045" w14:textId="77777777">
            <w:pPr>
              <w:pStyle w:val="NoSpacing"/>
              <w:jc w:val="center"/>
              <w:rPr>
                <w:rFonts w:asciiTheme="minorHAnsi" w:hAnsiTheme="minorHAnsi" w:cstheme="minorHAnsi"/>
              </w:rPr>
            </w:pPr>
            <w:r w:rsidRPr="00050A20">
              <w:rPr>
                <w:rFonts w:asciiTheme="minorHAnsi" w:hAnsiTheme="minorHAnsi" w:cstheme="minorHAnsi"/>
              </w:rPr>
              <w:t>7</w:t>
            </w:r>
          </w:p>
        </w:tc>
        <w:tc>
          <w:tcPr>
            <w:tcW w:w="3294" w:type="dxa"/>
          </w:tcPr>
          <w:p w:rsidR="00491D1F" w:rsidRPr="00050A20" w:rsidP="00EE016D" w14:paraId="35694D14" w14:textId="77777777">
            <w:pPr>
              <w:pStyle w:val="NoSpacing"/>
              <w:rPr>
                <w:rFonts w:asciiTheme="minorHAnsi" w:hAnsiTheme="minorHAnsi" w:cstheme="minorHAnsi"/>
              </w:rPr>
            </w:pPr>
            <w:r w:rsidRPr="00050A20">
              <w:rPr>
                <w:rFonts w:eastAsia="Arial" w:asciiTheme="minorHAnsi" w:hAnsiTheme="minorHAnsi" w:cstheme="minorHAnsi"/>
              </w:rPr>
              <w:t>Real Party in Interest’s FCC Registration Number (FRN)</w:t>
            </w:r>
          </w:p>
        </w:tc>
        <w:tc>
          <w:tcPr>
            <w:tcW w:w="1816" w:type="dxa"/>
          </w:tcPr>
          <w:p w:rsidR="00491D1F" w:rsidRPr="00050A20" w:rsidP="00EE016D" w14:paraId="23BED567" w14:textId="77777777">
            <w:pPr>
              <w:pStyle w:val="NoSpacing"/>
              <w:rPr>
                <w:rFonts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702A07F0" w14:textId="77777777">
            <w:pPr>
              <w:rPr>
                <w:rFonts w:eastAsia="Arial" w:cstheme="minorHAnsi"/>
              </w:rPr>
            </w:pPr>
            <w:r w:rsidRPr="00050A20">
              <w:rPr>
                <w:rFonts w:eastAsia="Arial" w:cstheme="minorHAnsi"/>
              </w:rPr>
              <w:t xml:space="preserve">If a party other than the Applicant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applicants. </w:t>
            </w:r>
          </w:p>
          <w:p w:rsidR="008D574D" w:rsidRPr="00050A20" w:rsidP="00EE016D" w14:paraId="6B0DA1CA" w14:textId="677E37A8">
            <w:pPr>
              <w:rPr>
                <w:rFonts w:eastAsia="Arial" w:cstheme="minorHAnsi"/>
              </w:rPr>
            </w:pPr>
          </w:p>
        </w:tc>
      </w:tr>
      <w:tr w14:paraId="79404E9A" w14:textId="77777777" w:rsidTr="00EE016D">
        <w:tblPrEx>
          <w:tblW w:w="13063" w:type="dxa"/>
          <w:tblLook w:val="04A0"/>
        </w:tblPrEx>
        <w:tc>
          <w:tcPr>
            <w:tcW w:w="1058" w:type="dxa"/>
          </w:tcPr>
          <w:p w:rsidR="00491D1F" w:rsidRPr="00050A20" w:rsidP="00EE016D" w14:paraId="1E6B3720" w14:textId="77777777">
            <w:pPr>
              <w:pStyle w:val="NoSpacing"/>
              <w:jc w:val="center"/>
              <w:rPr>
                <w:rFonts w:asciiTheme="minorHAnsi" w:hAnsiTheme="minorHAnsi" w:cstheme="minorHAnsi"/>
              </w:rPr>
            </w:pPr>
            <w:r w:rsidRPr="00050A20">
              <w:rPr>
                <w:rFonts w:asciiTheme="minorHAnsi" w:hAnsiTheme="minorHAnsi" w:cstheme="minorHAnsi"/>
              </w:rPr>
              <w:t>8</w:t>
            </w:r>
          </w:p>
        </w:tc>
        <w:tc>
          <w:tcPr>
            <w:tcW w:w="3294" w:type="dxa"/>
          </w:tcPr>
          <w:p w:rsidR="00491D1F" w:rsidRPr="00050A20" w:rsidP="00EE016D" w14:paraId="122E97DA" w14:textId="77777777">
            <w:pPr>
              <w:pStyle w:val="NoSpacing"/>
              <w:rPr>
                <w:rFonts w:asciiTheme="minorHAnsi" w:hAnsiTheme="minorHAnsi" w:cstheme="minorHAnsi"/>
              </w:rPr>
            </w:pPr>
            <w:r w:rsidRPr="00050A20">
              <w:rPr>
                <w:rFonts w:eastAsia="Arial" w:asciiTheme="minorHAnsi" w:hAnsiTheme="minorHAnsi" w:cstheme="minorHAnsi"/>
              </w:rPr>
              <w:t>Real Party in Interest’s Name</w:t>
            </w:r>
          </w:p>
        </w:tc>
        <w:tc>
          <w:tcPr>
            <w:tcW w:w="1816" w:type="dxa"/>
          </w:tcPr>
          <w:p w:rsidR="00491D1F" w:rsidRPr="00050A20" w:rsidP="00EE016D" w14:paraId="208435C7" w14:textId="77777777">
            <w:pPr>
              <w:pStyle w:val="NoSpacing"/>
              <w:rPr>
                <w:rFonts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0EDA2930" w14:textId="77777777">
            <w:pPr>
              <w:rPr>
                <w:rFonts w:eastAsia="Arial" w:cstheme="minorHAnsi"/>
              </w:rPr>
            </w:pPr>
            <w:r w:rsidRPr="00050A20">
              <w:rPr>
                <w:rFonts w:eastAsia="Arial" w:cstheme="minorHAnsi"/>
              </w:rPr>
              <w:t xml:space="preserve">If a party other than the Applicant is the real party in interest (e.g., a parent or other controlling entity), enter that party's name in this item.  If there is more than one real party in interest, attach an exhibit detailing all parties in interest. The name will be auto-generated based on the FRN submitted for Real Party in Interest. </w:t>
            </w:r>
          </w:p>
          <w:p w:rsidR="008D574D" w:rsidRPr="00050A20" w:rsidP="00EE016D" w14:paraId="0B0FD3E2" w14:textId="177F6F36">
            <w:pPr>
              <w:rPr>
                <w:rFonts w:eastAsia="Arial" w:cstheme="minorHAnsi"/>
              </w:rPr>
            </w:pPr>
          </w:p>
        </w:tc>
      </w:tr>
      <w:tr w14:paraId="4FAB1503" w14:textId="77777777" w:rsidTr="00EE016D">
        <w:tblPrEx>
          <w:tblW w:w="13063" w:type="dxa"/>
          <w:tblLook w:val="04A0"/>
        </w:tblPrEx>
        <w:tc>
          <w:tcPr>
            <w:tcW w:w="1058" w:type="dxa"/>
          </w:tcPr>
          <w:p w:rsidR="00491D1F" w:rsidRPr="00050A20" w:rsidP="00EE016D" w14:paraId="3314716B" w14:textId="77777777">
            <w:pPr>
              <w:pStyle w:val="NoSpacing"/>
              <w:jc w:val="center"/>
              <w:rPr>
                <w:rFonts w:asciiTheme="minorHAnsi" w:hAnsiTheme="minorHAnsi" w:cstheme="minorHAnsi"/>
              </w:rPr>
            </w:pPr>
            <w:r w:rsidRPr="00050A20">
              <w:rPr>
                <w:rFonts w:asciiTheme="minorHAnsi" w:hAnsiTheme="minorHAnsi" w:cstheme="minorHAnsi"/>
              </w:rPr>
              <w:t>9</w:t>
            </w:r>
          </w:p>
        </w:tc>
        <w:tc>
          <w:tcPr>
            <w:tcW w:w="3294" w:type="dxa"/>
          </w:tcPr>
          <w:p w:rsidR="00491D1F" w:rsidRPr="00050A20" w:rsidP="00EE016D" w14:paraId="324FD8EF" w14:textId="77777777">
            <w:pPr>
              <w:pStyle w:val="NoSpacing"/>
              <w:rPr>
                <w:rFonts w:asciiTheme="minorHAnsi" w:hAnsiTheme="minorHAnsi" w:cstheme="minorHAnsi"/>
              </w:rPr>
            </w:pPr>
            <w:r w:rsidRPr="00050A20">
              <w:rPr>
                <w:rFonts w:eastAsia="Arial" w:asciiTheme="minorHAnsi" w:hAnsiTheme="minorHAnsi" w:cstheme="minorHAnsi"/>
              </w:rPr>
              <w:t>Contact Representative (Same As Applicant).</w:t>
            </w:r>
          </w:p>
        </w:tc>
        <w:tc>
          <w:tcPr>
            <w:tcW w:w="1816" w:type="dxa"/>
          </w:tcPr>
          <w:p w:rsidR="00491D1F" w:rsidRPr="00050A20" w:rsidP="00EE016D" w14:paraId="3C42121B"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4DBD6203" w14:textId="77777777">
            <w:pPr>
              <w:pStyle w:val="NoSpacing"/>
              <w:rPr>
                <w:rFonts w:asciiTheme="minorHAnsi" w:hAnsiTheme="minorHAnsi" w:cstheme="minorHAnsi"/>
              </w:rPr>
            </w:pPr>
          </w:p>
        </w:tc>
        <w:tc>
          <w:tcPr>
            <w:tcW w:w="6895" w:type="dxa"/>
          </w:tcPr>
          <w:p w:rsidR="00491D1F" w:rsidRPr="00050A20" w:rsidP="00EE016D" w14:paraId="7565DC83" w14:textId="77777777">
            <w:pPr>
              <w:pStyle w:val="NoSpacing"/>
              <w:rPr>
                <w:rFonts w:eastAsia="Arial" w:asciiTheme="minorHAnsi" w:hAnsiTheme="minorHAnsi" w:cstheme="minorHAnsi"/>
              </w:rPr>
            </w:pPr>
            <w:r w:rsidRPr="00050A20">
              <w:rPr>
                <w:rFonts w:eastAsia="Arial" w:asciiTheme="minorHAnsi" w:hAnsiTheme="minorHAnsi" w:cstheme="minorHAnsi"/>
              </w:rPr>
              <w:t>This can be selected to auto-populate the Contact Information if the Contact is the same as the Applicant.</w:t>
            </w:r>
          </w:p>
          <w:p w:rsidR="00491D1F" w:rsidRPr="00050A20" w:rsidP="00EE016D" w14:paraId="5FC97C1C" w14:textId="77777777">
            <w:pPr>
              <w:pStyle w:val="NoSpacing"/>
              <w:rPr>
                <w:rFonts w:asciiTheme="minorHAnsi" w:hAnsiTheme="minorHAnsi" w:cstheme="minorHAnsi"/>
              </w:rPr>
            </w:pPr>
          </w:p>
        </w:tc>
      </w:tr>
      <w:tr w14:paraId="69A29F30" w14:textId="77777777" w:rsidTr="00EE016D">
        <w:tblPrEx>
          <w:tblW w:w="13063" w:type="dxa"/>
          <w:tblLook w:val="04A0"/>
        </w:tblPrEx>
        <w:trPr>
          <w:cantSplit/>
        </w:trPr>
        <w:tc>
          <w:tcPr>
            <w:tcW w:w="1058" w:type="dxa"/>
          </w:tcPr>
          <w:p w:rsidR="00491D1F" w:rsidRPr="00050A20" w:rsidP="00EE016D" w14:paraId="715201EF" w14:textId="77777777">
            <w:pPr>
              <w:pStyle w:val="NoSpacing"/>
              <w:jc w:val="center"/>
              <w:rPr>
                <w:rFonts w:asciiTheme="minorHAnsi" w:hAnsiTheme="minorHAnsi" w:cstheme="minorHAnsi"/>
              </w:rPr>
            </w:pPr>
            <w:r w:rsidRPr="00050A20">
              <w:rPr>
                <w:rFonts w:asciiTheme="minorHAnsi" w:hAnsiTheme="minorHAnsi" w:cstheme="minorHAnsi"/>
              </w:rPr>
              <w:t>10</w:t>
            </w:r>
          </w:p>
        </w:tc>
        <w:tc>
          <w:tcPr>
            <w:tcW w:w="3294" w:type="dxa"/>
          </w:tcPr>
          <w:p w:rsidR="00491D1F" w:rsidRPr="00050A20" w:rsidP="00EE016D" w14:paraId="7221129A" w14:textId="77777777">
            <w:pPr>
              <w:pStyle w:val="NoSpacing"/>
              <w:rPr>
                <w:rFonts w:asciiTheme="minorHAnsi" w:hAnsiTheme="minorHAnsi" w:cstheme="minorHAnsi"/>
              </w:rPr>
            </w:pPr>
            <w:r w:rsidRPr="00050A20">
              <w:rPr>
                <w:rFonts w:eastAsia="Arial" w:asciiTheme="minorHAnsi" w:hAnsiTheme="minorHAnsi" w:cstheme="minorHAnsi"/>
              </w:rPr>
              <w:t>Contact Representative (If Different than Applicant).</w:t>
            </w:r>
          </w:p>
        </w:tc>
        <w:tc>
          <w:tcPr>
            <w:tcW w:w="1816" w:type="dxa"/>
          </w:tcPr>
          <w:p w:rsidR="00491D1F" w:rsidRPr="00050A20" w:rsidP="00EE016D" w14:paraId="79D3839F"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426D5755" w14:textId="77777777">
            <w:pPr>
              <w:pStyle w:val="NoSpacing"/>
              <w:rPr>
                <w:rFonts w:asciiTheme="minorHAnsi" w:hAnsiTheme="minorHAnsi" w:cstheme="minorHAnsi"/>
              </w:rPr>
            </w:pPr>
          </w:p>
        </w:tc>
        <w:tc>
          <w:tcPr>
            <w:tcW w:w="6895" w:type="dxa"/>
          </w:tcPr>
          <w:p w:rsidR="00491D1F" w:rsidRPr="00050A20" w:rsidP="00EE016D" w14:paraId="77BC395C" w14:textId="77777777">
            <w:pPr>
              <w:pStyle w:val="NoSpacing"/>
              <w:rPr>
                <w:rFonts w:eastAsia="Arial" w:asciiTheme="minorHAnsi" w:hAnsiTheme="minorHAnsi" w:cstheme="minorHAnsi"/>
              </w:rPr>
            </w:pPr>
            <w:r w:rsidRPr="00050A20">
              <w:rPr>
                <w:rFonts w:eastAsia="Arial" w:asciiTheme="minorHAnsi" w:hAnsiTheme="minorHAnsi"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w:t>
            </w:r>
          </w:p>
          <w:p w:rsidR="00491D1F" w:rsidRPr="00050A20" w:rsidP="00EE016D" w14:paraId="0AF16454" w14:textId="77777777">
            <w:pPr>
              <w:pStyle w:val="NoSpacing"/>
              <w:rPr>
                <w:rFonts w:asciiTheme="minorHAnsi" w:hAnsiTheme="minorHAnsi" w:cstheme="minorHAnsi"/>
              </w:rPr>
            </w:pPr>
          </w:p>
        </w:tc>
      </w:tr>
      <w:tr w14:paraId="3A4A764F" w14:textId="77777777" w:rsidTr="00EE016D">
        <w:tblPrEx>
          <w:tblW w:w="13063" w:type="dxa"/>
          <w:tblLook w:val="04A0"/>
        </w:tblPrEx>
        <w:tc>
          <w:tcPr>
            <w:tcW w:w="1058" w:type="dxa"/>
          </w:tcPr>
          <w:p w:rsidR="00491D1F" w:rsidRPr="00050A20" w:rsidP="00EE016D" w14:paraId="1EC1E8E1" w14:textId="77777777">
            <w:pPr>
              <w:pStyle w:val="NoSpacing"/>
              <w:jc w:val="center"/>
              <w:rPr>
                <w:rFonts w:asciiTheme="minorHAnsi" w:hAnsiTheme="minorHAnsi" w:cstheme="minorHAnsi"/>
              </w:rPr>
            </w:pPr>
            <w:r w:rsidRPr="00050A20">
              <w:rPr>
                <w:rFonts w:asciiTheme="minorHAnsi" w:hAnsiTheme="minorHAnsi" w:cstheme="minorHAnsi"/>
              </w:rPr>
              <w:t>11</w:t>
            </w:r>
          </w:p>
        </w:tc>
        <w:tc>
          <w:tcPr>
            <w:tcW w:w="3294" w:type="dxa"/>
            <w:vAlign w:val="center"/>
          </w:tcPr>
          <w:p w:rsidR="00491D1F" w:rsidRPr="00050A20" w:rsidP="00EE016D" w14:paraId="100FBD8F" w14:textId="77777777">
            <w:pPr>
              <w:pStyle w:val="NoSpacing"/>
              <w:rPr>
                <w:rFonts w:asciiTheme="minorHAnsi" w:hAnsiTheme="minorHAnsi" w:cstheme="minorHAnsi"/>
              </w:rPr>
            </w:pPr>
            <w:r w:rsidRPr="00050A20">
              <w:rPr>
                <w:rFonts w:asciiTheme="minorHAnsi" w:hAnsiTheme="minorHAnsi" w:cstheme="minorHAnsi"/>
              </w:rPr>
              <w:t xml:space="preserve">Contact Representative’s Address and Contact Information: </w:t>
            </w:r>
          </w:p>
          <w:p w:rsidR="00491D1F" w:rsidRPr="00050A20" w:rsidP="00491D1F" w14:paraId="46E7C4CE"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Street </w:t>
            </w:r>
            <w:r w:rsidRPr="00050A20">
              <w:rPr>
                <w:rFonts w:asciiTheme="minorHAnsi" w:hAnsiTheme="minorHAnsi" w:cstheme="minorHAnsi"/>
              </w:rPr>
              <w:t>Name;</w:t>
            </w:r>
          </w:p>
          <w:p w:rsidR="00491D1F" w:rsidRPr="00050A20" w:rsidP="00491D1F" w14:paraId="4475F2F8" w14:textId="77777777">
            <w:pPr>
              <w:pStyle w:val="NoSpacing"/>
              <w:numPr>
                <w:ilvl w:val="0"/>
                <w:numId w:val="19"/>
              </w:numPr>
              <w:rPr>
                <w:rFonts w:asciiTheme="minorHAnsi" w:hAnsiTheme="minorHAnsi" w:cstheme="minorHAnsi"/>
              </w:rPr>
            </w:pPr>
            <w:r w:rsidRPr="00050A20">
              <w:rPr>
                <w:rFonts w:asciiTheme="minorHAnsi" w:hAnsiTheme="minorHAnsi" w:cstheme="minorHAnsi"/>
              </w:rPr>
              <w:t>City;</w:t>
            </w:r>
          </w:p>
          <w:p w:rsidR="00491D1F" w:rsidRPr="00050A20" w:rsidP="00491D1F" w14:paraId="7BF6EFA7" w14:textId="77777777">
            <w:pPr>
              <w:pStyle w:val="NoSpacing"/>
              <w:numPr>
                <w:ilvl w:val="0"/>
                <w:numId w:val="19"/>
              </w:numPr>
              <w:rPr>
                <w:rFonts w:asciiTheme="minorHAnsi" w:hAnsiTheme="minorHAnsi" w:cstheme="minorHAnsi"/>
              </w:rPr>
            </w:pPr>
            <w:r w:rsidRPr="00050A20">
              <w:rPr>
                <w:rFonts w:asciiTheme="minorHAnsi" w:hAnsiTheme="minorHAnsi" w:cstheme="minorHAnsi"/>
              </w:rPr>
              <w:t>State;</w:t>
            </w:r>
          </w:p>
          <w:p w:rsidR="00491D1F" w:rsidRPr="00050A20" w:rsidP="00491D1F" w14:paraId="4B54D885"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Zip </w:t>
            </w:r>
            <w:r w:rsidRPr="00050A20">
              <w:rPr>
                <w:rFonts w:asciiTheme="minorHAnsi" w:hAnsiTheme="minorHAnsi" w:cstheme="minorHAnsi"/>
              </w:rPr>
              <w:t>Code;</w:t>
            </w:r>
          </w:p>
          <w:p w:rsidR="00491D1F" w:rsidRPr="00050A20" w:rsidP="00491D1F" w14:paraId="11035417" w14:textId="77777777">
            <w:pPr>
              <w:pStyle w:val="NoSpacing"/>
              <w:numPr>
                <w:ilvl w:val="0"/>
                <w:numId w:val="19"/>
              </w:numPr>
              <w:rPr>
                <w:rFonts w:asciiTheme="minorHAnsi" w:hAnsiTheme="minorHAnsi" w:cstheme="minorHAnsi"/>
              </w:rPr>
            </w:pPr>
            <w:r w:rsidRPr="00050A20">
              <w:rPr>
                <w:rFonts w:asciiTheme="minorHAnsi" w:hAnsiTheme="minorHAnsi" w:cstheme="minorHAnsi"/>
              </w:rPr>
              <w:t xml:space="preserve">Phone </w:t>
            </w:r>
            <w:r w:rsidRPr="00050A20">
              <w:rPr>
                <w:rFonts w:asciiTheme="minorHAnsi" w:hAnsiTheme="minorHAnsi" w:cstheme="minorHAnsi"/>
              </w:rPr>
              <w:t>#;</w:t>
            </w:r>
          </w:p>
          <w:p w:rsidR="00491D1F" w:rsidRPr="00050A20" w:rsidP="00491D1F" w14:paraId="47BDADCD" w14:textId="77777777">
            <w:pPr>
              <w:pStyle w:val="NoSpacing"/>
              <w:numPr>
                <w:ilvl w:val="0"/>
                <w:numId w:val="19"/>
              </w:numPr>
              <w:rPr>
                <w:rFonts w:asciiTheme="minorHAnsi" w:hAnsiTheme="minorHAnsi" w:cstheme="minorHAnsi"/>
              </w:rPr>
            </w:pPr>
            <w:r w:rsidRPr="00050A20">
              <w:rPr>
                <w:rFonts w:asciiTheme="minorHAnsi" w:hAnsiTheme="minorHAnsi" w:cstheme="minorHAnsi"/>
              </w:rPr>
              <w:t>Email.</w:t>
            </w:r>
          </w:p>
          <w:p w:rsidR="00491D1F" w:rsidRPr="00050A20" w:rsidP="00EE016D" w14:paraId="52C17B32" w14:textId="77777777">
            <w:pPr>
              <w:pStyle w:val="NoSpacing"/>
              <w:rPr>
                <w:rFonts w:asciiTheme="minorHAnsi" w:hAnsiTheme="minorHAnsi" w:cstheme="minorHAnsi"/>
              </w:rPr>
            </w:pPr>
          </w:p>
        </w:tc>
        <w:tc>
          <w:tcPr>
            <w:tcW w:w="1816" w:type="dxa"/>
          </w:tcPr>
          <w:p w:rsidR="00491D1F" w:rsidRPr="00050A20" w:rsidP="00EE016D" w14:paraId="63A01251"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0EEB8F83" w14:textId="77777777">
            <w:pPr>
              <w:pStyle w:val="NoSpacing"/>
              <w:rPr>
                <w:rFonts w:asciiTheme="minorHAnsi" w:hAnsiTheme="minorHAnsi" w:cstheme="minorHAnsi"/>
              </w:rPr>
            </w:pPr>
          </w:p>
        </w:tc>
        <w:tc>
          <w:tcPr>
            <w:tcW w:w="6895" w:type="dxa"/>
          </w:tcPr>
          <w:p w:rsidR="00491D1F" w:rsidRPr="00050A20" w:rsidP="00EE016D" w14:paraId="7DED3F25" w14:textId="77777777">
            <w:pPr>
              <w:tabs>
                <w:tab w:val="left" w:pos="2840"/>
              </w:tabs>
              <w:rPr>
                <w:rFonts w:eastAsia="Arial" w:cstheme="minorHAnsi"/>
              </w:rPr>
            </w:pPr>
            <w:r w:rsidRPr="00050A20">
              <w:rPr>
                <w:rFonts w:eastAsia="Arial" w:cstheme="minorHAnsi"/>
              </w:rPr>
              <w:t>This information on the Applicant will be auto-generated based on the FRN submitted.</w:t>
            </w:r>
          </w:p>
          <w:p w:rsidR="00491D1F" w:rsidRPr="00050A20" w:rsidP="00EE016D" w14:paraId="119C753E" w14:textId="77777777">
            <w:pPr>
              <w:pStyle w:val="NoSpacing"/>
              <w:rPr>
                <w:rFonts w:asciiTheme="minorHAnsi" w:hAnsiTheme="minorHAnsi" w:cstheme="minorHAnsi"/>
              </w:rPr>
            </w:pPr>
          </w:p>
        </w:tc>
      </w:tr>
      <w:tr w14:paraId="1C233D54" w14:textId="77777777" w:rsidTr="00EE016D">
        <w:tblPrEx>
          <w:tblW w:w="13063" w:type="dxa"/>
          <w:tblLook w:val="04A0"/>
        </w:tblPrEx>
        <w:tc>
          <w:tcPr>
            <w:tcW w:w="1058" w:type="dxa"/>
          </w:tcPr>
          <w:p w:rsidR="00491D1F" w:rsidRPr="00050A20" w:rsidP="00EE016D" w14:paraId="55A983AC" w14:textId="77777777">
            <w:pPr>
              <w:pStyle w:val="NoSpacing"/>
              <w:jc w:val="center"/>
              <w:rPr>
                <w:rFonts w:asciiTheme="minorHAnsi" w:hAnsiTheme="minorHAnsi" w:cstheme="minorHAnsi"/>
              </w:rPr>
            </w:pPr>
            <w:r w:rsidRPr="00050A20">
              <w:rPr>
                <w:rFonts w:asciiTheme="minorHAnsi" w:hAnsiTheme="minorHAnsi" w:cstheme="minorHAnsi"/>
              </w:rPr>
              <w:t>12</w:t>
            </w:r>
          </w:p>
        </w:tc>
        <w:tc>
          <w:tcPr>
            <w:tcW w:w="3294" w:type="dxa"/>
            <w:vAlign w:val="center"/>
          </w:tcPr>
          <w:p w:rsidR="00491D1F" w:rsidRPr="00050A20" w:rsidP="00EE016D" w14:paraId="632D488E" w14:textId="77777777">
            <w:pPr>
              <w:pStyle w:val="NoSpacing"/>
              <w:rPr>
                <w:rFonts w:asciiTheme="minorHAnsi" w:hAnsiTheme="minorHAnsi" w:cstheme="minorHAnsi"/>
              </w:rPr>
            </w:pPr>
            <w:r w:rsidRPr="00050A20">
              <w:rPr>
                <w:rFonts w:asciiTheme="minorHAnsi" w:hAnsiTheme="minorHAnsi" w:cstheme="minorHAnsi"/>
              </w:rPr>
              <w:t xml:space="preserve">Please identify the primary U.S. state, District of Columbia, or U.S. territory in which network improvements will occur. </w:t>
            </w:r>
          </w:p>
          <w:p w:rsidR="00491D1F" w:rsidRPr="00050A20" w:rsidP="00EE016D" w14:paraId="5B455F14" w14:textId="77777777">
            <w:pPr>
              <w:pStyle w:val="NoSpacing"/>
              <w:rPr>
                <w:rFonts w:asciiTheme="minorHAnsi" w:hAnsiTheme="minorHAnsi" w:cstheme="minorHAnsi"/>
              </w:rPr>
            </w:pPr>
          </w:p>
        </w:tc>
        <w:tc>
          <w:tcPr>
            <w:tcW w:w="1816" w:type="dxa"/>
          </w:tcPr>
          <w:p w:rsidR="00491D1F" w:rsidRPr="00050A20" w:rsidP="00EE016D" w14:paraId="0F5D66E6" w14:textId="77777777">
            <w:pPr>
              <w:pStyle w:val="NoSpacing"/>
              <w:rPr>
                <w:rFonts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0D4136DC" w14:textId="77777777">
            <w:pPr>
              <w:rPr>
                <w:rFonts w:eastAsia="Times New Roman" w:cstheme="minorHAnsi"/>
              </w:rPr>
            </w:pPr>
            <w:r w:rsidRPr="00050A20">
              <w:rPr>
                <w:rFonts w:cstheme="minorHAnsi"/>
              </w:rPr>
              <w:t>This is the U.S. State, District of Columbia, or U.S. territory in which you expect a majority of your request for allocation will be utilized.  This information is used to assist the FCC in reporting funding allocation information to Congress as required by applicable statutes.</w:t>
            </w:r>
          </w:p>
          <w:p w:rsidR="00491D1F" w:rsidRPr="00050A20" w:rsidP="00EE016D" w14:paraId="19E25D55" w14:textId="77777777">
            <w:pPr>
              <w:pStyle w:val="NoSpacing"/>
              <w:rPr>
                <w:rFonts w:asciiTheme="minorHAnsi" w:hAnsiTheme="minorHAnsi" w:cstheme="minorHAnsi"/>
              </w:rPr>
            </w:pPr>
          </w:p>
        </w:tc>
      </w:tr>
      <w:tr w14:paraId="06E0690A" w14:textId="77777777" w:rsidTr="00EE016D">
        <w:tblPrEx>
          <w:tblW w:w="13063" w:type="dxa"/>
          <w:tblLook w:val="04A0"/>
        </w:tblPrEx>
        <w:trPr>
          <w:cantSplit/>
        </w:trPr>
        <w:tc>
          <w:tcPr>
            <w:tcW w:w="1058" w:type="dxa"/>
          </w:tcPr>
          <w:p w:rsidR="00491D1F" w:rsidRPr="00050A20" w:rsidP="00EE016D" w14:paraId="0EF482E1" w14:textId="77777777">
            <w:pPr>
              <w:pStyle w:val="NoSpacing"/>
              <w:jc w:val="center"/>
              <w:rPr>
                <w:rFonts w:asciiTheme="minorHAnsi" w:hAnsiTheme="minorHAnsi" w:cstheme="minorHAnsi"/>
              </w:rPr>
            </w:pPr>
            <w:r w:rsidRPr="00050A20">
              <w:rPr>
                <w:rFonts w:asciiTheme="minorHAnsi" w:hAnsiTheme="minorHAnsi" w:cstheme="minorHAnsi"/>
              </w:rPr>
              <w:t>13</w:t>
            </w:r>
          </w:p>
        </w:tc>
        <w:tc>
          <w:tcPr>
            <w:tcW w:w="3294" w:type="dxa"/>
          </w:tcPr>
          <w:p w:rsidR="00491D1F" w:rsidRPr="00050A20" w:rsidP="00EE016D" w14:paraId="554DB087"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Identify the Applicant type from the following options (select up to 3): </w:t>
            </w:r>
          </w:p>
          <w:p w:rsidR="00491D1F" w:rsidRPr="00050A20" w:rsidP="00EE016D" w14:paraId="207A0D20" w14:textId="77777777">
            <w:pPr>
              <w:pStyle w:val="NoSpacing"/>
              <w:rPr>
                <w:rFonts w:asciiTheme="minorHAnsi" w:hAnsiTheme="minorHAnsi" w:cstheme="minorHAnsi"/>
              </w:rPr>
            </w:pPr>
            <w:r w:rsidRPr="00050A20">
              <w:rPr>
                <w:rFonts w:asciiTheme="minorHAnsi" w:hAnsiTheme="minorHAnsi" w:cstheme="minorHAnsi"/>
              </w:rPr>
              <w:t xml:space="preserve">A - State </w:t>
            </w:r>
            <w:r w:rsidRPr="00050A20">
              <w:rPr>
                <w:rFonts w:asciiTheme="minorHAnsi" w:hAnsiTheme="minorHAnsi" w:cstheme="minorHAnsi"/>
              </w:rPr>
              <w:t>Government;</w:t>
            </w:r>
          </w:p>
          <w:p w:rsidR="00491D1F" w:rsidRPr="00050A20" w:rsidP="00EE016D" w14:paraId="0556558D" w14:textId="77777777">
            <w:pPr>
              <w:pStyle w:val="NoSpacing"/>
              <w:rPr>
                <w:rFonts w:asciiTheme="minorHAnsi" w:hAnsiTheme="minorHAnsi" w:cstheme="minorHAnsi"/>
              </w:rPr>
            </w:pPr>
            <w:r w:rsidRPr="00050A20">
              <w:rPr>
                <w:rFonts w:asciiTheme="minorHAnsi" w:hAnsiTheme="minorHAnsi" w:cstheme="minorHAnsi"/>
              </w:rPr>
              <w:t xml:space="preserve">B - County </w:t>
            </w:r>
            <w:r w:rsidRPr="00050A20">
              <w:rPr>
                <w:rFonts w:asciiTheme="minorHAnsi" w:hAnsiTheme="minorHAnsi" w:cstheme="minorHAnsi"/>
              </w:rPr>
              <w:t>Government;</w:t>
            </w:r>
          </w:p>
          <w:p w:rsidR="00491D1F" w:rsidRPr="00050A20" w:rsidP="00EE016D" w14:paraId="5C1CBC4A" w14:textId="77777777">
            <w:pPr>
              <w:pStyle w:val="NoSpacing"/>
              <w:rPr>
                <w:rFonts w:asciiTheme="minorHAnsi" w:hAnsiTheme="minorHAnsi" w:cstheme="minorHAnsi"/>
              </w:rPr>
            </w:pPr>
            <w:r w:rsidRPr="00050A20">
              <w:rPr>
                <w:rFonts w:asciiTheme="minorHAnsi" w:hAnsiTheme="minorHAnsi" w:cstheme="minorHAnsi"/>
              </w:rPr>
              <w:t xml:space="preserve">C - City or Township </w:t>
            </w:r>
            <w:r w:rsidRPr="00050A20">
              <w:rPr>
                <w:rFonts w:asciiTheme="minorHAnsi" w:hAnsiTheme="minorHAnsi" w:cstheme="minorHAnsi"/>
              </w:rPr>
              <w:t>Government;</w:t>
            </w:r>
          </w:p>
          <w:p w:rsidR="00491D1F" w:rsidRPr="00050A20" w:rsidP="00EE016D" w14:paraId="55705A51" w14:textId="77777777">
            <w:pPr>
              <w:pStyle w:val="NoSpacing"/>
              <w:rPr>
                <w:rFonts w:asciiTheme="minorHAnsi" w:hAnsiTheme="minorHAnsi" w:cstheme="minorHAnsi"/>
              </w:rPr>
            </w:pPr>
            <w:r w:rsidRPr="00050A20">
              <w:rPr>
                <w:rFonts w:asciiTheme="minorHAnsi" w:hAnsiTheme="minorHAnsi" w:cstheme="minorHAnsi"/>
              </w:rPr>
              <w:t xml:space="preserve">D - Special District </w:t>
            </w:r>
            <w:r w:rsidRPr="00050A20">
              <w:rPr>
                <w:rFonts w:asciiTheme="minorHAnsi" w:hAnsiTheme="minorHAnsi" w:cstheme="minorHAnsi"/>
              </w:rPr>
              <w:t>Government;</w:t>
            </w:r>
          </w:p>
          <w:p w:rsidR="00491D1F" w:rsidRPr="00050A20" w:rsidP="00EE016D" w14:paraId="5245C3CB" w14:textId="77777777">
            <w:pPr>
              <w:pStyle w:val="NoSpacing"/>
              <w:rPr>
                <w:rFonts w:asciiTheme="minorHAnsi" w:hAnsiTheme="minorHAnsi" w:cstheme="minorHAnsi"/>
              </w:rPr>
            </w:pPr>
            <w:r w:rsidRPr="00050A20">
              <w:rPr>
                <w:rFonts w:asciiTheme="minorHAnsi" w:hAnsiTheme="minorHAnsi" w:cstheme="minorHAnsi"/>
              </w:rPr>
              <w:t xml:space="preserve">E - Regional </w:t>
            </w:r>
            <w:r w:rsidRPr="00050A20">
              <w:rPr>
                <w:rFonts w:asciiTheme="minorHAnsi" w:hAnsiTheme="minorHAnsi" w:cstheme="minorHAnsi"/>
              </w:rPr>
              <w:t>Organization;</w:t>
            </w:r>
          </w:p>
          <w:p w:rsidR="00491D1F" w:rsidRPr="00050A20" w:rsidP="00EE016D" w14:paraId="597531F0" w14:textId="77777777">
            <w:pPr>
              <w:pStyle w:val="NoSpacing"/>
              <w:rPr>
                <w:rFonts w:asciiTheme="minorHAnsi" w:hAnsiTheme="minorHAnsi" w:cstheme="minorHAnsi"/>
              </w:rPr>
            </w:pPr>
            <w:r w:rsidRPr="00050A20">
              <w:rPr>
                <w:rFonts w:asciiTheme="minorHAnsi" w:hAnsiTheme="minorHAnsi" w:cstheme="minorHAnsi"/>
              </w:rPr>
              <w:t xml:space="preserve">F - U.S. Territory or </w:t>
            </w:r>
            <w:r w:rsidRPr="00050A20">
              <w:rPr>
                <w:rFonts w:asciiTheme="minorHAnsi" w:hAnsiTheme="minorHAnsi" w:cstheme="minorHAnsi"/>
              </w:rPr>
              <w:t>Possession;</w:t>
            </w:r>
          </w:p>
          <w:p w:rsidR="00491D1F" w:rsidRPr="00050A20" w:rsidP="00EE016D" w14:paraId="0009B34F" w14:textId="77777777">
            <w:pPr>
              <w:pStyle w:val="NoSpacing"/>
              <w:rPr>
                <w:rFonts w:asciiTheme="minorHAnsi" w:hAnsiTheme="minorHAnsi" w:cstheme="minorHAnsi"/>
              </w:rPr>
            </w:pPr>
            <w:r w:rsidRPr="00050A20">
              <w:rPr>
                <w:rFonts w:asciiTheme="minorHAnsi" w:hAnsiTheme="minorHAnsi" w:cstheme="minorHAnsi"/>
              </w:rPr>
              <w:t xml:space="preserve">G - Independent School </w:t>
            </w:r>
            <w:r w:rsidRPr="00050A20">
              <w:rPr>
                <w:rFonts w:asciiTheme="minorHAnsi" w:hAnsiTheme="minorHAnsi" w:cstheme="minorHAnsi"/>
              </w:rPr>
              <w:t>District;</w:t>
            </w:r>
          </w:p>
          <w:p w:rsidR="00491D1F" w:rsidRPr="00050A20" w:rsidP="00EE016D" w14:paraId="0F309F7D" w14:textId="77777777">
            <w:pPr>
              <w:pStyle w:val="NoSpacing"/>
              <w:rPr>
                <w:rFonts w:asciiTheme="minorHAnsi" w:hAnsiTheme="minorHAnsi" w:cstheme="minorHAnsi"/>
              </w:rPr>
            </w:pPr>
            <w:r w:rsidRPr="00050A20">
              <w:rPr>
                <w:rFonts w:asciiTheme="minorHAnsi" w:hAnsiTheme="minorHAnsi" w:cstheme="minorHAnsi"/>
              </w:rPr>
              <w:t xml:space="preserve">H - Public/State Controlled Institution of Higher </w:t>
            </w:r>
            <w:r w:rsidRPr="00050A20">
              <w:rPr>
                <w:rFonts w:asciiTheme="minorHAnsi" w:hAnsiTheme="minorHAnsi" w:cstheme="minorHAnsi"/>
              </w:rPr>
              <w:t>Education;</w:t>
            </w:r>
          </w:p>
          <w:p w:rsidR="00491D1F" w:rsidRPr="00050A20" w:rsidP="00EE016D" w14:paraId="57634452" w14:textId="77777777">
            <w:pPr>
              <w:pStyle w:val="NoSpacing"/>
              <w:rPr>
                <w:rFonts w:asciiTheme="minorHAnsi" w:hAnsiTheme="minorHAnsi" w:cstheme="minorHAnsi"/>
              </w:rPr>
            </w:pPr>
            <w:r w:rsidRPr="00050A20">
              <w:rPr>
                <w:rFonts w:asciiTheme="minorHAnsi" w:hAnsiTheme="minorHAnsi" w:cstheme="minorHAnsi"/>
              </w:rPr>
              <w:t>I - Indian/Native American Tribal Government (Federally -Recognized</w:t>
            </w:r>
            <w:r w:rsidRPr="00050A20">
              <w:rPr>
                <w:rFonts w:asciiTheme="minorHAnsi" w:hAnsiTheme="minorHAnsi" w:cstheme="minorHAnsi"/>
              </w:rPr>
              <w:t>);</w:t>
            </w:r>
          </w:p>
          <w:p w:rsidR="00491D1F" w:rsidRPr="00050A20" w:rsidP="00EE016D" w14:paraId="1640D0FB" w14:textId="77777777">
            <w:pPr>
              <w:pStyle w:val="NoSpacing"/>
              <w:rPr>
                <w:rFonts w:asciiTheme="minorHAnsi" w:hAnsiTheme="minorHAnsi" w:cstheme="minorHAnsi"/>
              </w:rPr>
            </w:pPr>
            <w:r w:rsidRPr="00050A20">
              <w:rPr>
                <w:rFonts w:asciiTheme="minorHAnsi" w:hAnsiTheme="minorHAnsi" w:cstheme="minorHAnsi"/>
              </w:rPr>
              <w:t>J - Indian/Native American Tribal Government (Other than Federally-Recognized</w:t>
            </w:r>
            <w:r w:rsidRPr="00050A20">
              <w:rPr>
                <w:rFonts w:asciiTheme="minorHAnsi" w:hAnsiTheme="minorHAnsi" w:cstheme="minorHAnsi"/>
              </w:rPr>
              <w:t>);</w:t>
            </w:r>
          </w:p>
          <w:p w:rsidR="00491D1F" w:rsidRPr="00050A20" w:rsidP="00EE016D" w14:paraId="4F9DF09E" w14:textId="77777777">
            <w:pPr>
              <w:pStyle w:val="NoSpacing"/>
              <w:rPr>
                <w:rFonts w:asciiTheme="minorHAnsi" w:hAnsiTheme="minorHAnsi" w:cstheme="minorHAnsi"/>
              </w:rPr>
            </w:pPr>
            <w:r w:rsidRPr="00050A20">
              <w:rPr>
                <w:rFonts w:asciiTheme="minorHAnsi" w:hAnsiTheme="minorHAnsi" w:cstheme="minorHAnsi"/>
              </w:rPr>
              <w:t xml:space="preserve">K - Indian/Native American Tribal Designated </w:t>
            </w:r>
            <w:r w:rsidRPr="00050A20">
              <w:rPr>
                <w:rFonts w:asciiTheme="minorHAnsi" w:hAnsiTheme="minorHAnsi" w:cstheme="minorHAnsi"/>
              </w:rPr>
              <w:t>Organization;</w:t>
            </w:r>
          </w:p>
          <w:p w:rsidR="00491D1F" w:rsidRPr="00050A20" w:rsidP="00EE016D" w14:paraId="7924C984" w14:textId="77777777">
            <w:pPr>
              <w:pStyle w:val="NoSpacing"/>
              <w:rPr>
                <w:rFonts w:asciiTheme="minorHAnsi" w:hAnsiTheme="minorHAnsi" w:cstheme="minorHAnsi"/>
              </w:rPr>
            </w:pPr>
            <w:r w:rsidRPr="00050A20">
              <w:rPr>
                <w:rFonts w:asciiTheme="minorHAnsi" w:hAnsiTheme="minorHAnsi" w:cstheme="minorHAnsi"/>
              </w:rPr>
              <w:t xml:space="preserve">L - Public/Indian Housing </w:t>
            </w:r>
            <w:r w:rsidRPr="00050A20">
              <w:rPr>
                <w:rFonts w:asciiTheme="minorHAnsi" w:hAnsiTheme="minorHAnsi" w:cstheme="minorHAnsi"/>
              </w:rPr>
              <w:t>Authority;</w:t>
            </w:r>
          </w:p>
          <w:p w:rsidR="00491D1F" w:rsidRPr="00050A20" w:rsidP="00EE016D" w14:paraId="1353D148" w14:textId="77777777">
            <w:pPr>
              <w:pStyle w:val="NoSpacing"/>
              <w:rPr>
                <w:rFonts w:asciiTheme="minorHAnsi" w:hAnsiTheme="minorHAnsi" w:cstheme="minorHAnsi"/>
              </w:rPr>
            </w:pPr>
            <w:r w:rsidRPr="00050A20">
              <w:rPr>
                <w:rFonts w:asciiTheme="minorHAnsi" w:hAnsiTheme="minorHAnsi" w:cstheme="minorHAnsi"/>
              </w:rPr>
              <w:t>M - Nonprofit with section 501(c)(3) IRS Status (Other than an Institution of Higher Education</w:t>
            </w:r>
            <w:r w:rsidRPr="00050A20">
              <w:rPr>
                <w:rFonts w:asciiTheme="minorHAnsi" w:hAnsiTheme="minorHAnsi" w:cstheme="minorHAnsi"/>
              </w:rPr>
              <w:t>);</w:t>
            </w:r>
          </w:p>
          <w:p w:rsidR="00491D1F" w:rsidRPr="00050A20" w:rsidP="00EE016D" w14:paraId="1190623E" w14:textId="77777777">
            <w:pPr>
              <w:pStyle w:val="NoSpacing"/>
              <w:rPr>
                <w:rFonts w:asciiTheme="minorHAnsi" w:hAnsiTheme="minorHAnsi" w:cstheme="minorHAnsi"/>
              </w:rPr>
            </w:pPr>
            <w:r w:rsidRPr="00050A20">
              <w:rPr>
                <w:rFonts w:asciiTheme="minorHAnsi" w:hAnsiTheme="minorHAnsi" w:cstheme="minorHAnsi"/>
              </w:rPr>
              <w:t>N - Nonprofit without section 501(c)(3) IRS Status (Other than an Institution of Higher Education</w:t>
            </w:r>
            <w:r w:rsidRPr="00050A20">
              <w:rPr>
                <w:rFonts w:asciiTheme="minorHAnsi" w:hAnsiTheme="minorHAnsi" w:cstheme="minorHAnsi"/>
              </w:rPr>
              <w:t>);</w:t>
            </w:r>
          </w:p>
          <w:p w:rsidR="00491D1F" w:rsidRPr="00050A20" w:rsidP="00EE016D" w14:paraId="6B15A901" w14:textId="77777777">
            <w:pPr>
              <w:pStyle w:val="NoSpacing"/>
              <w:rPr>
                <w:rFonts w:asciiTheme="minorHAnsi" w:hAnsiTheme="minorHAnsi" w:cstheme="minorHAnsi"/>
              </w:rPr>
            </w:pPr>
            <w:r w:rsidRPr="00050A20">
              <w:rPr>
                <w:rFonts w:asciiTheme="minorHAnsi" w:hAnsiTheme="minorHAnsi" w:cstheme="minorHAnsi"/>
              </w:rPr>
              <w:t xml:space="preserve">O - Private Institution of Higher </w:t>
            </w:r>
            <w:r w:rsidRPr="00050A20">
              <w:rPr>
                <w:rFonts w:asciiTheme="minorHAnsi" w:hAnsiTheme="minorHAnsi" w:cstheme="minorHAnsi"/>
              </w:rPr>
              <w:t>Education;</w:t>
            </w:r>
          </w:p>
          <w:p w:rsidR="00491D1F" w:rsidRPr="00050A20" w:rsidP="00EE016D" w14:paraId="39018C51" w14:textId="77777777">
            <w:pPr>
              <w:pStyle w:val="NoSpacing"/>
              <w:rPr>
                <w:rFonts w:asciiTheme="minorHAnsi" w:hAnsiTheme="minorHAnsi" w:cstheme="minorHAnsi"/>
              </w:rPr>
            </w:pPr>
            <w:r w:rsidRPr="00050A20">
              <w:rPr>
                <w:rFonts w:asciiTheme="minorHAnsi" w:hAnsiTheme="minorHAnsi" w:cstheme="minorHAnsi"/>
              </w:rPr>
              <w:t xml:space="preserve">P – </w:t>
            </w:r>
            <w:r w:rsidRPr="00050A20">
              <w:rPr>
                <w:rFonts w:asciiTheme="minorHAnsi" w:hAnsiTheme="minorHAnsi" w:cstheme="minorHAnsi"/>
              </w:rPr>
              <w:t>Individual;</w:t>
            </w:r>
          </w:p>
          <w:p w:rsidR="00491D1F" w:rsidRPr="00050A20" w:rsidP="00EE016D" w14:paraId="0B70CA22" w14:textId="77777777">
            <w:pPr>
              <w:pStyle w:val="NoSpacing"/>
              <w:rPr>
                <w:rFonts w:asciiTheme="minorHAnsi" w:hAnsiTheme="minorHAnsi" w:cstheme="minorHAnsi"/>
              </w:rPr>
            </w:pPr>
            <w:r w:rsidRPr="00050A20">
              <w:rPr>
                <w:rFonts w:asciiTheme="minorHAnsi" w:hAnsiTheme="minorHAnsi" w:cstheme="minorHAnsi"/>
              </w:rPr>
              <w:t>Q - For-Profit Organization (Other than Small Business</w:t>
            </w:r>
            <w:r w:rsidRPr="00050A20">
              <w:rPr>
                <w:rFonts w:asciiTheme="minorHAnsi" w:hAnsiTheme="minorHAnsi" w:cstheme="minorHAnsi"/>
              </w:rPr>
              <w:t>);</w:t>
            </w:r>
          </w:p>
          <w:p w:rsidR="00491D1F" w:rsidRPr="00050A20" w:rsidP="00EE016D" w14:paraId="01073181" w14:textId="77777777">
            <w:pPr>
              <w:pStyle w:val="NoSpacing"/>
              <w:rPr>
                <w:rFonts w:asciiTheme="minorHAnsi" w:hAnsiTheme="minorHAnsi" w:cstheme="minorHAnsi"/>
              </w:rPr>
            </w:pPr>
            <w:r w:rsidRPr="00050A20">
              <w:rPr>
                <w:rFonts w:asciiTheme="minorHAnsi" w:hAnsiTheme="minorHAnsi" w:cstheme="minorHAnsi"/>
              </w:rPr>
              <w:t xml:space="preserve">R - Small </w:t>
            </w:r>
            <w:r w:rsidRPr="00050A20">
              <w:rPr>
                <w:rFonts w:asciiTheme="minorHAnsi" w:hAnsiTheme="minorHAnsi" w:cstheme="minorHAnsi"/>
              </w:rPr>
              <w:t>Business;</w:t>
            </w:r>
          </w:p>
          <w:p w:rsidR="00491D1F" w:rsidRPr="00050A20" w:rsidP="00EE016D" w14:paraId="0C02C95B" w14:textId="77777777">
            <w:pPr>
              <w:pStyle w:val="NoSpacing"/>
              <w:rPr>
                <w:rFonts w:asciiTheme="minorHAnsi" w:hAnsiTheme="minorHAnsi" w:cstheme="minorHAnsi"/>
              </w:rPr>
            </w:pPr>
            <w:r w:rsidRPr="00050A20">
              <w:rPr>
                <w:rFonts w:asciiTheme="minorHAnsi" w:hAnsiTheme="minorHAnsi" w:cstheme="minorHAnsi"/>
              </w:rPr>
              <w:t xml:space="preserve">S - Hispanic-serving </w:t>
            </w:r>
            <w:r w:rsidRPr="00050A20">
              <w:rPr>
                <w:rFonts w:asciiTheme="minorHAnsi" w:hAnsiTheme="minorHAnsi" w:cstheme="minorHAnsi"/>
              </w:rPr>
              <w:t>Institution;</w:t>
            </w:r>
          </w:p>
          <w:p w:rsidR="00491D1F" w:rsidRPr="00050A20" w:rsidP="00EE016D" w14:paraId="61F350F8" w14:textId="77777777">
            <w:pPr>
              <w:pStyle w:val="NoSpacing"/>
              <w:rPr>
                <w:rFonts w:asciiTheme="minorHAnsi" w:hAnsiTheme="minorHAnsi" w:cstheme="minorHAnsi"/>
              </w:rPr>
            </w:pPr>
            <w:r w:rsidRPr="00050A20">
              <w:rPr>
                <w:rFonts w:asciiTheme="minorHAnsi" w:hAnsiTheme="minorHAnsi" w:cstheme="minorHAnsi"/>
              </w:rPr>
              <w:t>T - Historically Black College or University (HBCU</w:t>
            </w:r>
            <w:r w:rsidRPr="00050A20">
              <w:rPr>
                <w:rFonts w:asciiTheme="minorHAnsi" w:hAnsiTheme="minorHAnsi" w:cstheme="minorHAnsi"/>
              </w:rPr>
              <w:t>);</w:t>
            </w:r>
          </w:p>
          <w:p w:rsidR="00491D1F" w:rsidRPr="00050A20" w:rsidP="00EE016D" w14:paraId="4E76262D" w14:textId="77777777">
            <w:pPr>
              <w:pStyle w:val="NoSpacing"/>
              <w:rPr>
                <w:rFonts w:asciiTheme="minorHAnsi" w:hAnsiTheme="minorHAnsi" w:cstheme="minorHAnsi"/>
              </w:rPr>
            </w:pPr>
            <w:r w:rsidRPr="00050A20">
              <w:rPr>
                <w:rFonts w:asciiTheme="minorHAnsi" w:hAnsiTheme="minorHAnsi" w:cstheme="minorHAnsi"/>
              </w:rPr>
              <w:t>U - Tribally Controlled College or University (TCCU</w:t>
            </w:r>
            <w:r w:rsidRPr="00050A20">
              <w:rPr>
                <w:rFonts w:asciiTheme="minorHAnsi" w:hAnsiTheme="minorHAnsi" w:cstheme="minorHAnsi"/>
              </w:rPr>
              <w:t>);</w:t>
            </w:r>
          </w:p>
          <w:p w:rsidR="00491D1F" w:rsidRPr="00050A20" w:rsidP="00EE016D" w14:paraId="25A37A0B" w14:textId="77777777">
            <w:pPr>
              <w:pStyle w:val="NoSpacing"/>
              <w:rPr>
                <w:rFonts w:asciiTheme="minorHAnsi" w:hAnsiTheme="minorHAnsi" w:cstheme="minorHAnsi"/>
              </w:rPr>
            </w:pPr>
            <w:r w:rsidRPr="00050A20">
              <w:rPr>
                <w:rFonts w:asciiTheme="minorHAnsi" w:hAnsiTheme="minorHAnsi" w:cstheme="minorHAnsi"/>
              </w:rPr>
              <w:t xml:space="preserve">V - Alaska Native and Native Hawaiian Serving </w:t>
            </w:r>
            <w:r w:rsidRPr="00050A20">
              <w:rPr>
                <w:rFonts w:asciiTheme="minorHAnsi" w:hAnsiTheme="minorHAnsi" w:cstheme="minorHAnsi"/>
              </w:rPr>
              <w:t>Institutions;</w:t>
            </w:r>
          </w:p>
          <w:p w:rsidR="00491D1F" w:rsidRPr="00050A20" w:rsidP="00EE016D" w14:paraId="0B8DCED7" w14:textId="77777777">
            <w:pPr>
              <w:pStyle w:val="NoSpacing"/>
              <w:rPr>
                <w:rFonts w:asciiTheme="minorHAnsi" w:hAnsiTheme="minorHAnsi" w:cstheme="minorHAnsi"/>
              </w:rPr>
            </w:pPr>
            <w:r w:rsidRPr="00050A20">
              <w:rPr>
                <w:rFonts w:asciiTheme="minorHAnsi" w:hAnsiTheme="minorHAnsi" w:cstheme="minorHAnsi"/>
              </w:rPr>
              <w:t xml:space="preserve">W - Non-domestic (non-U.S.) </w:t>
            </w:r>
            <w:r w:rsidRPr="00050A20">
              <w:rPr>
                <w:rFonts w:asciiTheme="minorHAnsi" w:hAnsiTheme="minorHAnsi" w:cstheme="minorHAnsi"/>
              </w:rPr>
              <w:t>Entity;</w:t>
            </w:r>
          </w:p>
          <w:p w:rsidR="00491D1F" w:rsidRPr="00050A20" w:rsidP="00EE016D" w14:paraId="5A44D596" w14:textId="77777777">
            <w:pPr>
              <w:pStyle w:val="NoSpacing"/>
              <w:rPr>
                <w:rFonts w:asciiTheme="minorHAnsi" w:hAnsiTheme="minorHAnsi" w:cstheme="minorHAnsi"/>
              </w:rPr>
            </w:pPr>
            <w:r w:rsidRPr="00050A20">
              <w:rPr>
                <w:rFonts w:asciiTheme="minorHAnsi" w:hAnsiTheme="minorHAnsi" w:cstheme="minorHAnsi"/>
              </w:rPr>
              <w:t>X – Other.</w:t>
            </w:r>
          </w:p>
          <w:p w:rsidR="00491D1F" w:rsidRPr="00050A20" w:rsidP="00EE016D" w14:paraId="1DC2C046" w14:textId="77777777">
            <w:pPr>
              <w:pStyle w:val="NoSpacing"/>
              <w:rPr>
                <w:rFonts w:asciiTheme="minorHAnsi" w:hAnsiTheme="minorHAnsi" w:cstheme="minorHAnsi"/>
              </w:rPr>
            </w:pPr>
          </w:p>
        </w:tc>
        <w:tc>
          <w:tcPr>
            <w:tcW w:w="1816" w:type="dxa"/>
          </w:tcPr>
          <w:p w:rsidR="00491D1F" w:rsidRPr="00050A20" w:rsidP="00EE016D" w14:paraId="5356FCAB" w14:textId="77777777">
            <w:pPr>
              <w:pStyle w:val="NoSpacing"/>
              <w:rPr>
                <w:rFonts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4B2811A6" w14:textId="77777777">
            <w:pPr>
              <w:rPr>
                <w:rFonts w:eastAsia="Times New Roman" w:cstheme="minorHAnsi"/>
              </w:rPr>
            </w:pPr>
            <w:r w:rsidRPr="00050A20">
              <w:rPr>
                <w:rFonts w:cstheme="minorHAnsi"/>
              </w:rPr>
              <w:t xml:space="preserve">This information is used to assist the FCC in reporting funding allocation information to Congress as required by applicable statutes.  </w:t>
            </w:r>
            <w:r w:rsidRPr="00050A20">
              <w:rPr>
                <w:rFonts w:eastAsia="Arial" w:cstheme="minorHAnsi"/>
              </w:rPr>
              <w:t xml:space="preserve">If Applicant selects “Other,” Applicant will be able to utilize an information field to elaborate on the Applicant’s description that was not adequately captured by the listed options.  </w:t>
            </w:r>
          </w:p>
          <w:p w:rsidR="00491D1F" w:rsidRPr="00050A20" w:rsidP="00EE016D" w14:paraId="5B39EBDD" w14:textId="77777777">
            <w:pPr>
              <w:pStyle w:val="NoSpacing"/>
              <w:rPr>
                <w:rFonts w:eastAsia="Arial" w:asciiTheme="minorHAnsi" w:hAnsiTheme="minorHAnsi" w:cstheme="minorHAnsi"/>
              </w:rPr>
            </w:pPr>
          </w:p>
          <w:p w:rsidR="00491D1F" w:rsidRPr="00050A20" w:rsidP="00EE016D" w14:paraId="581A5FF7" w14:textId="77777777">
            <w:pPr>
              <w:pStyle w:val="NoSpacing"/>
              <w:rPr>
                <w:rFonts w:asciiTheme="minorHAnsi" w:hAnsiTheme="minorHAnsi" w:cstheme="minorHAnsi"/>
              </w:rPr>
            </w:pPr>
          </w:p>
        </w:tc>
      </w:tr>
      <w:tr w14:paraId="785CCBE5" w14:textId="77777777" w:rsidTr="00EE016D">
        <w:tblPrEx>
          <w:tblW w:w="13063" w:type="dxa"/>
          <w:tblLook w:val="04A0"/>
        </w:tblPrEx>
        <w:tc>
          <w:tcPr>
            <w:tcW w:w="1058" w:type="dxa"/>
          </w:tcPr>
          <w:p w:rsidR="00491D1F" w:rsidRPr="00050A20" w:rsidP="00EE016D" w14:paraId="6A2A6418" w14:textId="77777777">
            <w:pPr>
              <w:pStyle w:val="NoSpacing"/>
              <w:jc w:val="center"/>
              <w:rPr>
                <w:rFonts w:asciiTheme="minorHAnsi" w:hAnsiTheme="minorHAnsi" w:cstheme="minorHAnsi"/>
              </w:rPr>
            </w:pPr>
            <w:r w:rsidRPr="00050A20">
              <w:rPr>
                <w:rFonts w:asciiTheme="minorHAnsi" w:hAnsiTheme="minorHAnsi" w:cstheme="minorHAnsi"/>
              </w:rPr>
              <w:t>14</w:t>
            </w:r>
          </w:p>
        </w:tc>
        <w:tc>
          <w:tcPr>
            <w:tcW w:w="3294" w:type="dxa"/>
            <w:shd w:val="clear" w:color="auto" w:fill="auto"/>
          </w:tcPr>
          <w:p w:rsidR="00491D1F" w:rsidRPr="00050A20" w:rsidP="00EE016D" w14:paraId="774EE726"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Is the Applicant a commercial broadband provider? </w:t>
            </w:r>
          </w:p>
          <w:p w:rsidR="00491D1F" w:rsidRPr="00050A20" w:rsidP="00EE016D" w14:paraId="2906955E" w14:textId="77777777">
            <w:pPr>
              <w:pStyle w:val="NoSpacing"/>
              <w:rPr>
                <w:rFonts w:eastAsia="Arial" w:asciiTheme="minorHAnsi" w:hAnsiTheme="minorHAnsi" w:cstheme="minorHAnsi"/>
              </w:rPr>
            </w:pPr>
          </w:p>
        </w:tc>
        <w:tc>
          <w:tcPr>
            <w:tcW w:w="1816" w:type="dxa"/>
          </w:tcPr>
          <w:p w:rsidR="00491D1F" w:rsidRPr="00050A20" w:rsidP="00EE016D" w14:paraId="7C9CF4A9"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2C62FC78" w14:textId="77777777">
            <w:pPr>
              <w:rPr>
                <w:rFonts w:eastAsia="Arial" w:cstheme="minorHAnsi"/>
              </w:rPr>
            </w:pPr>
            <w:r w:rsidRPr="00050A20">
              <w:rPr>
                <w:rFonts w:eastAsia="Arial" w:cstheme="minorHAnsi"/>
              </w:rPr>
              <w:t>Information will help the FCC identify applicant type and track and analyze funding allocations.  The FCC can also use this information to assist with the prioritization of funding among different categories of applicants should funding demand exceed funding available.</w:t>
            </w:r>
          </w:p>
          <w:p w:rsidR="00491D1F" w:rsidRPr="00050A20" w:rsidP="00EE016D" w14:paraId="6C7C51D8" w14:textId="77777777">
            <w:pPr>
              <w:rPr>
                <w:rFonts w:eastAsia="Arial" w:cstheme="minorHAnsi"/>
              </w:rPr>
            </w:pPr>
          </w:p>
        </w:tc>
      </w:tr>
      <w:tr w14:paraId="17F31D79" w14:textId="77777777" w:rsidTr="00EE016D">
        <w:tblPrEx>
          <w:tblW w:w="13063" w:type="dxa"/>
          <w:tblLook w:val="04A0"/>
        </w:tblPrEx>
        <w:tc>
          <w:tcPr>
            <w:tcW w:w="1058" w:type="dxa"/>
          </w:tcPr>
          <w:p w:rsidR="00491D1F" w:rsidRPr="00050A20" w:rsidP="00EE016D" w14:paraId="1B06F6EC" w14:textId="77777777">
            <w:pPr>
              <w:pStyle w:val="NoSpacing"/>
              <w:jc w:val="center"/>
              <w:rPr>
                <w:rFonts w:asciiTheme="minorHAnsi" w:hAnsiTheme="minorHAnsi" w:cstheme="minorHAnsi"/>
              </w:rPr>
            </w:pPr>
            <w:r w:rsidRPr="00050A20">
              <w:rPr>
                <w:rFonts w:asciiTheme="minorHAnsi" w:hAnsiTheme="minorHAnsi" w:cstheme="minorHAnsi"/>
              </w:rPr>
              <w:t>15</w:t>
            </w:r>
          </w:p>
        </w:tc>
        <w:tc>
          <w:tcPr>
            <w:tcW w:w="3294" w:type="dxa"/>
            <w:shd w:val="clear" w:color="auto" w:fill="auto"/>
          </w:tcPr>
          <w:p w:rsidR="00491D1F" w:rsidRPr="00050A20" w:rsidP="00EE016D" w14:paraId="04543A39" w14:textId="6FCECB11">
            <w:pPr>
              <w:pStyle w:val="NoSpacing"/>
              <w:rPr>
                <w:rFonts w:eastAsia="Arial" w:asciiTheme="minorHAnsi" w:hAnsiTheme="minorHAnsi" w:cstheme="minorHAnsi"/>
              </w:rPr>
            </w:pPr>
            <w:r w:rsidRPr="00050A20">
              <w:rPr>
                <w:rFonts w:eastAsia="Arial" w:asciiTheme="minorHAnsi" w:hAnsiTheme="minorHAnsi" w:cstheme="minorHAnsi"/>
              </w:rPr>
              <w:t>Is the Applicant an Eligible Telecommunications Carrier (ETC)?</w:t>
            </w:r>
          </w:p>
        </w:tc>
        <w:tc>
          <w:tcPr>
            <w:tcW w:w="1816" w:type="dxa"/>
          </w:tcPr>
          <w:p w:rsidR="00491D1F" w:rsidRPr="00050A20" w:rsidP="00EE016D" w14:paraId="2E4A5AAD"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33EB1D89" w14:textId="77777777">
            <w:pPr>
              <w:rPr>
                <w:rFonts w:eastAsia="Arial" w:cstheme="minorHAnsi"/>
              </w:rPr>
            </w:pPr>
            <w:r w:rsidRPr="00050A20">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p w:rsidR="008D574D" w:rsidRPr="00050A20" w:rsidP="00EE016D" w14:paraId="75855AA3" w14:textId="626ABD40">
            <w:pPr>
              <w:rPr>
                <w:rFonts w:eastAsia="Arial" w:cstheme="minorHAnsi"/>
              </w:rPr>
            </w:pPr>
          </w:p>
        </w:tc>
      </w:tr>
      <w:tr w14:paraId="5940327A" w14:textId="77777777" w:rsidTr="00EE016D">
        <w:tblPrEx>
          <w:tblW w:w="13063" w:type="dxa"/>
          <w:tblLook w:val="04A0"/>
        </w:tblPrEx>
        <w:tc>
          <w:tcPr>
            <w:tcW w:w="1058" w:type="dxa"/>
          </w:tcPr>
          <w:p w:rsidR="00491D1F" w:rsidRPr="00050A20" w:rsidP="00EE016D" w14:paraId="64BE60FA" w14:textId="77777777">
            <w:pPr>
              <w:pStyle w:val="NoSpacing"/>
              <w:jc w:val="center"/>
              <w:rPr>
                <w:rFonts w:asciiTheme="minorHAnsi" w:hAnsiTheme="minorHAnsi" w:cstheme="minorHAnsi"/>
              </w:rPr>
            </w:pPr>
            <w:r w:rsidRPr="00050A20">
              <w:rPr>
                <w:rFonts w:asciiTheme="minorHAnsi" w:hAnsiTheme="minorHAnsi" w:cstheme="minorHAnsi"/>
              </w:rPr>
              <w:t>16</w:t>
            </w:r>
          </w:p>
        </w:tc>
        <w:tc>
          <w:tcPr>
            <w:tcW w:w="3294" w:type="dxa"/>
            <w:shd w:val="clear" w:color="auto" w:fill="auto"/>
          </w:tcPr>
          <w:p w:rsidR="00491D1F" w:rsidRPr="00050A20" w:rsidP="00EE016D" w14:paraId="769B5599" w14:textId="77777777">
            <w:pPr>
              <w:pStyle w:val="NoSpacing"/>
              <w:rPr>
                <w:rFonts w:eastAsia="Arial" w:asciiTheme="minorHAnsi" w:hAnsiTheme="minorHAnsi" w:cstheme="minorHAnsi"/>
              </w:rPr>
            </w:pPr>
            <w:r w:rsidRPr="00050A20">
              <w:rPr>
                <w:rFonts w:eastAsia="Arial" w:asciiTheme="minorHAnsi" w:hAnsiTheme="minorHAnsi" w:cstheme="minorHAnsi"/>
              </w:rPr>
              <w:t>If Applicant is an ETC, then identify your ETC Status (ILEC/Non-ILEC).</w:t>
            </w:r>
          </w:p>
          <w:p w:rsidR="00491D1F" w:rsidRPr="00050A20" w:rsidP="00EE016D" w14:paraId="402FB54F" w14:textId="77777777">
            <w:pPr>
              <w:pStyle w:val="NoSpacing"/>
              <w:rPr>
                <w:rFonts w:eastAsia="Arial" w:asciiTheme="minorHAnsi" w:hAnsiTheme="minorHAnsi" w:cstheme="minorHAnsi"/>
              </w:rPr>
            </w:pPr>
          </w:p>
        </w:tc>
        <w:tc>
          <w:tcPr>
            <w:tcW w:w="1816" w:type="dxa"/>
          </w:tcPr>
          <w:p w:rsidR="00491D1F" w:rsidRPr="00050A20" w:rsidP="00EE016D" w14:paraId="014B72BE"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467D8ABC" w14:textId="77777777">
            <w:pPr>
              <w:rPr>
                <w:rFonts w:eastAsia="Arial" w:cstheme="minorHAnsi"/>
              </w:rPr>
            </w:pPr>
            <w:r w:rsidRPr="00050A20">
              <w:rPr>
                <w:rFonts w:eastAsia="Arial" w:cstheme="minorHAnsi"/>
              </w:rPr>
              <w:t>Information used to identify if the filer as an ETC.  ILEC refers to the term Incumbent Local Exchange Carrier.</w:t>
            </w:r>
          </w:p>
        </w:tc>
      </w:tr>
      <w:tr w14:paraId="602FF5AA" w14:textId="77777777" w:rsidTr="00EE016D">
        <w:tblPrEx>
          <w:tblW w:w="13063" w:type="dxa"/>
          <w:tblLook w:val="04A0"/>
        </w:tblPrEx>
        <w:tc>
          <w:tcPr>
            <w:tcW w:w="1058" w:type="dxa"/>
          </w:tcPr>
          <w:p w:rsidR="00491D1F" w:rsidRPr="00050A20" w:rsidP="00EE016D" w14:paraId="0EDD5202" w14:textId="77777777">
            <w:pPr>
              <w:pStyle w:val="NoSpacing"/>
              <w:jc w:val="center"/>
              <w:rPr>
                <w:rFonts w:asciiTheme="minorHAnsi" w:hAnsiTheme="minorHAnsi" w:cstheme="minorHAnsi"/>
              </w:rPr>
            </w:pPr>
            <w:r w:rsidRPr="00050A20">
              <w:rPr>
                <w:rFonts w:asciiTheme="minorHAnsi" w:hAnsiTheme="minorHAnsi" w:cstheme="minorHAnsi"/>
              </w:rPr>
              <w:t>17</w:t>
            </w:r>
          </w:p>
        </w:tc>
        <w:tc>
          <w:tcPr>
            <w:tcW w:w="3294" w:type="dxa"/>
            <w:shd w:val="clear" w:color="auto" w:fill="auto"/>
          </w:tcPr>
          <w:p w:rsidR="00491D1F" w:rsidRPr="00050A20" w:rsidP="00EE016D" w14:paraId="5B9FC87A" w14:textId="77777777">
            <w:pPr>
              <w:rPr>
                <w:rFonts w:eastAsia="Arial" w:cstheme="minorHAnsi"/>
              </w:rPr>
            </w:pPr>
            <w:r w:rsidRPr="00050A20">
              <w:rPr>
                <w:rFonts w:cstheme="minorHAnsi"/>
              </w:rPr>
              <w:t xml:space="preserve">If Applicant is an ETC, please enter the </w:t>
            </w:r>
            <w:r w:rsidRPr="00050A20">
              <w:rPr>
                <w:rFonts w:eastAsia="Arial" w:cstheme="minorHAnsi"/>
              </w:rPr>
              <w:t>Service Provider Identification Number (</w:t>
            </w:r>
            <w:r w:rsidRPr="00050A20">
              <w:rPr>
                <w:rFonts w:cstheme="minorHAnsi"/>
              </w:rPr>
              <w:t>SPIN) (also known as a 498 ID).</w:t>
            </w:r>
          </w:p>
        </w:tc>
        <w:tc>
          <w:tcPr>
            <w:tcW w:w="1816" w:type="dxa"/>
          </w:tcPr>
          <w:p w:rsidR="00491D1F" w:rsidRPr="00050A20" w:rsidP="00EE016D" w14:paraId="1BDAE18A"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370B3038" w14:textId="77777777">
            <w:pPr>
              <w:rPr>
                <w:rFonts w:eastAsia="Arial" w:cstheme="minorHAnsi"/>
              </w:rPr>
            </w:pPr>
            <w:r w:rsidRPr="00050A20">
              <w:rPr>
                <w:rFonts w:eastAsia="Arial" w:cstheme="minorHAnsi"/>
              </w:rPr>
              <w:t>A Service Provider Identification Number (SPIN) (or 498 ID) is a unique nine-digit number assigned to service providers</w:t>
            </w:r>
            <w:r w:rsidRPr="00050A20">
              <w:rPr>
                <w:rFonts w:cstheme="minorHAnsi"/>
              </w:rPr>
              <w:t xml:space="preserve"> that conduct business with the Universal Service Administrative Company (USAC).  A SPIN is assigned </w:t>
            </w:r>
            <w:r w:rsidRPr="00050A20">
              <w:rPr>
                <w:rFonts w:eastAsia="Arial" w:cstheme="minorHAnsi"/>
              </w:rPr>
              <w:t>when an FCC Form 498 is filed with USAC.</w:t>
            </w:r>
          </w:p>
          <w:p w:rsidR="00491D1F" w:rsidRPr="00050A20" w:rsidP="00EE016D" w14:paraId="434599F4" w14:textId="77777777">
            <w:pPr>
              <w:rPr>
                <w:rFonts w:eastAsia="Times New Roman" w:cstheme="minorHAnsi"/>
              </w:rPr>
            </w:pPr>
          </w:p>
        </w:tc>
      </w:tr>
      <w:tr w14:paraId="535F9706" w14:textId="77777777" w:rsidTr="00EE016D">
        <w:tblPrEx>
          <w:tblW w:w="13063" w:type="dxa"/>
          <w:tblLook w:val="04A0"/>
        </w:tblPrEx>
        <w:tc>
          <w:tcPr>
            <w:tcW w:w="1058" w:type="dxa"/>
          </w:tcPr>
          <w:p w:rsidR="00491D1F" w:rsidRPr="00050A20" w:rsidP="00EE016D" w14:paraId="2AF0544C" w14:textId="77777777">
            <w:pPr>
              <w:pStyle w:val="NoSpacing"/>
              <w:jc w:val="center"/>
              <w:rPr>
                <w:rFonts w:asciiTheme="minorHAnsi" w:hAnsiTheme="minorHAnsi" w:cstheme="minorHAnsi"/>
              </w:rPr>
            </w:pPr>
            <w:r w:rsidRPr="00050A20">
              <w:rPr>
                <w:rFonts w:asciiTheme="minorHAnsi" w:hAnsiTheme="minorHAnsi" w:cstheme="minorHAnsi"/>
              </w:rPr>
              <w:t>18</w:t>
            </w:r>
          </w:p>
        </w:tc>
        <w:tc>
          <w:tcPr>
            <w:tcW w:w="3294" w:type="dxa"/>
            <w:shd w:val="clear" w:color="auto" w:fill="auto"/>
          </w:tcPr>
          <w:p w:rsidR="00491D1F" w:rsidRPr="00050A20" w:rsidP="00EE016D" w14:paraId="5D094670" w14:textId="6242ACCE">
            <w:pPr>
              <w:pStyle w:val="NoSpacing"/>
              <w:rPr>
                <w:rFonts w:eastAsia="Arial" w:asciiTheme="minorHAnsi" w:hAnsiTheme="minorHAnsi" w:cstheme="minorHAnsi"/>
              </w:rPr>
            </w:pPr>
            <w:r w:rsidRPr="00050A20">
              <w:rPr>
                <w:rFonts w:eastAsia="Arial" w:asciiTheme="minorHAnsi" w:hAnsiTheme="minorHAnsi" w:cstheme="minorHAnsi"/>
              </w:rPr>
              <w:t>If Applicant is an ETC, then identify the Study Area Code(s), where you are designated as an ETC.</w:t>
            </w:r>
          </w:p>
        </w:tc>
        <w:tc>
          <w:tcPr>
            <w:tcW w:w="1816" w:type="dxa"/>
          </w:tcPr>
          <w:p w:rsidR="00491D1F" w:rsidRPr="00050A20" w:rsidP="00EE016D" w14:paraId="47E029C7"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7DAF9121" w14:textId="77777777">
            <w:pPr>
              <w:rPr>
                <w:rFonts w:eastAsia="Arial" w:cstheme="minorHAnsi"/>
              </w:rPr>
            </w:pPr>
            <w:r w:rsidRPr="00050A20">
              <w:rPr>
                <w:rFonts w:eastAsia="Arial" w:cstheme="minorHAnsi"/>
              </w:rPr>
              <w:t>Information used to identify geographic areas where filer is designated as an ETC.</w:t>
            </w:r>
          </w:p>
        </w:tc>
      </w:tr>
      <w:tr w14:paraId="23CF834E" w14:textId="77777777" w:rsidTr="00EE016D">
        <w:tblPrEx>
          <w:tblW w:w="13063" w:type="dxa"/>
          <w:tblLook w:val="04A0"/>
        </w:tblPrEx>
        <w:tc>
          <w:tcPr>
            <w:tcW w:w="1058" w:type="dxa"/>
          </w:tcPr>
          <w:p w:rsidR="00491D1F" w:rsidRPr="00050A20" w:rsidP="00EE016D" w14:paraId="15319AB9" w14:textId="77777777">
            <w:pPr>
              <w:pStyle w:val="NoSpacing"/>
              <w:jc w:val="center"/>
              <w:rPr>
                <w:rFonts w:asciiTheme="minorHAnsi" w:hAnsiTheme="minorHAnsi" w:cstheme="minorHAnsi"/>
              </w:rPr>
            </w:pPr>
            <w:r w:rsidRPr="00050A20">
              <w:rPr>
                <w:rFonts w:asciiTheme="minorHAnsi" w:hAnsiTheme="minorHAnsi" w:cstheme="minorHAnsi"/>
              </w:rPr>
              <w:t>19</w:t>
            </w:r>
          </w:p>
        </w:tc>
        <w:tc>
          <w:tcPr>
            <w:tcW w:w="3294" w:type="dxa"/>
            <w:shd w:val="clear" w:color="auto" w:fill="auto"/>
          </w:tcPr>
          <w:p w:rsidR="00491D1F" w:rsidRPr="00050A20" w:rsidP="00EE016D" w14:paraId="2B096102" w14:textId="77777777">
            <w:pPr>
              <w:pStyle w:val="NoSpacing"/>
              <w:rPr>
                <w:rFonts w:eastAsia="Arial" w:asciiTheme="minorHAnsi" w:hAnsiTheme="minorHAnsi" w:cstheme="minorHAnsi"/>
              </w:rPr>
            </w:pPr>
            <w:r w:rsidRPr="00050A20">
              <w:rPr>
                <w:rFonts w:eastAsia="Arial" w:asciiTheme="minorHAnsi" w:hAnsiTheme="minorHAnsi" w:cstheme="minorHAnsi"/>
              </w:rPr>
              <w:t>Applicant’s FCC Form 499 Filer ID Number (if applicable).</w:t>
            </w:r>
          </w:p>
        </w:tc>
        <w:tc>
          <w:tcPr>
            <w:tcW w:w="1816" w:type="dxa"/>
          </w:tcPr>
          <w:p w:rsidR="00491D1F" w:rsidRPr="00050A20" w:rsidP="00EE016D" w14:paraId="21DB4D3D"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552461F5" w14:textId="77777777">
            <w:pPr>
              <w:rPr>
                <w:rFonts w:eastAsia="Arial" w:cstheme="minorHAnsi"/>
              </w:rPr>
            </w:pPr>
            <w:r w:rsidRPr="00050A20">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p w:rsidR="003413A3" w:rsidRPr="00050A20" w:rsidP="00EE016D" w14:paraId="752EE9E2" w14:textId="2930EDED">
            <w:pPr>
              <w:rPr>
                <w:rFonts w:eastAsia="Arial" w:cstheme="minorHAnsi"/>
              </w:rPr>
            </w:pPr>
          </w:p>
        </w:tc>
      </w:tr>
      <w:tr w14:paraId="7450DDEA" w14:textId="77777777" w:rsidTr="00EE016D">
        <w:tblPrEx>
          <w:tblW w:w="13063" w:type="dxa"/>
          <w:tblLook w:val="04A0"/>
        </w:tblPrEx>
        <w:tc>
          <w:tcPr>
            <w:tcW w:w="1058" w:type="dxa"/>
          </w:tcPr>
          <w:p w:rsidR="00491D1F" w:rsidRPr="00050A20" w:rsidP="00EE016D" w14:paraId="6AED1915" w14:textId="77777777">
            <w:pPr>
              <w:pStyle w:val="NoSpacing"/>
              <w:jc w:val="center"/>
              <w:rPr>
                <w:rFonts w:asciiTheme="minorHAnsi" w:hAnsiTheme="minorHAnsi" w:cstheme="minorHAnsi"/>
              </w:rPr>
            </w:pPr>
            <w:r w:rsidRPr="00050A20">
              <w:rPr>
                <w:rFonts w:asciiTheme="minorHAnsi" w:hAnsiTheme="minorHAnsi" w:cstheme="minorHAnsi"/>
              </w:rPr>
              <w:t>20</w:t>
            </w:r>
          </w:p>
        </w:tc>
        <w:tc>
          <w:tcPr>
            <w:tcW w:w="3294" w:type="dxa"/>
            <w:shd w:val="clear" w:color="auto" w:fill="auto"/>
          </w:tcPr>
          <w:p w:rsidR="00491D1F" w:rsidRPr="00050A20" w:rsidP="00EE016D" w14:paraId="24E81AFD" w14:textId="77777777">
            <w:pPr>
              <w:pStyle w:val="NoSpacing"/>
              <w:rPr>
                <w:rFonts w:eastAsia="Arial" w:asciiTheme="minorHAnsi" w:hAnsiTheme="minorHAnsi" w:cstheme="minorHAnsi"/>
              </w:rPr>
            </w:pPr>
            <w:r w:rsidRPr="00050A20">
              <w:rPr>
                <w:rFonts w:eastAsia="Arial" w:asciiTheme="minorHAnsi" w:hAnsiTheme="minorHAnsi" w:cstheme="minorHAnsi"/>
              </w:rPr>
              <w:t>Is Applicant subject to the Commission’s Part 32 - Uniform System of Accounts for Telecommunications Companies regulations, 47 CFR §§ 32.01 et seq.? (Yes/No)</w:t>
            </w:r>
          </w:p>
          <w:p w:rsidR="00491D1F" w:rsidRPr="00050A20" w:rsidP="00EE016D" w14:paraId="77602629" w14:textId="77777777">
            <w:pPr>
              <w:pStyle w:val="NoSpacing"/>
              <w:rPr>
                <w:rFonts w:eastAsia="Arial" w:asciiTheme="minorHAnsi" w:hAnsiTheme="minorHAnsi" w:cstheme="minorHAnsi"/>
              </w:rPr>
            </w:pPr>
          </w:p>
        </w:tc>
        <w:tc>
          <w:tcPr>
            <w:tcW w:w="1816" w:type="dxa"/>
          </w:tcPr>
          <w:p w:rsidR="00491D1F" w:rsidRPr="00050A20" w:rsidP="00EE016D" w14:paraId="3EA4F352" w14:textId="77777777">
            <w:pPr>
              <w:pStyle w:val="NoSpacing"/>
              <w:rPr>
                <w:rFonts w:eastAsia="Arial" w:asciiTheme="minorHAnsi" w:hAnsiTheme="minorHAnsi" w:cstheme="minorHAnsi"/>
              </w:rPr>
            </w:pPr>
            <w:r w:rsidRPr="00050A20">
              <w:rPr>
                <w:rFonts w:eastAsia="Arial" w:asciiTheme="minorHAnsi" w:hAnsiTheme="minorHAnsi" w:cstheme="minorHAnsi"/>
              </w:rPr>
              <w:t>ID &amp; funding analysis</w:t>
            </w:r>
          </w:p>
        </w:tc>
        <w:tc>
          <w:tcPr>
            <w:tcW w:w="6895" w:type="dxa"/>
          </w:tcPr>
          <w:p w:rsidR="00491D1F" w:rsidP="00EE016D" w14:paraId="7A30476C" w14:textId="77777777">
            <w:pPr>
              <w:rPr>
                <w:rFonts w:eastAsia="Arial" w:cstheme="minorHAnsi"/>
              </w:rPr>
            </w:pPr>
            <w:r w:rsidRPr="00050A20">
              <w:rPr>
                <w:rFonts w:eastAsia="Arial" w:cstheme="minorHAnsi"/>
              </w:rPr>
              <w:t>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Commission, will not be subject to this Uniform System of Accounts.”  47 CFR § 32.11.</w:t>
            </w:r>
          </w:p>
          <w:p w:rsidR="003413A3" w:rsidRPr="00050A20" w:rsidP="00EE016D" w14:paraId="59177784" w14:textId="1DD7C86A">
            <w:pPr>
              <w:rPr>
                <w:rFonts w:eastAsia="Arial" w:cstheme="minorHAnsi"/>
              </w:rPr>
            </w:pPr>
          </w:p>
        </w:tc>
      </w:tr>
      <w:tr w14:paraId="716F81B3" w14:textId="77777777" w:rsidTr="00EE016D">
        <w:tblPrEx>
          <w:tblW w:w="13063" w:type="dxa"/>
          <w:tblLook w:val="04A0"/>
        </w:tblPrEx>
        <w:tc>
          <w:tcPr>
            <w:tcW w:w="1058" w:type="dxa"/>
          </w:tcPr>
          <w:p w:rsidR="00491D1F" w:rsidRPr="00050A20" w:rsidP="00EE016D" w14:paraId="5D5E477A" w14:textId="77777777">
            <w:pPr>
              <w:pStyle w:val="NoSpacing"/>
              <w:jc w:val="center"/>
              <w:rPr>
                <w:rFonts w:asciiTheme="minorHAnsi" w:hAnsiTheme="minorHAnsi" w:cstheme="minorHAnsi"/>
              </w:rPr>
            </w:pPr>
            <w:r w:rsidRPr="00050A20">
              <w:rPr>
                <w:rFonts w:asciiTheme="minorHAnsi" w:hAnsiTheme="minorHAnsi" w:cstheme="minorHAnsi"/>
              </w:rPr>
              <w:t>21</w:t>
            </w:r>
          </w:p>
        </w:tc>
        <w:tc>
          <w:tcPr>
            <w:tcW w:w="3294" w:type="dxa"/>
            <w:shd w:val="clear" w:color="auto" w:fill="auto"/>
          </w:tcPr>
          <w:p w:rsidR="00491D1F" w:rsidRPr="00050A20" w:rsidP="00EE016D" w14:paraId="04E8FBB3" w14:textId="77777777">
            <w:pPr>
              <w:pStyle w:val="NoSpacing"/>
              <w:rPr>
                <w:rFonts w:eastAsia="Arial" w:asciiTheme="minorHAnsi" w:hAnsiTheme="minorHAnsi" w:cstheme="minorHAnsi"/>
              </w:rPr>
            </w:pPr>
            <w:r w:rsidRPr="00050A20">
              <w:rPr>
                <w:rFonts w:eastAsia="Arial" w:asciiTheme="minorHAnsi" w:hAnsiTheme="minorHAnsi" w:cstheme="minorHAnsi"/>
              </w:rPr>
              <w:t>Is the Applicant a health care provider? (Yes/No)</w:t>
            </w:r>
          </w:p>
          <w:p w:rsidR="00491D1F" w:rsidRPr="00050A20" w:rsidP="00EE016D" w14:paraId="790CB679" w14:textId="77777777">
            <w:pPr>
              <w:pStyle w:val="NoSpacing"/>
              <w:rPr>
                <w:rFonts w:eastAsia="Arial" w:asciiTheme="minorHAnsi" w:hAnsiTheme="minorHAnsi" w:cstheme="minorHAnsi"/>
              </w:rPr>
            </w:pPr>
          </w:p>
        </w:tc>
        <w:tc>
          <w:tcPr>
            <w:tcW w:w="1816" w:type="dxa"/>
          </w:tcPr>
          <w:p w:rsidR="00491D1F" w:rsidRPr="00050A20" w:rsidP="00EE016D" w14:paraId="77C145DA"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RPr="00050A20" w:rsidP="00EE016D" w14:paraId="4CA1ACD0" w14:textId="77777777">
            <w:pPr>
              <w:rPr>
                <w:rFonts w:eastAsia="Arial" w:cstheme="minorHAnsi"/>
              </w:rPr>
            </w:pPr>
            <w:r w:rsidRPr="00050A20">
              <w:rPr>
                <w:rFonts w:eastAsia="Arial" w:cstheme="minorHAnsi"/>
              </w:rPr>
              <w:t xml:space="preserve">Information will help the FCC identify applicant type and track and analyze funding allocations.  </w:t>
            </w:r>
          </w:p>
        </w:tc>
      </w:tr>
      <w:tr w14:paraId="22AB46D0" w14:textId="77777777" w:rsidTr="00EE016D">
        <w:tblPrEx>
          <w:tblW w:w="13063" w:type="dxa"/>
          <w:tblLook w:val="04A0"/>
        </w:tblPrEx>
        <w:tc>
          <w:tcPr>
            <w:tcW w:w="1058" w:type="dxa"/>
          </w:tcPr>
          <w:p w:rsidR="00491D1F" w:rsidRPr="00050A20" w:rsidP="00EE016D" w14:paraId="5DCF9D92" w14:textId="77777777">
            <w:pPr>
              <w:pStyle w:val="NoSpacing"/>
              <w:jc w:val="center"/>
              <w:rPr>
                <w:rFonts w:asciiTheme="minorHAnsi" w:hAnsiTheme="minorHAnsi" w:cstheme="minorHAnsi"/>
              </w:rPr>
            </w:pPr>
            <w:r w:rsidRPr="00050A20">
              <w:rPr>
                <w:rFonts w:asciiTheme="minorHAnsi" w:hAnsiTheme="minorHAnsi" w:cstheme="minorHAnsi"/>
              </w:rPr>
              <w:t>22</w:t>
            </w:r>
          </w:p>
        </w:tc>
        <w:tc>
          <w:tcPr>
            <w:tcW w:w="3294" w:type="dxa"/>
            <w:shd w:val="clear" w:color="auto" w:fill="auto"/>
          </w:tcPr>
          <w:p w:rsidR="00491D1F" w:rsidRPr="00050A20" w:rsidP="00EE016D" w14:paraId="00DCD976" w14:textId="77777777">
            <w:pPr>
              <w:pStyle w:val="NoSpacing"/>
              <w:rPr>
                <w:rFonts w:eastAsia="Arial" w:asciiTheme="minorHAnsi" w:hAnsiTheme="minorHAnsi" w:cstheme="minorHAnsi"/>
              </w:rPr>
            </w:pPr>
            <w:r w:rsidRPr="00050A20">
              <w:rPr>
                <w:rFonts w:eastAsia="Arial" w:asciiTheme="minorHAnsi" w:hAnsiTheme="minorHAnsi" w:cstheme="minorHAnsi"/>
              </w:rPr>
              <w:t>Is the Applicant a school? (Yes/No)</w:t>
            </w:r>
          </w:p>
        </w:tc>
        <w:tc>
          <w:tcPr>
            <w:tcW w:w="1816" w:type="dxa"/>
          </w:tcPr>
          <w:p w:rsidR="00491D1F" w:rsidRPr="00050A20" w:rsidP="00EE016D" w14:paraId="18DD960D" w14:textId="27FC871A">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tc>
        <w:tc>
          <w:tcPr>
            <w:tcW w:w="6895" w:type="dxa"/>
          </w:tcPr>
          <w:p w:rsidR="00491D1F" w:rsidP="00EE016D" w14:paraId="667F0AE7" w14:textId="77777777">
            <w:pPr>
              <w:rPr>
                <w:rFonts w:eastAsia="Arial" w:cstheme="minorHAnsi"/>
              </w:rPr>
            </w:pPr>
            <w:r w:rsidRPr="00050A20">
              <w:rPr>
                <w:rFonts w:eastAsia="Arial" w:cstheme="minorHAnsi"/>
              </w:rPr>
              <w:t xml:space="preserve">Information will help the FCC identify applicant type and track and analyze funding allocations.  </w:t>
            </w:r>
          </w:p>
          <w:p w:rsidR="008D574D" w:rsidRPr="00050A20" w:rsidP="00EE016D" w14:paraId="07D21CE6" w14:textId="5DD8F014">
            <w:pPr>
              <w:rPr>
                <w:rFonts w:eastAsia="Arial" w:cstheme="minorHAnsi"/>
              </w:rPr>
            </w:pPr>
          </w:p>
        </w:tc>
      </w:tr>
      <w:tr w14:paraId="0E431163" w14:textId="77777777" w:rsidTr="00EE016D">
        <w:tblPrEx>
          <w:tblW w:w="13063" w:type="dxa"/>
          <w:tblLook w:val="04A0"/>
        </w:tblPrEx>
        <w:tc>
          <w:tcPr>
            <w:tcW w:w="1058" w:type="dxa"/>
          </w:tcPr>
          <w:p w:rsidR="00491D1F" w:rsidRPr="00050A20" w:rsidP="00EE016D" w14:paraId="1FC84B94" w14:textId="77777777">
            <w:pPr>
              <w:pStyle w:val="NoSpacing"/>
              <w:jc w:val="center"/>
              <w:rPr>
                <w:rFonts w:asciiTheme="minorHAnsi" w:hAnsiTheme="minorHAnsi" w:cstheme="minorHAnsi"/>
              </w:rPr>
            </w:pPr>
            <w:r w:rsidRPr="00050A20">
              <w:rPr>
                <w:rFonts w:asciiTheme="minorHAnsi" w:hAnsiTheme="minorHAnsi" w:cstheme="minorHAnsi"/>
              </w:rPr>
              <w:t>23</w:t>
            </w:r>
          </w:p>
        </w:tc>
        <w:tc>
          <w:tcPr>
            <w:tcW w:w="3294" w:type="dxa"/>
            <w:shd w:val="clear" w:color="auto" w:fill="auto"/>
          </w:tcPr>
          <w:p w:rsidR="00491D1F" w:rsidRPr="00050A20" w:rsidP="00EE016D" w14:paraId="62083CD3" w14:textId="77777777">
            <w:pPr>
              <w:pStyle w:val="NoSpacing"/>
              <w:rPr>
                <w:rFonts w:eastAsia="Arial" w:asciiTheme="minorHAnsi" w:hAnsiTheme="minorHAnsi" w:cstheme="minorHAnsi"/>
              </w:rPr>
            </w:pPr>
            <w:r w:rsidRPr="00050A20">
              <w:rPr>
                <w:rFonts w:eastAsia="Arial" w:asciiTheme="minorHAnsi" w:hAnsiTheme="minorHAnsi" w:cstheme="minorHAnsi"/>
              </w:rPr>
              <w:t>Is the Applicant a library? (Yes/No)</w:t>
            </w:r>
          </w:p>
        </w:tc>
        <w:tc>
          <w:tcPr>
            <w:tcW w:w="1816" w:type="dxa"/>
          </w:tcPr>
          <w:p w:rsidR="00491D1F" w:rsidRPr="00050A20" w:rsidP="00EE016D" w14:paraId="71125ADB" w14:textId="77777777">
            <w:pPr>
              <w:pStyle w:val="NoSpacing"/>
              <w:rPr>
                <w:rFonts w:eastAsia="Arial" w:asciiTheme="minorHAnsi" w:hAnsiTheme="minorHAnsi" w:cstheme="minorHAnsi"/>
              </w:rPr>
            </w:pPr>
            <w:r w:rsidRPr="00050A20">
              <w:rPr>
                <w:rFonts w:eastAsia="Arial" w:asciiTheme="minorHAnsi" w:hAnsiTheme="minorHAnsi" w:cstheme="minorHAnsi"/>
              </w:rPr>
              <w:t>ID &amp; contact information</w:t>
            </w:r>
          </w:p>
          <w:p w:rsidR="00491D1F" w:rsidRPr="00050A20" w:rsidP="00EE016D" w14:paraId="683470CD" w14:textId="77777777">
            <w:pPr>
              <w:pStyle w:val="NoSpacing"/>
              <w:rPr>
                <w:rFonts w:eastAsia="Arial" w:asciiTheme="minorHAnsi" w:hAnsiTheme="minorHAnsi" w:cstheme="minorHAnsi"/>
              </w:rPr>
            </w:pPr>
          </w:p>
        </w:tc>
        <w:tc>
          <w:tcPr>
            <w:tcW w:w="6895" w:type="dxa"/>
          </w:tcPr>
          <w:p w:rsidR="00491D1F" w:rsidRPr="00050A20" w:rsidP="00EE016D" w14:paraId="3ED86262" w14:textId="77777777">
            <w:pPr>
              <w:rPr>
                <w:rFonts w:eastAsia="Arial" w:cstheme="minorHAnsi"/>
              </w:rPr>
            </w:pPr>
            <w:r w:rsidRPr="00050A20">
              <w:rPr>
                <w:rFonts w:eastAsia="Arial" w:cstheme="minorHAnsi"/>
              </w:rPr>
              <w:t xml:space="preserve">Information will help the FCC identify applicant type and track and analyze funding allocations.  </w:t>
            </w:r>
          </w:p>
        </w:tc>
      </w:tr>
      <w:tr w14:paraId="56B2E473" w14:textId="77777777" w:rsidTr="00B53F05">
        <w:tblPrEx>
          <w:tblW w:w="13063" w:type="dxa"/>
          <w:tblLook w:val="04A0"/>
        </w:tblPrEx>
        <w:trPr>
          <w:cantSplit/>
        </w:trPr>
        <w:tc>
          <w:tcPr>
            <w:tcW w:w="1058" w:type="dxa"/>
          </w:tcPr>
          <w:p w:rsidR="00491D1F" w:rsidRPr="00050A20" w:rsidP="00EE016D" w14:paraId="3DFEB6E4" w14:textId="77777777">
            <w:pPr>
              <w:pStyle w:val="NoSpacing"/>
              <w:jc w:val="center"/>
              <w:rPr>
                <w:rFonts w:asciiTheme="minorHAnsi" w:hAnsiTheme="minorHAnsi" w:cstheme="minorHAnsi"/>
              </w:rPr>
            </w:pPr>
            <w:r w:rsidRPr="00050A20">
              <w:rPr>
                <w:rFonts w:asciiTheme="minorHAnsi" w:hAnsiTheme="minorHAnsi" w:cstheme="minorHAnsi"/>
              </w:rPr>
              <w:t>24</w:t>
            </w:r>
          </w:p>
        </w:tc>
        <w:tc>
          <w:tcPr>
            <w:tcW w:w="3294" w:type="dxa"/>
            <w:shd w:val="clear" w:color="auto" w:fill="auto"/>
          </w:tcPr>
          <w:p w:rsidR="00491D1F" w:rsidRPr="00050A20" w:rsidP="00EE016D" w14:paraId="6FBB1DF2" w14:textId="77777777">
            <w:pPr>
              <w:pStyle w:val="NoSpacing"/>
              <w:rPr>
                <w:rFonts w:eastAsia="Arial" w:asciiTheme="minorHAnsi" w:hAnsiTheme="minorHAnsi" w:cstheme="minorHAnsi"/>
              </w:rPr>
            </w:pPr>
            <w:r w:rsidRPr="00050A20">
              <w:rPr>
                <w:rFonts w:eastAsia="Arial" w:asciiTheme="minorHAnsi" w:hAnsiTheme="minorHAnsi" w:cstheme="minorHAnsi"/>
              </w:rPr>
              <w:t>Is Applicant a provider of advanced communications service with 10 million or fewer customers? (Yes/No)</w:t>
            </w:r>
          </w:p>
        </w:tc>
        <w:tc>
          <w:tcPr>
            <w:tcW w:w="1816" w:type="dxa"/>
          </w:tcPr>
          <w:p w:rsidR="00491D1F" w:rsidRPr="00050A20" w:rsidP="00EE016D" w14:paraId="7878B3F0" w14:textId="77777777">
            <w:pPr>
              <w:pStyle w:val="NoSpacing"/>
              <w:rPr>
                <w:rFonts w:eastAsia="Arial" w:asciiTheme="minorHAnsi" w:hAnsiTheme="minorHAnsi" w:cstheme="minorHAnsi"/>
              </w:rPr>
            </w:pPr>
            <w:r w:rsidRPr="00050A20">
              <w:rPr>
                <w:rFonts w:eastAsia="Arial" w:asciiTheme="minorHAnsi" w:hAnsiTheme="minorHAnsi" w:cstheme="minorHAnsi"/>
              </w:rPr>
              <w:t>Program Eligibility</w:t>
            </w:r>
          </w:p>
        </w:tc>
        <w:tc>
          <w:tcPr>
            <w:tcW w:w="6895" w:type="dxa"/>
          </w:tcPr>
          <w:p w:rsidR="00491D1F" w:rsidRPr="00050A20" w:rsidP="00EE016D" w14:paraId="499BF519" w14:textId="77777777">
            <w:pPr>
              <w:rPr>
                <w:rFonts w:eastAsia="Arial" w:cstheme="minorHAnsi"/>
              </w:rPr>
            </w:pPr>
            <w:r w:rsidRPr="00050A20">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050A20">
              <w:rPr>
                <w:rFonts w:eastAsia="Arial" w:cstheme="minorHAnsi"/>
                <w:i/>
                <w:iCs/>
              </w:rPr>
              <w:t>Second Report and Order</w:t>
            </w:r>
            <w:r w:rsidRPr="00050A20">
              <w:rPr>
                <w:rFonts w:eastAsia="Arial" w:cstheme="minorHAnsi"/>
              </w:rPr>
              <w:t xml:space="preserve">, WC Docket No. 18-89, 35 FCC Rcd 14284, paras. 110-116 (2020).  “Customers” is interpreted to include customers of the Applicant and customers of any affiliate taking advanced communications service from the provider and its affiliates as of the date the application is filed.  </w:t>
            </w:r>
            <w:r w:rsidRPr="00050A20">
              <w:rPr>
                <w:rFonts w:eastAsia="Arial" w:cstheme="minorHAnsi"/>
                <w:i/>
                <w:iCs/>
              </w:rPr>
              <w:t>Id</w:t>
            </w:r>
            <w:r w:rsidRPr="00050A20">
              <w:rPr>
                <w:rFonts w:eastAsia="Arial" w:cstheme="minorHAnsi"/>
              </w:rPr>
              <w:t>. at paras. 114-115.</w:t>
            </w:r>
          </w:p>
          <w:p w:rsidR="00491D1F" w:rsidRPr="00050A20" w:rsidP="00EE016D" w14:paraId="7F16A41C" w14:textId="77777777">
            <w:pPr>
              <w:rPr>
                <w:rFonts w:eastAsia="Arial" w:cstheme="minorHAnsi"/>
              </w:rPr>
            </w:pPr>
            <w:r w:rsidRPr="00050A20">
              <w:rPr>
                <w:rFonts w:eastAsia="Arial" w:cstheme="minorHAnsi"/>
              </w:rPr>
              <w:t>Note:  If Applicant answers “yes” and there is no record of the applicant filing the Form 477 “Local Telephone Competition and Broadband Reporting” to report broadband deployment in the most recent reporting period, then Applicant will need to provide additional information supporting attestation.</w:t>
            </w:r>
          </w:p>
          <w:p w:rsidR="00491D1F" w:rsidRPr="00050A20" w:rsidP="00EE016D" w14:paraId="22A2B2D2" w14:textId="77777777">
            <w:pPr>
              <w:rPr>
                <w:rFonts w:eastAsia="Arial" w:cstheme="minorHAnsi"/>
              </w:rPr>
            </w:pPr>
          </w:p>
        </w:tc>
      </w:tr>
      <w:tr w14:paraId="736B051E" w14:textId="77777777" w:rsidTr="00EE016D">
        <w:tblPrEx>
          <w:tblW w:w="13063" w:type="dxa"/>
          <w:tblLook w:val="04A0"/>
        </w:tblPrEx>
        <w:tc>
          <w:tcPr>
            <w:tcW w:w="1058" w:type="dxa"/>
          </w:tcPr>
          <w:p w:rsidR="00491D1F" w:rsidRPr="00050A20" w:rsidP="00EE016D" w14:paraId="27F2F887" w14:textId="77777777">
            <w:pPr>
              <w:pStyle w:val="NoSpacing"/>
              <w:jc w:val="center"/>
              <w:rPr>
                <w:rFonts w:asciiTheme="minorHAnsi" w:hAnsiTheme="minorHAnsi" w:cstheme="minorHAnsi"/>
              </w:rPr>
            </w:pPr>
            <w:r w:rsidRPr="00050A20">
              <w:rPr>
                <w:rFonts w:asciiTheme="minorHAnsi" w:hAnsiTheme="minorHAnsi" w:cstheme="minorHAnsi"/>
              </w:rPr>
              <w:t>25</w:t>
            </w:r>
          </w:p>
        </w:tc>
        <w:tc>
          <w:tcPr>
            <w:tcW w:w="3294" w:type="dxa"/>
            <w:shd w:val="clear" w:color="auto" w:fill="auto"/>
          </w:tcPr>
          <w:p w:rsidR="00491D1F" w:rsidRPr="00050A20" w:rsidP="00EE016D" w14:paraId="2F352A56" w14:textId="77777777">
            <w:pPr>
              <w:pStyle w:val="NoSpacing"/>
              <w:rPr>
                <w:rFonts w:eastAsia="Arial" w:asciiTheme="minorHAnsi" w:hAnsiTheme="minorHAnsi" w:cstheme="minorHAnsi"/>
              </w:rPr>
            </w:pPr>
            <w:r w:rsidRPr="00050A20">
              <w:rPr>
                <w:rFonts w:eastAsia="Arial" w:asciiTheme="minorHAnsi" w:hAnsiTheme="minorHAnsi" w:cstheme="minorHAnsi"/>
              </w:rPr>
              <w:t>Is Applicant a provider of advanced communications service with 2 million or fewer customers? (Yes/No)</w:t>
            </w:r>
          </w:p>
        </w:tc>
        <w:tc>
          <w:tcPr>
            <w:tcW w:w="1816" w:type="dxa"/>
          </w:tcPr>
          <w:p w:rsidR="00491D1F" w:rsidRPr="00050A20" w:rsidP="00EE016D" w14:paraId="25A5F02C" w14:textId="77777777">
            <w:pPr>
              <w:pStyle w:val="NoSpacing"/>
              <w:rPr>
                <w:rFonts w:eastAsia="Arial" w:asciiTheme="minorHAnsi" w:hAnsiTheme="minorHAnsi" w:cstheme="minorHAnsi"/>
              </w:rPr>
            </w:pPr>
            <w:r w:rsidRPr="00050A20">
              <w:rPr>
                <w:rFonts w:eastAsia="Arial" w:asciiTheme="minorHAnsi" w:hAnsiTheme="minorHAnsi" w:cstheme="minorHAnsi"/>
              </w:rPr>
              <w:t>Program Eligibility</w:t>
            </w:r>
          </w:p>
        </w:tc>
        <w:tc>
          <w:tcPr>
            <w:tcW w:w="6895" w:type="dxa"/>
          </w:tcPr>
          <w:p w:rsidR="00491D1F" w:rsidP="00EE016D" w14:paraId="6EDAA285" w14:textId="77777777">
            <w:pPr>
              <w:rPr>
                <w:rFonts w:eastAsia="Arial" w:cstheme="minorHAnsi"/>
              </w:rPr>
            </w:pPr>
            <w:r w:rsidRPr="00050A20">
              <w:rPr>
                <w:rFonts w:eastAsia="Arial" w:cstheme="minorHAnsi"/>
              </w:rPr>
              <w:t xml:space="preserve">Information will assist the FCC in determining whether applicant is eligible for prioritization in funding per statutory scheme.  “Customers” includes customers of the Applicant and customers of any affiliate taking advanced communications service from the provider and its affiliates as of the date the application is filed.  </w:t>
            </w:r>
            <w:r w:rsidRPr="00050A20">
              <w:rPr>
                <w:rFonts w:eastAsia="Arial" w:cstheme="minorHAnsi"/>
                <w:i/>
                <w:iCs/>
              </w:rPr>
              <w:t>Second Report and Order</w:t>
            </w:r>
            <w:r w:rsidRPr="00050A20">
              <w:rPr>
                <w:rFonts w:eastAsia="Arial" w:cstheme="minorHAnsi"/>
              </w:rPr>
              <w:t>, WC Docket No. 18-89, 35 FCC Rcd 14284, paras. 114-115.</w:t>
            </w:r>
          </w:p>
          <w:p w:rsidR="003413A3" w:rsidRPr="00050A20" w:rsidP="00EE016D" w14:paraId="69FB9409" w14:textId="7A88D830">
            <w:pPr>
              <w:rPr>
                <w:rFonts w:eastAsia="Arial" w:cstheme="minorHAnsi"/>
              </w:rPr>
            </w:pPr>
          </w:p>
        </w:tc>
      </w:tr>
      <w:tr w14:paraId="7DAD6E6F" w14:textId="77777777" w:rsidTr="00EE016D">
        <w:tblPrEx>
          <w:tblW w:w="13063" w:type="dxa"/>
          <w:tblLook w:val="04A0"/>
        </w:tblPrEx>
        <w:tc>
          <w:tcPr>
            <w:tcW w:w="1058" w:type="dxa"/>
          </w:tcPr>
          <w:p w:rsidR="00491D1F" w:rsidRPr="00050A20" w:rsidP="00EE016D" w14:paraId="6BB046A8" w14:textId="77777777">
            <w:pPr>
              <w:pStyle w:val="NoSpacing"/>
              <w:jc w:val="center"/>
              <w:rPr>
                <w:rFonts w:asciiTheme="minorHAnsi" w:hAnsiTheme="minorHAnsi" w:cstheme="minorHAnsi"/>
              </w:rPr>
            </w:pPr>
            <w:r w:rsidRPr="00050A20">
              <w:rPr>
                <w:rFonts w:asciiTheme="minorHAnsi" w:hAnsiTheme="minorHAnsi" w:cstheme="minorHAnsi"/>
              </w:rPr>
              <w:t>26</w:t>
            </w:r>
          </w:p>
        </w:tc>
        <w:tc>
          <w:tcPr>
            <w:tcW w:w="3294" w:type="dxa"/>
            <w:shd w:val="clear" w:color="auto" w:fill="auto"/>
          </w:tcPr>
          <w:p w:rsidR="00491D1F" w:rsidP="00EE016D" w14:paraId="420A8F73"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Have you previously purchased, </w:t>
            </w:r>
            <w:r w:rsidRPr="00050A20">
              <w:rPr>
                <w:rFonts w:eastAsia="Arial" w:asciiTheme="minorHAnsi" w:hAnsiTheme="minorHAnsi" w:cstheme="minorHAnsi"/>
              </w:rPr>
              <w:t>leased</w:t>
            </w:r>
            <w:r w:rsidRPr="00050A20">
              <w:rPr>
                <w:rFonts w:eastAsia="Arial" w:asciiTheme="minorHAnsi" w:hAnsiTheme="minorHAnsi" w:cstheme="minorHAnsi"/>
              </w:rPr>
              <w:t xml:space="preserve"> or otherwise obtained communications equipment or services that is included on the Covered List developed per 47 CFR § 1.50002 and is eligible for reimbursement support? (Yes/No)</w:t>
            </w:r>
          </w:p>
          <w:p w:rsidR="008D574D" w:rsidRPr="00050A20" w:rsidP="00EE016D" w14:paraId="0D276503" w14:textId="32D21F61">
            <w:pPr>
              <w:pStyle w:val="NoSpacing"/>
              <w:rPr>
                <w:rFonts w:eastAsia="Arial" w:asciiTheme="minorHAnsi" w:hAnsiTheme="minorHAnsi" w:cstheme="minorHAnsi"/>
              </w:rPr>
            </w:pPr>
          </w:p>
        </w:tc>
        <w:tc>
          <w:tcPr>
            <w:tcW w:w="1816" w:type="dxa"/>
          </w:tcPr>
          <w:p w:rsidR="00491D1F" w:rsidRPr="00050A20" w:rsidP="00EE016D" w14:paraId="3B5AEC52" w14:textId="77777777">
            <w:pPr>
              <w:pStyle w:val="NoSpacing"/>
              <w:rPr>
                <w:rFonts w:eastAsia="Arial" w:asciiTheme="minorHAnsi" w:hAnsiTheme="minorHAnsi" w:cstheme="minorHAnsi"/>
              </w:rPr>
            </w:pPr>
            <w:r w:rsidRPr="00050A20">
              <w:rPr>
                <w:rFonts w:eastAsia="Arial" w:asciiTheme="minorHAnsi" w:hAnsiTheme="minorHAnsi" w:cstheme="minorHAnsi"/>
              </w:rPr>
              <w:t>Program Eligibility</w:t>
            </w:r>
          </w:p>
        </w:tc>
        <w:tc>
          <w:tcPr>
            <w:tcW w:w="6895" w:type="dxa"/>
          </w:tcPr>
          <w:p w:rsidR="00491D1F" w:rsidRPr="00050A20" w:rsidP="00EE016D" w14:paraId="2A28E387" w14:textId="77777777">
            <w:pPr>
              <w:rPr>
                <w:rFonts w:eastAsia="Arial" w:cstheme="minorHAnsi"/>
              </w:rPr>
            </w:pPr>
            <w:r w:rsidRPr="00050A20">
              <w:rPr>
                <w:rFonts w:eastAsia="Arial" w:cstheme="minorHAnsi"/>
              </w:rPr>
              <w:t>Information needed to determine whether applicant is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p>
        </w:tc>
      </w:tr>
      <w:tr w14:paraId="6AD5AA3C" w14:textId="77777777" w:rsidTr="00B53F05">
        <w:tblPrEx>
          <w:tblW w:w="13063" w:type="dxa"/>
          <w:tblLook w:val="04A0"/>
        </w:tblPrEx>
        <w:trPr>
          <w:cantSplit/>
        </w:trPr>
        <w:tc>
          <w:tcPr>
            <w:tcW w:w="1058" w:type="dxa"/>
          </w:tcPr>
          <w:p w:rsidR="00491D1F" w:rsidRPr="00050A20" w:rsidP="00EE016D" w14:paraId="0172819A" w14:textId="77777777">
            <w:pPr>
              <w:pStyle w:val="NoSpacing"/>
              <w:jc w:val="center"/>
              <w:rPr>
                <w:rFonts w:asciiTheme="minorHAnsi" w:hAnsiTheme="minorHAnsi" w:cstheme="minorHAnsi"/>
              </w:rPr>
            </w:pPr>
            <w:r w:rsidRPr="00050A20">
              <w:rPr>
                <w:rFonts w:asciiTheme="minorHAnsi" w:hAnsiTheme="minorHAnsi" w:cstheme="minorHAnsi"/>
              </w:rPr>
              <w:t>27</w:t>
            </w:r>
          </w:p>
        </w:tc>
        <w:tc>
          <w:tcPr>
            <w:tcW w:w="3294" w:type="dxa"/>
            <w:shd w:val="clear" w:color="auto" w:fill="auto"/>
          </w:tcPr>
          <w:p w:rsidR="00491D1F" w:rsidRPr="00050A20" w:rsidP="00EE016D" w14:paraId="20E2AC5E" w14:textId="77777777">
            <w:pPr>
              <w:pStyle w:val="NoSpacing"/>
              <w:rPr>
                <w:rFonts w:eastAsia="Arial" w:asciiTheme="minorHAnsi" w:hAnsiTheme="minorHAnsi" w:cstheme="minorHAnsi"/>
              </w:rPr>
            </w:pPr>
            <w:r w:rsidRPr="00050A20">
              <w:rPr>
                <w:rFonts w:eastAsia="Arial" w:asciiTheme="minorHAnsi" w:hAnsiTheme="minorHAnsi" w:cstheme="minorHAnsi"/>
              </w:rPr>
              <w:t>Location ID</w:t>
            </w:r>
          </w:p>
        </w:tc>
        <w:tc>
          <w:tcPr>
            <w:tcW w:w="1816" w:type="dxa"/>
          </w:tcPr>
          <w:p w:rsidR="00491D1F" w:rsidRPr="00050A20" w:rsidP="00EE016D" w14:paraId="32FB4733"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6CE74594" w14:textId="77777777">
            <w:pPr>
              <w:rPr>
                <w:rFonts w:eastAsia="Arial" w:cstheme="minorHAnsi"/>
              </w:rPr>
            </w:pPr>
            <w:r w:rsidRPr="00050A20">
              <w:rPr>
                <w:rFonts w:eastAsia="Arial" w:cstheme="minorHAnsi"/>
              </w:rPr>
              <w:t xml:space="preserve">A number auto-generated by system, starting with 00001, that uniquely identifies the location that is subject to the removal, replacement, and disposal of covered communications equipment and service.  </w:t>
            </w:r>
          </w:p>
          <w:p w:rsidR="00491D1F" w:rsidRPr="00050A20" w:rsidP="00EE016D" w14:paraId="7F654359" w14:textId="77777777">
            <w:pPr>
              <w:rPr>
                <w:rFonts w:eastAsia="Arial" w:cstheme="minorHAnsi"/>
              </w:rPr>
            </w:pPr>
          </w:p>
        </w:tc>
      </w:tr>
      <w:tr w14:paraId="33535E1B" w14:textId="77777777" w:rsidTr="00EE016D">
        <w:tblPrEx>
          <w:tblW w:w="13063" w:type="dxa"/>
          <w:tblLook w:val="04A0"/>
        </w:tblPrEx>
        <w:tc>
          <w:tcPr>
            <w:tcW w:w="1058" w:type="dxa"/>
          </w:tcPr>
          <w:p w:rsidR="00491D1F" w:rsidRPr="00050A20" w:rsidP="00EE016D" w14:paraId="21F0B835" w14:textId="77777777">
            <w:pPr>
              <w:pStyle w:val="NoSpacing"/>
              <w:jc w:val="center"/>
              <w:rPr>
                <w:rFonts w:asciiTheme="minorHAnsi" w:hAnsiTheme="minorHAnsi" w:cstheme="minorHAnsi"/>
              </w:rPr>
            </w:pPr>
            <w:r w:rsidRPr="00050A20">
              <w:rPr>
                <w:rFonts w:asciiTheme="minorHAnsi" w:hAnsiTheme="minorHAnsi" w:cstheme="minorHAnsi"/>
              </w:rPr>
              <w:t>28</w:t>
            </w:r>
          </w:p>
        </w:tc>
        <w:tc>
          <w:tcPr>
            <w:tcW w:w="3294" w:type="dxa"/>
            <w:shd w:val="clear" w:color="auto" w:fill="auto"/>
          </w:tcPr>
          <w:p w:rsidR="00491D1F" w:rsidRPr="00050A20" w:rsidP="00EE016D" w14:paraId="2AD79F33" w14:textId="77777777">
            <w:pPr>
              <w:pStyle w:val="NoSpacing"/>
              <w:rPr>
                <w:rFonts w:eastAsia="Arial" w:asciiTheme="minorHAnsi" w:hAnsiTheme="minorHAnsi" w:cstheme="minorHAnsi"/>
              </w:rPr>
            </w:pPr>
            <w:r w:rsidRPr="00050A20">
              <w:rPr>
                <w:rFonts w:eastAsia="Arial" w:asciiTheme="minorHAnsi" w:hAnsiTheme="minorHAnsi" w:cstheme="minorHAnsi"/>
              </w:rPr>
              <w:t>Location Name</w:t>
            </w:r>
          </w:p>
        </w:tc>
        <w:tc>
          <w:tcPr>
            <w:tcW w:w="1816" w:type="dxa"/>
          </w:tcPr>
          <w:p w:rsidR="00491D1F" w:rsidRPr="00050A20" w:rsidP="00EE016D" w14:paraId="2D03281E"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6D26D067" w14:textId="77777777">
            <w:pPr>
              <w:pStyle w:val="NoSpacing"/>
              <w:rPr>
                <w:rFonts w:eastAsia="Arial" w:asciiTheme="minorHAnsi" w:hAnsiTheme="minorHAnsi" w:cstheme="minorHAnsi"/>
              </w:rPr>
            </w:pPr>
          </w:p>
        </w:tc>
        <w:tc>
          <w:tcPr>
            <w:tcW w:w="6895" w:type="dxa"/>
          </w:tcPr>
          <w:p w:rsidR="00491D1F" w:rsidRPr="00050A20" w:rsidP="00EE016D" w14:paraId="0515E087" w14:textId="77777777">
            <w:pPr>
              <w:rPr>
                <w:rFonts w:eastAsia="Arial" w:cstheme="minorHAnsi"/>
              </w:rPr>
            </w:pPr>
            <w:r w:rsidRPr="00050A20">
              <w:rPr>
                <w:rFonts w:eastAsia="Arial" w:cstheme="minorHAnsi"/>
              </w:rPr>
              <w:t>Name commonly used by Applicant to refer to site location.</w:t>
            </w:r>
          </w:p>
        </w:tc>
      </w:tr>
      <w:tr w14:paraId="26B6E383" w14:textId="77777777" w:rsidTr="00EE016D">
        <w:tblPrEx>
          <w:tblW w:w="13063" w:type="dxa"/>
          <w:tblLook w:val="04A0"/>
        </w:tblPrEx>
        <w:tc>
          <w:tcPr>
            <w:tcW w:w="1058" w:type="dxa"/>
          </w:tcPr>
          <w:p w:rsidR="00491D1F" w:rsidRPr="00050A20" w:rsidP="00EE016D" w14:paraId="204DFB17" w14:textId="77777777">
            <w:pPr>
              <w:pStyle w:val="NoSpacing"/>
              <w:jc w:val="center"/>
              <w:rPr>
                <w:rFonts w:asciiTheme="minorHAnsi" w:hAnsiTheme="minorHAnsi" w:cstheme="minorHAnsi"/>
              </w:rPr>
            </w:pPr>
            <w:r w:rsidRPr="00050A20">
              <w:rPr>
                <w:rFonts w:asciiTheme="minorHAnsi" w:hAnsiTheme="minorHAnsi" w:cstheme="minorHAnsi"/>
              </w:rPr>
              <w:t>29</w:t>
            </w:r>
          </w:p>
        </w:tc>
        <w:tc>
          <w:tcPr>
            <w:tcW w:w="3294" w:type="dxa"/>
            <w:shd w:val="clear" w:color="auto" w:fill="auto"/>
          </w:tcPr>
          <w:p w:rsidR="00491D1F" w:rsidRPr="00050A20" w:rsidP="00EE016D" w14:paraId="6AA66D8E" w14:textId="77777777">
            <w:pPr>
              <w:pStyle w:val="NoSpacing"/>
              <w:rPr>
                <w:rFonts w:eastAsia="Arial" w:asciiTheme="minorHAnsi" w:hAnsiTheme="minorHAnsi" w:cstheme="minorHAnsi"/>
              </w:rPr>
            </w:pPr>
            <w:r w:rsidRPr="00050A20">
              <w:rPr>
                <w:rFonts w:eastAsia="Arial" w:asciiTheme="minorHAnsi" w:hAnsiTheme="minorHAnsi" w:cstheme="minorHAnsi"/>
              </w:rPr>
              <w:t>Latitude of Location</w:t>
            </w:r>
          </w:p>
        </w:tc>
        <w:tc>
          <w:tcPr>
            <w:tcW w:w="1816" w:type="dxa"/>
          </w:tcPr>
          <w:p w:rsidR="00491D1F" w:rsidRPr="00050A20" w:rsidP="00EE016D" w14:paraId="0DC5D660"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79BDE907" w14:textId="77777777">
            <w:pPr>
              <w:pStyle w:val="NoSpacing"/>
              <w:rPr>
                <w:rFonts w:eastAsia="Arial" w:asciiTheme="minorHAnsi" w:hAnsiTheme="minorHAnsi" w:cstheme="minorHAnsi"/>
              </w:rPr>
            </w:pPr>
          </w:p>
        </w:tc>
        <w:tc>
          <w:tcPr>
            <w:tcW w:w="6895" w:type="dxa"/>
          </w:tcPr>
          <w:p w:rsidR="00491D1F" w:rsidRPr="00050A20" w:rsidP="00EE016D" w14:paraId="05A1AEAD" w14:textId="77777777">
            <w:pPr>
              <w:rPr>
                <w:rFonts w:eastAsia="Arial" w:cstheme="minorHAnsi"/>
              </w:rPr>
            </w:pPr>
            <w:r w:rsidRPr="00050A20">
              <w:rPr>
                <w:rFonts w:eastAsia="Arial" w:cstheme="minorHAnsi"/>
              </w:rPr>
              <w:t xml:space="preserve">Latitude of the location to which service the provider has made service available.  </w:t>
            </w:r>
          </w:p>
        </w:tc>
      </w:tr>
      <w:tr w14:paraId="1D34818A" w14:textId="77777777" w:rsidTr="00EE016D">
        <w:tblPrEx>
          <w:tblW w:w="13063" w:type="dxa"/>
          <w:tblLook w:val="04A0"/>
        </w:tblPrEx>
        <w:tc>
          <w:tcPr>
            <w:tcW w:w="1058" w:type="dxa"/>
          </w:tcPr>
          <w:p w:rsidR="00491D1F" w:rsidRPr="00050A20" w:rsidP="00EE016D" w14:paraId="5142E910" w14:textId="77777777">
            <w:pPr>
              <w:pStyle w:val="NoSpacing"/>
              <w:jc w:val="center"/>
              <w:rPr>
                <w:rFonts w:asciiTheme="minorHAnsi" w:hAnsiTheme="minorHAnsi" w:cstheme="minorHAnsi"/>
              </w:rPr>
            </w:pPr>
            <w:r w:rsidRPr="00050A20">
              <w:rPr>
                <w:rFonts w:asciiTheme="minorHAnsi" w:hAnsiTheme="minorHAnsi" w:cstheme="minorHAnsi"/>
              </w:rPr>
              <w:t>30</w:t>
            </w:r>
          </w:p>
        </w:tc>
        <w:tc>
          <w:tcPr>
            <w:tcW w:w="3294" w:type="dxa"/>
            <w:shd w:val="clear" w:color="auto" w:fill="auto"/>
          </w:tcPr>
          <w:p w:rsidR="00491D1F" w:rsidRPr="00050A20" w:rsidP="00EE016D" w14:paraId="0EF3E7CD" w14:textId="77777777">
            <w:pPr>
              <w:pStyle w:val="NoSpacing"/>
              <w:rPr>
                <w:rFonts w:eastAsia="Arial" w:asciiTheme="minorHAnsi" w:hAnsiTheme="minorHAnsi" w:cstheme="minorHAnsi"/>
              </w:rPr>
            </w:pPr>
            <w:r w:rsidRPr="00050A20">
              <w:rPr>
                <w:rFonts w:eastAsia="Arial" w:asciiTheme="minorHAnsi" w:hAnsiTheme="minorHAnsi" w:cstheme="minorHAnsi"/>
              </w:rPr>
              <w:t>Longitude of Location</w:t>
            </w:r>
          </w:p>
        </w:tc>
        <w:tc>
          <w:tcPr>
            <w:tcW w:w="1816" w:type="dxa"/>
          </w:tcPr>
          <w:p w:rsidR="00491D1F" w:rsidRPr="00050A20" w:rsidP="00EE016D" w14:paraId="3E1066E9"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1648BE68" w14:textId="77777777">
            <w:pPr>
              <w:pStyle w:val="NoSpacing"/>
              <w:rPr>
                <w:rFonts w:eastAsia="Arial" w:asciiTheme="minorHAnsi" w:hAnsiTheme="minorHAnsi" w:cstheme="minorHAnsi"/>
              </w:rPr>
            </w:pPr>
          </w:p>
        </w:tc>
        <w:tc>
          <w:tcPr>
            <w:tcW w:w="6895" w:type="dxa"/>
          </w:tcPr>
          <w:p w:rsidR="00491D1F" w:rsidRPr="00050A20" w:rsidP="00EE016D" w14:paraId="7FBD5360" w14:textId="77777777">
            <w:pPr>
              <w:rPr>
                <w:rFonts w:eastAsia="Arial" w:cstheme="minorHAnsi"/>
              </w:rPr>
            </w:pPr>
            <w:r w:rsidRPr="00050A20">
              <w:rPr>
                <w:rFonts w:eastAsia="Arial" w:cstheme="minorHAnsi"/>
              </w:rPr>
              <w:t xml:space="preserve">Longitude of the location to which service the provider has made service available.  </w:t>
            </w:r>
          </w:p>
        </w:tc>
      </w:tr>
      <w:tr w14:paraId="1A2271EF" w14:textId="77777777" w:rsidTr="00EE016D">
        <w:tblPrEx>
          <w:tblW w:w="13063" w:type="dxa"/>
          <w:tblLook w:val="04A0"/>
        </w:tblPrEx>
        <w:tc>
          <w:tcPr>
            <w:tcW w:w="1058" w:type="dxa"/>
          </w:tcPr>
          <w:p w:rsidR="00491D1F" w:rsidRPr="00050A20" w:rsidP="00EE016D" w14:paraId="025A41C2" w14:textId="77777777">
            <w:pPr>
              <w:pStyle w:val="NoSpacing"/>
              <w:jc w:val="center"/>
              <w:rPr>
                <w:rFonts w:asciiTheme="minorHAnsi" w:hAnsiTheme="minorHAnsi" w:cstheme="minorHAnsi"/>
              </w:rPr>
            </w:pPr>
            <w:r w:rsidRPr="00050A20">
              <w:rPr>
                <w:rFonts w:asciiTheme="minorHAnsi" w:hAnsiTheme="minorHAnsi" w:cstheme="minorHAnsi"/>
              </w:rPr>
              <w:t>31</w:t>
            </w:r>
          </w:p>
        </w:tc>
        <w:tc>
          <w:tcPr>
            <w:tcW w:w="3294" w:type="dxa"/>
            <w:shd w:val="clear" w:color="auto" w:fill="auto"/>
          </w:tcPr>
          <w:p w:rsidR="00491D1F" w:rsidRPr="00050A20" w:rsidP="00EE016D" w14:paraId="5B9972E9" w14:textId="77777777">
            <w:pPr>
              <w:pStyle w:val="NoSpacing"/>
              <w:rPr>
                <w:rFonts w:eastAsia="Arial" w:asciiTheme="minorHAnsi" w:hAnsiTheme="minorHAnsi" w:cstheme="minorHAnsi"/>
              </w:rPr>
            </w:pPr>
            <w:r w:rsidRPr="00050A20">
              <w:rPr>
                <w:rFonts w:eastAsia="Arial" w:asciiTheme="minorHAnsi" w:hAnsiTheme="minorHAnsi" w:cstheme="minorHAnsi"/>
              </w:rPr>
              <w:t>Location Address – Number &amp; Street</w:t>
            </w:r>
          </w:p>
        </w:tc>
        <w:tc>
          <w:tcPr>
            <w:tcW w:w="1816" w:type="dxa"/>
          </w:tcPr>
          <w:p w:rsidR="00491D1F" w:rsidRPr="00050A20" w:rsidP="00EE016D" w14:paraId="28DA40C5"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57F3942A" w14:textId="77777777">
            <w:pPr>
              <w:pStyle w:val="NoSpacing"/>
              <w:rPr>
                <w:rFonts w:eastAsia="Arial" w:asciiTheme="minorHAnsi" w:hAnsiTheme="minorHAnsi" w:cstheme="minorHAnsi"/>
              </w:rPr>
            </w:pPr>
          </w:p>
        </w:tc>
        <w:tc>
          <w:tcPr>
            <w:tcW w:w="6895" w:type="dxa"/>
          </w:tcPr>
          <w:p w:rsidR="00491D1F" w:rsidRPr="00050A20" w:rsidP="00EE016D" w14:paraId="3687FDDA" w14:textId="77777777">
            <w:pPr>
              <w:rPr>
                <w:rFonts w:eastAsia="Arial" w:cstheme="minorHAnsi"/>
              </w:rPr>
            </w:pPr>
            <w:r w:rsidRPr="00050A20">
              <w:rPr>
                <w:rFonts w:eastAsia="Arial" w:cstheme="minorHAnsi"/>
              </w:rPr>
              <w:t>Number and street address of the location.</w:t>
            </w:r>
          </w:p>
        </w:tc>
      </w:tr>
      <w:tr w14:paraId="097B1F29" w14:textId="77777777" w:rsidTr="00EE016D">
        <w:tblPrEx>
          <w:tblW w:w="13063" w:type="dxa"/>
          <w:tblLook w:val="04A0"/>
        </w:tblPrEx>
        <w:tc>
          <w:tcPr>
            <w:tcW w:w="1058" w:type="dxa"/>
          </w:tcPr>
          <w:p w:rsidR="00491D1F" w:rsidRPr="00050A20" w:rsidP="00EE016D" w14:paraId="36799A38" w14:textId="77777777">
            <w:pPr>
              <w:pStyle w:val="NoSpacing"/>
              <w:jc w:val="center"/>
              <w:rPr>
                <w:rFonts w:asciiTheme="minorHAnsi" w:hAnsiTheme="minorHAnsi" w:cstheme="minorHAnsi"/>
              </w:rPr>
            </w:pPr>
            <w:r w:rsidRPr="00050A20">
              <w:rPr>
                <w:rFonts w:asciiTheme="minorHAnsi" w:hAnsiTheme="minorHAnsi" w:cstheme="minorHAnsi"/>
              </w:rPr>
              <w:t>32</w:t>
            </w:r>
          </w:p>
        </w:tc>
        <w:tc>
          <w:tcPr>
            <w:tcW w:w="3294" w:type="dxa"/>
            <w:shd w:val="clear" w:color="auto" w:fill="auto"/>
          </w:tcPr>
          <w:p w:rsidR="00491D1F" w:rsidRPr="00050A20" w:rsidP="00EE016D" w14:paraId="721E1941" w14:textId="77777777">
            <w:pPr>
              <w:pStyle w:val="NoSpacing"/>
              <w:rPr>
                <w:rFonts w:eastAsia="Arial" w:asciiTheme="minorHAnsi" w:hAnsiTheme="minorHAnsi" w:cstheme="minorHAnsi"/>
              </w:rPr>
            </w:pPr>
            <w:r w:rsidRPr="00050A20">
              <w:rPr>
                <w:rFonts w:eastAsia="Arial" w:asciiTheme="minorHAnsi" w:hAnsiTheme="minorHAnsi" w:cstheme="minorHAnsi"/>
              </w:rPr>
              <w:t>Location Address-City</w:t>
            </w:r>
          </w:p>
        </w:tc>
        <w:tc>
          <w:tcPr>
            <w:tcW w:w="1816" w:type="dxa"/>
          </w:tcPr>
          <w:p w:rsidR="00491D1F" w:rsidRPr="00050A20" w:rsidP="00EE016D" w14:paraId="07BBB453"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4701823C" w14:textId="77777777">
            <w:pPr>
              <w:pStyle w:val="NoSpacing"/>
              <w:rPr>
                <w:rFonts w:eastAsia="Arial" w:asciiTheme="minorHAnsi" w:hAnsiTheme="minorHAnsi" w:cstheme="minorHAnsi"/>
              </w:rPr>
            </w:pPr>
          </w:p>
        </w:tc>
        <w:tc>
          <w:tcPr>
            <w:tcW w:w="6895" w:type="dxa"/>
          </w:tcPr>
          <w:p w:rsidR="00491D1F" w:rsidRPr="00050A20" w:rsidP="00EE016D" w14:paraId="1FEE0679" w14:textId="77777777">
            <w:pPr>
              <w:rPr>
                <w:rFonts w:eastAsia="Arial" w:cstheme="minorHAnsi"/>
              </w:rPr>
            </w:pPr>
            <w:r w:rsidRPr="00050A20">
              <w:rPr>
                <w:rFonts w:eastAsia="Arial" w:cstheme="minorHAnsi"/>
              </w:rPr>
              <w:t>City associated with the street address of the location.</w:t>
            </w:r>
          </w:p>
        </w:tc>
      </w:tr>
      <w:tr w14:paraId="2C4C272F" w14:textId="77777777" w:rsidTr="00EE016D">
        <w:tblPrEx>
          <w:tblW w:w="13063" w:type="dxa"/>
          <w:tblLook w:val="04A0"/>
        </w:tblPrEx>
        <w:tc>
          <w:tcPr>
            <w:tcW w:w="1058" w:type="dxa"/>
          </w:tcPr>
          <w:p w:rsidR="00491D1F" w:rsidRPr="00050A20" w:rsidP="00EE016D" w14:paraId="53671B25" w14:textId="77777777">
            <w:pPr>
              <w:pStyle w:val="NoSpacing"/>
              <w:jc w:val="center"/>
              <w:rPr>
                <w:rFonts w:asciiTheme="minorHAnsi" w:hAnsiTheme="minorHAnsi" w:cstheme="minorHAnsi"/>
              </w:rPr>
            </w:pPr>
            <w:r w:rsidRPr="00050A20">
              <w:rPr>
                <w:rFonts w:asciiTheme="minorHAnsi" w:hAnsiTheme="minorHAnsi" w:cstheme="minorHAnsi"/>
              </w:rPr>
              <w:t>33</w:t>
            </w:r>
          </w:p>
        </w:tc>
        <w:tc>
          <w:tcPr>
            <w:tcW w:w="3294" w:type="dxa"/>
            <w:shd w:val="clear" w:color="auto" w:fill="auto"/>
          </w:tcPr>
          <w:p w:rsidR="00491D1F" w:rsidRPr="00050A20" w:rsidP="00EE016D" w14:paraId="35893D93" w14:textId="77777777">
            <w:pPr>
              <w:pStyle w:val="NoSpacing"/>
              <w:rPr>
                <w:rFonts w:eastAsia="Arial" w:asciiTheme="minorHAnsi" w:hAnsiTheme="minorHAnsi" w:cstheme="minorHAnsi"/>
              </w:rPr>
            </w:pPr>
            <w:r w:rsidRPr="00050A20">
              <w:rPr>
                <w:rFonts w:eastAsia="Arial" w:asciiTheme="minorHAnsi" w:hAnsiTheme="minorHAnsi" w:cstheme="minorHAnsi"/>
              </w:rPr>
              <w:t>Location Address-State</w:t>
            </w:r>
          </w:p>
        </w:tc>
        <w:tc>
          <w:tcPr>
            <w:tcW w:w="1816" w:type="dxa"/>
          </w:tcPr>
          <w:p w:rsidR="00491D1F" w:rsidRPr="00050A20" w:rsidP="00EE016D" w14:paraId="6D0BEFCA"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7DFB0BD8" w14:textId="77777777">
            <w:pPr>
              <w:pStyle w:val="NoSpacing"/>
              <w:rPr>
                <w:rFonts w:eastAsia="Arial" w:asciiTheme="minorHAnsi" w:hAnsiTheme="minorHAnsi" w:cstheme="minorHAnsi"/>
              </w:rPr>
            </w:pPr>
          </w:p>
        </w:tc>
        <w:tc>
          <w:tcPr>
            <w:tcW w:w="6895" w:type="dxa"/>
          </w:tcPr>
          <w:p w:rsidR="00491D1F" w:rsidRPr="00050A20" w:rsidP="00EE016D" w14:paraId="23025A3A" w14:textId="77777777">
            <w:pPr>
              <w:rPr>
                <w:rFonts w:eastAsia="Arial" w:cstheme="minorHAnsi"/>
              </w:rPr>
            </w:pPr>
            <w:r w:rsidRPr="00050A20">
              <w:rPr>
                <w:rFonts w:eastAsia="Arial" w:cstheme="minorHAnsi"/>
              </w:rPr>
              <w:t>2 letter postal abbreviation of the state associated with the street address of the location.</w:t>
            </w:r>
          </w:p>
        </w:tc>
      </w:tr>
      <w:tr w14:paraId="69EC55ED" w14:textId="77777777" w:rsidTr="00EE016D">
        <w:tblPrEx>
          <w:tblW w:w="13063" w:type="dxa"/>
          <w:tblLook w:val="04A0"/>
        </w:tblPrEx>
        <w:tc>
          <w:tcPr>
            <w:tcW w:w="1058" w:type="dxa"/>
          </w:tcPr>
          <w:p w:rsidR="00491D1F" w:rsidRPr="00050A20" w:rsidP="00EE016D" w14:paraId="0087EDD3" w14:textId="77777777">
            <w:pPr>
              <w:pStyle w:val="NoSpacing"/>
              <w:jc w:val="center"/>
              <w:rPr>
                <w:rFonts w:asciiTheme="minorHAnsi" w:hAnsiTheme="minorHAnsi" w:cstheme="minorHAnsi"/>
              </w:rPr>
            </w:pPr>
            <w:r w:rsidRPr="00050A20">
              <w:rPr>
                <w:rFonts w:asciiTheme="minorHAnsi" w:hAnsiTheme="minorHAnsi" w:cstheme="minorHAnsi"/>
              </w:rPr>
              <w:t>34</w:t>
            </w:r>
          </w:p>
        </w:tc>
        <w:tc>
          <w:tcPr>
            <w:tcW w:w="3294" w:type="dxa"/>
            <w:shd w:val="clear" w:color="auto" w:fill="auto"/>
          </w:tcPr>
          <w:p w:rsidR="00491D1F" w:rsidRPr="00050A20" w:rsidP="00EE016D" w14:paraId="79BB7085" w14:textId="77777777">
            <w:pPr>
              <w:pStyle w:val="NoSpacing"/>
              <w:rPr>
                <w:rFonts w:eastAsia="Arial" w:asciiTheme="minorHAnsi" w:hAnsiTheme="minorHAnsi" w:cstheme="minorHAnsi"/>
              </w:rPr>
            </w:pPr>
            <w:r w:rsidRPr="00050A20">
              <w:rPr>
                <w:rFonts w:eastAsia="Arial" w:asciiTheme="minorHAnsi" w:hAnsiTheme="minorHAnsi" w:cstheme="minorHAnsi"/>
              </w:rPr>
              <w:t>Location Address-Zip Code</w:t>
            </w:r>
          </w:p>
        </w:tc>
        <w:tc>
          <w:tcPr>
            <w:tcW w:w="1816" w:type="dxa"/>
          </w:tcPr>
          <w:p w:rsidR="00491D1F" w:rsidP="00EE016D" w14:paraId="2A15D91C"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6A46F5" w:rsidRPr="00050A20" w:rsidP="00EE016D" w14:paraId="26D8995A" w14:textId="62E5EF2F">
            <w:pPr>
              <w:pStyle w:val="NoSpacing"/>
              <w:rPr>
                <w:rFonts w:eastAsia="Arial" w:asciiTheme="minorHAnsi" w:hAnsiTheme="minorHAnsi" w:cstheme="minorHAnsi"/>
              </w:rPr>
            </w:pPr>
          </w:p>
        </w:tc>
        <w:tc>
          <w:tcPr>
            <w:tcW w:w="6895" w:type="dxa"/>
          </w:tcPr>
          <w:p w:rsidR="00491D1F" w:rsidRPr="00050A20" w:rsidP="00EE016D" w14:paraId="5E7FDA73" w14:textId="77777777">
            <w:pPr>
              <w:rPr>
                <w:rFonts w:eastAsia="Arial" w:cstheme="minorHAnsi"/>
              </w:rPr>
            </w:pPr>
            <w:r w:rsidRPr="00050A20">
              <w:rPr>
                <w:rFonts w:eastAsia="Arial" w:cstheme="minorHAnsi"/>
              </w:rPr>
              <w:t>5-digit ZIP code associated with the street address of the location.</w:t>
            </w:r>
          </w:p>
        </w:tc>
      </w:tr>
      <w:tr w14:paraId="6FA7C42D" w14:textId="77777777" w:rsidTr="00EE016D">
        <w:tblPrEx>
          <w:tblW w:w="13063" w:type="dxa"/>
          <w:tblLook w:val="04A0"/>
        </w:tblPrEx>
        <w:tc>
          <w:tcPr>
            <w:tcW w:w="1058" w:type="dxa"/>
          </w:tcPr>
          <w:p w:rsidR="00491D1F" w:rsidRPr="00050A20" w:rsidP="00EE016D" w14:paraId="2AA9515F" w14:textId="77777777">
            <w:pPr>
              <w:pStyle w:val="NoSpacing"/>
              <w:jc w:val="center"/>
              <w:rPr>
                <w:rFonts w:asciiTheme="minorHAnsi" w:hAnsiTheme="minorHAnsi" w:cstheme="minorHAnsi"/>
              </w:rPr>
            </w:pPr>
            <w:r w:rsidRPr="00050A20">
              <w:rPr>
                <w:rFonts w:asciiTheme="minorHAnsi" w:hAnsiTheme="minorHAnsi" w:cstheme="minorHAnsi"/>
              </w:rPr>
              <w:t>35</w:t>
            </w:r>
          </w:p>
        </w:tc>
        <w:tc>
          <w:tcPr>
            <w:tcW w:w="3294" w:type="dxa"/>
            <w:shd w:val="clear" w:color="auto" w:fill="auto"/>
          </w:tcPr>
          <w:p w:rsidR="00491D1F" w:rsidRPr="00050A20" w:rsidP="00EE016D" w14:paraId="3CA36F0C" w14:textId="77777777">
            <w:pPr>
              <w:pStyle w:val="NoSpacing"/>
              <w:rPr>
                <w:rFonts w:eastAsia="Arial" w:asciiTheme="minorHAnsi" w:hAnsiTheme="minorHAnsi" w:cstheme="minorHAnsi"/>
              </w:rPr>
            </w:pPr>
            <w:r w:rsidRPr="00050A20">
              <w:rPr>
                <w:rFonts w:eastAsia="Arial" w:asciiTheme="minorHAnsi" w:hAnsiTheme="minorHAnsi" w:cstheme="minorHAnsi"/>
              </w:rPr>
              <w:t>Location Address-No Postal Address Available</w:t>
            </w:r>
          </w:p>
        </w:tc>
        <w:tc>
          <w:tcPr>
            <w:tcW w:w="1816" w:type="dxa"/>
          </w:tcPr>
          <w:p w:rsidR="00491D1F" w:rsidRPr="00050A20" w:rsidP="00EE016D" w14:paraId="64E7E86A"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2FCC082B" w14:textId="77777777">
            <w:pPr>
              <w:pStyle w:val="NoSpacing"/>
              <w:rPr>
                <w:rFonts w:eastAsia="Arial" w:asciiTheme="minorHAnsi" w:hAnsiTheme="minorHAnsi" w:cstheme="minorHAnsi"/>
              </w:rPr>
            </w:pPr>
          </w:p>
        </w:tc>
        <w:tc>
          <w:tcPr>
            <w:tcW w:w="6895" w:type="dxa"/>
          </w:tcPr>
          <w:p w:rsidR="00491D1F" w:rsidRPr="00050A20" w:rsidP="00EE016D" w14:paraId="41623569" w14:textId="77777777">
            <w:pPr>
              <w:rPr>
                <w:rFonts w:eastAsia="Arial" w:cstheme="minorHAnsi"/>
              </w:rPr>
            </w:pPr>
            <w:r w:rsidRPr="00050A20">
              <w:rPr>
                <w:rFonts w:eastAsia="Arial" w:cstheme="minorHAnsi"/>
              </w:rPr>
              <w:t>In those cases where postal address is not available, alternate address information.</w:t>
            </w:r>
          </w:p>
        </w:tc>
      </w:tr>
      <w:tr w14:paraId="58144B49" w14:textId="77777777" w:rsidTr="00EE016D">
        <w:tblPrEx>
          <w:tblW w:w="13063" w:type="dxa"/>
          <w:tblLook w:val="04A0"/>
        </w:tblPrEx>
        <w:trPr>
          <w:cantSplit/>
        </w:trPr>
        <w:tc>
          <w:tcPr>
            <w:tcW w:w="1058" w:type="dxa"/>
          </w:tcPr>
          <w:p w:rsidR="00491D1F" w:rsidRPr="00050A20" w:rsidP="00EE016D" w14:paraId="121DD3AF"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36</w:t>
            </w:r>
          </w:p>
        </w:tc>
        <w:tc>
          <w:tcPr>
            <w:tcW w:w="3294" w:type="dxa"/>
            <w:shd w:val="clear" w:color="auto" w:fill="auto"/>
          </w:tcPr>
          <w:p w:rsidR="00491D1F" w:rsidRPr="00050A20" w:rsidP="00EE016D" w14:paraId="1D4E9241" w14:textId="77777777">
            <w:pPr>
              <w:pStyle w:val="NoSpacing"/>
              <w:rPr>
                <w:rFonts w:eastAsia="Arial" w:asciiTheme="minorHAnsi" w:hAnsiTheme="minorHAnsi" w:cstheme="minorHAnsi"/>
              </w:rPr>
            </w:pPr>
            <w:r w:rsidRPr="00050A20">
              <w:rPr>
                <w:rFonts w:eastAsia="Arial" w:asciiTheme="minorHAnsi" w:hAnsiTheme="minorHAnsi" w:cstheme="minorHAnsi"/>
              </w:rPr>
              <w:t>What type of site location among the options: cell site, mobile switching center, central office, network operations center, headquarters, or other?  (If “other,” briefly describe in an information field).</w:t>
            </w:r>
          </w:p>
          <w:p w:rsidR="00491D1F" w:rsidRPr="00050A20" w:rsidP="00EE016D" w14:paraId="6A4D8B7F" w14:textId="77777777">
            <w:pPr>
              <w:pStyle w:val="NoSpacing"/>
              <w:rPr>
                <w:rFonts w:eastAsia="Arial" w:asciiTheme="minorHAnsi" w:hAnsiTheme="minorHAnsi" w:cstheme="minorHAnsi"/>
              </w:rPr>
            </w:pPr>
          </w:p>
        </w:tc>
        <w:tc>
          <w:tcPr>
            <w:tcW w:w="1816" w:type="dxa"/>
          </w:tcPr>
          <w:p w:rsidR="00491D1F" w:rsidRPr="00050A20" w:rsidP="00EE016D" w14:paraId="3BED76B5"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1FEFC2FD" w14:textId="77777777">
            <w:pPr>
              <w:rPr>
                <w:rFonts w:eastAsia="Arial" w:cstheme="minorHAnsi"/>
              </w:rPr>
            </w:pPr>
            <w:r w:rsidRPr="00050A20">
              <w:rPr>
                <w:rFonts w:eastAsia="Arial" w:cstheme="minorHAnsi"/>
              </w:rPr>
              <w:t>Information assists in identifying the type of site location to help the FCC determine the type of costs most likely incurred at the location for the removal, replacement, and disposal of equipment and services on the Covered List.</w:t>
            </w:r>
          </w:p>
          <w:p w:rsidR="00491D1F" w:rsidRPr="00050A20" w:rsidP="00EE016D" w14:paraId="4C183774" w14:textId="77777777">
            <w:pPr>
              <w:rPr>
                <w:rFonts w:eastAsia="Arial" w:cstheme="minorHAnsi"/>
              </w:rPr>
            </w:pPr>
          </w:p>
        </w:tc>
      </w:tr>
      <w:tr w14:paraId="11DC805C" w14:textId="77777777" w:rsidTr="00EE016D">
        <w:tblPrEx>
          <w:tblW w:w="13063" w:type="dxa"/>
          <w:tblLook w:val="04A0"/>
        </w:tblPrEx>
        <w:tc>
          <w:tcPr>
            <w:tcW w:w="1058" w:type="dxa"/>
          </w:tcPr>
          <w:p w:rsidR="00491D1F" w:rsidRPr="00050A20" w:rsidP="00EE016D" w14:paraId="1D9909D0"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37</w:t>
            </w:r>
          </w:p>
        </w:tc>
        <w:tc>
          <w:tcPr>
            <w:tcW w:w="3294" w:type="dxa"/>
            <w:shd w:val="clear" w:color="auto" w:fill="auto"/>
          </w:tcPr>
          <w:p w:rsidR="00491D1F" w:rsidRPr="00050A20" w:rsidP="00EE016D" w14:paraId="131A1F52"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For each cost estimate, identify if the cost is associated with a single site, multiple sites, customer premise equipment (CPE) locations, or across all sites (select one). </w:t>
            </w:r>
          </w:p>
        </w:tc>
        <w:tc>
          <w:tcPr>
            <w:tcW w:w="1816" w:type="dxa"/>
          </w:tcPr>
          <w:p w:rsidR="00491D1F" w:rsidRPr="00050A20" w:rsidP="00EE016D" w14:paraId="6C304D73"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14182B9E" w14:textId="77777777">
            <w:pPr>
              <w:rPr>
                <w:rFonts w:eastAsia="Arial" w:cstheme="minorHAnsi"/>
              </w:rPr>
            </w:pPr>
            <w:r w:rsidRPr="00050A20">
              <w:rPr>
                <w:rFonts w:eastAsia="Arial" w:cstheme="minorHAnsi"/>
              </w:rPr>
              <w:t>Reimbursement Program is designed to provide eligible applicants with support available for draw down based on cost estimates for the removal, replacement, and disposal of covered communications equipment or service.  This information will assist with the FCC’s cost estimate assessment and award of a funding allocation.</w:t>
            </w:r>
          </w:p>
          <w:p w:rsidR="00491D1F" w:rsidP="00EE016D" w14:paraId="120EBC43" w14:textId="77777777">
            <w:pPr>
              <w:rPr>
                <w:rFonts w:cstheme="minorHAnsi"/>
              </w:rPr>
            </w:pPr>
            <w:r w:rsidRPr="00050A20">
              <w:rPr>
                <w:rFonts w:cstheme="minorHAnsi"/>
              </w:rPr>
              <w:t>Applicant will need to provide detailed information by site Location ID on (1) the covered equipment or services being replaced, removed, and disposed; (2) the replacement equipment and services; and (3) costs related to the overall removal, replacement, and disposal process.</w:t>
            </w:r>
          </w:p>
          <w:p w:rsidR="00CC2613" w:rsidRPr="00050A20" w:rsidP="00EE016D" w14:paraId="7E4E032B" w14:textId="71562D24">
            <w:pPr>
              <w:rPr>
                <w:rFonts w:cstheme="minorHAnsi"/>
              </w:rPr>
            </w:pPr>
          </w:p>
        </w:tc>
      </w:tr>
      <w:tr w14:paraId="0FCA8937" w14:textId="77777777" w:rsidTr="00EE016D">
        <w:tblPrEx>
          <w:tblW w:w="13063" w:type="dxa"/>
          <w:tblLook w:val="04A0"/>
        </w:tblPrEx>
        <w:tc>
          <w:tcPr>
            <w:tcW w:w="1058" w:type="dxa"/>
          </w:tcPr>
          <w:p w:rsidR="00491D1F" w:rsidRPr="00050A20" w:rsidP="00EE016D" w14:paraId="53350716"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38</w:t>
            </w:r>
          </w:p>
        </w:tc>
        <w:tc>
          <w:tcPr>
            <w:tcW w:w="3294" w:type="dxa"/>
            <w:shd w:val="clear" w:color="auto" w:fill="auto"/>
          </w:tcPr>
          <w:p w:rsidR="00491D1F" w:rsidRPr="00050A20" w:rsidP="00EE016D" w14:paraId="345DC3A4"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Identify the Location ID (Item 27) associated with the cost estimate. </w:t>
            </w:r>
          </w:p>
        </w:tc>
        <w:tc>
          <w:tcPr>
            <w:tcW w:w="1816" w:type="dxa"/>
          </w:tcPr>
          <w:p w:rsidR="00491D1F" w:rsidRPr="00050A20" w:rsidP="00EE016D" w14:paraId="0C272C98"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55E677AB" w14:textId="77777777">
            <w:pPr>
              <w:rPr>
                <w:rFonts w:eastAsia="Arial" w:cstheme="minorHAnsi"/>
              </w:rPr>
            </w:pPr>
            <w:r w:rsidRPr="00050A20">
              <w:rPr>
                <w:rFonts w:eastAsia="Arial" w:cstheme="minorHAnsi"/>
              </w:rPr>
              <w:t xml:space="preserve">This information will help the FCC link up cost estimates to the location that is subject to the removal, replacement, and disposal of covered communications equipment and service. </w:t>
            </w:r>
          </w:p>
          <w:p w:rsidR="00491D1F" w:rsidRPr="00050A20" w:rsidP="00EE016D" w14:paraId="0589BAA9" w14:textId="77777777">
            <w:pPr>
              <w:rPr>
                <w:rFonts w:eastAsia="Arial" w:cstheme="minorHAnsi"/>
              </w:rPr>
            </w:pPr>
            <w:r w:rsidRPr="00050A20">
              <w:rPr>
                <w:rFonts w:eastAsia="Arial" w:cstheme="minorHAnsi"/>
              </w:rPr>
              <w:t xml:space="preserve"> </w:t>
            </w:r>
          </w:p>
        </w:tc>
      </w:tr>
      <w:tr w14:paraId="76BB45BD" w14:textId="77777777" w:rsidTr="00EE016D">
        <w:tblPrEx>
          <w:tblW w:w="13063" w:type="dxa"/>
          <w:tblLook w:val="04A0"/>
        </w:tblPrEx>
        <w:tc>
          <w:tcPr>
            <w:tcW w:w="1058" w:type="dxa"/>
          </w:tcPr>
          <w:p w:rsidR="00491D1F" w:rsidRPr="00050A20" w:rsidP="00EE016D" w14:paraId="67FEAFB6"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39</w:t>
            </w:r>
          </w:p>
        </w:tc>
        <w:tc>
          <w:tcPr>
            <w:tcW w:w="3294" w:type="dxa"/>
            <w:shd w:val="clear" w:color="auto" w:fill="auto"/>
          </w:tcPr>
          <w:p w:rsidR="00491D1F" w:rsidRPr="00050A20" w:rsidP="00EE016D" w14:paraId="2F0FF594" w14:textId="2A2E05FF">
            <w:pPr>
              <w:pStyle w:val="NoSpacing"/>
              <w:rPr>
                <w:rFonts w:eastAsia="Arial" w:asciiTheme="minorHAnsi" w:hAnsiTheme="minorHAnsi" w:cstheme="minorHAnsi"/>
              </w:rPr>
            </w:pPr>
            <w:r w:rsidRPr="00050A20">
              <w:rPr>
                <w:rFonts w:eastAsia="Arial" w:asciiTheme="minorHAnsi" w:hAnsiTheme="minorHAnsi" w:cstheme="minorHAnsi"/>
              </w:rPr>
              <w:t xml:space="preserve">For each cost estimate, indicate whether cost is related to the following categories: Access layer, Distribution layer, Core layer, Software, and/or Services (select all that apply). </w:t>
            </w:r>
          </w:p>
        </w:tc>
        <w:tc>
          <w:tcPr>
            <w:tcW w:w="1816" w:type="dxa"/>
          </w:tcPr>
          <w:p w:rsidR="00491D1F" w:rsidRPr="00050A20" w:rsidP="00EE016D" w14:paraId="124D01A4"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2F44A002" w14:textId="77777777">
            <w:pPr>
              <w:rPr>
                <w:rFonts w:eastAsia="Arial" w:cstheme="minorHAnsi"/>
              </w:rPr>
            </w:pPr>
            <w:r w:rsidRPr="00050A20">
              <w:rPr>
                <w:rFonts w:eastAsia="Arial" w:cstheme="minorHAnsi"/>
              </w:rPr>
              <w:t>This information will assist with the FCC’s cost estimate assessment and award of a funding allocation.</w:t>
            </w:r>
          </w:p>
        </w:tc>
      </w:tr>
      <w:tr w14:paraId="724D8B20" w14:textId="77777777" w:rsidTr="00EE016D">
        <w:tblPrEx>
          <w:tblW w:w="13063" w:type="dxa"/>
          <w:tblLook w:val="04A0"/>
        </w:tblPrEx>
        <w:trPr>
          <w:cantSplit/>
        </w:trPr>
        <w:tc>
          <w:tcPr>
            <w:tcW w:w="1058" w:type="dxa"/>
          </w:tcPr>
          <w:p w:rsidR="00491D1F" w:rsidRPr="00050A20" w:rsidP="00EE016D" w14:paraId="096F5BC6"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40</w:t>
            </w:r>
          </w:p>
        </w:tc>
        <w:tc>
          <w:tcPr>
            <w:tcW w:w="3294" w:type="dxa"/>
            <w:shd w:val="clear" w:color="auto" w:fill="auto"/>
          </w:tcPr>
          <w:p w:rsidR="00491D1F" w:rsidRPr="00050A20" w:rsidP="00EE016D" w14:paraId="10207501" w14:textId="77777777">
            <w:pPr>
              <w:pStyle w:val="Default"/>
              <w:rPr>
                <w:rFonts w:eastAsia="Arial" w:cstheme="minorHAnsi"/>
                <w:sz w:val="22"/>
                <w:szCs w:val="22"/>
              </w:rPr>
            </w:pPr>
            <w:r w:rsidRPr="00050A20">
              <w:rPr>
                <w:rFonts w:eastAsia="Arial" w:cstheme="minorHAnsi"/>
                <w:sz w:val="22"/>
                <w:szCs w:val="22"/>
              </w:rPr>
              <w:t xml:space="preserve">Indicate whether cost estimate associated with the removal, replacement, and disposal of covered communications equipment and service based on </w:t>
            </w:r>
            <w:r w:rsidRPr="00050A20">
              <w:rPr>
                <w:rFonts w:cstheme="minorHAnsi"/>
                <w:sz w:val="22"/>
                <w:szCs w:val="22"/>
              </w:rPr>
              <w:t xml:space="preserve">Catalog of Eligible Expenses and Estimated Costs (Catalog) </w:t>
            </w:r>
            <w:r w:rsidRPr="00050A20">
              <w:rPr>
                <w:rFonts w:eastAsia="Arial" w:cstheme="minorHAnsi"/>
                <w:sz w:val="22"/>
                <w:szCs w:val="22"/>
              </w:rPr>
              <w:t xml:space="preserve">for pre-determined cost estimate (Yes/ No). </w:t>
            </w:r>
          </w:p>
          <w:p w:rsidR="00491D1F" w:rsidRPr="00050A20" w:rsidP="00EE016D" w14:paraId="48355212" w14:textId="77777777">
            <w:pPr>
              <w:pStyle w:val="Default"/>
              <w:rPr>
                <w:rFonts w:cstheme="minorHAnsi"/>
                <w:sz w:val="22"/>
                <w:szCs w:val="22"/>
              </w:rPr>
            </w:pPr>
          </w:p>
        </w:tc>
        <w:tc>
          <w:tcPr>
            <w:tcW w:w="1816" w:type="dxa"/>
          </w:tcPr>
          <w:p w:rsidR="00491D1F" w:rsidRPr="00050A20" w:rsidP="00EE016D" w14:paraId="409A6AE9"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7F043579" w14:textId="77777777">
            <w:pPr>
              <w:rPr>
                <w:rFonts w:cstheme="minorHAnsi"/>
              </w:rPr>
            </w:pPr>
            <w:r w:rsidRPr="00050A20">
              <w:rPr>
                <w:rFonts w:cstheme="minorHAnsi"/>
              </w:rPr>
              <w:t>Applicants can reference the Catalog of Eligible Expenses and Estimated Costs (Catalog) prepared by the Wireline Competition Bureau for pre-determined average cost estimates for typically anticipated categories of costs associated with the removal, replacement, and disposal of covered communications equipment and service.  Applicants that submit their own cost estimates must submit supporting documentation and certify that the estimate is made in good faith.</w:t>
            </w:r>
          </w:p>
          <w:p w:rsidR="00491D1F" w:rsidRPr="00050A20" w:rsidP="00EE016D" w14:paraId="5F845213" w14:textId="77777777">
            <w:pPr>
              <w:rPr>
                <w:rFonts w:eastAsia="Arial" w:cstheme="minorHAnsi"/>
              </w:rPr>
            </w:pPr>
          </w:p>
        </w:tc>
      </w:tr>
      <w:tr w14:paraId="4D58421D" w14:textId="77777777" w:rsidTr="00EE016D">
        <w:tblPrEx>
          <w:tblW w:w="13063" w:type="dxa"/>
          <w:tblLook w:val="04A0"/>
        </w:tblPrEx>
        <w:tc>
          <w:tcPr>
            <w:tcW w:w="1058" w:type="dxa"/>
          </w:tcPr>
          <w:p w:rsidR="00491D1F" w:rsidRPr="00050A20" w:rsidP="00EE016D" w14:paraId="23DF3DDE"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41</w:t>
            </w:r>
          </w:p>
        </w:tc>
        <w:tc>
          <w:tcPr>
            <w:tcW w:w="3294" w:type="dxa"/>
            <w:shd w:val="clear" w:color="auto" w:fill="auto"/>
          </w:tcPr>
          <w:p w:rsidR="00491D1F" w:rsidRPr="00050A20" w:rsidP="00EE016D" w14:paraId="46552F36" w14:textId="77777777">
            <w:pPr>
              <w:pStyle w:val="NoSpacing"/>
              <w:rPr>
                <w:rFonts w:eastAsia="Arial" w:asciiTheme="minorHAnsi" w:hAnsiTheme="minorHAnsi" w:cstheme="minorHAnsi"/>
              </w:rPr>
            </w:pPr>
            <w:r w:rsidRPr="00050A20">
              <w:rPr>
                <w:rFonts w:eastAsia="Arial" w:asciiTheme="minorHAnsi" w:hAnsiTheme="minorHAnsi" w:cstheme="minorHAnsi"/>
              </w:rPr>
              <w:t>If cost estimate is based on Catalog, identify cost by selecting the Catalog cost estimate for the communications equipment or service.</w:t>
            </w:r>
          </w:p>
          <w:p w:rsidR="00491D1F" w:rsidRPr="00050A20" w:rsidP="00EE016D" w14:paraId="4D0101FC" w14:textId="77777777">
            <w:pPr>
              <w:pStyle w:val="NoSpacing"/>
              <w:rPr>
                <w:rFonts w:eastAsia="Arial" w:asciiTheme="minorHAnsi" w:hAnsiTheme="minorHAnsi" w:cstheme="minorHAnsi"/>
              </w:rPr>
            </w:pPr>
          </w:p>
        </w:tc>
        <w:tc>
          <w:tcPr>
            <w:tcW w:w="1816" w:type="dxa"/>
          </w:tcPr>
          <w:p w:rsidR="00491D1F" w:rsidRPr="00050A20" w:rsidP="00EE016D" w14:paraId="3AB5F272"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7122C758" w14:textId="77777777">
            <w:pPr>
              <w:rPr>
                <w:rFonts w:eastAsia="Times New Roman" w:cstheme="minorHAnsi"/>
              </w:rPr>
            </w:pPr>
            <w:r w:rsidRPr="00050A20">
              <w:rPr>
                <w:rFonts w:cstheme="minorHAnsi"/>
              </w:rPr>
              <w:t>This will auto-populate with the average cost of the item selected in the Catalog.</w:t>
            </w:r>
          </w:p>
          <w:p w:rsidR="00491D1F" w:rsidRPr="00050A20" w:rsidP="00EE016D" w14:paraId="5E466331" w14:textId="77777777">
            <w:pPr>
              <w:rPr>
                <w:rFonts w:eastAsia="Arial" w:cstheme="minorHAnsi"/>
              </w:rPr>
            </w:pPr>
          </w:p>
        </w:tc>
      </w:tr>
      <w:tr w14:paraId="1F3774C7" w14:textId="77777777" w:rsidTr="00B53F05">
        <w:tblPrEx>
          <w:tblW w:w="13063" w:type="dxa"/>
          <w:tblLook w:val="04A0"/>
        </w:tblPrEx>
        <w:trPr>
          <w:cantSplit/>
        </w:trPr>
        <w:tc>
          <w:tcPr>
            <w:tcW w:w="1058" w:type="dxa"/>
          </w:tcPr>
          <w:p w:rsidR="00491D1F" w:rsidRPr="00050A20" w:rsidP="00EE016D" w14:paraId="4DED4147"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42</w:t>
            </w:r>
          </w:p>
        </w:tc>
        <w:tc>
          <w:tcPr>
            <w:tcW w:w="3294" w:type="dxa"/>
          </w:tcPr>
          <w:p w:rsidR="00491D1F" w:rsidRPr="00050A20" w:rsidP="00EE016D" w14:paraId="21EE2C78" w14:textId="77777777">
            <w:pPr>
              <w:pStyle w:val="NoSpacing"/>
              <w:rPr>
                <w:rFonts w:eastAsia="Arial" w:asciiTheme="minorHAnsi" w:hAnsiTheme="minorHAnsi" w:cstheme="minorHAnsi"/>
              </w:rPr>
            </w:pPr>
            <w:r w:rsidRPr="00050A20">
              <w:rPr>
                <w:rFonts w:eastAsia="Arial" w:asciiTheme="minorHAnsi" w:hAnsiTheme="minorHAnsi" w:cstheme="minorHAnsi"/>
              </w:rPr>
              <w:t>For individualized cost estimates not based on Catalog, provide a cost estimate reasonably incurred for the permanent removal, replacement, and disposal of covered communications equipment or service.</w:t>
            </w:r>
          </w:p>
          <w:p w:rsidR="00491D1F" w:rsidRPr="00050A20" w:rsidP="00EE016D" w14:paraId="492CABBE" w14:textId="77777777">
            <w:pPr>
              <w:pStyle w:val="NoSpacing"/>
              <w:rPr>
                <w:rFonts w:eastAsia="Arial" w:asciiTheme="minorHAnsi" w:hAnsiTheme="minorHAnsi" w:cstheme="minorHAnsi"/>
              </w:rPr>
            </w:pPr>
          </w:p>
        </w:tc>
        <w:tc>
          <w:tcPr>
            <w:tcW w:w="1816" w:type="dxa"/>
          </w:tcPr>
          <w:p w:rsidR="00491D1F" w:rsidRPr="00050A20" w:rsidP="00EE016D" w14:paraId="51C5820C"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211AE106" w14:textId="77777777">
            <w:pPr>
              <w:rPr>
                <w:rFonts w:eastAsia="Arial" w:cstheme="minorHAnsi"/>
              </w:rPr>
            </w:pPr>
            <w:r w:rsidRPr="00050A20">
              <w:rPr>
                <w:rFonts w:cstheme="minorHAnsi"/>
              </w:rPr>
              <w:t>If an applicant finds a Catalog cost estimate average does not fully account for its costs or a cost category is not identified in the Catalog, the applicant can instead provide its own individualized cost estimate. Applicants providing individualized cost estimates must submit additional supporting documentation (e.g., quotes issued by vendor).</w:t>
            </w:r>
          </w:p>
        </w:tc>
      </w:tr>
      <w:tr w14:paraId="5A80BCBE" w14:textId="77777777" w:rsidTr="00EE016D">
        <w:tblPrEx>
          <w:tblW w:w="13063" w:type="dxa"/>
          <w:tblLook w:val="04A0"/>
        </w:tblPrEx>
        <w:tc>
          <w:tcPr>
            <w:tcW w:w="1058" w:type="dxa"/>
          </w:tcPr>
          <w:p w:rsidR="00491D1F" w:rsidRPr="00050A20" w:rsidP="00EE016D" w14:paraId="2D87C8B7"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43</w:t>
            </w:r>
          </w:p>
        </w:tc>
        <w:tc>
          <w:tcPr>
            <w:tcW w:w="3294" w:type="dxa"/>
          </w:tcPr>
          <w:p w:rsidR="00491D1F" w:rsidRPr="00050A20" w:rsidP="00EE016D" w14:paraId="4D2BE6D4" w14:textId="77777777">
            <w:pPr>
              <w:rPr>
                <w:rFonts w:eastAsia="Times New Roman" w:cstheme="minorHAnsi"/>
              </w:rPr>
            </w:pPr>
            <w:r w:rsidRPr="00050A20">
              <w:rPr>
                <w:rFonts w:cstheme="minorHAnsi"/>
              </w:rPr>
              <w:t xml:space="preserve">If individualized cost estimate exceeds Catalog estimate, provide additional cost justification. </w:t>
            </w:r>
          </w:p>
          <w:p w:rsidR="00491D1F" w:rsidRPr="00050A20" w:rsidP="00EE016D" w14:paraId="28431E65" w14:textId="77777777">
            <w:pPr>
              <w:pStyle w:val="NoSpacing"/>
              <w:rPr>
                <w:rFonts w:eastAsia="Arial" w:asciiTheme="minorHAnsi" w:hAnsiTheme="minorHAnsi" w:cstheme="minorHAnsi"/>
              </w:rPr>
            </w:pPr>
          </w:p>
        </w:tc>
        <w:tc>
          <w:tcPr>
            <w:tcW w:w="1816" w:type="dxa"/>
          </w:tcPr>
          <w:p w:rsidR="00491D1F" w:rsidRPr="00050A20" w:rsidP="00EE016D" w14:paraId="31F1D831"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25FF9EED" w14:textId="77777777">
            <w:pPr>
              <w:rPr>
                <w:rFonts w:eastAsia="Arial" w:cstheme="minorHAnsi"/>
              </w:rPr>
            </w:pPr>
            <w:r w:rsidRPr="00050A20">
              <w:rPr>
                <w:rFonts w:cstheme="minorHAnsi"/>
              </w:rPr>
              <w:t>Applicants providing individualized cost estimates must submit additional supporting documentation (e.g., quotes issued by vendor).</w:t>
            </w:r>
          </w:p>
        </w:tc>
      </w:tr>
      <w:tr w14:paraId="3037D33A" w14:textId="77777777" w:rsidTr="00EE016D">
        <w:tblPrEx>
          <w:tblW w:w="13063" w:type="dxa"/>
          <w:tblLook w:val="04A0"/>
        </w:tblPrEx>
        <w:trPr>
          <w:cantSplit/>
        </w:trPr>
        <w:tc>
          <w:tcPr>
            <w:tcW w:w="1058" w:type="dxa"/>
          </w:tcPr>
          <w:p w:rsidR="00491D1F" w:rsidRPr="00050A20" w:rsidP="00EE016D" w14:paraId="17D5AC47"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44</w:t>
            </w:r>
          </w:p>
        </w:tc>
        <w:tc>
          <w:tcPr>
            <w:tcW w:w="3294" w:type="dxa"/>
          </w:tcPr>
          <w:p w:rsidR="00491D1F" w:rsidRPr="00050A20" w:rsidP="00EE016D" w14:paraId="7B3EDECE" w14:textId="77777777">
            <w:pPr>
              <w:pStyle w:val="NoSpacing"/>
              <w:rPr>
                <w:rFonts w:asciiTheme="minorHAnsi" w:hAnsiTheme="minorHAnsi" w:cstheme="minorHAnsi"/>
              </w:rPr>
            </w:pPr>
            <w:r w:rsidRPr="00050A20">
              <w:rPr>
                <w:rFonts w:asciiTheme="minorHAnsi" w:hAnsiTheme="minorHAnsi" w:cstheme="minorHAnsi"/>
              </w:rPr>
              <w:t xml:space="preserve">Are you removing, replacing, and disposing of covered communications equipment or service, through the establishment of a new or different existing site location? (Yes/No). </w:t>
            </w:r>
          </w:p>
        </w:tc>
        <w:tc>
          <w:tcPr>
            <w:tcW w:w="1816" w:type="dxa"/>
          </w:tcPr>
          <w:p w:rsidR="00491D1F" w:rsidRPr="00050A20" w:rsidP="00EE016D" w14:paraId="35F67BD3"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4BF91236" w14:textId="77777777">
            <w:pPr>
              <w:rPr>
                <w:rFonts w:eastAsia="Arial" w:cstheme="minorHAnsi"/>
              </w:rPr>
            </w:pPr>
            <w:r w:rsidRPr="00050A20">
              <w:rPr>
                <w:rFonts w:eastAsia="Arial" w:cstheme="minorHAnsi"/>
              </w:rPr>
              <w:t>It is possible that providers may need to build new site locations to replace an existing site location or may consolidate operations at another existing site location.  Accordingly, this information is needed to account for this contingency while also helping the FCC to ensure that the cost is reasonably necessary for the removal, replacement, and disposal of covered communications equipment or service.</w:t>
            </w:r>
          </w:p>
          <w:p w:rsidR="00491D1F" w:rsidRPr="00050A20" w:rsidP="00EE016D" w14:paraId="2D3C832D" w14:textId="77777777">
            <w:pPr>
              <w:rPr>
                <w:rFonts w:eastAsia="Arial" w:cstheme="minorHAnsi"/>
              </w:rPr>
            </w:pPr>
            <w:r w:rsidRPr="00050A20">
              <w:rPr>
                <w:rFonts w:eastAsia="Arial" w:cstheme="minorHAnsi"/>
              </w:rPr>
              <w:t>With each uniquely identified site location by Applicant, there will be a check box to indicate whether the removal, replacement, and disposal will require the establishment of a new site location or the migration of operations to another existing site location.</w:t>
            </w:r>
          </w:p>
          <w:p w:rsidR="00491D1F" w:rsidRPr="00050A20" w:rsidP="00EE016D" w14:paraId="05811BDC" w14:textId="77777777">
            <w:pPr>
              <w:rPr>
                <w:rFonts w:eastAsia="Arial" w:cstheme="minorHAnsi"/>
              </w:rPr>
            </w:pPr>
            <w:r w:rsidRPr="00050A20">
              <w:rPr>
                <w:rFonts w:eastAsia="Arial" w:cstheme="minorHAnsi"/>
              </w:rPr>
              <w:t xml:space="preserve">If a new (not previously identified in application) site location, Applicant will be required to provide additional information about the new site location (latitude/longitude, address, etc.).  </w:t>
            </w:r>
          </w:p>
          <w:p w:rsidR="00491D1F" w:rsidRPr="00050A20" w:rsidP="00EE016D" w14:paraId="4516777A" w14:textId="77777777">
            <w:pPr>
              <w:rPr>
                <w:rFonts w:eastAsia="Arial" w:cstheme="minorHAnsi"/>
              </w:rPr>
            </w:pPr>
            <w:r w:rsidRPr="00050A20">
              <w:rPr>
                <w:rFonts w:eastAsia="Arial" w:cstheme="minorHAnsi"/>
              </w:rPr>
              <w:t>If an existing (previously identified in application) site location, then Applicant will identify the location using the previously designated unique Location ID.</w:t>
            </w:r>
          </w:p>
          <w:p w:rsidR="00491D1F" w:rsidRPr="00050A20" w:rsidP="00EE016D" w14:paraId="09F251C6" w14:textId="77777777">
            <w:pPr>
              <w:rPr>
                <w:rFonts w:eastAsia="Arial" w:cstheme="minorHAnsi"/>
              </w:rPr>
            </w:pPr>
          </w:p>
        </w:tc>
      </w:tr>
      <w:tr w14:paraId="373CE641" w14:textId="77777777" w:rsidTr="00B53F05">
        <w:tblPrEx>
          <w:tblW w:w="13063" w:type="dxa"/>
          <w:tblLook w:val="04A0"/>
        </w:tblPrEx>
        <w:trPr>
          <w:cantSplit/>
        </w:trPr>
        <w:tc>
          <w:tcPr>
            <w:tcW w:w="1058" w:type="dxa"/>
          </w:tcPr>
          <w:p w:rsidR="00491D1F" w:rsidRPr="00050A20" w:rsidP="00EE016D" w14:paraId="68AF17AF"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45</w:t>
            </w:r>
          </w:p>
        </w:tc>
        <w:tc>
          <w:tcPr>
            <w:tcW w:w="3294" w:type="dxa"/>
          </w:tcPr>
          <w:p w:rsidR="00491D1F" w:rsidRPr="00050A20" w:rsidP="00EE016D" w14:paraId="202C7695" w14:textId="77777777">
            <w:pPr>
              <w:pStyle w:val="NoSpacing"/>
              <w:rPr>
                <w:rFonts w:asciiTheme="minorHAnsi" w:hAnsiTheme="minorHAnsi" w:cstheme="minorHAnsi"/>
              </w:rPr>
            </w:pPr>
            <w:r w:rsidRPr="00050A20">
              <w:rPr>
                <w:rFonts w:asciiTheme="minorHAnsi" w:hAnsiTheme="minorHAnsi" w:cstheme="minorHAnsi"/>
              </w:rPr>
              <w:t xml:space="preserve">For Covered Equipment or Service that is being removed, replaced, or disposed identify: </w:t>
            </w:r>
          </w:p>
          <w:p w:rsidR="00491D1F" w:rsidRPr="00050A20" w:rsidP="00491D1F" w14:paraId="64CDFC15"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Location </w:t>
            </w:r>
            <w:r w:rsidRPr="00050A20">
              <w:rPr>
                <w:rFonts w:asciiTheme="minorHAnsi" w:hAnsiTheme="minorHAnsi" w:cstheme="minorHAnsi"/>
              </w:rPr>
              <w:t>ID;</w:t>
            </w:r>
          </w:p>
          <w:p w:rsidR="00491D1F" w:rsidRPr="00050A20" w:rsidP="00491D1F" w14:paraId="4D4C962F"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Make;</w:t>
            </w:r>
          </w:p>
          <w:p w:rsidR="00491D1F" w:rsidRPr="00050A20" w:rsidP="00491D1F" w14:paraId="0E2A59C6"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Model;</w:t>
            </w:r>
          </w:p>
          <w:p w:rsidR="00491D1F" w:rsidRPr="00050A20" w:rsidP="00491D1F" w14:paraId="09C2CC76"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Type;</w:t>
            </w:r>
          </w:p>
          <w:p w:rsidR="00491D1F" w:rsidRPr="00050A20" w:rsidP="00491D1F" w14:paraId="112A81F1"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Description of Equipment/Service </w:t>
            </w:r>
            <w:r w:rsidRPr="00050A20">
              <w:rPr>
                <w:rFonts w:asciiTheme="minorHAnsi" w:hAnsiTheme="minorHAnsi" w:cstheme="minorHAnsi"/>
              </w:rPr>
              <w:t>Capabilities;</w:t>
            </w:r>
          </w:p>
          <w:p w:rsidR="00491D1F" w:rsidRPr="00050A20" w:rsidP="00491D1F" w14:paraId="26C7C16F"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Number of units at </w:t>
            </w:r>
            <w:r w:rsidRPr="00050A20">
              <w:rPr>
                <w:rFonts w:asciiTheme="minorHAnsi" w:hAnsiTheme="minorHAnsi" w:cstheme="minorHAnsi"/>
              </w:rPr>
              <w:t>site;</w:t>
            </w:r>
          </w:p>
          <w:p w:rsidR="00491D1F" w:rsidRPr="00193BE7" w:rsidP="00491D1F" w14:paraId="585492B8"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Date </w:t>
            </w:r>
            <w:r w:rsidRPr="00050A20">
              <w:rPr>
                <w:rFonts w:asciiTheme="minorHAnsi" w:hAnsiTheme="minorHAnsi" w:cstheme="minorHAnsi"/>
              </w:rPr>
              <w:t>obtained;</w:t>
            </w:r>
          </w:p>
          <w:p w:rsidR="00491D1F" w:rsidRPr="009B1DF1" w:rsidP="00491D1F" w14:paraId="7DECA318"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Whether Equipment/Service is functional.</w:t>
            </w:r>
          </w:p>
          <w:p w:rsidR="00491D1F" w:rsidRPr="00050A20" w:rsidP="009B1DF1" w14:paraId="3F8D7D0D" w14:textId="79BDB599">
            <w:pPr>
              <w:pStyle w:val="NoSpacing"/>
              <w:ind w:left="720"/>
              <w:rPr>
                <w:rFonts w:eastAsia="Arial" w:asciiTheme="minorHAnsi" w:hAnsiTheme="minorHAnsi" w:cstheme="minorHAnsi"/>
              </w:rPr>
            </w:pPr>
          </w:p>
        </w:tc>
        <w:tc>
          <w:tcPr>
            <w:tcW w:w="1816" w:type="dxa"/>
          </w:tcPr>
          <w:p w:rsidR="00491D1F" w:rsidRPr="00050A20" w:rsidP="00EE016D" w14:paraId="32033E41"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417817FC" w14:textId="77777777">
            <w:pPr>
              <w:rPr>
                <w:rFonts w:eastAsia="Arial" w:cstheme="minorHAnsi"/>
              </w:rPr>
            </w:pPr>
            <w:r w:rsidRPr="00050A20">
              <w:rPr>
                <w:rFonts w:eastAsia="Arial" w:cstheme="minorHAnsi"/>
              </w:rPr>
              <w:t xml:space="preserve">Provide make, model, description of equipment type, description of equipment capabilities, location ID of existing equipment, </w:t>
            </w:r>
            <w:bookmarkStart w:id="0" w:name="_Hlk67039930"/>
            <w:r w:rsidRPr="00050A20">
              <w:rPr>
                <w:rFonts w:eastAsia="Arial" w:cstheme="minorHAnsi"/>
              </w:rPr>
              <w:t>number of units of existing equipment at site, and whether equipment is functional</w:t>
            </w:r>
            <w:bookmarkEnd w:id="0"/>
            <w:r w:rsidRPr="00050A20">
              <w:rPr>
                <w:rFonts w:eastAsia="Arial" w:cstheme="minorHAnsi"/>
              </w:rPr>
              <w:t>.  This information will help the FCC link cost estimates to the location that is subject to the removal, replacement, and disposal of covered communications equipment and service.  Applicant will need to provide supporting documentation demonstrating acquisition and/or possession of covered equipment, e.g., pictures of equipment at site, purchase orders, etc. (see Item 47)</w:t>
            </w:r>
          </w:p>
        </w:tc>
      </w:tr>
      <w:tr w14:paraId="5D36DCAE" w14:textId="77777777" w:rsidTr="00EE016D">
        <w:tblPrEx>
          <w:tblW w:w="13063" w:type="dxa"/>
          <w:tblLook w:val="04A0"/>
        </w:tblPrEx>
        <w:tc>
          <w:tcPr>
            <w:tcW w:w="1058" w:type="dxa"/>
          </w:tcPr>
          <w:p w:rsidR="00491D1F" w:rsidRPr="00050A20" w:rsidP="00EE016D" w14:paraId="365A1EEF"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46</w:t>
            </w:r>
          </w:p>
        </w:tc>
        <w:tc>
          <w:tcPr>
            <w:tcW w:w="3294" w:type="dxa"/>
            <w:vAlign w:val="center"/>
          </w:tcPr>
          <w:p w:rsidR="00491D1F" w:rsidRPr="00050A20" w:rsidP="00EE016D" w14:paraId="3A619011" w14:textId="77777777">
            <w:pPr>
              <w:pStyle w:val="NoSpacing"/>
              <w:rPr>
                <w:rFonts w:asciiTheme="minorHAnsi" w:hAnsiTheme="minorHAnsi" w:cstheme="minorHAnsi"/>
              </w:rPr>
            </w:pPr>
            <w:r w:rsidRPr="00050A20">
              <w:rPr>
                <w:rFonts w:asciiTheme="minorHAnsi" w:hAnsiTheme="minorHAnsi" w:cstheme="minorHAnsi"/>
              </w:rPr>
              <w:t>For Replacement Equipment, identify:</w:t>
            </w:r>
          </w:p>
          <w:p w:rsidR="00491D1F" w:rsidRPr="00050A20" w:rsidP="00491D1F" w14:paraId="4BE09C77"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Location </w:t>
            </w:r>
            <w:r w:rsidRPr="00050A20">
              <w:rPr>
                <w:rFonts w:asciiTheme="minorHAnsi" w:hAnsiTheme="minorHAnsi" w:cstheme="minorHAnsi"/>
              </w:rPr>
              <w:t>ID;</w:t>
            </w:r>
          </w:p>
          <w:p w:rsidR="00491D1F" w:rsidRPr="00050A20" w:rsidP="00491D1F" w14:paraId="02DF553B"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Make;</w:t>
            </w:r>
          </w:p>
          <w:p w:rsidR="00491D1F" w:rsidRPr="00050A20" w:rsidP="00491D1F" w14:paraId="4CD55D4C"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Model;</w:t>
            </w:r>
          </w:p>
          <w:p w:rsidR="00491D1F" w:rsidRPr="00050A20" w:rsidP="00491D1F" w14:paraId="3069148A"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Type;</w:t>
            </w:r>
          </w:p>
          <w:p w:rsidR="00491D1F" w:rsidRPr="00050A20" w:rsidP="00491D1F" w14:paraId="4A45BA23" w14:textId="77777777">
            <w:pPr>
              <w:pStyle w:val="NoSpacing"/>
              <w:numPr>
                <w:ilvl w:val="0"/>
                <w:numId w:val="20"/>
              </w:numPr>
              <w:rPr>
                <w:rFonts w:eastAsia="Arial" w:asciiTheme="minorHAnsi" w:hAnsiTheme="minorHAnsi" w:cstheme="minorHAnsi"/>
              </w:rPr>
            </w:pPr>
            <w:r w:rsidRPr="00050A20">
              <w:rPr>
                <w:rFonts w:asciiTheme="minorHAnsi" w:hAnsiTheme="minorHAnsi" w:cstheme="minorHAnsi"/>
              </w:rPr>
              <w:t xml:space="preserve">Description of Equipment/Service </w:t>
            </w:r>
            <w:r w:rsidRPr="00050A20">
              <w:rPr>
                <w:rFonts w:asciiTheme="minorHAnsi" w:hAnsiTheme="minorHAnsi" w:cstheme="minorHAnsi"/>
              </w:rPr>
              <w:t>Capabilities;</w:t>
            </w:r>
          </w:p>
          <w:p w:rsidR="00491D1F" w:rsidRPr="00050A20" w:rsidP="00EE016D" w14:paraId="7002BFE8" w14:textId="77777777">
            <w:pPr>
              <w:pStyle w:val="NoSpacing"/>
              <w:ind w:left="720"/>
              <w:rPr>
                <w:rFonts w:eastAsia="Arial" w:asciiTheme="minorHAnsi" w:hAnsiTheme="minorHAnsi" w:cstheme="minorHAnsi"/>
              </w:rPr>
            </w:pPr>
            <w:r w:rsidRPr="00050A20">
              <w:rPr>
                <w:rFonts w:asciiTheme="minorHAnsi" w:hAnsiTheme="minorHAnsi" w:cstheme="minorHAnsi"/>
              </w:rPr>
              <w:t>Number of units at site.</w:t>
            </w:r>
          </w:p>
          <w:p w:rsidR="00491D1F" w:rsidRPr="00050A20" w:rsidP="00EE016D" w14:paraId="34891667" w14:textId="77777777">
            <w:pPr>
              <w:pStyle w:val="NoSpacing"/>
              <w:ind w:left="720"/>
              <w:rPr>
                <w:rFonts w:eastAsia="Arial" w:asciiTheme="minorHAnsi" w:hAnsiTheme="minorHAnsi" w:cstheme="minorHAnsi"/>
              </w:rPr>
            </w:pPr>
          </w:p>
        </w:tc>
        <w:tc>
          <w:tcPr>
            <w:tcW w:w="1816" w:type="dxa"/>
          </w:tcPr>
          <w:p w:rsidR="00491D1F" w:rsidRPr="00050A20" w:rsidP="00EE016D" w14:paraId="0A2D2F49"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027BAA09" w14:textId="77777777">
            <w:pPr>
              <w:rPr>
                <w:rFonts w:eastAsia="Arial" w:cstheme="minorHAnsi"/>
              </w:rPr>
            </w:pPr>
            <w:r w:rsidRPr="00050A20">
              <w:rPr>
                <w:rFonts w:eastAsia="Arial" w:cstheme="minorHAnsi"/>
              </w:rPr>
              <w:t>Provide make, model, description of equipment type, description of equipment capabilities, location ID of new equipment replacing existing equipment, number of units of new equipment at site. This information will help the FCC link cost estimates to the location that is subject to the removal, replacement, and disposal of covered communications equipment and service.</w:t>
            </w:r>
          </w:p>
        </w:tc>
      </w:tr>
      <w:tr w14:paraId="3BC4D3FF" w14:textId="77777777" w:rsidTr="00EE016D">
        <w:tblPrEx>
          <w:tblW w:w="13063" w:type="dxa"/>
          <w:tblLook w:val="04A0"/>
        </w:tblPrEx>
        <w:tc>
          <w:tcPr>
            <w:tcW w:w="1058" w:type="dxa"/>
          </w:tcPr>
          <w:p w:rsidR="00491D1F" w:rsidRPr="00050A20" w:rsidP="00EE016D" w14:paraId="1CBCEF02"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47</w:t>
            </w:r>
          </w:p>
        </w:tc>
        <w:tc>
          <w:tcPr>
            <w:tcW w:w="3294" w:type="dxa"/>
          </w:tcPr>
          <w:p w:rsidR="00491D1F" w:rsidRPr="00050A20" w:rsidP="00EE016D" w14:paraId="1729EA82" w14:textId="77777777">
            <w:pPr>
              <w:pStyle w:val="NoSpacing"/>
              <w:rPr>
                <w:rFonts w:asciiTheme="minorHAnsi" w:hAnsiTheme="minorHAnsi" w:cstheme="minorHAnsi"/>
              </w:rPr>
            </w:pPr>
            <w:r w:rsidRPr="00050A20">
              <w:rPr>
                <w:rFonts w:asciiTheme="minorHAnsi" w:hAnsiTheme="minorHAnsi" w:cstheme="minorHAnsi"/>
              </w:rPr>
              <w:t>Supporting Documentation.</w:t>
            </w:r>
          </w:p>
          <w:p w:rsidR="00491D1F" w:rsidRPr="00050A20" w:rsidP="00EE016D" w14:paraId="3E163B58" w14:textId="77777777">
            <w:pPr>
              <w:pStyle w:val="NoSpacing"/>
              <w:rPr>
                <w:rFonts w:eastAsia="Arial" w:asciiTheme="minorHAnsi" w:hAnsiTheme="minorHAnsi" w:cstheme="minorHAnsi"/>
              </w:rPr>
            </w:pPr>
          </w:p>
        </w:tc>
        <w:tc>
          <w:tcPr>
            <w:tcW w:w="1816" w:type="dxa"/>
          </w:tcPr>
          <w:p w:rsidR="00491D1F" w:rsidRPr="00050A20" w:rsidP="00EE016D" w14:paraId="75EF68B2"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p w:rsidR="00491D1F" w:rsidRPr="00050A20" w:rsidP="00EE016D" w14:paraId="7C906AAC" w14:textId="77777777">
            <w:pPr>
              <w:pStyle w:val="NoSpacing"/>
              <w:rPr>
                <w:rFonts w:eastAsia="Arial" w:asciiTheme="minorHAnsi" w:hAnsiTheme="minorHAnsi" w:cstheme="minorHAnsi"/>
              </w:rPr>
            </w:pPr>
          </w:p>
        </w:tc>
        <w:tc>
          <w:tcPr>
            <w:tcW w:w="6895" w:type="dxa"/>
          </w:tcPr>
          <w:p w:rsidR="00491D1F" w:rsidRPr="00050A20" w:rsidP="00EE016D" w14:paraId="4B594BFC" w14:textId="77777777">
            <w:pPr>
              <w:pStyle w:val="NoSpacing"/>
              <w:rPr>
                <w:rFonts w:asciiTheme="minorHAnsi" w:hAnsiTheme="minorHAnsi" w:cstheme="minorHAnsi"/>
              </w:rPr>
            </w:pPr>
            <w:r w:rsidRPr="00050A20">
              <w:rPr>
                <w:rFonts w:asciiTheme="minorHAnsi" w:hAnsiTheme="minorHAnsi" w:cstheme="minorHAnsi"/>
              </w:rPr>
              <w:t>Provide supporting documentation of Covered Equipment that is being replaced such as photo of the equipment or a purchase order.</w:t>
            </w:r>
          </w:p>
        </w:tc>
      </w:tr>
      <w:tr w14:paraId="7F77EC9C" w14:textId="77777777" w:rsidTr="00EE016D">
        <w:tblPrEx>
          <w:tblW w:w="13063" w:type="dxa"/>
          <w:tblLook w:val="04A0"/>
        </w:tblPrEx>
        <w:tc>
          <w:tcPr>
            <w:tcW w:w="1058" w:type="dxa"/>
          </w:tcPr>
          <w:p w:rsidR="00491D1F" w:rsidRPr="00050A20" w:rsidP="00EE016D" w14:paraId="0905A220"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48</w:t>
            </w:r>
          </w:p>
        </w:tc>
        <w:tc>
          <w:tcPr>
            <w:tcW w:w="3294" w:type="dxa"/>
          </w:tcPr>
          <w:p w:rsidR="00491D1F" w:rsidRPr="00050A20" w:rsidP="00EE016D" w14:paraId="382959DA" w14:textId="77777777">
            <w:pPr>
              <w:pStyle w:val="NoSpacing"/>
              <w:rPr>
                <w:rFonts w:eastAsia="Arial" w:asciiTheme="minorHAnsi" w:hAnsiTheme="minorHAnsi" w:cstheme="minorHAnsi"/>
              </w:rPr>
            </w:pPr>
            <w:r w:rsidRPr="00050A20">
              <w:rPr>
                <w:rFonts w:asciiTheme="minorHAnsi" w:hAnsiTheme="minorHAnsi" w:cstheme="minorHAnsi"/>
              </w:rPr>
              <w:t>Provide a specific timeline for the permanent removal, replacement, and disposal of the covered communications equipment or service.</w:t>
            </w:r>
          </w:p>
        </w:tc>
        <w:tc>
          <w:tcPr>
            <w:tcW w:w="1816" w:type="dxa"/>
          </w:tcPr>
          <w:p w:rsidR="00491D1F" w:rsidRPr="00050A20" w:rsidP="00EE016D" w14:paraId="2568CAD3"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4039D732" w14:textId="77777777">
            <w:pPr>
              <w:rPr>
                <w:rFonts w:eastAsia="Arial" w:cstheme="minorHAnsi"/>
              </w:rPr>
            </w:pPr>
            <w:r w:rsidRPr="00050A20">
              <w:rPr>
                <w:rFonts w:eastAsia="Arial" w:cstheme="minorHAnsi"/>
              </w:rPr>
              <w:t xml:space="preserve">Timeline required by statute.  Applicant will need to upload timeline detailing all relevant steps in the removal, replacement, and disposal process.  Applicant will separately complete field in system identifying anticipated completion date for completing the process. Applicants will be able to submit confidential and public/redacted versions of their timeline. </w:t>
            </w:r>
          </w:p>
          <w:p w:rsidR="00491D1F" w:rsidRPr="00050A20" w:rsidP="00EE016D" w14:paraId="06016B24" w14:textId="77777777">
            <w:pPr>
              <w:rPr>
                <w:rFonts w:eastAsia="Arial" w:cstheme="minorHAnsi"/>
              </w:rPr>
            </w:pPr>
          </w:p>
        </w:tc>
      </w:tr>
      <w:tr w14:paraId="2A9DFE90" w14:textId="77777777" w:rsidTr="00EE016D">
        <w:tblPrEx>
          <w:tblW w:w="13063" w:type="dxa"/>
          <w:tblLook w:val="04A0"/>
        </w:tblPrEx>
        <w:trPr>
          <w:cantSplit/>
        </w:trPr>
        <w:tc>
          <w:tcPr>
            <w:tcW w:w="1058" w:type="dxa"/>
          </w:tcPr>
          <w:p w:rsidR="00491D1F" w:rsidRPr="00050A20" w:rsidP="00EE016D" w14:paraId="36BD2724"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49</w:t>
            </w:r>
          </w:p>
        </w:tc>
        <w:tc>
          <w:tcPr>
            <w:tcW w:w="3294" w:type="dxa"/>
          </w:tcPr>
          <w:p w:rsidR="00491D1F" w:rsidRPr="00050A20" w:rsidP="00EE016D" w14:paraId="11935D55" w14:textId="77777777">
            <w:pPr>
              <w:pStyle w:val="NoSpacing"/>
              <w:rPr>
                <w:rFonts w:eastAsia="Arial" w:asciiTheme="minorHAnsi" w:hAnsiTheme="minorHAnsi" w:cstheme="minorHAnsi"/>
              </w:rPr>
            </w:pPr>
            <w:r w:rsidRPr="00050A20">
              <w:rPr>
                <w:rFonts w:eastAsia="Arial" w:asciiTheme="minorHAnsi" w:hAnsiTheme="minorHAnsi" w:cstheme="minorHAnsi"/>
              </w:rPr>
              <w:t>Provide description of Applicant’s plan for the permanent removal, replacement and disposal of covered communications equipment or service.</w:t>
            </w:r>
          </w:p>
          <w:p w:rsidR="00491D1F" w:rsidRPr="00050A20" w:rsidP="00EE016D" w14:paraId="5D7043C5" w14:textId="77777777">
            <w:pPr>
              <w:pStyle w:val="NoSpacing"/>
              <w:rPr>
                <w:rFonts w:eastAsia="Arial" w:asciiTheme="minorHAnsi" w:hAnsiTheme="minorHAnsi" w:cstheme="minorHAnsi"/>
              </w:rPr>
            </w:pPr>
          </w:p>
        </w:tc>
        <w:tc>
          <w:tcPr>
            <w:tcW w:w="1816" w:type="dxa"/>
          </w:tcPr>
          <w:p w:rsidR="00491D1F" w:rsidRPr="00050A20" w:rsidP="00EE016D" w14:paraId="36E4B7C1"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7F6A431F" w14:textId="77777777">
            <w:pPr>
              <w:rPr>
                <w:rFonts w:eastAsia="Arial" w:cstheme="minorHAnsi"/>
              </w:rPr>
            </w:pPr>
            <w:r w:rsidRPr="00050A20">
              <w:rPr>
                <w:rFonts w:eastAsia="Arial" w:cstheme="minorHAnsi"/>
              </w:rPr>
              <w:t>Applicant will need to upload attachment describing all relevant steps in its plan for the permanent removal, replacement, and disposal of covered communications equipment and service.  Applicants will be able to submit confidential and public/redacted versions of their plan.</w:t>
            </w:r>
          </w:p>
        </w:tc>
      </w:tr>
      <w:tr w14:paraId="18B83BED" w14:textId="77777777" w:rsidTr="00B53F05">
        <w:tblPrEx>
          <w:tblW w:w="13063" w:type="dxa"/>
          <w:tblLook w:val="04A0"/>
        </w:tblPrEx>
        <w:trPr>
          <w:cantSplit/>
        </w:trPr>
        <w:tc>
          <w:tcPr>
            <w:tcW w:w="1058" w:type="dxa"/>
          </w:tcPr>
          <w:p w:rsidR="00491D1F" w:rsidRPr="00050A20" w:rsidP="00EE016D" w14:paraId="0A3BAF5C"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50</w:t>
            </w:r>
          </w:p>
        </w:tc>
        <w:tc>
          <w:tcPr>
            <w:tcW w:w="3294" w:type="dxa"/>
          </w:tcPr>
          <w:p w:rsidR="00491D1F" w:rsidRPr="00050A20" w:rsidP="00EE016D" w14:paraId="2EC3161E" w14:textId="4BB6D18D">
            <w:pPr>
              <w:pStyle w:val="NoSpacing"/>
              <w:rPr>
                <w:rFonts w:eastAsia="Arial" w:asciiTheme="minorHAnsi" w:hAnsiTheme="minorHAnsi" w:cstheme="minorHAnsi"/>
              </w:rPr>
            </w:pPr>
            <w:r w:rsidRPr="00050A20">
              <w:rPr>
                <w:rFonts w:eastAsia="Arial" w:asciiTheme="minorHAnsi" w:hAnsiTheme="minorHAnsi" w:cstheme="minorHAnsi"/>
              </w:rPr>
              <w:t>Does the proposed replacement of covered equipment and service involve reasonable costs incurred for the replacement of older mobile wireless networks with fourth generation LTE equipment or services that are 5G ready? (Yes/No)</w:t>
            </w:r>
          </w:p>
        </w:tc>
        <w:tc>
          <w:tcPr>
            <w:tcW w:w="1816" w:type="dxa"/>
          </w:tcPr>
          <w:p w:rsidR="00491D1F" w:rsidRPr="00050A20" w:rsidP="00EE016D" w14:paraId="0D34517F"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2B272B63" w14:textId="77777777">
            <w:pPr>
              <w:rPr>
                <w:rFonts w:eastAsia="Arial" w:cstheme="minorHAnsi"/>
              </w:rPr>
            </w:pPr>
            <w:r w:rsidRPr="00050A20">
              <w:rPr>
                <w:rFonts w:eastAsia="Arial" w:cstheme="minorHAnsi"/>
              </w:rPr>
              <w:t>Applicant will need to provide a description of the services and equipment if “Yes.”</w:t>
            </w:r>
          </w:p>
        </w:tc>
      </w:tr>
      <w:tr w14:paraId="49BF43A5" w14:textId="77777777" w:rsidTr="00EE016D">
        <w:tblPrEx>
          <w:tblW w:w="13063" w:type="dxa"/>
          <w:tblLook w:val="04A0"/>
        </w:tblPrEx>
        <w:tc>
          <w:tcPr>
            <w:tcW w:w="1058" w:type="dxa"/>
          </w:tcPr>
          <w:p w:rsidR="00491D1F" w:rsidRPr="00050A20" w:rsidP="00EE016D" w14:paraId="6EDFA718"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51</w:t>
            </w:r>
          </w:p>
        </w:tc>
        <w:tc>
          <w:tcPr>
            <w:tcW w:w="3294" w:type="dxa"/>
          </w:tcPr>
          <w:p w:rsidR="00491D1F" w:rsidRPr="00050A20" w:rsidP="00EE016D" w14:paraId="151A462C" w14:textId="77777777">
            <w:pPr>
              <w:pStyle w:val="NoSpacing"/>
              <w:rPr>
                <w:rFonts w:eastAsia="Arial" w:asciiTheme="minorHAnsi" w:hAnsiTheme="minorHAnsi" w:cstheme="minorHAnsi"/>
              </w:rPr>
            </w:pPr>
            <w:r w:rsidRPr="00050A20">
              <w:rPr>
                <w:rFonts w:eastAsia="Arial" w:asciiTheme="minorHAnsi" w:hAnsiTheme="minorHAnsi" w:cstheme="minorHAnsi"/>
              </w:rPr>
              <w:t>Does the proposed replacement of covered equipment and services involve Open RAN (O-RAN) or virtualized network solutions? (Yes/No)</w:t>
            </w:r>
          </w:p>
          <w:p w:rsidR="00491D1F" w:rsidRPr="00050A20" w:rsidP="00EE016D" w14:paraId="2C02C29A" w14:textId="77777777">
            <w:pPr>
              <w:pStyle w:val="NoSpacing"/>
              <w:rPr>
                <w:rFonts w:eastAsia="Arial" w:asciiTheme="minorHAnsi" w:hAnsiTheme="minorHAnsi" w:cstheme="minorHAnsi"/>
              </w:rPr>
            </w:pPr>
          </w:p>
        </w:tc>
        <w:tc>
          <w:tcPr>
            <w:tcW w:w="1816" w:type="dxa"/>
          </w:tcPr>
          <w:p w:rsidR="00491D1F" w:rsidRPr="00050A20" w:rsidP="00EE016D" w14:paraId="00F065C4"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217CBF2F" w14:textId="77777777">
            <w:pPr>
              <w:rPr>
                <w:rFonts w:eastAsia="Arial" w:cstheme="minorHAnsi"/>
              </w:rPr>
            </w:pPr>
            <w:r w:rsidRPr="00050A20">
              <w:rPr>
                <w:rFonts w:eastAsia="Arial" w:cstheme="minorHAnsi"/>
              </w:rPr>
              <w:t>Applicant will need to provide a description of the services and equipment if “Yes.”</w:t>
            </w:r>
          </w:p>
        </w:tc>
      </w:tr>
      <w:tr w14:paraId="2383EF1E" w14:textId="77777777" w:rsidTr="00EE016D">
        <w:tblPrEx>
          <w:tblW w:w="13063" w:type="dxa"/>
          <w:tblLook w:val="04A0"/>
        </w:tblPrEx>
        <w:tc>
          <w:tcPr>
            <w:tcW w:w="1058" w:type="dxa"/>
          </w:tcPr>
          <w:p w:rsidR="00491D1F" w:rsidRPr="00050A20" w:rsidP="00EE016D" w14:paraId="4992E08D"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52</w:t>
            </w:r>
          </w:p>
        </w:tc>
        <w:tc>
          <w:tcPr>
            <w:tcW w:w="3294" w:type="dxa"/>
          </w:tcPr>
          <w:p w:rsidR="00491D1F" w:rsidRPr="00193BE7" w:rsidP="00EE016D" w14:paraId="22BD6E05" w14:textId="77777777">
            <w:pPr>
              <w:pStyle w:val="xmsolistparagraph"/>
              <w:ind w:left="0"/>
              <w:rPr>
                <w:rFonts w:eastAsia="Times New Roman" w:asciiTheme="minorHAnsi" w:hAnsiTheme="minorHAnsi" w:cstheme="minorHAnsi"/>
              </w:rPr>
            </w:pPr>
            <w:r w:rsidRPr="00193BE7">
              <w:rPr>
                <w:rFonts w:eastAsia="Times New Roman" w:asciiTheme="minorHAnsi" w:hAnsiTheme="minorHAnsi" w:cstheme="minorHAnsi"/>
              </w:rPr>
              <w:t>Is the equipment or service replacing the covered equipment compatible with or does it include standardized open and interoperable interfaces in the Radio Access Network or Core Network? (Yes/No)</w:t>
            </w:r>
          </w:p>
          <w:p w:rsidR="00491D1F" w:rsidRPr="00050A20" w:rsidP="00EE016D" w14:paraId="583285C4" w14:textId="77777777">
            <w:pPr>
              <w:pStyle w:val="NoSpacing"/>
              <w:rPr>
                <w:rFonts w:eastAsia="Arial" w:asciiTheme="minorHAnsi" w:hAnsiTheme="minorHAnsi" w:cstheme="minorHAnsi"/>
              </w:rPr>
            </w:pPr>
          </w:p>
        </w:tc>
        <w:tc>
          <w:tcPr>
            <w:tcW w:w="1816" w:type="dxa"/>
          </w:tcPr>
          <w:p w:rsidR="00491D1F" w:rsidRPr="00050A20" w:rsidP="00EE016D" w14:paraId="254282C7"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039FC637" w14:textId="77777777">
            <w:pPr>
              <w:rPr>
                <w:rFonts w:eastAsia="Arial" w:cstheme="minorHAnsi"/>
              </w:rPr>
            </w:pPr>
            <w:r w:rsidRPr="00193BE7">
              <w:rPr>
                <w:rFonts w:cstheme="minorHAnsi"/>
              </w:rPr>
              <w:t>Information collected to help analyze technology trends.</w:t>
            </w:r>
          </w:p>
        </w:tc>
      </w:tr>
      <w:tr w14:paraId="18FCCAF5" w14:textId="77777777" w:rsidTr="00EE016D">
        <w:tblPrEx>
          <w:tblW w:w="13063" w:type="dxa"/>
          <w:tblLook w:val="04A0"/>
        </w:tblPrEx>
        <w:tc>
          <w:tcPr>
            <w:tcW w:w="1058" w:type="dxa"/>
          </w:tcPr>
          <w:p w:rsidR="00491D1F" w:rsidRPr="00050A20" w:rsidP="00EE016D" w14:paraId="17792226"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53</w:t>
            </w:r>
          </w:p>
        </w:tc>
        <w:tc>
          <w:tcPr>
            <w:tcW w:w="3294" w:type="dxa"/>
          </w:tcPr>
          <w:p w:rsidR="00491D1F" w:rsidRPr="00193BE7" w:rsidP="00EE016D" w14:paraId="1D1FD3E3" w14:textId="77777777">
            <w:pPr>
              <w:pStyle w:val="xmsolistparagraph"/>
              <w:ind w:left="0"/>
              <w:rPr>
                <w:rFonts w:eastAsia="Times New Roman" w:asciiTheme="minorHAnsi" w:hAnsiTheme="minorHAnsi" w:cstheme="minorHAnsi"/>
              </w:rPr>
            </w:pPr>
            <w:r w:rsidRPr="00193BE7">
              <w:rPr>
                <w:rFonts w:eastAsia="Times New Roman" w:asciiTheme="minorHAnsi" w:hAnsiTheme="minorHAnsi" w:cstheme="minorHAnsi"/>
              </w:rPr>
              <w:t>If the answer to Item 52 is “Yes,” is this equipment or service compliant with O-RAN Alliance standards? (Yes/No)</w:t>
            </w:r>
          </w:p>
          <w:p w:rsidR="00491D1F" w:rsidRPr="00050A20" w:rsidP="00EE016D" w14:paraId="69107B43" w14:textId="77777777">
            <w:pPr>
              <w:pStyle w:val="NoSpacing"/>
              <w:rPr>
                <w:rFonts w:eastAsia="Arial" w:asciiTheme="minorHAnsi" w:hAnsiTheme="minorHAnsi" w:cstheme="minorHAnsi"/>
              </w:rPr>
            </w:pPr>
          </w:p>
        </w:tc>
        <w:tc>
          <w:tcPr>
            <w:tcW w:w="1816" w:type="dxa"/>
          </w:tcPr>
          <w:p w:rsidR="00491D1F" w:rsidRPr="00050A20" w:rsidP="00EE016D" w14:paraId="3855A457"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Allocation Analysis </w:t>
            </w:r>
          </w:p>
        </w:tc>
        <w:tc>
          <w:tcPr>
            <w:tcW w:w="6895" w:type="dxa"/>
          </w:tcPr>
          <w:p w:rsidR="00491D1F" w:rsidRPr="00050A20" w:rsidP="00EE016D" w14:paraId="488E5FC4" w14:textId="77777777">
            <w:pPr>
              <w:rPr>
                <w:rFonts w:eastAsia="Arial" w:cstheme="minorHAnsi"/>
              </w:rPr>
            </w:pPr>
            <w:r w:rsidRPr="00193BE7">
              <w:rPr>
                <w:rFonts w:cstheme="minorHAnsi"/>
              </w:rPr>
              <w:t>Information collected to help analyze technology trends.</w:t>
            </w:r>
          </w:p>
        </w:tc>
      </w:tr>
      <w:tr w14:paraId="1822B422" w14:textId="77777777" w:rsidTr="00EE016D">
        <w:tblPrEx>
          <w:tblW w:w="13063" w:type="dxa"/>
          <w:tblLook w:val="04A0"/>
        </w:tblPrEx>
        <w:tc>
          <w:tcPr>
            <w:tcW w:w="1058" w:type="dxa"/>
          </w:tcPr>
          <w:p w:rsidR="00491D1F" w:rsidRPr="00050A20" w:rsidP="00EE016D" w14:paraId="3502C9EF"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54</w:t>
            </w:r>
          </w:p>
        </w:tc>
        <w:tc>
          <w:tcPr>
            <w:tcW w:w="3294" w:type="dxa"/>
          </w:tcPr>
          <w:p w:rsidR="00491D1F" w:rsidRPr="00193BE7" w:rsidP="00EE016D" w14:paraId="4709A0C1" w14:textId="77777777">
            <w:pPr>
              <w:pStyle w:val="xmsolistparagraph"/>
              <w:ind w:left="0"/>
              <w:rPr>
                <w:rFonts w:eastAsia="Times New Roman" w:asciiTheme="minorHAnsi" w:hAnsiTheme="minorHAnsi" w:cstheme="minorHAnsi"/>
              </w:rPr>
            </w:pPr>
            <w:r w:rsidRPr="00193BE7">
              <w:rPr>
                <w:rFonts w:eastAsia="Times New Roman" w:asciiTheme="minorHAnsi" w:hAnsiTheme="minorHAnsi" w:cstheme="minorHAnsi"/>
                <w:color w:val="000000"/>
              </w:rPr>
              <w:t>If the answer to Item 52 is “No,” can it be upgraded to be O-RAN Alliance standards, and is there a commitment to do so? (Yes/No)</w:t>
            </w:r>
          </w:p>
          <w:p w:rsidR="00491D1F" w:rsidRPr="00193BE7" w:rsidP="00EE016D" w14:paraId="5768D82A" w14:textId="77777777">
            <w:pPr>
              <w:pStyle w:val="xmsolistparagraph"/>
              <w:ind w:left="0"/>
              <w:rPr>
                <w:rFonts w:eastAsia="Times New Roman" w:asciiTheme="minorHAnsi" w:hAnsiTheme="minorHAnsi" w:cstheme="minorHAnsi"/>
              </w:rPr>
            </w:pPr>
          </w:p>
        </w:tc>
        <w:tc>
          <w:tcPr>
            <w:tcW w:w="1816" w:type="dxa"/>
          </w:tcPr>
          <w:p w:rsidR="00491D1F" w:rsidRPr="00050A20" w:rsidP="00EE016D" w14:paraId="6C39AB1B"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7B662191" w14:textId="77777777">
            <w:pPr>
              <w:rPr>
                <w:rFonts w:eastAsia="Arial" w:cstheme="minorHAnsi"/>
              </w:rPr>
            </w:pPr>
            <w:r w:rsidRPr="00193BE7">
              <w:rPr>
                <w:rFonts w:cstheme="minorHAnsi"/>
              </w:rPr>
              <w:t>Information collected to help analyze technology trends.</w:t>
            </w:r>
          </w:p>
        </w:tc>
      </w:tr>
      <w:tr w14:paraId="3D21F24B" w14:textId="77777777" w:rsidTr="00EE016D">
        <w:tblPrEx>
          <w:tblW w:w="13063" w:type="dxa"/>
          <w:tblLook w:val="04A0"/>
        </w:tblPrEx>
        <w:tc>
          <w:tcPr>
            <w:tcW w:w="1058" w:type="dxa"/>
          </w:tcPr>
          <w:p w:rsidR="00491D1F" w:rsidRPr="00050A20" w:rsidP="00EE016D" w14:paraId="06654AF5"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55</w:t>
            </w:r>
          </w:p>
        </w:tc>
        <w:tc>
          <w:tcPr>
            <w:tcW w:w="3294" w:type="dxa"/>
          </w:tcPr>
          <w:p w:rsidR="00491D1F" w:rsidRPr="00050A20" w:rsidP="00EE016D" w14:paraId="76F93ADE" w14:textId="77777777">
            <w:pPr>
              <w:pStyle w:val="NoSpacing"/>
              <w:rPr>
                <w:rFonts w:eastAsia="Arial" w:asciiTheme="minorHAnsi" w:hAnsiTheme="minorHAnsi" w:cstheme="minorHAnsi"/>
              </w:rPr>
            </w:pPr>
            <w:r w:rsidRPr="00050A20">
              <w:rPr>
                <w:rFonts w:eastAsia="Arial" w:asciiTheme="minorHAnsi" w:hAnsiTheme="minorHAnsi" w:cstheme="minorHAnsi"/>
              </w:rPr>
              <w:t>Do you expect major service disruptions to subscribers in the process of removing and replacing covered equipment and services? (Yes/No)</w:t>
            </w:r>
          </w:p>
          <w:p w:rsidR="00491D1F" w:rsidRPr="00050A20" w:rsidP="00EE016D" w14:paraId="52545ABF" w14:textId="77777777">
            <w:pPr>
              <w:pStyle w:val="NoSpacing"/>
              <w:rPr>
                <w:rFonts w:eastAsia="Arial" w:asciiTheme="minorHAnsi" w:hAnsiTheme="minorHAnsi" w:cstheme="minorHAnsi"/>
              </w:rPr>
            </w:pPr>
          </w:p>
        </w:tc>
        <w:tc>
          <w:tcPr>
            <w:tcW w:w="1816" w:type="dxa"/>
          </w:tcPr>
          <w:p w:rsidR="00491D1F" w:rsidRPr="00050A20" w:rsidP="00EE016D" w14:paraId="092A3439" w14:textId="77777777">
            <w:pPr>
              <w:pStyle w:val="NoSpacing"/>
              <w:rPr>
                <w:rFonts w:eastAsia="Arial" w:asciiTheme="minorHAnsi" w:hAnsiTheme="minorHAnsi" w:cstheme="minorHAnsi"/>
              </w:rPr>
            </w:pPr>
            <w:r w:rsidRPr="00050A20">
              <w:rPr>
                <w:rFonts w:eastAsia="Arial" w:asciiTheme="minorHAnsi" w:hAnsiTheme="minorHAnsi" w:cstheme="minorHAnsi"/>
              </w:rPr>
              <w:t>Allocation Analysis</w:t>
            </w:r>
          </w:p>
        </w:tc>
        <w:tc>
          <w:tcPr>
            <w:tcW w:w="6895" w:type="dxa"/>
          </w:tcPr>
          <w:p w:rsidR="00491D1F" w:rsidRPr="00050A20" w:rsidP="00EE016D" w14:paraId="33221239" w14:textId="77777777">
            <w:pPr>
              <w:rPr>
                <w:rFonts w:eastAsia="Arial" w:cstheme="minorHAnsi"/>
              </w:rPr>
            </w:pPr>
            <w:r w:rsidRPr="00050A20">
              <w:rPr>
                <w:rFonts w:eastAsia="Arial" w:cstheme="minorHAnsi"/>
              </w:rPr>
              <w:t>Applicant will need to provide a description of the services and equipment if “Yes.”</w:t>
            </w:r>
          </w:p>
        </w:tc>
      </w:tr>
      <w:tr w14:paraId="3EBE9BA4" w14:textId="77777777" w:rsidTr="00EE016D">
        <w:tblPrEx>
          <w:tblW w:w="13063" w:type="dxa"/>
          <w:tblLook w:val="04A0"/>
        </w:tblPrEx>
        <w:tc>
          <w:tcPr>
            <w:tcW w:w="1058" w:type="dxa"/>
          </w:tcPr>
          <w:p w:rsidR="00491D1F" w:rsidRPr="00050A20" w:rsidP="00EE016D" w14:paraId="5A58FC10"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56</w:t>
            </w:r>
          </w:p>
        </w:tc>
        <w:tc>
          <w:tcPr>
            <w:tcW w:w="3294" w:type="dxa"/>
          </w:tcPr>
          <w:p w:rsidR="00491D1F" w:rsidRPr="00050A20" w:rsidP="00EE016D" w14:paraId="22CAE355" w14:textId="77777777">
            <w:pPr>
              <w:pStyle w:val="NoSpacing"/>
              <w:rPr>
                <w:rFonts w:eastAsia="Arial" w:asciiTheme="minorHAnsi" w:hAnsiTheme="minorHAnsi" w:cstheme="minorHAnsi"/>
              </w:rPr>
            </w:pPr>
            <w:r w:rsidRPr="00050A20">
              <w:rPr>
                <w:rFonts w:eastAsia="Arial" w:asciiTheme="minorHAnsi" w:hAnsiTheme="minorHAnsi" w:cstheme="minorHAnsi"/>
              </w:rPr>
              <w:t xml:space="preserve">Applicant must certify in (via electronic signature of authorized representative) the following that as of the date of submission of this application following that Applicant has developed a specific plan and timeline for the permanent removal, replacement, and disposal of covered communications equipment or service.  </w:t>
            </w:r>
          </w:p>
          <w:p w:rsidR="00491D1F" w:rsidRPr="00050A20" w:rsidP="00EE016D" w14:paraId="5C7FEE79" w14:textId="77777777">
            <w:pPr>
              <w:pStyle w:val="NoSpacing"/>
              <w:rPr>
                <w:rFonts w:eastAsia="Arial" w:asciiTheme="minorHAnsi" w:hAnsiTheme="minorHAnsi" w:cstheme="minorHAnsi"/>
              </w:rPr>
            </w:pPr>
          </w:p>
        </w:tc>
        <w:tc>
          <w:tcPr>
            <w:tcW w:w="1816" w:type="dxa"/>
          </w:tcPr>
          <w:p w:rsidR="00491D1F" w:rsidRPr="00050A20" w:rsidP="00EE016D" w14:paraId="32EC7372"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tc>
        <w:tc>
          <w:tcPr>
            <w:tcW w:w="6895" w:type="dxa"/>
          </w:tcPr>
          <w:p w:rsidR="00491D1F" w:rsidRPr="00050A20" w:rsidP="00EE016D" w14:paraId="3415ADF0" w14:textId="77777777">
            <w:pPr>
              <w:rPr>
                <w:rFonts w:eastAsia="Arial" w:cstheme="minorHAnsi"/>
              </w:rPr>
            </w:pPr>
            <w:r w:rsidRPr="00050A20">
              <w:rPr>
                <w:rFonts w:eastAsia="Arial" w:cstheme="minorHAnsi"/>
              </w:rPr>
              <w:t xml:space="preserve">Certifications required by statute.  </w:t>
            </w:r>
          </w:p>
        </w:tc>
      </w:tr>
      <w:tr w14:paraId="50AA4C44" w14:textId="77777777" w:rsidTr="00EE016D">
        <w:tblPrEx>
          <w:tblW w:w="13063" w:type="dxa"/>
          <w:tblLook w:val="04A0"/>
        </w:tblPrEx>
        <w:trPr>
          <w:cantSplit/>
        </w:trPr>
        <w:tc>
          <w:tcPr>
            <w:tcW w:w="1058" w:type="dxa"/>
          </w:tcPr>
          <w:p w:rsidR="00491D1F" w:rsidRPr="00050A20" w:rsidP="00EE016D" w14:paraId="3165B90C"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57</w:t>
            </w:r>
          </w:p>
        </w:tc>
        <w:tc>
          <w:tcPr>
            <w:tcW w:w="3294" w:type="dxa"/>
          </w:tcPr>
          <w:p w:rsidR="00491D1F" w:rsidRPr="00050A20" w:rsidP="00EE016D" w14:paraId="2678CC5D" w14:textId="77777777">
            <w:pPr>
              <w:pStyle w:val="NoSpacing"/>
              <w:rPr>
                <w:rFonts w:eastAsia="Arial" w:asciiTheme="minorHAnsi" w:hAnsiTheme="minorHAnsi" w:cstheme="minorHAnsi"/>
              </w:rPr>
            </w:pPr>
            <w:r w:rsidRPr="00050A20">
              <w:rPr>
                <w:rFonts w:eastAsia="Arial" w:asciiTheme="minorHAnsi" w:hAnsiTheme="minorHAnsi" w:cstheme="minorHAnsi"/>
              </w:rPr>
              <w:t>Applicant must certify in (via electronic signature of authorized representative) the following that beginning on the date of the approval of the application, the Applicant: (1) will not purchase, rent, lease or otherwise obtain covered communications equipment or service, using reimbursement funds (including funds derived from private sources) and (2) in developing risk management practices, will consult and consider the standards, guidelines, and best practices set forth in the cybersecurity framework developed by the National Institute of Standards and Technology.</w:t>
            </w:r>
          </w:p>
          <w:p w:rsidR="00491D1F" w:rsidRPr="00050A20" w:rsidP="00EE016D" w14:paraId="0344DECF" w14:textId="77777777">
            <w:pPr>
              <w:pStyle w:val="NoSpacing"/>
              <w:rPr>
                <w:rFonts w:eastAsia="Arial" w:asciiTheme="minorHAnsi" w:hAnsiTheme="minorHAnsi" w:cstheme="minorHAnsi"/>
              </w:rPr>
            </w:pPr>
          </w:p>
        </w:tc>
        <w:tc>
          <w:tcPr>
            <w:tcW w:w="1816" w:type="dxa"/>
          </w:tcPr>
          <w:p w:rsidR="00491D1F" w:rsidRPr="00050A20" w:rsidP="00EE016D" w14:paraId="04246892"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tc>
        <w:tc>
          <w:tcPr>
            <w:tcW w:w="6895" w:type="dxa"/>
          </w:tcPr>
          <w:p w:rsidR="00491D1F" w:rsidRPr="00050A20" w:rsidP="00EE016D" w14:paraId="03CC5374" w14:textId="77777777">
            <w:pPr>
              <w:rPr>
                <w:rFonts w:eastAsia="Arial" w:cstheme="minorHAnsi"/>
              </w:rPr>
            </w:pPr>
            <w:r w:rsidRPr="00050A20">
              <w:rPr>
                <w:rFonts w:eastAsia="Arial" w:cstheme="minorHAnsi"/>
              </w:rPr>
              <w:t xml:space="preserve">Certifications required by statute.  </w:t>
            </w:r>
          </w:p>
        </w:tc>
      </w:tr>
      <w:tr w14:paraId="512BB6DC" w14:textId="77777777" w:rsidTr="00EE016D">
        <w:tblPrEx>
          <w:tblW w:w="13063" w:type="dxa"/>
          <w:tblLook w:val="04A0"/>
        </w:tblPrEx>
        <w:trPr>
          <w:cantSplit/>
        </w:trPr>
        <w:tc>
          <w:tcPr>
            <w:tcW w:w="1058" w:type="dxa"/>
          </w:tcPr>
          <w:p w:rsidR="00491D1F" w:rsidRPr="00050A20" w:rsidP="00EE016D" w14:paraId="303CB40F"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58</w:t>
            </w:r>
          </w:p>
        </w:tc>
        <w:tc>
          <w:tcPr>
            <w:tcW w:w="3294" w:type="dxa"/>
          </w:tcPr>
          <w:p w:rsidR="00491D1F" w:rsidRPr="00050A20" w:rsidP="00EE016D" w14:paraId="23D470DA" w14:textId="77777777">
            <w:pPr>
              <w:pStyle w:val="NoSpacing"/>
              <w:rPr>
                <w:rFonts w:eastAsia="Arial" w:asciiTheme="minorHAnsi" w:hAnsiTheme="minorHAnsi" w:cstheme="minorHAnsi"/>
              </w:rPr>
            </w:pPr>
            <w:r w:rsidRPr="00050A20">
              <w:rPr>
                <w:rFonts w:eastAsia="Arial" w:asciiTheme="minorHAnsi" w:hAnsiTheme="minorHAnsi" w:cstheme="minorHAnsi"/>
              </w:rPr>
              <w:t>Applicant must certify in good faith (via electronic signature of authorized representative) the following:  (1) Applicant will reasonably incur the estimated costs claimed as eligible for reimbursement; (2) Applicant will use all money received from the Reimbursement Program only for expenses eligible for reimbursement; (3) Applicant will comply with all policies and procedures relating to allocations, draw downs, payments, obligations, and expenditures of money from the Reimbursement Program; (4) Applicant will maintain detailed records, including receipts, of all costs eligible for reimbursement actually incurred for a period of 10 years; and (5) Applicant will file all required documentation for its expenses.</w:t>
            </w:r>
          </w:p>
          <w:p w:rsidR="00491D1F" w:rsidRPr="00050A20" w:rsidP="00EE016D" w14:paraId="27FA2706" w14:textId="77777777">
            <w:pPr>
              <w:pStyle w:val="NoSpacing"/>
              <w:rPr>
                <w:rFonts w:eastAsia="Arial" w:asciiTheme="minorHAnsi" w:hAnsiTheme="minorHAnsi" w:cstheme="minorHAnsi"/>
              </w:rPr>
            </w:pPr>
          </w:p>
        </w:tc>
        <w:tc>
          <w:tcPr>
            <w:tcW w:w="1816" w:type="dxa"/>
          </w:tcPr>
          <w:p w:rsidR="00491D1F" w:rsidRPr="00050A20" w:rsidP="00EE016D" w14:paraId="42B7E420"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tc>
        <w:tc>
          <w:tcPr>
            <w:tcW w:w="6895" w:type="dxa"/>
          </w:tcPr>
          <w:p w:rsidR="00491D1F" w:rsidRPr="00050A20" w:rsidP="00EE016D" w14:paraId="23B77C63" w14:textId="77777777">
            <w:pPr>
              <w:rPr>
                <w:rFonts w:eastAsia="Arial" w:cstheme="minorHAnsi"/>
              </w:rPr>
            </w:pPr>
            <w:r w:rsidRPr="00050A20">
              <w:rPr>
                <w:rFonts w:eastAsia="Arial" w:cstheme="minorHAnsi"/>
              </w:rPr>
              <w:t>Certifications necessary to protect Reimbursement Program against waste, fraud, and abuse.</w:t>
            </w:r>
          </w:p>
        </w:tc>
      </w:tr>
      <w:tr w14:paraId="0C709262" w14:textId="77777777" w:rsidTr="00EE016D">
        <w:tblPrEx>
          <w:tblW w:w="13063" w:type="dxa"/>
          <w:tblLook w:val="04A0"/>
        </w:tblPrEx>
        <w:tc>
          <w:tcPr>
            <w:tcW w:w="1058" w:type="dxa"/>
          </w:tcPr>
          <w:p w:rsidR="00491D1F" w:rsidRPr="00050A20" w:rsidP="00EE016D" w14:paraId="1512E80C"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59</w:t>
            </w:r>
          </w:p>
        </w:tc>
        <w:tc>
          <w:tcPr>
            <w:tcW w:w="3294" w:type="dxa"/>
          </w:tcPr>
          <w:p w:rsidR="00491D1F" w:rsidRPr="00050A20" w:rsidP="00EE016D" w14:paraId="115CCAD6" w14:textId="77777777">
            <w:pPr>
              <w:pStyle w:val="NoSpacing"/>
              <w:rPr>
                <w:rFonts w:eastAsia="Arial" w:asciiTheme="minorHAnsi" w:hAnsiTheme="minorHAnsi" w:cstheme="minorHAnsi"/>
              </w:rPr>
            </w:pPr>
            <w:r w:rsidRPr="00050A20">
              <w:rPr>
                <w:rFonts w:eastAsia="Arial" w:asciiTheme="minorHAnsi" w:hAnsiTheme="minorHAnsi" w:cstheme="minorHAnsi"/>
              </w:rPr>
              <w:t>Applicant certifies that all information provided in this filing is true and correct to the best of Applicant’s knowledge.</w:t>
            </w:r>
          </w:p>
          <w:p w:rsidR="00491D1F" w:rsidRPr="00050A20" w:rsidP="00EE016D" w14:paraId="2FDE293E" w14:textId="77777777">
            <w:pPr>
              <w:pStyle w:val="NoSpacing"/>
              <w:rPr>
                <w:rFonts w:eastAsia="Arial" w:asciiTheme="minorHAnsi" w:hAnsiTheme="minorHAnsi" w:cstheme="minorHAnsi"/>
              </w:rPr>
            </w:pPr>
          </w:p>
        </w:tc>
        <w:tc>
          <w:tcPr>
            <w:tcW w:w="1816" w:type="dxa"/>
          </w:tcPr>
          <w:p w:rsidR="00491D1F" w:rsidRPr="00050A20" w:rsidP="00EE016D" w14:paraId="78E0FD85"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tc>
        <w:tc>
          <w:tcPr>
            <w:tcW w:w="6895" w:type="dxa"/>
          </w:tcPr>
          <w:p w:rsidR="00491D1F" w:rsidRPr="00050A20" w:rsidP="00EE016D" w14:paraId="6A6ADAE3" w14:textId="77777777">
            <w:pPr>
              <w:rPr>
                <w:rFonts w:eastAsia="Arial" w:cstheme="minorHAnsi"/>
              </w:rPr>
            </w:pPr>
            <w:r w:rsidRPr="00050A20">
              <w:rPr>
                <w:rFonts w:eastAsia="Arial" w:cstheme="minorHAnsi"/>
              </w:rPr>
              <w:t>Certification necessary to ensure accuracy of information provided.</w:t>
            </w:r>
          </w:p>
          <w:p w:rsidR="00491D1F" w:rsidRPr="00050A20" w:rsidP="00EE016D" w14:paraId="205C352C" w14:textId="77777777">
            <w:pPr>
              <w:rPr>
                <w:rFonts w:eastAsia="Arial" w:cstheme="minorHAnsi"/>
              </w:rPr>
            </w:pPr>
          </w:p>
        </w:tc>
      </w:tr>
      <w:tr w14:paraId="51A5EC0C" w14:textId="77777777" w:rsidTr="00EE016D">
        <w:tblPrEx>
          <w:tblW w:w="13063" w:type="dxa"/>
          <w:tblLook w:val="04A0"/>
        </w:tblPrEx>
        <w:tc>
          <w:tcPr>
            <w:tcW w:w="1058" w:type="dxa"/>
          </w:tcPr>
          <w:p w:rsidR="00491D1F" w:rsidRPr="00050A20" w:rsidP="00EE016D" w14:paraId="55AC7252"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60</w:t>
            </w:r>
          </w:p>
        </w:tc>
        <w:tc>
          <w:tcPr>
            <w:tcW w:w="3294" w:type="dxa"/>
          </w:tcPr>
          <w:p w:rsidR="00491D1F" w:rsidRPr="00050A20" w:rsidP="00EE016D" w14:paraId="53AAA0E2" w14:textId="77777777">
            <w:pPr>
              <w:pStyle w:val="NoSpacing"/>
              <w:rPr>
                <w:rFonts w:eastAsia="Arial" w:asciiTheme="minorHAnsi" w:hAnsiTheme="minorHAnsi" w:cstheme="minorHAnsi"/>
              </w:rPr>
            </w:pPr>
            <w:r w:rsidRPr="00050A20">
              <w:rPr>
                <w:rFonts w:eastAsia="Arial" w:asciiTheme="minorHAnsi" w:hAnsiTheme="minorHAnsi" w:cstheme="minorHAnsi"/>
              </w:rPr>
              <w:t>Certifying Official Name</w:t>
            </w:r>
          </w:p>
        </w:tc>
        <w:tc>
          <w:tcPr>
            <w:tcW w:w="1816" w:type="dxa"/>
          </w:tcPr>
          <w:p w:rsidR="00491D1F" w:rsidRPr="00050A20" w:rsidP="00EE016D" w14:paraId="53EAE9EC"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p w:rsidR="00491D1F" w:rsidRPr="00050A20" w:rsidP="00EE016D" w14:paraId="761CEB2E" w14:textId="77777777">
            <w:pPr>
              <w:pStyle w:val="NoSpacing"/>
              <w:rPr>
                <w:rFonts w:eastAsia="Arial" w:asciiTheme="minorHAnsi" w:hAnsiTheme="minorHAnsi" w:cstheme="minorHAnsi"/>
              </w:rPr>
            </w:pPr>
          </w:p>
        </w:tc>
        <w:tc>
          <w:tcPr>
            <w:tcW w:w="6895" w:type="dxa"/>
          </w:tcPr>
          <w:p w:rsidR="00491D1F" w:rsidRPr="00050A20" w:rsidP="00EE016D" w14:paraId="4E774BDB" w14:textId="77777777">
            <w:pPr>
              <w:rPr>
                <w:rFonts w:eastAsia="Arial" w:cstheme="minorHAnsi"/>
              </w:rPr>
            </w:pPr>
            <w:r w:rsidRPr="00050A20">
              <w:rPr>
                <w:rFonts w:eastAsia="Arial" w:cstheme="minorHAnsi"/>
              </w:rPr>
              <w:t xml:space="preserve">Name of certifying official.  </w:t>
            </w:r>
          </w:p>
        </w:tc>
      </w:tr>
      <w:tr w14:paraId="16404F9C" w14:textId="77777777" w:rsidTr="00EE016D">
        <w:tblPrEx>
          <w:tblW w:w="13063" w:type="dxa"/>
          <w:tblLook w:val="04A0"/>
        </w:tblPrEx>
        <w:tc>
          <w:tcPr>
            <w:tcW w:w="1058" w:type="dxa"/>
          </w:tcPr>
          <w:p w:rsidR="00491D1F" w:rsidRPr="00050A20" w:rsidP="00EE016D" w14:paraId="655D59E1"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61</w:t>
            </w:r>
          </w:p>
        </w:tc>
        <w:tc>
          <w:tcPr>
            <w:tcW w:w="3294" w:type="dxa"/>
          </w:tcPr>
          <w:p w:rsidR="00491D1F" w:rsidRPr="00050A20" w:rsidP="00EE016D" w14:paraId="494DFE8E" w14:textId="77777777">
            <w:pPr>
              <w:pStyle w:val="NoSpacing"/>
              <w:rPr>
                <w:rFonts w:eastAsia="Arial" w:asciiTheme="minorHAnsi" w:hAnsiTheme="minorHAnsi" w:cstheme="minorHAnsi"/>
              </w:rPr>
            </w:pPr>
            <w:r w:rsidRPr="00050A20">
              <w:rPr>
                <w:rFonts w:eastAsia="Arial" w:asciiTheme="minorHAnsi" w:hAnsiTheme="minorHAnsi" w:cstheme="minorHAnsi"/>
              </w:rPr>
              <w:t>Certifying Official Title</w:t>
            </w:r>
          </w:p>
        </w:tc>
        <w:tc>
          <w:tcPr>
            <w:tcW w:w="1816" w:type="dxa"/>
          </w:tcPr>
          <w:p w:rsidR="00491D1F" w:rsidRPr="00050A20" w:rsidP="00EE016D" w14:paraId="2BAA3817" w14:textId="54018C88">
            <w:pPr>
              <w:pStyle w:val="NoSpacing"/>
              <w:rPr>
                <w:rFonts w:eastAsia="Arial" w:asciiTheme="minorHAnsi" w:hAnsiTheme="minorHAnsi" w:cstheme="minorHAnsi"/>
              </w:rPr>
            </w:pPr>
            <w:r w:rsidRPr="00050A20">
              <w:rPr>
                <w:rFonts w:eastAsia="Arial" w:asciiTheme="minorHAnsi" w:hAnsiTheme="minorHAnsi" w:cstheme="minorHAnsi"/>
              </w:rPr>
              <w:t>Program Compliance</w:t>
            </w:r>
          </w:p>
        </w:tc>
        <w:tc>
          <w:tcPr>
            <w:tcW w:w="6895" w:type="dxa"/>
          </w:tcPr>
          <w:p w:rsidR="00491D1F" w:rsidRPr="00050A20" w:rsidP="00EE016D" w14:paraId="3C369D60" w14:textId="77777777">
            <w:pPr>
              <w:rPr>
                <w:rFonts w:eastAsia="Arial" w:cstheme="minorHAnsi"/>
              </w:rPr>
            </w:pPr>
            <w:r w:rsidRPr="00050A20">
              <w:rPr>
                <w:rFonts w:eastAsia="Arial" w:cstheme="minorHAnsi"/>
              </w:rPr>
              <w:t>Job title of certifying official.</w:t>
            </w:r>
          </w:p>
        </w:tc>
      </w:tr>
      <w:tr w14:paraId="13849B82" w14:textId="77777777" w:rsidTr="00EE016D">
        <w:tblPrEx>
          <w:tblW w:w="13063" w:type="dxa"/>
          <w:tblLook w:val="04A0"/>
        </w:tblPrEx>
        <w:tc>
          <w:tcPr>
            <w:tcW w:w="1058" w:type="dxa"/>
          </w:tcPr>
          <w:p w:rsidR="00491D1F" w:rsidRPr="00050A20" w:rsidP="00EE016D" w14:paraId="3C3ABE15"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62</w:t>
            </w:r>
          </w:p>
        </w:tc>
        <w:tc>
          <w:tcPr>
            <w:tcW w:w="3294" w:type="dxa"/>
          </w:tcPr>
          <w:p w:rsidR="00491D1F" w:rsidRPr="00050A20" w:rsidP="00EE016D" w14:paraId="349AFE20" w14:textId="77777777">
            <w:pPr>
              <w:pStyle w:val="NoSpacing"/>
              <w:rPr>
                <w:rFonts w:eastAsia="Arial" w:asciiTheme="minorHAnsi" w:hAnsiTheme="minorHAnsi" w:cstheme="minorHAnsi"/>
              </w:rPr>
            </w:pPr>
            <w:r w:rsidRPr="00050A20">
              <w:rPr>
                <w:rFonts w:eastAsia="Arial" w:asciiTheme="minorHAnsi" w:hAnsiTheme="minorHAnsi" w:cstheme="minorHAnsi"/>
              </w:rPr>
              <w:t>Certifying Official Phone Number</w:t>
            </w:r>
          </w:p>
        </w:tc>
        <w:tc>
          <w:tcPr>
            <w:tcW w:w="1816" w:type="dxa"/>
          </w:tcPr>
          <w:p w:rsidR="00491D1F" w:rsidRPr="00050A20" w:rsidP="00EE016D" w14:paraId="3913EAF1"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p w:rsidR="00491D1F" w:rsidRPr="00050A20" w:rsidP="00EE016D" w14:paraId="4C28E6CF" w14:textId="77777777">
            <w:pPr>
              <w:pStyle w:val="NoSpacing"/>
              <w:rPr>
                <w:rFonts w:eastAsia="Arial" w:asciiTheme="minorHAnsi" w:hAnsiTheme="minorHAnsi" w:cstheme="minorHAnsi"/>
              </w:rPr>
            </w:pPr>
          </w:p>
        </w:tc>
        <w:tc>
          <w:tcPr>
            <w:tcW w:w="6895" w:type="dxa"/>
          </w:tcPr>
          <w:p w:rsidR="00491D1F" w:rsidRPr="00050A20" w:rsidP="00EE016D" w14:paraId="582B6312" w14:textId="77777777">
            <w:pPr>
              <w:rPr>
                <w:rFonts w:eastAsia="Arial" w:cstheme="minorHAnsi"/>
              </w:rPr>
            </w:pPr>
            <w:r w:rsidRPr="00050A20">
              <w:rPr>
                <w:rFonts w:eastAsia="Arial" w:cstheme="minorHAnsi"/>
              </w:rPr>
              <w:t>Phone number of the certifying official.</w:t>
            </w:r>
          </w:p>
        </w:tc>
      </w:tr>
      <w:tr w14:paraId="1C015E75" w14:textId="77777777" w:rsidTr="00EE016D">
        <w:tblPrEx>
          <w:tblW w:w="13063" w:type="dxa"/>
          <w:tblLook w:val="04A0"/>
        </w:tblPrEx>
        <w:tc>
          <w:tcPr>
            <w:tcW w:w="1058" w:type="dxa"/>
          </w:tcPr>
          <w:p w:rsidR="00491D1F" w:rsidRPr="00050A20" w:rsidP="00EE016D" w14:paraId="614E8844"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63</w:t>
            </w:r>
          </w:p>
        </w:tc>
        <w:tc>
          <w:tcPr>
            <w:tcW w:w="3294" w:type="dxa"/>
          </w:tcPr>
          <w:p w:rsidR="00491D1F" w:rsidRPr="00050A20" w:rsidP="00EE016D" w14:paraId="1CCE81D4" w14:textId="77777777">
            <w:pPr>
              <w:pStyle w:val="NoSpacing"/>
              <w:rPr>
                <w:rFonts w:eastAsia="Arial" w:asciiTheme="minorHAnsi" w:hAnsiTheme="minorHAnsi" w:cstheme="minorHAnsi"/>
              </w:rPr>
            </w:pPr>
            <w:r w:rsidRPr="00050A20">
              <w:rPr>
                <w:rFonts w:eastAsia="Arial" w:asciiTheme="minorHAnsi" w:hAnsiTheme="minorHAnsi" w:cstheme="minorHAnsi"/>
              </w:rPr>
              <w:t>Certifying Official Email Address</w:t>
            </w:r>
          </w:p>
        </w:tc>
        <w:tc>
          <w:tcPr>
            <w:tcW w:w="1816" w:type="dxa"/>
          </w:tcPr>
          <w:p w:rsidR="00491D1F" w:rsidRPr="00050A20" w:rsidP="00EE016D" w14:paraId="395775C9"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p w:rsidR="00491D1F" w:rsidRPr="00050A20" w:rsidP="00EE016D" w14:paraId="6B4E7CB4" w14:textId="77777777">
            <w:pPr>
              <w:pStyle w:val="NoSpacing"/>
              <w:rPr>
                <w:rFonts w:eastAsia="Arial" w:asciiTheme="minorHAnsi" w:hAnsiTheme="minorHAnsi" w:cstheme="minorHAnsi"/>
              </w:rPr>
            </w:pPr>
          </w:p>
        </w:tc>
        <w:tc>
          <w:tcPr>
            <w:tcW w:w="6895" w:type="dxa"/>
          </w:tcPr>
          <w:p w:rsidR="00491D1F" w:rsidRPr="00050A20" w:rsidP="00EE016D" w14:paraId="3D12F9AE" w14:textId="77777777">
            <w:pPr>
              <w:rPr>
                <w:rFonts w:eastAsia="Arial" w:cstheme="minorHAnsi"/>
              </w:rPr>
            </w:pPr>
            <w:r w:rsidRPr="00050A20">
              <w:rPr>
                <w:rFonts w:eastAsia="Arial" w:cstheme="minorHAnsi"/>
              </w:rPr>
              <w:t>Email address of the certifying official.</w:t>
            </w:r>
          </w:p>
        </w:tc>
      </w:tr>
      <w:tr w14:paraId="43C9744E" w14:textId="77777777" w:rsidTr="00EE016D">
        <w:tblPrEx>
          <w:tblW w:w="13063" w:type="dxa"/>
          <w:tblLook w:val="04A0"/>
        </w:tblPrEx>
        <w:tc>
          <w:tcPr>
            <w:tcW w:w="1058" w:type="dxa"/>
          </w:tcPr>
          <w:p w:rsidR="00491D1F" w:rsidRPr="00050A20" w:rsidP="00EE016D" w14:paraId="7B916499" w14:textId="77777777">
            <w:pPr>
              <w:pStyle w:val="NoSpacing"/>
              <w:jc w:val="center"/>
              <w:rPr>
                <w:rFonts w:eastAsia="Arial" w:asciiTheme="minorHAnsi" w:hAnsiTheme="minorHAnsi" w:cstheme="minorHAnsi"/>
              </w:rPr>
            </w:pPr>
            <w:r w:rsidRPr="00050A20">
              <w:rPr>
                <w:rFonts w:eastAsia="Arial" w:asciiTheme="minorHAnsi" w:hAnsiTheme="minorHAnsi" w:cstheme="minorHAnsi"/>
              </w:rPr>
              <w:t>64</w:t>
            </w:r>
          </w:p>
        </w:tc>
        <w:tc>
          <w:tcPr>
            <w:tcW w:w="3294" w:type="dxa"/>
          </w:tcPr>
          <w:p w:rsidR="00491D1F" w:rsidRPr="00050A20" w:rsidP="00EE016D" w14:paraId="13CD4755" w14:textId="77777777">
            <w:pPr>
              <w:pStyle w:val="NoSpacing"/>
              <w:rPr>
                <w:rFonts w:eastAsia="Arial" w:asciiTheme="minorHAnsi" w:hAnsiTheme="minorHAnsi" w:cstheme="minorHAnsi"/>
              </w:rPr>
            </w:pPr>
            <w:r w:rsidRPr="00050A20">
              <w:rPr>
                <w:rFonts w:eastAsia="Arial" w:asciiTheme="minorHAnsi" w:hAnsiTheme="minorHAnsi" w:cstheme="minorHAnsi"/>
              </w:rPr>
              <w:t>Date Signed</w:t>
            </w:r>
          </w:p>
        </w:tc>
        <w:tc>
          <w:tcPr>
            <w:tcW w:w="1816" w:type="dxa"/>
          </w:tcPr>
          <w:p w:rsidR="00491D1F" w:rsidRPr="00050A20" w:rsidP="00EE016D" w14:paraId="45364432" w14:textId="77777777">
            <w:pPr>
              <w:pStyle w:val="NoSpacing"/>
              <w:rPr>
                <w:rFonts w:eastAsia="Arial" w:asciiTheme="minorHAnsi" w:hAnsiTheme="minorHAnsi" w:cstheme="minorHAnsi"/>
              </w:rPr>
            </w:pPr>
            <w:r w:rsidRPr="00050A20">
              <w:rPr>
                <w:rFonts w:eastAsia="Arial" w:asciiTheme="minorHAnsi" w:hAnsiTheme="minorHAnsi" w:cstheme="minorHAnsi"/>
              </w:rPr>
              <w:t>Program Compliance</w:t>
            </w:r>
          </w:p>
          <w:p w:rsidR="00491D1F" w:rsidRPr="00050A20" w:rsidP="00EE016D" w14:paraId="4DE31478" w14:textId="77777777">
            <w:pPr>
              <w:pStyle w:val="NoSpacing"/>
              <w:rPr>
                <w:rFonts w:eastAsia="Arial" w:asciiTheme="minorHAnsi" w:hAnsiTheme="minorHAnsi" w:cstheme="minorHAnsi"/>
              </w:rPr>
            </w:pPr>
          </w:p>
        </w:tc>
        <w:tc>
          <w:tcPr>
            <w:tcW w:w="6895" w:type="dxa"/>
          </w:tcPr>
          <w:p w:rsidR="00491D1F" w:rsidRPr="00050A20" w:rsidP="00EE016D" w14:paraId="1B95256D" w14:textId="77777777">
            <w:pPr>
              <w:rPr>
                <w:rFonts w:eastAsia="Arial" w:cstheme="minorHAnsi"/>
              </w:rPr>
            </w:pPr>
            <w:r w:rsidRPr="00050A20">
              <w:rPr>
                <w:rFonts w:eastAsia="Arial" w:cstheme="minorHAnsi"/>
              </w:rPr>
              <w:t>The date on which the filing is certified will be auto-generated.</w:t>
            </w:r>
          </w:p>
        </w:tc>
      </w:tr>
    </w:tbl>
    <w:p w:rsidR="00491D1F" w:rsidRPr="00050A20" w:rsidP="00491D1F" w14:paraId="227FA689" w14:textId="77777777">
      <w:pPr>
        <w:pStyle w:val="NoSpacing"/>
        <w:rPr>
          <w:rFonts w:asciiTheme="minorHAnsi" w:hAnsiTheme="minorHAnsi" w:cstheme="minorHAnsi"/>
        </w:rPr>
      </w:pPr>
    </w:p>
    <w:p w:rsidR="007D37F2" w14:paraId="4DCF2DCE" w14:textId="0F7DA26E">
      <w:pPr>
        <w:widowControl/>
        <w:rPr>
          <w:szCs w:val="22"/>
        </w:rPr>
      </w:pPr>
      <w:r>
        <w:rPr>
          <w:szCs w:val="22"/>
        </w:rPr>
        <w:br w:type="page"/>
      </w:r>
    </w:p>
    <w:p w:rsidR="007D37F2" w:rsidRPr="00353E58" w:rsidP="007D37F2" w14:paraId="469B3FF4" w14:textId="77777777">
      <w:pPr>
        <w:jc w:val="center"/>
        <w:rPr>
          <w:rFonts w:eastAsia="Arial" w:asciiTheme="minorHAnsi" w:hAnsiTheme="minorHAnsi" w:cs="Arial"/>
          <w:b/>
        </w:rPr>
      </w:pPr>
      <w:r w:rsidRPr="00EB3EC3">
        <w:rPr>
          <w:rFonts w:eastAsia="Arial" w:asciiTheme="minorHAnsi" w:hAnsiTheme="minorHAnsi" w:cs="Arial"/>
          <w:b/>
        </w:rPr>
        <w:t>APPENDIX B</w:t>
      </w:r>
    </w:p>
    <w:p w:rsidR="007D37F2" w:rsidRPr="00353E58" w:rsidP="007D37F2" w14:paraId="4CF150C7" w14:textId="77777777">
      <w:pPr>
        <w:jc w:val="center"/>
        <w:rPr>
          <w:rFonts w:eastAsia="Arial" w:asciiTheme="minorHAnsi" w:hAnsiTheme="minorHAnsi" w:cs="Arial"/>
          <w:b/>
        </w:rPr>
      </w:pPr>
    </w:p>
    <w:p w:rsidR="007D37F2" w:rsidRPr="00353E58" w:rsidP="007D37F2" w14:paraId="60B4B3AA" w14:textId="77777777">
      <w:pPr>
        <w:jc w:val="center"/>
        <w:rPr>
          <w:rFonts w:eastAsia="Arial" w:asciiTheme="minorHAnsi" w:hAnsiTheme="minorHAnsi" w:cs="Arial"/>
          <w:b/>
        </w:rPr>
      </w:pPr>
      <w:r w:rsidRPr="00353E58">
        <w:rPr>
          <w:rFonts w:eastAsia="Arial" w:asciiTheme="minorHAnsi" w:hAnsiTheme="minorHAnsi" w:cs="Arial"/>
          <w:b/>
        </w:rPr>
        <w:t>Supply Chain Reimbursement Program</w:t>
      </w:r>
    </w:p>
    <w:p w:rsidR="007D37F2" w:rsidRPr="00353E58" w:rsidP="007D37F2" w14:paraId="0F5D64A4" w14:textId="77777777">
      <w:pPr>
        <w:jc w:val="center"/>
        <w:rPr>
          <w:rFonts w:asciiTheme="minorHAnsi" w:hAnsiTheme="minorHAnsi" w:cs="Arial"/>
        </w:rPr>
      </w:pPr>
      <w:r w:rsidRPr="00353E58">
        <w:rPr>
          <w:rFonts w:asciiTheme="minorHAnsi" w:hAnsiTheme="minorHAnsi" w:cs="Arial"/>
        </w:rPr>
        <w:t>Form 5640: Reimbursement Claim Request, Section 1.50004(g)</w:t>
      </w:r>
    </w:p>
    <w:p w:rsidR="007D37F2" w:rsidP="007D37F2" w14:paraId="0CEA9FED" w14:textId="1C8D7DEB">
      <w:pPr>
        <w:jc w:val="center"/>
        <w:rPr>
          <w:rFonts w:eastAsia="Arial" w:asciiTheme="minorHAnsi" w:hAnsiTheme="minorHAnsi" w:cs="Arial"/>
        </w:rPr>
      </w:pPr>
      <w:r w:rsidRPr="00353E58">
        <w:rPr>
          <w:rFonts w:eastAsia="Arial" w:asciiTheme="minorHAnsi" w:hAnsiTheme="minorHAnsi" w:cs="Arial"/>
        </w:rPr>
        <w:t>Information Submitted Using Online Portal</w:t>
      </w:r>
    </w:p>
    <w:p w:rsidR="007D37F2" w:rsidRPr="00353E58" w:rsidP="007D37F2" w14:paraId="7B246155" w14:textId="77777777">
      <w:pPr>
        <w:jc w:val="center"/>
        <w:rPr>
          <w:rFonts w:asciiTheme="minorHAnsi" w:hAnsiTheme="minorHAnsi" w:cs="Arial"/>
        </w:rPr>
      </w:pPr>
    </w:p>
    <w:p w:rsidR="007D37F2" w:rsidP="007D37F2" w14:paraId="2006115B" w14:textId="3DB6E63A">
      <w:pPr>
        <w:jc w:val="center"/>
        <w:rPr>
          <w:rFonts w:asciiTheme="minorHAnsi" w:hAnsiTheme="minorHAnsi" w:cs="Arial"/>
        </w:rPr>
      </w:pPr>
      <w:r w:rsidRPr="00353E58">
        <w:rPr>
          <w:rFonts w:asciiTheme="minorHAnsi" w:hAnsiTheme="minorHAnsi" w:cs="Arial"/>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p>
    <w:p w:rsidR="007D37F2" w:rsidRPr="00353E58" w:rsidP="007D37F2" w14:paraId="2CAB0BB9" w14:textId="77777777">
      <w:pPr>
        <w:jc w:val="center"/>
        <w:rPr>
          <w:rFonts w:asciiTheme="minorHAnsi" w:hAnsiTheme="minorHAnsi" w:cs="Arial"/>
        </w:rPr>
      </w:pPr>
    </w:p>
    <w:tbl>
      <w:tblPr>
        <w:tblW w:w="131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3150"/>
        <w:gridCol w:w="1832"/>
        <w:gridCol w:w="7168"/>
      </w:tblGrid>
      <w:tr w14:paraId="034256BB" w14:textId="77777777" w:rsidTr="00EE016D">
        <w:tblPrEx>
          <w:tblW w:w="131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0"/>
          <w:tblHeader/>
        </w:trPr>
        <w:tc>
          <w:tcPr>
            <w:tcW w:w="990" w:type="dxa"/>
            <w:shd w:val="clear" w:color="auto" w:fill="BFBFBF" w:themeFill="background1" w:themeFillShade="BF"/>
          </w:tcPr>
          <w:p w:rsidR="007D37F2" w:rsidRPr="00353E58" w:rsidP="009B1DF1" w14:paraId="23D483C3" w14:textId="77777777">
            <w:pPr>
              <w:spacing w:line="276" w:lineRule="auto"/>
              <w:rPr>
                <w:rFonts w:asciiTheme="minorHAnsi" w:hAnsiTheme="minorHAnsi" w:cs="Arial"/>
              </w:rPr>
            </w:pPr>
            <w:r w:rsidRPr="00353E58">
              <w:rPr>
                <w:rFonts w:eastAsia="Arial" w:asciiTheme="minorHAnsi" w:hAnsiTheme="minorHAnsi" w:cs="Arial"/>
                <w:b/>
              </w:rPr>
              <w:t>Item Number</w:t>
            </w:r>
          </w:p>
        </w:tc>
        <w:tc>
          <w:tcPr>
            <w:tcW w:w="3150" w:type="dxa"/>
            <w:shd w:val="clear" w:color="auto" w:fill="BFBFBF" w:themeFill="background1" w:themeFillShade="BF"/>
          </w:tcPr>
          <w:p w:rsidR="007D37F2" w:rsidRPr="00353E58" w:rsidP="009B1DF1" w14:paraId="2ACF900E" w14:textId="77777777">
            <w:pPr>
              <w:spacing w:line="276" w:lineRule="auto"/>
              <w:rPr>
                <w:rFonts w:asciiTheme="minorHAnsi" w:hAnsiTheme="minorHAnsi" w:cs="Arial"/>
              </w:rPr>
            </w:pPr>
            <w:r w:rsidRPr="00353E58">
              <w:rPr>
                <w:rFonts w:eastAsia="Arial" w:asciiTheme="minorHAnsi" w:hAnsiTheme="minorHAnsi" w:cs="Arial"/>
                <w:b/>
              </w:rPr>
              <w:t>Field(s) Description</w:t>
            </w:r>
          </w:p>
        </w:tc>
        <w:tc>
          <w:tcPr>
            <w:tcW w:w="1832" w:type="dxa"/>
            <w:shd w:val="clear" w:color="auto" w:fill="BFBFBF" w:themeFill="background1" w:themeFillShade="BF"/>
          </w:tcPr>
          <w:p w:rsidR="007D37F2" w:rsidRPr="00353E58" w:rsidP="009B1DF1" w14:paraId="77D6361C" w14:textId="77777777">
            <w:pPr>
              <w:rPr>
                <w:rFonts w:eastAsia="Arial" w:asciiTheme="minorHAnsi" w:hAnsiTheme="minorHAnsi" w:cs="Arial"/>
                <w:b/>
              </w:rPr>
            </w:pPr>
            <w:r w:rsidRPr="00353E58">
              <w:rPr>
                <w:rFonts w:eastAsia="Arial" w:asciiTheme="minorHAnsi" w:hAnsiTheme="minorHAnsi" w:cs="Arial"/>
                <w:b/>
              </w:rPr>
              <w:t>Category Type</w:t>
            </w:r>
          </w:p>
        </w:tc>
        <w:tc>
          <w:tcPr>
            <w:tcW w:w="7168" w:type="dxa"/>
            <w:shd w:val="clear" w:color="auto" w:fill="BFBFBF" w:themeFill="background1" w:themeFillShade="BF"/>
          </w:tcPr>
          <w:p w:rsidR="007D37F2" w:rsidRPr="00353E58" w:rsidP="009B1DF1" w14:paraId="6FE6C5E2" w14:textId="77777777">
            <w:pPr>
              <w:spacing w:line="276" w:lineRule="auto"/>
              <w:rPr>
                <w:rFonts w:asciiTheme="minorHAnsi" w:hAnsiTheme="minorHAnsi" w:cs="Arial"/>
              </w:rPr>
            </w:pPr>
            <w:r w:rsidRPr="00353E58">
              <w:rPr>
                <w:rFonts w:eastAsia="Arial" w:asciiTheme="minorHAnsi" w:hAnsiTheme="minorHAnsi" w:cs="Arial"/>
                <w:b/>
              </w:rPr>
              <w:t>Purpose/Instructions</w:t>
            </w:r>
          </w:p>
        </w:tc>
      </w:tr>
      <w:tr w14:paraId="7012E3EC" w14:textId="77777777" w:rsidTr="00EE016D">
        <w:tblPrEx>
          <w:tblW w:w="13140" w:type="dxa"/>
          <w:tblInd w:w="-185" w:type="dxa"/>
          <w:tblLayout w:type="fixed"/>
          <w:tblLook w:val="0400"/>
        </w:tblPrEx>
        <w:trPr>
          <w:trHeight w:val="260"/>
        </w:trPr>
        <w:tc>
          <w:tcPr>
            <w:tcW w:w="990" w:type="dxa"/>
          </w:tcPr>
          <w:p w:rsidR="007D37F2" w:rsidRPr="00353E58" w:rsidP="00EE016D" w14:paraId="2305FF81" w14:textId="77777777">
            <w:pPr>
              <w:jc w:val="center"/>
              <w:rPr>
                <w:rFonts w:eastAsia="Arial" w:asciiTheme="minorHAnsi" w:hAnsiTheme="minorHAnsi" w:cs="Arial"/>
              </w:rPr>
            </w:pPr>
            <w:r w:rsidRPr="00EB3EC3">
              <w:rPr>
                <w:rFonts w:eastAsia="Arial" w:asciiTheme="minorHAnsi" w:hAnsiTheme="minorHAnsi" w:cs="Arial"/>
              </w:rPr>
              <w:t>1</w:t>
            </w:r>
          </w:p>
        </w:tc>
        <w:tc>
          <w:tcPr>
            <w:tcW w:w="3150" w:type="dxa"/>
          </w:tcPr>
          <w:p w:rsidR="007D37F2" w:rsidRPr="00353E58" w:rsidP="00EE016D" w14:paraId="3827BADA" w14:textId="77777777">
            <w:pPr>
              <w:rPr>
                <w:rFonts w:eastAsia="Arial" w:asciiTheme="minorHAnsi" w:hAnsiTheme="minorHAnsi" w:cs="Arial"/>
              </w:rPr>
            </w:pPr>
            <w:r w:rsidRPr="00353E58">
              <w:rPr>
                <w:rFonts w:eastAsia="Arial" w:asciiTheme="minorHAnsi" w:hAnsiTheme="minorHAnsi" w:cs="Arial"/>
              </w:rPr>
              <w:t>Applicant’s FCC Registration Number (FRN)</w:t>
            </w:r>
          </w:p>
        </w:tc>
        <w:tc>
          <w:tcPr>
            <w:tcW w:w="1832" w:type="dxa"/>
          </w:tcPr>
          <w:p w:rsidR="007D37F2" w:rsidRPr="00353E58" w:rsidP="00EE016D" w14:paraId="67381682" w14:textId="77777777">
            <w:pPr>
              <w:rPr>
                <w:rFonts w:eastAsia="Arial" w:asciiTheme="minorHAnsi" w:hAnsiTheme="minorHAnsi" w:cs="Arial"/>
              </w:rPr>
            </w:pPr>
            <w:r w:rsidRPr="00353E58">
              <w:rPr>
                <w:rFonts w:eastAsia="Arial" w:asciiTheme="minorHAnsi" w:hAnsiTheme="minorHAnsi" w:cs="Arial"/>
              </w:rPr>
              <w:t>ID &amp; contact information</w:t>
            </w:r>
          </w:p>
        </w:tc>
        <w:tc>
          <w:tcPr>
            <w:tcW w:w="7168" w:type="dxa"/>
          </w:tcPr>
          <w:p w:rsidR="007D37F2" w:rsidRPr="00353E58" w:rsidP="00EE016D" w14:paraId="6DC466D8" w14:textId="77777777">
            <w:pPr>
              <w:tabs>
                <w:tab w:val="left" w:pos="2840"/>
              </w:tabs>
              <w:rPr>
                <w:rFonts w:asciiTheme="minorHAnsi" w:hAnsiTheme="minorHAnsi" w:cs="Arial"/>
                <w:color w:val="202124"/>
                <w:shd w:val="clear" w:color="auto" w:fill="FFFFFF"/>
              </w:rPr>
            </w:pPr>
            <w:r w:rsidRPr="00353E58">
              <w:rPr>
                <w:rFonts w:asciiTheme="minorHAnsi" w:hAnsiTheme="minorHAnsi" w:cs="Arial"/>
                <w:color w:val="202124"/>
                <w:shd w:val="clear" w:color="auto" w:fill="FFFFFF"/>
              </w:rPr>
              <w:t>An FRN is a 10-digit number that is assigned by the Commission Registration System (CORES) to a business or individual registering with the FCC. This unique FRN is used to identify the registrant’s business dealings with the FCC.</w:t>
            </w:r>
          </w:p>
          <w:p w:rsidR="007D37F2" w:rsidRPr="00353E58" w:rsidP="00EE016D" w14:paraId="22AA62B5" w14:textId="77777777">
            <w:pPr>
              <w:tabs>
                <w:tab w:val="left" w:pos="2840"/>
              </w:tabs>
              <w:rPr>
                <w:rFonts w:eastAsia="Arial" w:asciiTheme="minorHAnsi" w:hAnsiTheme="minorHAnsi" w:cs="Arial"/>
              </w:rPr>
            </w:pPr>
          </w:p>
          <w:p w:rsidR="007D37F2" w:rsidRPr="00353E58" w:rsidP="00EE016D" w14:paraId="7D998581" w14:textId="77777777">
            <w:pPr>
              <w:tabs>
                <w:tab w:val="left" w:pos="2840"/>
              </w:tabs>
              <w:rPr>
                <w:rFonts w:eastAsia="Arial" w:asciiTheme="minorHAnsi" w:hAnsiTheme="minorHAnsi" w:cs="Arial"/>
              </w:rPr>
            </w:pPr>
            <w:r w:rsidRPr="00353E58">
              <w:rPr>
                <w:rFonts w:eastAsia="Arial" w:asciiTheme="minorHAnsi" w:hAnsiTheme="minorHAnsi" w:cs="Arial"/>
              </w:rPr>
              <w:t>This information will be auto-generated from the information provided in the Application Request for Funding Allocation.</w:t>
            </w:r>
          </w:p>
          <w:p w:rsidR="007D37F2" w:rsidRPr="00353E58" w:rsidP="00EE016D" w14:paraId="05A39835" w14:textId="77777777">
            <w:pPr>
              <w:tabs>
                <w:tab w:val="left" w:pos="2840"/>
              </w:tabs>
              <w:rPr>
                <w:rFonts w:eastAsia="Arial" w:asciiTheme="minorHAnsi" w:hAnsiTheme="minorHAnsi" w:cs="Arial"/>
              </w:rPr>
            </w:pPr>
          </w:p>
        </w:tc>
      </w:tr>
      <w:tr w14:paraId="6B5FFC94" w14:textId="77777777" w:rsidTr="00EE016D">
        <w:tblPrEx>
          <w:tblW w:w="13140" w:type="dxa"/>
          <w:tblInd w:w="-185" w:type="dxa"/>
          <w:tblLayout w:type="fixed"/>
          <w:tblLook w:val="0400"/>
        </w:tblPrEx>
        <w:trPr>
          <w:trHeight w:val="260"/>
        </w:trPr>
        <w:tc>
          <w:tcPr>
            <w:tcW w:w="990" w:type="dxa"/>
          </w:tcPr>
          <w:p w:rsidR="007D37F2" w:rsidRPr="00353E58" w:rsidP="00EE016D" w14:paraId="1FBEB731" w14:textId="77777777">
            <w:pPr>
              <w:jc w:val="center"/>
              <w:rPr>
                <w:rFonts w:eastAsia="Arial" w:asciiTheme="minorHAnsi" w:hAnsiTheme="minorHAnsi" w:cs="Arial"/>
              </w:rPr>
            </w:pPr>
            <w:r w:rsidRPr="00EB3EC3">
              <w:rPr>
                <w:rFonts w:eastAsia="Arial" w:asciiTheme="minorHAnsi" w:hAnsiTheme="minorHAnsi" w:cs="Arial"/>
              </w:rPr>
              <w:t>2</w:t>
            </w:r>
          </w:p>
        </w:tc>
        <w:tc>
          <w:tcPr>
            <w:tcW w:w="3150" w:type="dxa"/>
          </w:tcPr>
          <w:p w:rsidR="007D37F2" w:rsidRPr="00353E58" w:rsidP="00EE016D" w14:paraId="7286A059" w14:textId="77777777">
            <w:pPr>
              <w:rPr>
                <w:rFonts w:eastAsia="Arial" w:asciiTheme="minorHAnsi" w:hAnsiTheme="minorHAnsi" w:cs="Arial"/>
              </w:rPr>
            </w:pPr>
            <w:r w:rsidRPr="00353E58">
              <w:rPr>
                <w:rFonts w:eastAsia="Arial" w:asciiTheme="minorHAnsi" w:hAnsiTheme="minorHAnsi" w:cs="Arial"/>
              </w:rPr>
              <w:t>Applicant’s Legal Name and “doing business” as name.</w:t>
            </w:r>
          </w:p>
          <w:p w:rsidR="007D37F2" w:rsidRPr="00353E58" w:rsidP="00EE016D" w14:paraId="31C27676" w14:textId="77777777">
            <w:pPr>
              <w:rPr>
                <w:rFonts w:eastAsia="Arial" w:asciiTheme="minorHAnsi" w:hAnsiTheme="minorHAnsi" w:cs="Arial"/>
              </w:rPr>
            </w:pPr>
          </w:p>
        </w:tc>
        <w:tc>
          <w:tcPr>
            <w:tcW w:w="1832" w:type="dxa"/>
          </w:tcPr>
          <w:p w:rsidR="007D37F2" w:rsidRPr="00353E58" w:rsidP="00EE016D" w14:paraId="0C4757B9" w14:textId="77777777">
            <w:pPr>
              <w:rPr>
                <w:rFonts w:eastAsia="Arial" w:asciiTheme="minorHAnsi" w:hAnsiTheme="minorHAnsi" w:cs="Arial"/>
              </w:rPr>
            </w:pPr>
            <w:r w:rsidRPr="00353E58">
              <w:rPr>
                <w:rFonts w:eastAsia="Arial" w:asciiTheme="minorHAnsi" w:hAnsiTheme="minorHAnsi" w:cs="Arial"/>
              </w:rPr>
              <w:t>ID &amp; contact information</w:t>
            </w:r>
          </w:p>
        </w:tc>
        <w:tc>
          <w:tcPr>
            <w:tcW w:w="7168" w:type="dxa"/>
          </w:tcPr>
          <w:p w:rsidR="007D37F2" w:rsidRPr="00353E58" w:rsidP="00EE016D" w14:paraId="27FD194B" w14:textId="77777777">
            <w:pPr>
              <w:tabs>
                <w:tab w:val="left" w:pos="2840"/>
              </w:tabs>
              <w:rPr>
                <w:rFonts w:eastAsia="Arial" w:asciiTheme="minorHAnsi" w:hAnsiTheme="minorHAnsi" w:cs="Arial"/>
              </w:rPr>
            </w:pPr>
            <w:r w:rsidRPr="00353E58">
              <w:rPr>
                <w:rFonts w:eastAsia="Arial" w:asciiTheme="minorHAnsi" w:hAnsiTheme="minorHAnsi" w:cs="Arial"/>
              </w:rPr>
              <w:t>This is the name of the Applicant submitting this request.  This information will be auto-generated from the information provided in the Application Request for Funding Allocation.</w:t>
            </w:r>
          </w:p>
          <w:p w:rsidR="007D37F2" w:rsidRPr="00353E58" w:rsidP="00EE016D" w14:paraId="33C017DB" w14:textId="77777777">
            <w:pPr>
              <w:tabs>
                <w:tab w:val="left" w:pos="2840"/>
              </w:tabs>
              <w:rPr>
                <w:rFonts w:eastAsia="Arial" w:asciiTheme="minorHAnsi" w:hAnsiTheme="minorHAnsi" w:cs="Arial"/>
              </w:rPr>
            </w:pPr>
          </w:p>
        </w:tc>
      </w:tr>
      <w:tr w14:paraId="531188F0" w14:textId="77777777" w:rsidTr="00EE016D">
        <w:tblPrEx>
          <w:tblW w:w="13140" w:type="dxa"/>
          <w:tblInd w:w="-185" w:type="dxa"/>
          <w:tblLayout w:type="fixed"/>
          <w:tblLook w:val="0400"/>
        </w:tblPrEx>
        <w:trPr>
          <w:cantSplit/>
          <w:trHeight w:val="260"/>
        </w:trPr>
        <w:tc>
          <w:tcPr>
            <w:tcW w:w="990" w:type="dxa"/>
          </w:tcPr>
          <w:p w:rsidR="007D37F2" w:rsidRPr="00353E58" w:rsidP="00EE016D" w14:paraId="5C69B9AB" w14:textId="77777777">
            <w:pPr>
              <w:spacing w:after="200" w:line="276" w:lineRule="auto"/>
              <w:jc w:val="center"/>
              <w:rPr>
                <w:rFonts w:asciiTheme="minorHAnsi" w:hAnsiTheme="minorHAnsi" w:cs="Arial"/>
              </w:rPr>
            </w:pPr>
            <w:r w:rsidRPr="00EB3EC3">
              <w:rPr>
                <w:rFonts w:eastAsia="Arial" w:asciiTheme="minorHAnsi" w:hAnsiTheme="minorHAnsi" w:cs="Arial"/>
              </w:rPr>
              <w:t>3</w:t>
            </w:r>
          </w:p>
        </w:tc>
        <w:tc>
          <w:tcPr>
            <w:tcW w:w="3150" w:type="dxa"/>
          </w:tcPr>
          <w:p w:rsidR="007D37F2" w:rsidRPr="00353E58" w:rsidP="00EE016D" w14:paraId="5F04B15B" w14:textId="77777777">
            <w:pPr>
              <w:spacing w:line="276" w:lineRule="auto"/>
              <w:rPr>
                <w:rFonts w:eastAsia="Arial" w:asciiTheme="minorHAnsi" w:hAnsiTheme="minorHAnsi" w:cs="Arial"/>
              </w:rPr>
            </w:pPr>
            <w:r w:rsidRPr="00353E58">
              <w:rPr>
                <w:rFonts w:eastAsia="Arial" w:asciiTheme="minorHAnsi" w:hAnsiTheme="minorHAnsi" w:cs="Arial"/>
              </w:rPr>
              <w:t xml:space="preserve">Applicant’s Address and Contact Information: </w:t>
            </w:r>
          </w:p>
          <w:p w:rsidR="007D37F2" w:rsidRPr="00353E58" w:rsidP="007D37F2" w14:paraId="5214E0E6"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Street </w:t>
            </w:r>
            <w:r w:rsidRPr="00353E58">
              <w:rPr>
                <w:rFonts w:asciiTheme="minorHAnsi" w:hAnsiTheme="minorHAnsi" w:cstheme="minorHAnsi"/>
              </w:rPr>
              <w:t>Name;</w:t>
            </w:r>
          </w:p>
          <w:p w:rsidR="007D37F2" w:rsidRPr="00353E58" w:rsidP="007D37F2" w14:paraId="0604C687" w14:textId="77777777">
            <w:pPr>
              <w:pStyle w:val="NoSpacing"/>
              <w:numPr>
                <w:ilvl w:val="0"/>
                <w:numId w:val="19"/>
              </w:numPr>
              <w:rPr>
                <w:rFonts w:asciiTheme="minorHAnsi" w:hAnsiTheme="minorHAnsi" w:cstheme="minorHAnsi"/>
              </w:rPr>
            </w:pPr>
            <w:r w:rsidRPr="00353E58">
              <w:rPr>
                <w:rFonts w:asciiTheme="minorHAnsi" w:hAnsiTheme="minorHAnsi" w:cstheme="minorHAnsi"/>
              </w:rPr>
              <w:t>City;</w:t>
            </w:r>
          </w:p>
          <w:p w:rsidR="007D37F2" w:rsidRPr="00353E58" w:rsidP="007D37F2" w14:paraId="0040DCE6" w14:textId="77777777">
            <w:pPr>
              <w:pStyle w:val="NoSpacing"/>
              <w:numPr>
                <w:ilvl w:val="0"/>
                <w:numId w:val="19"/>
              </w:numPr>
              <w:rPr>
                <w:rFonts w:asciiTheme="minorHAnsi" w:hAnsiTheme="minorHAnsi" w:cstheme="minorHAnsi"/>
              </w:rPr>
            </w:pPr>
            <w:r w:rsidRPr="00353E58">
              <w:rPr>
                <w:rFonts w:asciiTheme="minorHAnsi" w:hAnsiTheme="minorHAnsi" w:cstheme="minorHAnsi"/>
              </w:rPr>
              <w:t>State;</w:t>
            </w:r>
          </w:p>
          <w:p w:rsidR="007D37F2" w:rsidRPr="00353E58" w:rsidP="007D37F2" w14:paraId="53670B57"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Zip </w:t>
            </w:r>
            <w:r w:rsidRPr="00353E58">
              <w:rPr>
                <w:rFonts w:asciiTheme="minorHAnsi" w:hAnsiTheme="minorHAnsi" w:cstheme="minorHAnsi"/>
              </w:rPr>
              <w:t>Code;</w:t>
            </w:r>
          </w:p>
          <w:p w:rsidR="007D37F2" w:rsidRPr="00353E58" w:rsidP="007D37F2" w14:paraId="332AF3C1"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Phone </w:t>
            </w:r>
            <w:r w:rsidRPr="00353E58">
              <w:rPr>
                <w:rFonts w:asciiTheme="minorHAnsi" w:hAnsiTheme="minorHAnsi" w:cstheme="minorHAnsi"/>
              </w:rPr>
              <w:t>#;</w:t>
            </w:r>
          </w:p>
          <w:p w:rsidR="007D37F2" w:rsidP="007D37F2" w14:paraId="4628F108" w14:textId="77777777">
            <w:pPr>
              <w:pStyle w:val="NoSpacing"/>
              <w:numPr>
                <w:ilvl w:val="0"/>
                <w:numId w:val="19"/>
              </w:numPr>
              <w:rPr>
                <w:rFonts w:asciiTheme="minorHAnsi" w:hAnsiTheme="minorHAnsi" w:cstheme="minorHAnsi"/>
              </w:rPr>
            </w:pPr>
            <w:r w:rsidRPr="00353E58">
              <w:rPr>
                <w:rFonts w:asciiTheme="minorHAnsi" w:hAnsiTheme="minorHAnsi" w:cstheme="minorHAnsi"/>
              </w:rPr>
              <w:t>Email.</w:t>
            </w:r>
          </w:p>
          <w:p w:rsidR="008E4A14" w:rsidRPr="00353E58" w:rsidP="009B1DF1" w14:paraId="11D6119A" w14:textId="27F6E7D7">
            <w:pPr>
              <w:pStyle w:val="NoSpacing"/>
              <w:ind w:left="720"/>
              <w:rPr>
                <w:rFonts w:asciiTheme="minorHAnsi" w:hAnsiTheme="minorHAnsi" w:cstheme="minorHAnsi"/>
              </w:rPr>
            </w:pPr>
          </w:p>
        </w:tc>
        <w:tc>
          <w:tcPr>
            <w:tcW w:w="1832" w:type="dxa"/>
          </w:tcPr>
          <w:p w:rsidR="007D37F2" w:rsidRPr="00353E58" w:rsidP="00EE016D" w14:paraId="5C6DF64B" w14:textId="77777777">
            <w:pPr>
              <w:rPr>
                <w:rFonts w:eastAsia="Arial" w:asciiTheme="minorHAnsi" w:hAnsiTheme="minorHAnsi" w:cs="Arial"/>
              </w:rPr>
            </w:pPr>
            <w:r w:rsidRPr="00353E58">
              <w:rPr>
                <w:rFonts w:eastAsia="Arial" w:asciiTheme="minorHAnsi" w:hAnsiTheme="minorHAnsi" w:cs="Arial"/>
              </w:rPr>
              <w:t>ID &amp; contact information</w:t>
            </w:r>
          </w:p>
        </w:tc>
        <w:tc>
          <w:tcPr>
            <w:tcW w:w="7168" w:type="dxa"/>
          </w:tcPr>
          <w:p w:rsidR="007D37F2" w:rsidRPr="00353E58" w:rsidP="00EE016D" w14:paraId="018E81AD" w14:textId="77777777">
            <w:pPr>
              <w:pStyle w:val="NoSpacing"/>
              <w:rPr>
                <w:rFonts w:asciiTheme="minorHAnsi" w:hAnsiTheme="minorHAnsi"/>
              </w:rPr>
            </w:pPr>
            <w:r w:rsidRPr="00353E58">
              <w:rPr>
                <w:rFonts w:asciiTheme="minorHAnsi" w:hAnsiTheme="minorHAnsi"/>
              </w:rPr>
              <w:t>This information will be auto-generated from the information provided in the Application Request for Funding Allocation.</w:t>
            </w:r>
          </w:p>
        </w:tc>
      </w:tr>
      <w:tr w14:paraId="103DDFD6" w14:textId="77777777" w:rsidTr="00EE016D">
        <w:tblPrEx>
          <w:tblW w:w="13140" w:type="dxa"/>
          <w:tblInd w:w="-185" w:type="dxa"/>
          <w:tblLayout w:type="fixed"/>
          <w:tblLook w:val="0400"/>
        </w:tblPrEx>
        <w:trPr>
          <w:cantSplit/>
          <w:trHeight w:val="260"/>
        </w:trPr>
        <w:tc>
          <w:tcPr>
            <w:tcW w:w="990" w:type="dxa"/>
          </w:tcPr>
          <w:p w:rsidR="007D37F2" w:rsidRPr="00353E58" w:rsidP="00EE016D" w14:paraId="62BF36C7" w14:textId="77777777">
            <w:pPr>
              <w:jc w:val="center"/>
              <w:rPr>
                <w:rFonts w:eastAsia="Arial" w:asciiTheme="minorHAnsi" w:hAnsiTheme="minorHAnsi" w:cs="Arial"/>
              </w:rPr>
            </w:pPr>
            <w:r w:rsidRPr="00EB3EC3">
              <w:rPr>
                <w:rFonts w:eastAsia="Arial" w:asciiTheme="minorHAnsi" w:hAnsiTheme="minorHAnsi" w:cs="Arial"/>
              </w:rPr>
              <w:t>4</w:t>
            </w:r>
          </w:p>
        </w:tc>
        <w:tc>
          <w:tcPr>
            <w:tcW w:w="3150" w:type="dxa"/>
          </w:tcPr>
          <w:p w:rsidR="007D37F2" w:rsidRPr="00353E58" w:rsidP="00EE016D" w14:paraId="5CA5628F" w14:textId="77777777">
            <w:pPr>
              <w:rPr>
                <w:rFonts w:eastAsia="Arial" w:asciiTheme="minorHAnsi" w:hAnsiTheme="minorHAnsi" w:cs="Arial"/>
              </w:rPr>
            </w:pPr>
            <w:r w:rsidRPr="00353E58">
              <w:rPr>
                <w:rFonts w:eastAsia="Arial" w:asciiTheme="minorHAnsi" w:hAnsiTheme="minorHAnsi" w:cs="Arial"/>
              </w:rPr>
              <w:t>Contact Representative’s Address and Contact Information</w:t>
            </w:r>
            <w:r w:rsidRPr="00353E58">
              <w:rPr>
                <w:rFonts w:asciiTheme="minorHAnsi" w:hAnsiTheme="minorHAnsi" w:cstheme="minorHAnsi"/>
              </w:rPr>
              <w:t>:</w:t>
            </w:r>
          </w:p>
          <w:p w:rsidR="007D37F2" w:rsidRPr="00353E58" w:rsidP="007D37F2" w14:paraId="4FC2E1DD"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Street </w:t>
            </w:r>
            <w:r w:rsidRPr="00353E58">
              <w:rPr>
                <w:rFonts w:asciiTheme="minorHAnsi" w:hAnsiTheme="minorHAnsi" w:cstheme="minorHAnsi"/>
              </w:rPr>
              <w:t>Name;</w:t>
            </w:r>
          </w:p>
          <w:p w:rsidR="007D37F2" w:rsidRPr="00353E58" w:rsidP="007D37F2" w14:paraId="025FB3EE" w14:textId="77777777">
            <w:pPr>
              <w:pStyle w:val="NoSpacing"/>
              <w:numPr>
                <w:ilvl w:val="0"/>
                <w:numId w:val="19"/>
              </w:numPr>
              <w:rPr>
                <w:rFonts w:asciiTheme="minorHAnsi" w:hAnsiTheme="minorHAnsi" w:cstheme="minorHAnsi"/>
              </w:rPr>
            </w:pPr>
            <w:r w:rsidRPr="00353E58">
              <w:rPr>
                <w:rFonts w:asciiTheme="minorHAnsi" w:hAnsiTheme="minorHAnsi" w:cstheme="minorHAnsi"/>
              </w:rPr>
              <w:t>City;</w:t>
            </w:r>
          </w:p>
          <w:p w:rsidR="007D37F2" w:rsidRPr="00353E58" w:rsidP="007D37F2" w14:paraId="2C86605E" w14:textId="77777777">
            <w:pPr>
              <w:pStyle w:val="NoSpacing"/>
              <w:numPr>
                <w:ilvl w:val="0"/>
                <w:numId w:val="19"/>
              </w:numPr>
              <w:rPr>
                <w:rFonts w:asciiTheme="minorHAnsi" w:hAnsiTheme="minorHAnsi" w:cstheme="minorHAnsi"/>
              </w:rPr>
            </w:pPr>
            <w:r w:rsidRPr="00353E58">
              <w:rPr>
                <w:rFonts w:asciiTheme="minorHAnsi" w:hAnsiTheme="minorHAnsi" w:cstheme="minorHAnsi"/>
              </w:rPr>
              <w:t>State;</w:t>
            </w:r>
          </w:p>
          <w:p w:rsidR="007D37F2" w:rsidRPr="00353E58" w:rsidP="007D37F2" w14:paraId="3A2BC4C0"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Zip </w:t>
            </w:r>
            <w:r w:rsidRPr="00353E58">
              <w:rPr>
                <w:rFonts w:asciiTheme="minorHAnsi" w:hAnsiTheme="minorHAnsi" w:cstheme="minorHAnsi"/>
              </w:rPr>
              <w:t>Code;</w:t>
            </w:r>
          </w:p>
          <w:p w:rsidR="007D37F2" w:rsidRPr="00353E58" w:rsidP="007D37F2" w14:paraId="3C27D8FC" w14:textId="77777777">
            <w:pPr>
              <w:pStyle w:val="NoSpacing"/>
              <w:numPr>
                <w:ilvl w:val="0"/>
                <w:numId w:val="19"/>
              </w:numPr>
              <w:rPr>
                <w:rFonts w:asciiTheme="minorHAnsi" w:hAnsiTheme="minorHAnsi" w:cstheme="minorHAnsi"/>
              </w:rPr>
            </w:pPr>
            <w:r w:rsidRPr="00353E58">
              <w:rPr>
                <w:rFonts w:asciiTheme="minorHAnsi" w:hAnsiTheme="minorHAnsi" w:cstheme="minorHAnsi"/>
              </w:rPr>
              <w:t xml:space="preserve">Phone </w:t>
            </w:r>
            <w:r w:rsidRPr="00353E58">
              <w:rPr>
                <w:rFonts w:asciiTheme="minorHAnsi" w:hAnsiTheme="minorHAnsi" w:cstheme="minorHAnsi"/>
              </w:rPr>
              <w:t>#;</w:t>
            </w:r>
          </w:p>
          <w:p w:rsidR="007D37F2" w:rsidRPr="00353E58" w:rsidP="007D37F2" w14:paraId="5FBC1037" w14:textId="77777777">
            <w:pPr>
              <w:pStyle w:val="NoSpacing"/>
              <w:numPr>
                <w:ilvl w:val="0"/>
                <w:numId w:val="19"/>
              </w:numPr>
              <w:rPr>
                <w:rFonts w:asciiTheme="minorHAnsi" w:hAnsiTheme="minorHAnsi" w:cstheme="minorHAnsi"/>
              </w:rPr>
            </w:pPr>
            <w:r w:rsidRPr="00353E58">
              <w:rPr>
                <w:rFonts w:asciiTheme="minorHAnsi" w:hAnsiTheme="minorHAnsi" w:cstheme="minorHAnsi"/>
              </w:rPr>
              <w:t>Email.</w:t>
            </w:r>
          </w:p>
          <w:p w:rsidR="007D37F2" w:rsidRPr="00353E58" w:rsidP="00EE016D" w14:paraId="4CC6F18F" w14:textId="77777777">
            <w:pPr>
              <w:rPr>
                <w:rFonts w:eastAsia="Arial" w:asciiTheme="minorHAnsi" w:hAnsiTheme="minorHAnsi" w:cs="Arial"/>
              </w:rPr>
            </w:pPr>
          </w:p>
        </w:tc>
        <w:tc>
          <w:tcPr>
            <w:tcW w:w="1832" w:type="dxa"/>
          </w:tcPr>
          <w:p w:rsidR="007D37F2" w:rsidRPr="00353E58" w:rsidP="00EE016D" w14:paraId="072DE427" w14:textId="77777777">
            <w:pPr>
              <w:rPr>
                <w:rFonts w:eastAsia="Arial" w:asciiTheme="minorHAnsi" w:hAnsiTheme="minorHAnsi" w:cs="Arial"/>
              </w:rPr>
            </w:pPr>
            <w:r w:rsidRPr="00353E58">
              <w:rPr>
                <w:rFonts w:eastAsia="Arial" w:asciiTheme="minorHAnsi" w:hAnsiTheme="minorHAnsi" w:cs="Arial"/>
              </w:rPr>
              <w:t>ID &amp; contact information</w:t>
            </w:r>
          </w:p>
        </w:tc>
        <w:tc>
          <w:tcPr>
            <w:tcW w:w="7168" w:type="dxa"/>
          </w:tcPr>
          <w:p w:rsidR="007D37F2" w:rsidRPr="00353E58" w:rsidP="00EE016D" w14:paraId="0696608C" w14:textId="77777777">
            <w:pPr>
              <w:rPr>
                <w:rFonts w:eastAsia="Arial" w:asciiTheme="minorHAnsi" w:hAnsiTheme="minorHAnsi" w:cs="Arial"/>
              </w:rPr>
            </w:pPr>
            <w:r w:rsidRPr="00353E58">
              <w:rPr>
                <w:rFonts w:eastAsia="Arial" w:asciiTheme="minorHAnsi" w:hAnsiTheme="minorHAnsi" w:cs="Arial"/>
              </w:rPr>
              <w:t xml:space="preserve">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w:t>
            </w:r>
          </w:p>
          <w:p w:rsidR="007D37F2" w:rsidRPr="00353E58" w:rsidP="00EE016D" w14:paraId="52028D10" w14:textId="77777777">
            <w:pPr>
              <w:rPr>
                <w:rFonts w:eastAsia="Arial" w:asciiTheme="minorHAnsi" w:hAnsiTheme="minorHAnsi" w:cs="Arial"/>
              </w:rPr>
            </w:pPr>
          </w:p>
          <w:p w:rsidR="007D37F2" w:rsidRPr="00353E58" w:rsidP="00EE016D" w14:paraId="46EA6D1D" w14:textId="77777777">
            <w:pPr>
              <w:rPr>
                <w:rFonts w:eastAsia="Arial" w:asciiTheme="minorHAnsi" w:hAnsiTheme="minorHAnsi" w:cs="Arial"/>
              </w:rPr>
            </w:pPr>
            <w:r w:rsidRPr="00353E58">
              <w:rPr>
                <w:rFonts w:eastAsia="Arial" w:asciiTheme="minorHAnsi" w:hAnsiTheme="minorHAnsi" w:cs="Arial"/>
              </w:rPr>
              <w:t>This information will be auto-generated from the information provided in the Application Request for Funding Allocation but filer will have the opportunity to change information to designate a different contact for the filing.</w:t>
            </w:r>
          </w:p>
          <w:p w:rsidR="007D37F2" w:rsidRPr="00353E58" w:rsidP="00EE016D" w14:paraId="2A68C442" w14:textId="77777777">
            <w:pPr>
              <w:rPr>
                <w:rFonts w:eastAsia="Arial" w:asciiTheme="minorHAnsi" w:hAnsiTheme="minorHAnsi" w:cs="Arial"/>
              </w:rPr>
            </w:pPr>
            <w:r w:rsidRPr="00353E58">
              <w:rPr>
                <w:rFonts w:eastAsia="Arial" w:asciiTheme="minorHAnsi" w:hAnsiTheme="minorHAnsi" w:cs="Arial"/>
              </w:rPr>
              <w:t xml:space="preserve"> </w:t>
            </w:r>
          </w:p>
        </w:tc>
      </w:tr>
      <w:tr w14:paraId="74FF2A85" w14:textId="77777777" w:rsidTr="00EE016D">
        <w:tblPrEx>
          <w:tblW w:w="13140" w:type="dxa"/>
          <w:tblInd w:w="-185" w:type="dxa"/>
          <w:tblLayout w:type="fixed"/>
          <w:tblLook w:val="0400"/>
        </w:tblPrEx>
        <w:trPr>
          <w:trHeight w:val="260"/>
        </w:trPr>
        <w:tc>
          <w:tcPr>
            <w:tcW w:w="990" w:type="dxa"/>
          </w:tcPr>
          <w:p w:rsidR="007D37F2" w:rsidRPr="00353E58" w:rsidP="00EE016D" w14:paraId="30C0CFA3" w14:textId="77777777">
            <w:pPr>
              <w:tabs>
                <w:tab w:val="left" w:pos="255"/>
                <w:tab w:val="center" w:pos="392"/>
              </w:tabs>
              <w:jc w:val="center"/>
              <w:rPr>
                <w:rFonts w:asciiTheme="minorHAnsi" w:hAnsiTheme="minorHAnsi" w:cs="Arial"/>
              </w:rPr>
            </w:pPr>
            <w:r w:rsidRPr="00EB3EC3">
              <w:rPr>
                <w:rFonts w:asciiTheme="minorHAnsi" w:hAnsiTheme="minorHAnsi" w:cs="Arial"/>
              </w:rPr>
              <w:t>5</w:t>
            </w:r>
          </w:p>
        </w:tc>
        <w:tc>
          <w:tcPr>
            <w:tcW w:w="3150" w:type="dxa"/>
          </w:tcPr>
          <w:p w:rsidR="007D37F2" w:rsidRPr="00353E58" w:rsidP="00EE016D" w14:paraId="6FEA7136" w14:textId="77777777">
            <w:pPr>
              <w:rPr>
                <w:rFonts w:eastAsia="Arial" w:asciiTheme="minorHAnsi" w:hAnsiTheme="minorHAnsi" w:cs="Arial"/>
              </w:rPr>
            </w:pPr>
            <w:r w:rsidRPr="00353E58">
              <w:rPr>
                <w:rFonts w:eastAsia="Arial" w:asciiTheme="minorHAnsi" w:hAnsiTheme="minorHAnsi" w:cs="Arial"/>
              </w:rPr>
              <w:t>For each invoice submitted for reimbursement, provide the following information:</w:t>
            </w:r>
          </w:p>
          <w:p w:rsidR="007D37F2" w:rsidRPr="00353E58" w:rsidP="007D37F2" w14:paraId="10060C05" w14:textId="77777777">
            <w:pPr>
              <w:pStyle w:val="ListParagraph"/>
              <w:widowControl/>
              <w:numPr>
                <w:ilvl w:val="0"/>
                <w:numId w:val="21"/>
              </w:numPr>
              <w:contextualSpacing w:val="0"/>
              <w:rPr>
                <w:rFonts w:eastAsia="Arial" w:asciiTheme="minorHAnsi" w:hAnsiTheme="minorHAnsi" w:cs="Arial"/>
              </w:rPr>
            </w:pPr>
            <w:r w:rsidRPr="00353E58">
              <w:rPr>
                <w:rFonts w:eastAsia="Arial" w:asciiTheme="minorHAnsi" w:hAnsiTheme="minorHAnsi" w:cs="Arial"/>
              </w:rPr>
              <w:t>Description of invoice to be reimbursed</w:t>
            </w:r>
          </w:p>
          <w:p w:rsidR="007D37F2" w:rsidRPr="00353E58" w:rsidP="007D37F2" w14:paraId="5307E8C4" w14:textId="77777777">
            <w:pPr>
              <w:pStyle w:val="ListParagraph"/>
              <w:widowControl/>
              <w:numPr>
                <w:ilvl w:val="0"/>
                <w:numId w:val="21"/>
              </w:numPr>
              <w:contextualSpacing w:val="0"/>
              <w:rPr>
                <w:rFonts w:eastAsia="Arial" w:asciiTheme="minorHAnsi" w:hAnsiTheme="minorHAnsi" w:cs="Arial"/>
              </w:rPr>
            </w:pPr>
            <w:r w:rsidRPr="00353E58">
              <w:rPr>
                <w:rFonts w:eastAsia="Arial" w:asciiTheme="minorHAnsi" w:hAnsiTheme="minorHAnsi" w:cs="Arial"/>
              </w:rPr>
              <w:t xml:space="preserve">Vendor </w:t>
            </w:r>
            <w:r w:rsidRPr="00353E58">
              <w:rPr>
                <w:rFonts w:eastAsia="Arial" w:asciiTheme="minorHAnsi" w:hAnsiTheme="minorHAnsi" w:cs="Arial"/>
              </w:rPr>
              <w:t>Name;</w:t>
            </w:r>
          </w:p>
          <w:p w:rsidR="007D37F2" w:rsidRPr="00353E58" w:rsidP="007D37F2" w14:paraId="717995F2" w14:textId="77777777">
            <w:pPr>
              <w:pStyle w:val="ListParagraph"/>
              <w:widowControl/>
              <w:numPr>
                <w:ilvl w:val="0"/>
                <w:numId w:val="21"/>
              </w:numPr>
              <w:contextualSpacing w:val="0"/>
              <w:rPr>
                <w:rFonts w:eastAsia="Arial" w:asciiTheme="minorHAnsi" w:hAnsiTheme="minorHAnsi" w:cs="Arial"/>
              </w:rPr>
            </w:pPr>
            <w:r w:rsidRPr="00353E58">
              <w:rPr>
                <w:rFonts w:eastAsia="Arial" w:asciiTheme="minorHAnsi" w:hAnsiTheme="minorHAnsi" w:cs="Arial"/>
              </w:rPr>
              <w:t>Vendor Employer Identification Number (EIN) or Tax Identification Number (TIN</w:t>
            </w:r>
            <w:r w:rsidRPr="00353E58">
              <w:rPr>
                <w:rFonts w:eastAsia="Arial" w:asciiTheme="minorHAnsi" w:hAnsiTheme="minorHAnsi" w:cs="Arial"/>
              </w:rPr>
              <w:t>);</w:t>
            </w:r>
          </w:p>
          <w:p w:rsidR="007D37F2" w:rsidRPr="00353E58" w:rsidP="007D37F2" w14:paraId="607A5096" w14:textId="77777777">
            <w:pPr>
              <w:pStyle w:val="ListParagraph"/>
              <w:widowControl/>
              <w:numPr>
                <w:ilvl w:val="0"/>
                <w:numId w:val="21"/>
              </w:numPr>
              <w:contextualSpacing w:val="0"/>
              <w:rPr>
                <w:rFonts w:eastAsia="Arial" w:asciiTheme="minorHAnsi" w:hAnsiTheme="minorHAnsi" w:cs="Arial"/>
              </w:rPr>
            </w:pPr>
            <w:r w:rsidRPr="00353E58">
              <w:rPr>
                <w:rFonts w:eastAsia="Arial" w:asciiTheme="minorHAnsi" w:hAnsiTheme="minorHAnsi" w:cs="Arial"/>
              </w:rPr>
              <w:t xml:space="preserve">Invoice </w:t>
            </w:r>
            <w:r w:rsidRPr="00353E58">
              <w:rPr>
                <w:rFonts w:eastAsia="Arial" w:asciiTheme="minorHAnsi" w:hAnsiTheme="minorHAnsi" w:cs="Arial"/>
              </w:rPr>
              <w:t>Number;</w:t>
            </w:r>
          </w:p>
          <w:p w:rsidR="007D37F2" w:rsidRPr="00353E58" w:rsidP="007D37F2" w14:paraId="4F726514" w14:textId="77777777">
            <w:pPr>
              <w:pStyle w:val="ListParagraph"/>
              <w:widowControl/>
              <w:numPr>
                <w:ilvl w:val="0"/>
                <w:numId w:val="21"/>
              </w:numPr>
              <w:contextualSpacing w:val="0"/>
              <w:rPr>
                <w:rFonts w:eastAsia="Arial" w:asciiTheme="minorHAnsi" w:hAnsiTheme="minorHAnsi" w:cs="Arial"/>
              </w:rPr>
            </w:pPr>
            <w:r w:rsidRPr="00353E58">
              <w:rPr>
                <w:rFonts w:eastAsia="Arial" w:asciiTheme="minorHAnsi" w:hAnsiTheme="minorHAnsi" w:cs="Arial"/>
              </w:rPr>
              <w:t>Invoice date.</w:t>
            </w:r>
          </w:p>
          <w:p w:rsidR="007D37F2" w:rsidRPr="00353E58" w:rsidP="00EE016D" w14:paraId="729CA141" w14:textId="77777777">
            <w:pPr>
              <w:pStyle w:val="ListParagraph"/>
              <w:rPr>
                <w:rFonts w:eastAsia="Arial" w:asciiTheme="minorHAnsi" w:hAnsiTheme="minorHAnsi" w:cs="Arial"/>
              </w:rPr>
            </w:pPr>
          </w:p>
        </w:tc>
        <w:tc>
          <w:tcPr>
            <w:tcW w:w="1832" w:type="dxa"/>
          </w:tcPr>
          <w:p w:rsidR="007D37F2" w:rsidRPr="00353E58" w:rsidP="00EE016D" w14:paraId="7DE33784"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10D5BB5E" w14:textId="77777777">
            <w:pPr>
              <w:rPr>
                <w:rFonts w:eastAsia="Arial" w:asciiTheme="minorHAnsi" w:hAnsiTheme="minorHAnsi" w:cs="Arial"/>
              </w:rPr>
            </w:pPr>
            <w:r w:rsidRPr="00353E58">
              <w:rPr>
                <w:rFonts w:eastAsia="Arial" w:asciiTheme="minorHAnsi" w:hAnsiTheme="minorHAnsi" w:cs="Arial"/>
              </w:rPr>
              <w:t>The applicant must answer these questions for each invoice that is seeking reimbursement on the same reimbursement request.</w:t>
            </w:r>
            <w:r w:rsidRPr="00353E58">
              <w:rPr>
                <w:rFonts w:asciiTheme="minorHAnsi" w:hAnsiTheme="minorHAnsi"/>
              </w:rPr>
              <w:t xml:space="preserve"> </w:t>
            </w:r>
            <w:r w:rsidRPr="00EB3EC3">
              <w:rPr>
                <w:rFonts w:eastAsia="Arial" w:asciiTheme="minorHAnsi" w:hAnsiTheme="minorHAnsi" w:cs="Arial"/>
              </w:rPr>
              <w:t xml:space="preserve">Information will help </w:t>
            </w:r>
            <w:r w:rsidRPr="00353E58">
              <w:rPr>
                <w:rFonts w:eastAsia="Arial" w:asciiTheme="minorHAnsi" w:hAnsiTheme="minorHAnsi" w:cs="Arial"/>
              </w:rPr>
              <w:t>the FCC evaluate accuracy and reasonableness of reimbursement request. </w:t>
            </w:r>
          </w:p>
          <w:p w:rsidR="007D37F2" w:rsidRPr="00353E58" w:rsidP="00EE016D" w14:paraId="7281B4BA" w14:textId="77777777">
            <w:pPr>
              <w:rPr>
                <w:rFonts w:eastAsia="Arial" w:asciiTheme="minorHAnsi" w:hAnsiTheme="minorHAnsi" w:cs="Arial"/>
              </w:rPr>
            </w:pPr>
          </w:p>
        </w:tc>
      </w:tr>
      <w:tr w14:paraId="4AAADE17" w14:textId="77777777" w:rsidTr="00EE016D">
        <w:tblPrEx>
          <w:tblW w:w="13140" w:type="dxa"/>
          <w:tblInd w:w="-185" w:type="dxa"/>
          <w:tblLayout w:type="fixed"/>
          <w:tblLook w:val="0400"/>
        </w:tblPrEx>
        <w:trPr>
          <w:trHeight w:val="260"/>
        </w:trPr>
        <w:tc>
          <w:tcPr>
            <w:tcW w:w="990" w:type="dxa"/>
          </w:tcPr>
          <w:p w:rsidR="007D37F2" w:rsidRPr="00353E58" w:rsidP="00EE016D" w14:paraId="7C0F2055" w14:textId="77777777">
            <w:pPr>
              <w:tabs>
                <w:tab w:val="left" w:pos="255"/>
                <w:tab w:val="center" w:pos="392"/>
              </w:tabs>
              <w:jc w:val="center"/>
              <w:rPr>
                <w:rFonts w:asciiTheme="minorHAnsi" w:hAnsiTheme="minorHAnsi" w:cs="Arial"/>
              </w:rPr>
            </w:pPr>
            <w:r w:rsidRPr="00EB3EC3">
              <w:rPr>
                <w:rFonts w:asciiTheme="minorHAnsi" w:hAnsiTheme="minorHAnsi" w:cs="Arial"/>
              </w:rPr>
              <w:t>6</w:t>
            </w:r>
          </w:p>
        </w:tc>
        <w:tc>
          <w:tcPr>
            <w:tcW w:w="3150" w:type="dxa"/>
          </w:tcPr>
          <w:p w:rsidR="007D37F2" w:rsidRPr="00353E58" w:rsidP="00EE016D" w14:paraId="6B584BFF" w14:textId="77777777">
            <w:pPr>
              <w:rPr>
                <w:rFonts w:eastAsia="Arial" w:asciiTheme="minorHAnsi" w:hAnsiTheme="minorHAnsi" w:cs="Arial"/>
              </w:rPr>
            </w:pPr>
            <w:r w:rsidRPr="00353E58">
              <w:rPr>
                <w:rFonts w:eastAsia="Arial" w:asciiTheme="minorHAnsi" w:hAnsiTheme="minorHAnsi" w:cs="Arial"/>
              </w:rPr>
              <w:t>Does the invoice contain non-reimbursable costs? (Yes/No)</w:t>
            </w:r>
          </w:p>
        </w:tc>
        <w:tc>
          <w:tcPr>
            <w:tcW w:w="1832" w:type="dxa"/>
          </w:tcPr>
          <w:p w:rsidR="007D37F2" w:rsidRPr="00353E58" w:rsidP="00EE016D" w14:paraId="35685DDD"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7FE5B43C" w14:textId="77777777">
            <w:pPr>
              <w:rPr>
                <w:rFonts w:eastAsia="Arial" w:asciiTheme="minorHAnsi" w:hAnsiTheme="minorHAnsi" w:cs="Arial"/>
              </w:rPr>
            </w:pPr>
          </w:p>
        </w:tc>
        <w:tc>
          <w:tcPr>
            <w:tcW w:w="7168" w:type="dxa"/>
          </w:tcPr>
          <w:p w:rsidR="007D37F2" w:rsidRPr="00353E58" w:rsidP="00EE016D" w14:paraId="2A40508B" w14:textId="77777777">
            <w:pPr>
              <w:rPr>
                <w:rFonts w:eastAsia="Arial" w:asciiTheme="minorHAnsi" w:hAnsiTheme="minorHAnsi" w:cs="Arial"/>
              </w:rPr>
            </w:pPr>
            <w:r w:rsidRPr="00353E58">
              <w:rPr>
                <w:rFonts w:eastAsia="Arial" w:asciiTheme="minorHAnsi" w:hAnsiTheme="minorHAnsi" w:cs="Arial"/>
              </w:rPr>
              <w:t>The applicant must answer these questions for each invoice that is seeking reimbursement on the same reimbursement request.</w:t>
            </w:r>
            <w:r w:rsidRPr="00353E58">
              <w:rPr>
                <w:rFonts w:asciiTheme="minorHAnsi" w:hAnsiTheme="minorHAnsi"/>
              </w:rPr>
              <w:t xml:space="preserve"> </w:t>
            </w:r>
            <w:r w:rsidRPr="00EB3EC3">
              <w:rPr>
                <w:rFonts w:eastAsia="Arial" w:asciiTheme="minorHAnsi" w:hAnsiTheme="minorHAnsi" w:cs="Arial"/>
              </w:rPr>
              <w:t xml:space="preserve">Information will help </w:t>
            </w:r>
            <w:r w:rsidRPr="00353E58">
              <w:rPr>
                <w:rFonts w:eastAsia="Arial" w:asciiTheme="minorHAnsi" w:hAnsiTheme="minorHAnsi" w:cs="Arial"/>
              </w:rPr>
              <w:t>the FCC evaluate accuracy and reasonableness of reimbursement request. </w:t>
            </w:r>
          </w:p>
          <w:p w:rsidR="007D37F2" w:rsidRPr="00353E58" w:rsidP="00EE016D" w14:paraId="005EA9F5" w14:textId="77777777">
            <w:pPr>
              <w:rPr>
                <w:rFonts w:eastAsia="Arial" w:asciiTheme="minorHAnsi" w:hAnsiTheme="minorHAnsi" w:cs="Arial"/>
              </w:rPr>
            </w:pPr>
          </w:p>
        </w:tc>
      </w:tr>
      <w:tr w14:paraId="146E1DAE" w14:textId="77777777" w:rsidTr="00EE016D">
        <w:tblPrEx>
          <w:tblW w:w="13140" w:type="dxa"/>
          <w:tblInd w:w="-185" w:type="dxa"/>
          <w:tblLayout w:type="fixed"/>
          <w:tblLook w:val="0400"/>
        </w:tblPrEx>
        <w:trPr>
          <w:cantSplit/>
          <w:trHeight w:val="260"/>
        </w:trPr>
        <w:tc>
          <w:tcPr>
            <w:tcW w:w="990" w:type="dxa"/>
          </w:tcPr>
          <w:p w:rsidR="007D37F2" w:rsidRPr="00353E58" w:rsidP="00EE016D" w14:paraId="1816FA24" w14:textId="77777777">
            <w:pPr>
              <w:tabs>
                <w:tab w:val="left" w:pos="255"/>
                <w:tab w:val="center" w:pos="392"/>
              </w:tabs>
              <w:jc w:val="center"/>
              <w:rPr>
                <w:rFonts w:asciiTheme="minorHAnsi" w:hAnsiTheme="minorHAnsi" w:cs="Arial"/>
              </w:rPr>
            </w:pPr>
            <w:r w:rsidRPr="00EB3EC3">
              <w:rPr>
                <w:rFonts w:asciiTheme="minorHAnsi" w:hAnsiTheme="minorHAnsi" w:cs="Arial"/>
              </w:rPr>
              <w:t>7</w:t>
            </w:r>
          </w:p>
        </w:tc>
        <w:tc>
          <w:tcPr>
            <w:tcW w:w="3150" w:type="dxa"/>
          </w:tcPr>
          <w:p w:rsidR="007D37F2" w:rsidRPr="00353E58" w:rsidP="00EE016D" w14:paraId="4486FA83" w14:textId="77777777">
            <w:pPr>
              <w:rPr>
                <w:rFonts w:eastAsia="Arial" w:asciiTheme="minorHAnsi" w:hAnsiTheme="minorHAnsi" w:cs="Arial"/>
              </w:rPr>
            </w:pPr>
            <w:r w:rsidRPr="00353E58">
              <w:rPr>
                <w:rFonts w:eastAsia="Arial" w:asciiTheme="minorHAnsi" w:hAnsiTheme="minorHAnsi" w:cs="Arial"/>
              </w:rPr>
              <w:t>Provide supporting documentation demonstrating cost actually incurred for which you are seeking reimbursement.</w:t>
            </w:r>
          </w:p>
          <w:p w:rsidR="007D37F2" w:rsidRPr="00353E58" w:rsidP="00EE016D" w14:paraId="09455FB7" w14:textId="77777777">
            <w:pPr>
              <w:rPr>
                <w:rFonts w:eastAsia="Arial" w:asciiTheme="minorHAnsi" w:hAnsiTheme="minorHAnsi" w:cs="Arial"/>
              </w:rPr>
            </w:pPr>
          </w:p>
        </w:tc>
        <w:tc>
          <w:tcPr>
            <w:tcW w:w="1832" w:type="dxa"/>
          </w:tcPr>
          <w:p w:rsidR="007D37F2" w:rsidRPr="00353E58" w:rsidP="00EE016D" w14:paraId="4575A714"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4D977B90" w14:textId="77777777">
            <w:pPr>
              <w:rPr>
                <w:rFonts w:eastAsia="Arial" w:asciiTheme="minorHAnsi" w:hAnsiTheme="minorHAnsi" w:cs="Arial"/>
              </w:rPr>
            </w:pPr>
            <w:r w:rsidRPr="00353E58">
              <w:rPr>
                <w:rFonts w:eastAsia="Arial" w:asciiTheme="minorHAnsi" w:hAnsiTheme="minorHAnsi" w:cs="Arial"/>
              </w:rPr>
              <w:t>Information will help FCC evaluate accuracy and reasonableness of reimbursement request.</w:t>
            </w:r>
          </w:p>
          <w:p w:rsidR="007D37F2" w:rsidRPr="00353E58" w:rsidP="00EE016D" w14:paraId="476C2039" w14:textId="77777777">
            <w:pPr>
              <w:rPr>
                <w:rFonts w:eastAsia="Arial" w:asciiTheme="minorHAnsi" w:hAnsiTheme="minorHAnsi" w:cs="Arial"/>
              </w:rPr>
            </w:pPr>
          </w:p>
          <w:p w:rsidR="007D37F2" w:rsidRPr="00353E58" w:rsidP="00EE016D" w14:paraId="1A1D0D8A" w14:textId="77777777">
            <w:pPr>
              <w:rPr>
                <w:rFonts w:eastAsia="Arial" w:asciiTheme="minorHAnsi" w:hAnsiTheme="minorHAnsi" w:cs="Arial"/>
              </w:rPr>
            </w:pPr>
            <w:r w:rsidRPr="00353E58">
              <w:rPr>
                <w:rFonts w:eastAsia="Arial" w:asciiTheme="minorHAnsi" w:hAnsiTheme="minorHAnsi" w:cs="Arial"/>
              </w:rPr>
              <w:t>If invoice relates to quote issued by vendor that has not been previously submitted and reviewed by Fund Administrator, then filer will need to attach copy of associated quote from vendor.</w:t>
            </w:r>
          </w:p>
          <w:p w:rsidR="007D37F2" w:rsidRPr="00353E58" w:rsidP="00EE016D" w14:paraId="679D3103" w14:textId="77777777">
            <w:pPr>
              <w:rPr>
                <w:rFonts w:eastAsia="Arial" w:asciiTheme="minorHAnsi" w:hAnsiTheme="minorHAnsi" w:cs="Arial"/>
              </w:rPr>
            </w:pPr>
          </w:p>
        </w:tc>
      </w:tr>
      <w:tr w14:paraId="2D51CFD9" w14:textId="77777777" w:rsidTr="00EE016D">
        <w:tblPrEx>
          <w:tblW w:w="13140" w:type="dxa"/>
          <w:tblInd w:w="-185" w:type="dxa"/>
          <w:tblLayout w:type="fixed"/>
          <w:tblLook w:val="0400"/>
        </w:tblPrEx>
        <w:trPr>
          <w:trHeight w:val="260"/>
        </w:trPr>
        <w:tc>
          <w:tcPr>
            <w:tcW w:w="990" w:type="dxa"/>
          </w:tcPr>
          <w:p w:rsidR="007D37F2" w:rsidRPr="00353E58" w:rsidP="00EE016D" w14:paraId="5F754AAA" w14:textId="77777777">
            <w:pPr>
              <w:tabs>
                <w:tab w:val="left" w:pos="255"/>
                <w:tab w:val="center" w:pos="392"/>
              </w:tabs>
              <w:jc w:val="center"/>
              <w:rPr>
                <w:rFonts w:asciiTheme="minorHAnsi" w:hAnsiTheme="minorHAnsi" w:cs="Arial"/>
              </w:rPr>
            </w:pPr>
            <w:r w:rsidRPr="00EB3EC3">
              <w:rPr>
                <w:rFonts w:asciiTheme="minorHAnsi" w:hAnsiTheme="minorHAnsi" w:cs="Arial"/>
              </w:rPr>
              <w:t>8</w:t>
            </w:r>
          </w:p>
        </w:tc>
        <w:tc>
          <w:tcPr>
            <w:tcW w:w="3150" w:type="dxa"/>
          </w:tcPr>
          <w:p w:rsidR="007D37F2" w:rsidRPr="00353E58" w:rsidP="00EE016D" w14:paraId="31BE4D46" w14:textId="77777777">
            <w:pPr>
              <w:rPr>
                <w:rFonts w:eastAsia="Arial" w:asciiTheme="minorHAnsi" w:hAnsiTheme="minorHAnsi" w:cs="Arial"/>
              </w:rPr>
            </w:pPr>
            <w:r w:rsidRPr="00353E58">
              <w:rPr>
                <w:rFonts w:eastAsia="Arial" w:asciiTheme="minorHAnsi" w:hAnsiTheme="minorHAnsi" w:cs="Arial"/>
              </w:rPr>
              <w:t>Reimbursement Request Amount.</w:t>
            </w:r>
          </w:p>
        </w:tc>
        <w:tc>
          <w:tcPr>
            <w:tcW w:w="1832" w:type="dxa"/>
          </w:tcPr>
          <w:p w:rsidR="007D37F2" w:rsidRPr="00353E58" w:rsidP="00EE016D" w14:paraId="6CA75762"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6AD04C73" w14:textId="77777777">
            <w:pPr>
              <w:rPr>
                <w:rFonts w:eastAsia="Arial" w:asciiTheme="minorHAnsi" w:hAnsiTheme="minorHAnsi" w:cs="Arial"/>
              </w:rPr>
            </w:pPr>
          </w:p>
        </w:tc>
        <w:tc>
          <w:tcPr>
            <w:tcW w:w="7168" w:type="dxa"/>
          </w:tcPr>
          <w:p w:rsidR="007D37F2" w:rsidRPr="00353E58" w:rsidP="00EE016D" w14:paraId="5411CFBD" w14:textId="77777777">
            <w:pPr>
              <w:rPr>
                <w:rFonts w:eastAsia="Arial" w:asciiTheme="minorHAnsi" w:hAnsiTheme="minorHAnsi" w:cs="Arial"/>
              </w:rPr>
            </w:pPr>
            <w:r w:rsidRPr="00353E58">
              <w:rPr>
                <w:rFonts w:asciiTheme="minorHAnsi" w:hAnsiTheme="minorHAnsi"/>
              </w:rPr>
              <w:t>Recipients must show actual expenses on invoice reasonably incurred for the removal, replacement, and disposal of covered communications equipment or service.</w:t>
            </w:r>
            <w:r w:rsidRPr="00EB3EC3">
              <w:rPr>
                <w:rFonts w:eastAsia="Arial" w:asciiTheme="minorHAnsi" w:hAnsiTheme="minorHAnsi" w:cs="Arial"/>
              </w:rPr>
              <w:t xml:space="preserve"> Information will help </w:t>
            </w:r>
            <w:r w:rsidRPr="00353E58">
              <w:rPr>
                <w:rFonts w:eastAsia="Arial" w:asciiTheme="minorHAnsi" w:hAnsiTheme="minorHAnsi" w:cs="Arial"/>
              </w:rPr>
              <w:t>FCC evaluate accuracy and reasonableness of reimbursement request.</w:t>
            </w:r>
          </w:p>
          <w:p w:rsidR="007D37F2" w:rsidRPr="00353E58" w:rsidP="00EE016D" w14:paraId="4A5B5828" w14:textId="77777777">
            <w:pPr>
              <w:rPr>
                <w:rFonts w:eastAsia="Arial" w:asciiTheme="minorHAnsi" w:hAnsiTheme="minorHAnsi" w:cs="Arial"/>
              </w:rPr>
            </w:pPr>
          </w:p>
        </w:tc>
      </w:tr>
      <w:tr w14:paraId="29E75085" w14:textId="77777777" w:rsidTr="00EE016D">
        <w:tblPrEx>
          <w:tblW w:w="13140" w:type="dxa"/>
          <w:tblInd w:w="-185" w:type="dxa"/>
          <w:tblLayout w:type="fixed"/>
          <w:tblLook w:val="0400"/>
        </w:tblPrEx>
        <w:trPr>
          <w:trHeight w:val="260"/>
        </w:trPr>
        <w:tc>
          <w:tcPr>
            <w:tcW w:w="990" w:type="dxa"/>
          </w:tcPr>
          <w:p w:rsidR="007D37F2" w:rsidRPr="00353E58" w:rsidP="00EE016D" w14:paraId="369F7F17" w14:textId="77777777">
            <w:pPr>
              <w:tabs>
                <w:tab w:val="left" w:pos="255"/>
                <w:tab w:val="center" w:pos="392"/>
              </w:tabs>
              <w:jc w:val="center"/>
              <w:rPr>
                <w:rFonts w:asciiTheme="minorHAnsi" w:hAnsiTheme="minorHAnsi" w:cs="Arial"/>
              </w:rPr>
            </w:pPr>
            <w:r w:rsidRPr="00EB3EC3">
              <w:rPr>
                <w:rFonts w:asciiTheme="minorHAnsi" w:hAnsiTheme="minorHAnsi" w:cs="Arial"/>
              </w:rPr>
              <w:t>9</w:t>
            </w:r>
          </w:p>
        </w:tc>
        <w:tc>
          <w:tcPr>
            <w:tcW w:w="3150" w:type="dxa"/>
          </w:tcPr>
          <w:p w:rsidR="007D37F2" w:rsidRPr="00353E58" w:rsidP="00EE016D" w14:paraId="1FDB653B" w14:textId="77777777">
            <w:pPr>
              <w:rPr>
                <w:rFonts w:eastAsia="Arial" w:asciiTheme="minorHAnsi" w:hAnsiTheme="minorHAnsi" w:cs="Arial"/>
              </w:rPr>
            </w:pPr>
            <w:r w:rsidRPr="00353E58">
              <w:rPr>
                <w:rFonts w:eastAsia="Arial" w:asciiTheme="minorHAnsi" w:hAnsiTheme="minorHAnsi" w:cs="Arial"/>
              </w:rPr>
              <w:t xml:space="preserve">Description of Equipment or Services for which Participant Requesting Reimbursement. </w:t>
            </w:r>
          </w:p>
          <w:p w:rsidR="007D37F2" w:rsidRPr="00353E58" w:rsidP="00EE016D" w14:paraId="3EC75409" w14:textId="77777777">
            <w:pPr>
              <w:rPr>
                <w:rFonts w:eastAsia="Arial" w:asciiTheme="minorHAnsi" w:hAnsiTheme="minorHAnsi" w:cs="Arial"/>
              </w:rPr>
            </w:pPr>
          </w:p>
        </w:tc>
        <w:tc>
          <w:tcPr>
            <w:tcW w:w="1832" w:type="dxa"/>
          </w:tcPr>
          <w:p w:rsidR="007D37F2" w:rsidRPr="00353E58" w:rsidP="00EE016D" w14:paraId="7FEFC1AB"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2BE5CC9C" w14:textId="77777777">
            <w:pPr>
              <w:rPr>
                <w:rFonts w:eastAsia="Arial" w:asciiTheme="minorHAnsi" w:hAnsiTheme="minorHAnsi" w:cs="Arial"/>
              </w:rPr>
            </w:pPr>
            <w:r w:rsidRPr="00353E58">
              <w:rPr>
                <w:rFonts w:eastAsia="Arial" w:asciiTheme="minorHAnsi" w:hAnsiTheme="minorHAnsi" w:cs="Arial"/>
              </w:rPr>
              <w:t>Information will help FCC evaluate accuracy and reasonableness of reimbursement request.</w:t>
            </w:r>
          </w:p>
        </w:tc>
      </w:tr>
      <w:tr w14:paraId="1947DEAF" w14:textId="77777777" w:rsidTr="00EE016D">
        <w:tblPrEx>
          <w:tblW w:w="13140" w:type="dxa"/>
          <w:tblInd w:w="-185" w:type="dxa"/>
          <w:tblLayout w:type="fixed"/>
          <w:tblLook w:val="0400"/>
        </w:tblPrEx>
        <w:trPr>
          <w:trHeight w:val="260"/>
        </w:trPr>
        <w:tc>
          <w:tcPr>
            <w:tcW w:w="990" w:type="dxa"/>
          </w:tcPr>
          <w:p w:rsidR="007D37F2" w:rsidRPr="00353E58" w:rsidP="00EE016D" w14:paraId="2A08BB9C" w14:textId="77777777">
            <w:pPr>
              <w:tabs>
                <w:tab w:val="left" w:pos="255"/>
                <w:tab w:val="center" w:pos="392"/>
              </w:tabs>
              <w:jc w:val="center"/>
              <w:rPr>
                <w:rFonts w:asciiTheme="minorHAnsi" w:hAnsiTheme="minorHAnsi" w:cs="Arial"/>
              </w:rPr>
            </w:pPr>
            <w:r w:rsidRPr="00EB3EC3">
              <w:rPr>
                <w:rFonts w:asciiTheme="minorHAnsi" w:hAnsiTheme="minorHAnsi" w:cs="Arial"/>
              </w:rPr>
              <w:t>10</w:t>
            </w:r>
          </w:p>
        </w:tc>
        <w:tc>
          <w:tcPr>
            <w:tcW w:w="3150" w:type="dxa"/>
          </w:tcPr>
          <w:p w:rsidR="007D37F2" w:rsidRPr="00353E58" w:rsidP="00EE016D" w14:paraId="2C12197A" w14:textId="77777777">
            <w:pPr>
              <w:rPr>
                <w:rFonts w:eastAsia="Arial" w:asciiTheme="minorHAnsi" w:hAnsiTheme="minorHAnsi" w:cs="Arial"/>
              </w:rPr>
            </w:pPr>
            <w:r w:rsidRPr="00353E58">
              <w:rPr>
                <w:rFonts w:eastAsia="Arial" w:asciiTheme="minorHAnsi" w:hAnsiTheme="minorHAnsi" w:cs="Arial"/>
              </w:rPr>
              <w:t>Identify whether the invoice contains ineligible costs for upgraded equipment.</w:t>
            </w:r>
          </w:p>
          <w:p w:rsidR="007D37F2" w:rsidRPr="00353E58" w:rsidP="00EE016D" w14:paraId="4D6833F0" w14:textId="77777777">
            <w:pPr>
              <w:rPr>
                <w:rFonts w:eastAsia="Arial" w:asciiTheme="minorHAnsi" w:hAnsiTheme="minorHAnsi" w:cs="Arial"/>
              </w:rPr>
            </w:pPr>
          </w:p>
        </w:tc>
        <w:tc>
          <w:tcPr>
            <w:tcW w:w="1832" w:type="dxa"/>
          </w:tcPr>
          <w:p w:rsidR="007D37F2" w:rsidRPr="00353E58" w:rsidP="00EE016D" w14:paraId="319D5721"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7C2457C3" w14:textId="77777777">
            <w:pPr>
              <w:rPr>
                <w:rFonts w:asciiTheme="minorHAnsi" w:hAnsiTheme="minorHAnsi"/>
              </w:rPr>
            </w:pPr>
            <w:r w:rsidRPr="00353E58">
              <w:rPr>
                <w:rFonts w:eastAsia="Arial" w:asciiTheme="minorHAnsi" w:hAnsiTheme="minorHAnsi" w:cs="Arial"/>
              </w:rPr>
              <w:t>Information will help FCC evaluate accuracy and reasonableness of reimbursement request.</w:t>
            </w:r>
          </w:p>
        </w:tc>
      </w:tr>
      <w:tr w14:paraId="7BC545E6" w14:textId="77777777" w:rsidTr="00EE016D">
        <w:tblPrEx>
          <w:tblW w:w="13140" w:type="dxa"/>
          <w:tblInd w:w="-185" w:type="dxa"/>
          <w:tblLayout w:type="fixed"/>
          <w:tblLook w:val="0400"/>
        </w:tblPrEx>
        <w:trPr>
          <w:trHeight w:val="260"/>
        </w:trPr>
        <w:tc>
          <w:tcPr>
            <w:tcW w:w="990" w:type="dxa"/>
          </w:tcPr>
          <w:p w:rsidR="007D37F2" w:rsidRPr="00353E58" w:rsidP="00EE016D" w14:paraId="7536A960" w14:textId="77777777">
            <w:pPr>
              <w:tabs>
                <w:tab w:val="left" w:pos="255"/>
                <w:tab w:val="center" w:pos="392"/>
              </w:tabs>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1</w:t>
            </w:r>
          </w:p>
        </w:tc>
        <w:tc>
          <w:tcPr>
            <w:tcW w:w="3150" w:type="dxa"/>
          </w:tcPr>
          <w:p w:rsidR="007D37F2" w:rsidRPr="00353E58" w:rsidP="00EE016D" w14:paraId="4D0CC4DB" w14:textId="77777777">
            <w:pPr>
              <w:rPr>
                <w:rFonts w:eastAsia="Arial" w:asciiTheme="minorHAnsi" w:hAnsiTheme="minorHAnsi" w:cs="Arial"/>
              </w:rPr>
            </w:pPr>
            <w:r w:rsidRPr="00353E58">
              <w:rPr>
                <w:rFonts w:eastAsia="Arial" w:asciiTheme="minorHAnsi" w:hAnsiTheme="minorHAnsi" w:cs="Arial"/>
              </w:rPr>
              <w:t xml:space="preserve">Identify whether the cost is associated with a single site, multiple sites, or across all sites. </w:t>
            </w:r>
          </w:p>
          <w:p w:rsidR="007D37F2" w:rsidRPr="00353E58" w:rsidP="00EE016D" w14:paraId="7DE8DE7F" w14:textId="77777777">
            <w:pPr>
              <w:rPr>
                <w:rFonts w:eastAsia="Arial" w:asciiTheme="minorHAnsi" w:hAnsiTheme="minorHAnsi" w:cs="Arial"/>
              </w:rPr>
            </w:pPr>
          </w:p>
        </w:tc>
        <w:tc>
          <w:tcPr>
            <w:tcW w:w="1832" w:type="dxa"/>
          </w:tcPr>
          <w:p w:rsidR="007D37F2" w:rsidRPr="00353E58" w:rsidP="00EE016D" w14:paraId="69AC9F47"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1E674B6D" w14:textId="77777777">
            <w:pPr>
              <w:rPr>
                <w:rFonts w:eastAsia="Arial" w:asciiTheme="minorHAnsi" w:hAnsiTheme="minorHAnsi" w:cs="Arial"/>
              </w:rPr>
            </w:pPr>
            <w:r w:rsidRPr="00353E58">
              <w:rPr>
                <w:rFonts w:eastAsia="Arial" w:asciiTheme="minorHAnsi" w:hAnsiTheme="minorHAnsi" w:cs="Arial"/>
              </w:rPr>
              <w:t>Information will help FCC evaluate accuracy and reasonableness of reimbursement request.</w:t>
            </w:r>
          </w:p>
        </w:tc>
      </w:tr>
      <w:tr w14:paraId="3E7CA02D" w14:textId="77777777" w:rsidTr="00EE016D">
        <w:tblPrEx>
          <w:tblW w:w="13140" w:type="dxa"/>
          <w:tblInd w:w="-185" w:type="dxa"/>
          <w:tblLayout w:type="fixed"/>
          <w:tblLook w:val="0400"/>
        </w:tblPrEx>
        <w:trPr>
          <w:trHeight w:val="260"/>
        </w:trPr>
        <w:tc>
          <w:tcPr>
            <w:tcW w:w="990" w:type="dxa"/>
          </w:tcPr>
          <w:p w:rsidR="007D37F2" w:rsidRPr="00353E58" w:rsidP="00EE016D" w14:paraId="5A177653" w14:textId="77777777">
            <w:pPr>
              <w:tabs>
                <w:tab w:val="left" w:pos="255"/>
                <w:tab w:val="center" w:pos="392"/>
              </w:tabs>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2</w:t>
            </w:r>
          </w:p>
        </w:tc>
        <w:tc>
          <w:tcPr>
            <w:tcW w:w="3150" w:type="dxa"/>
          </w:tcPr>
          <w:p w:rsidR="007D37F2" w:rsidRPr="00353E58" w:rsidP="00EE016D" w14:paraId="51232C09" w14:textId="77777777">
            <w:pPr>
              <w:rPr>
                <w:rFonts w:eastAsia="Arial" w:asciiTheme="minorHAnsi" w:hAnsiTheme="minorHAnsi" w:cs="Arial"/>
              </w:rPr>
            </w:pPr>
            <w:r w:rsidRPr="00353E58">
              <w:rPr>
                <w:rFonts w:eastAsia="Arial" w:asciiTheme="minorHAnsi" w:hAnsiTheme="minorHAnsi" w:cs="Arial"/>
              </w:rPr>
              <w:t>Identify locations associated with cost.</w:t>
            </w:r>
          </w:p>
          <w:p w:rsidR="007D37F2" w:rsidRPr="00353E58" w:rsidP="00EE016D" w14:paraId="4D5D45F6" w14:textId="77777777">
            <w:pPr>
              <w:rPr>
                <w:rFonts w:eastAsia="Arial" w:asciiTheme="minorHAnsi" w:hAnsiTheme="minorHAnsi" w:cs="Arial"/>
              </w:rPr>
            </w:pPr>
          </w:p>
        </w:tc>
        <w:tc>
          <w:tcPr>
            <w:tcW w:w="1832" w:type="dxa"/>
          </w:tcPr>
          <w:p w:rsidR="007D37F2" w:rsidRPr="00353E58" w:rsidP="00EE016D" w14:paraId="0E51CF67"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738E5E82" w14:textId="77777777">
            <w:pPr>
              <w:rPr>
                <w:rFonts w:eastAsia="Arial" w:asciiTheme="minorHAnsi" w:hAnsiTheme="minorHAnsi" w:cs="Arial"/>
              </w:rPr>
            </w:pPr>
            <w:r w:rsidRPr="00353E58">
              <w:rPr>
                <w:rFonts w:eastAsia="Arial" w:asciiTheme="minorHAnsi" w:hAnsiTheme="minorHAnsi" w:cs="Arial"/>
              </w:rPr>
              <w:t>Information will help FCC track where money is spent and help to evaluate money spent by location.  For single or multiple sites, filer will need to identify sites by Location ID, i.e., site(s) previously identified by filer in system through Application Request for Funding Allocation or subsequently filed Modification application.</w:t>
            </w:r>
          </w:p>
          <w:p w:rsidR="007D37F2" w:rsidRPr="00353E58" w:rsidP="00EE016D" w14:paraId="37CC94FE" w14:textId="77777777">
            <w:pPr>
              <w:rPr>
                <w:rFonts w:eastAsia="Arial" w:asciiTheme="minorHAnsi" w:hAnsiTheme="minorHAnsi" w:cs="Arial"/>
              </w:rPr>
            </w:pPr>
          </w:p>
        </w:tc>
      </w:tr>
      <w:tr w14:paraId="0C482EFB" w14:textId="77777777" w:rsidTr="00EE016D">
        <w:tblPrEx>
          <w:tblW w:w="13140" w:type="dxa"/>
          <w:tblInd w:w="-185" w:type="dxa"/>
          <w:tblLayout w:type="fixed"/>
          <w:tblLook w:val="0400"/>
        </w:tblPrEx>
        <w:trPr>
          <w:trHeight w:val="260"/>
        </w:trPr>
        <w:tc>
          <w:tcPr>
            <w:tcW w:w="990" w:type="dxa"/>
          </w:tcPr>
          <w:p w:rsidR="007D37F2" w:rsidRPr="00353E58" w:rsidP="00EE016D" w14:paraId="4E19B843" w14:textId="77777777">
            <w:pPr>
              <w:tabs>
                <w:tab w:val="left" w:pos="255"/>
                <w:tab w:val="center" w:pos="392"/>
              </w:tabs>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3</w:t>
            </w:r>
          </w:p>
        </w:tc>
        <w:tc>
          <w:tcPr>
            <w:tcW w:w="3150" w:type="dxa"/>
          </w:tcPr>
          <w:p w:rsidR="007D37F2" w:rsidRPr="00353E58" w:rsidP="00EE016D" w14:paraId="4BBEBAFB" w14:textId="77777777">
            <w:pPr>
              <w:rPr>
                <w:rFonts w:eastAsia="Arial" w:asciiTheme="minorHAnsi" w:hAnsiTheme="minorHAnsi" w:cs="Arial"/>
              </w:rPr>
            </w:pPr>
            <w:r w:rsidRPr="00353E58">
              <w:rPr>
                <w:rFonts w:eastAsia="Arial" w:asciiTheme="minorHAnsi" w:hAnsiTheme="minorHAnsi" w:cs="Arial"/>
              </w:rPr>
              <w:t>Identify percentage of cost allocated to location.</w:t>
            </w:r>
          </w:p>
          <w:p w:rsidR="007D37F2" w:rsidRPr="00353E58" w:rsidP="00EE016D" w14:paraId="6F180473" w14:textId="77777777">
            <w:pPr>
              <w:rPr>
                <w:rFonts w:eastAsia="Arial" w:asciiTheme="minorHAnsi" w:hAnsiTheme="minorHAnsi" w:cs="Arial"/>
              </w:rPr>
            </w:pPr>
          </w:p>
        </w:tc>
        <w:tc>
          <w:tcPr>
            <w:tcW w:w="1832" w:type="dxa"/>
          </w:tcPr>
          <w:p w:rsidR="007D37F2" w:rsidRPr="00353E58" w:rsidP="00EE016D" w14:paraId="076FA4BF"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3777DC38" w14:textId="32EC38B9">
            <w:pPr>
              <w:rPr>
                <w:rFonts w:eastAsia="Arial" w:asciiTheme="minorHAnsi" w:hAnsiTheme="minorHAnsi" w:cs="Arial"/>
              </w:rPr>
            </w:pPr>
            <w:r w:rsidRPr="00353E58">
              <w:rPr>
                <w:rFonts w:eastAsia="Arial" w:asciiTheme="minorHAnsi" w:hAnsiTheme="minorHAnsi" w:cs="Arial"/>
              </w:rPr>
              <w:t>Information required if multiple sites identified and will help FCC evaluate accuracy and reasonableness of reimbursement request and track funding disbursements.</w:t>
            </w:r>
          </w:p>
        </w:tc>
      </w:tr>
      <w:tr w14:paraId="034B5F6B" w14:textId="77777777" w:rsidTr="00EE016D">
        <w:tblPrEx>
          <w:tblW w:w="13140" w:type="dxa"/>
          <w:tblInd w:w="-185" w:type="dxa"/>
          <w:tblLayout w:type="fixed"/>
          <w:tblLook w:val="0400"/>
        </w:tblPrEx>
        <w:trPr>
          <w:trHeight w:val="260"/>
        </w:trPr>
        <w:tc>
          <w:tcPr>
            <w:tcW w:w="990" w:type="dxa"/>
          </w:tcPr>
          <w:p w:rsidR="007D37F2" w:rsidRPr="00353E58" w:rsidP="00EE016D" w14:paraId="483F1678" w14:textId="77777777">
            <w:pPr>
              <w:tabs>
                <w:tab w:val="left" w:pos="255"/>
                <w:tab w:val="center" w:pos="392"/>
              </w:tabs>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4</w:t>
            </w:r>
          </w:p>
        </w:tc>
        <w:tc>
          <w:tcPr>
            <w:tcW w:w="3150" w:type="dxa"/>
          </w:tcPr>
          <w:p w:rsidR="007D37F2" w:rsidRPr="00353E58" w:rsidP="00EE016D" w14:paraId="374DD7C8" w14:textId="77777777">
            <w:pPr>
              <w:rPr>
                <w:rFonts w:eastAsia="Arial" w:asciiTheme="minorHAnsi" w:hAnsiTheme="minorHAnsi" w:cs="Arial"/>
              </w:rPr>
            </w:pPr>
            <w:r w:rsidRPr="00353E58">
              <w:rPr>
                <w:rFonts w:eastAsia="Arial" w:asciiTheme="minorHAnsi" w:hAnsiTheme="minorHAnsi" w:cs="Arial"/>
              </w:rPr>
              <w:t>Identify Cost Estimate to which this cost is related.</w:t>
            </w:r>
          </w:p>
          <w:p w:rsidR="007D37F2" w:rsidRPr="00353E58" w:rsidP="00EE016D" w14:paraId="405BD37F" w14:textId="77777777">
            <w:pPr>
              <w:rPr>
                <w:rFonts w:eastAsia="Arial" w:asciiTheme="minorHAnsi" w:hAnsiTheme="minorHAnsi" w:cs="Arial"/>
              </w:rPr>
            </w:pPr>
          </w:p>
        </w:tc>
        <w:tc>
          <w:tcPr>
            <w:tcW w:w="1832" w:type="dxa"/>
          </w:tcPr>
          <w:p w:rsidR="007D37F2" w:rsidRPr="00353E58" w:rsidP="00EE016D" w14:paraId="1DCD7FB0"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6FA84087" w14:textId="77777777">
            <w:pPr>
              <w:rPr>
                <w:rFonts w:eastAsia="Arial" w:asciiTheme="minorHAnsi" w:hAnsiTheme="minorHAnsi" w:cs="Arial"/>
              </w:rPr>
            </w:pPr>
            <w:r w:rsidRPr="00353E58">
              <w:rPr>
                <w:rFonts w:eastAsia="Arial" w:asciiTheme="minorHAnsi" w:hAnsiTheme="minorHAnsi" w:cs="Arial"/>
              </w:rPr>
              <w:t>Information will help FCC evaluate accuracy and reasonableness of the reimbursement request.  Filer will need to select a Cost Estimate as previously identified by filer in an earlier filed Application Request for Funding Allocation or subsequently filed Modification application.</w:t>
            </w:r>
          </w:p>
          <w:p w:rsidR="007D37F2" w:rsidRPr="00353E58" w:rsidP="00EE016D" w14:paraId="24C060B9" w14:textId="77777777">
            <w:pPr>
              <w:rPr>
                <w:rFonts w:eastAsia="Arial" w:asciiTheme="minorHAnsi" w:hAnsiTheme="minorHAnsi" w:cs="Arial"/>
              </w:rPr>
            </w:pPr>
          </w:p>
        </w:tc>
      </w:tr>
      <w:tr w14:paraId="1E2E8A47" w14:textId="77777777" w:rsidTr="00EE016D">
        <w:tblPrEx>
          <w:tblW w:w="13140" w:type="dxa"/>
          <w:tblInd w:w="-185" w:type="dxa"/>
          <w:tblLayout w:type="fixed"/>
          <w:tblLook w:val="0400"/>
        </w:tblPrEx>
        <w:trPr>
          <w:trHeight w:val="260"/>
        </w:trPr>
        <w:tc>
          <w:tcPr>
            <w:tcW w:w="990" w:type="dxa"/>
          </w:tcPr>
          <w:p w:rsidR="007D37F2" w:rsidRPr="00353E58" w:rsidP="00EE016D" w14:paraId="7D9846E9" w14:textId="77777777">
            <w:pPr>
              <w:tabs>
                <w:tab w:val="left" w:pos="255"/>
                <w:tab w:val="center" w:pos="392"/>
              </w:tabs>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5</w:t>
            </w:r>
          </w:p>
        </w:tc>
        <w:tc>
          <w:tcPr>
            <w:tcW w:w="3150" w:type="dxa"/>
          </w:tcPr>
          <w:p w:rsidR="007D37F2" w:rsidRPr="00353E58" w:rsidP="00EE016D" w14:paraId="55E55DF1" w14:textId="77777777">
            <w:pPr>
              <w:rPr>
                <w:rFonts w:eastAsia="Arial" w:asciiTheme="minorHAnsi" w:hAnsiTheme="minorHAnsi" w:cs="Arial"/>
              </w:rPr>
            </w:pPr>
            <w:r w:rsidRPr="00353E58">
              <w:rPr>
                <w:rFonts w:eastAsia="Arial" w:asciiTheme="minorHAnsi" w:hAnsiTheme="minorHAnsi" w:cs="Arial"/>
              </w:rPr>
              <w:t>If cost incurred for which reimbursement sought (combined with other expenses incurred) significantly exceeds original cost estimate, provide explanation explaining reason for deviation.</w:t>
            </w:r>
          </w:p>
          <w:p w:rsidR="007D37F2" w:rsidRPr="00353E58" w:rsidP="00EE016D" w14:paraId="5B51DCB6" w14:textId="77777777">
            <w:pPr>
              <w:rPr>
                <w:rFonts w:eastAsia="Arial" w:asciiTheme="minorHAnsi" w:hAnsiTheme="minorHAnsi" w:cs="Arial"/>
              </w:rPr>
            </w:pPr>
          </w:p>
        </w:tc>
        <w:tc>
          <w:tcPr>
            <w:tcW w:w="1832" w:type="dxa"/>
          </w:tcPr>
          <w:p w:rsidR="007D37F2" w:rsidRPr="00353E58" w:rsidP="00EE016D" w14:paraId="6E8D1D1D"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36A2CA10" w14:textId="77777777">
            <w:pPr>
              <w:rPr>
                <w:rFonts w:eastAsia="Arial" w:asciiTheme="minorHAnsi" w:hAnsiTheme="minorHAnsi" w:cs="Arial"/>
              </w:rPr>
            </w:pPr>
            <w:r w:rsidRPr="00353E58">
              <w:rPr>
                <w:rFonts w:eastAsia="Arial" w:asciiTheme="minorHAnsi" w:hAnsiTheme="minorHAnsi" w:cs="Arial"/>
              </w:rPr>
              <w:t>Information will help FCC evaluate accuracy of cost estimates for future cost estimation.</w:t>
            </w:r>
          </w:p>
        </w:tc>
      </w:tr>
      <w:tr w14:paraId="01C40B76" w14:textId="77777777" w:rsidTr="00EE016D">
        <w:tblPrEx>
          <w:tblW w:w="13140" w:type="dxa"/>
          <w:tblInd w:w="-185" w:type="dxa"/>
          <w:tblLayout w:type="fixed"/>
          <w:tblLook w:val="0400"/>
        </w:tblPrEx>
        <w:trPr>
          <w:cantSplit/>
          <w:trHeight w:val="260"/>
        </w:trPr>
        <w:tc>
          <w:tcPr>
            <w:tcW w:w="990" w:type="dxa"/>
          </w:tcPr>
          <w:p w:rsidR="007D37F2" w:rsidRPr="00353E58" w:rsidP="00EE016D" w14:paraId="7A7B7DB0" w14:textId="77777777">
            <w:pPr>
              <w:tabs>
                <w:tab w:val="left" w:pos="255"/>
                <w:tab w:val="center" w:pos="392"/>
              </w:tabs>
              <w:spacing w:after="200" w:line="276" w:lineRule="auto"/>
              <w:jc w:val="center"/>
              <w:rPr>
                <w:rFonts w:asciiTheme="minorHAnsi" w:hAnsiTheme="minorHAnsi" w:cs="Arial"/>
              </w:rPr>
            </w:pPr>
            <w:r w:rsidRPr="00EB3EC3">
              <w:rPr>
                <w:rFonts w:asciiTheme="minorHAnsi" w:hAnsiTheme="minorHAnsi" w:cs="Arial"/>
              </w:rPr>
              <w:t>1</w:t>
            </w:r>
            <w:r w:rsidRPr="00353E58">
              <w:rPr>
                <w:rFonts w:asciiTheme="minorHAnsi" w:hAnsiTheme="minorHAnsi" w:cs="Arial"/>
              </w:rPr>
              <w:t>6</w:t>
            </w:r>
          </w:p>
        </w:tc>
        <w:tc>
          <w:tcPr>
            <w:tcW w:w="3150" w:type="dxa"/>
          </w:tcPr>
          <w:p w:rsidR="007D37F2" w:rsidRPr="00353E58" w:rsidP="00EE016D" w14:paraId="6E91B61B" w14:textId="77777777">
            <w:pPr>
              <w:pStyle w:val="NoSpacing"/>
              <w:rPr>
                <w:rFonts w:asciiTheme="minorHAnsi" w:hAnsiTheme="minorHAnsi"/>
              </w:rPr>
            </w:pPr>
            <w:r w:rsidRPr="00353E58">
              <w:rPr>
                <w:rFonts w:asciiTheme="minorHAnsi" w:hAnsiTheme="minorHAnsi"/>
              </w:rPr>
              <w:t>Applicant must certify in good faith (via electronic signature of authorized representative) the following:  (1) Applicant will reasonably incur the estimated costs claimed as eligible for reimbursement; (2) Applicant will use all money received from the Reimbursement Program only for expenses eligible for reimbursement; (3) Applicant will comply with all policies and procedures relating to allocations, draw downs, payments, obligations, and expenditures of money from the Reimbursement Program; (4) Applicant will maintain detailed records, including receipts, of all costs eligible for reimbursement actually incurred for a period of 10 years; and (5) Applicant will file all required documentation for its expenses.</w:t>
            </w:r>
          </w:p>
          <w:p w:rsidR="007D37F2" w:rsidRPr="00353E58" w:rsidP="00EE016D" w14:paraId="67041CAC" w14:textId="77777777">
            <w:pPr>
              <w:pStyle w:val="NoSpacing"/>
              <w:rPr>
                <w:rFonts w:asciiTheme="minorHAnsi" w:hAnsiTheme="minorHAnsi"/>
              </w:rPr>
            </w:pPr>
          </w:p>
        </w:tc>
        <w:tc>
          <w:tcPr>
            <w:tcW w:w="1832" w:type="dxa"/>
          </w:tcPr>
          <w:p w:rsidR="007D37F2" w:rsidRPr="00353E58" w:rsidP="00EE016D" w14:paraId="23CCDDDC" w14:textId="77777777">
            <w:pPr>
              <w:rPr>
                <w:rFonts w:eastAsia="Arial" w:asciiTheme="minorHAnsi" w:hAnsiTheme="minorHAnsi" w:cs="Arial"/>
              </w:rPr>
            </w:pPr>
            <w:r w:rsidRPr="00EB3EC3">
              <w:rPr>
                <w:rFonts w:eastAsia="Arial" w:asciiTheme="minorHAnsi" w:hAnsiTheme="minorHAnsi" w:cs="Arial"/>
              </w:rPr>
              <w:t>Program Compliance</w:t>
            </w:r>
          </w:p>
        </w:tc>
        <w:tc>
          <w:tcPr>
            <w:tcW w:w="7168" w:type="dxa"/>
          </w:tcPr>
          <w:p w:rsidR="007D37F2" w:rsidRPr="00353E58" w:rsidP="00EE016D" w14:paraId="0567FF91" w14:textId="77777777">
            <w:pPr>
              <w:spacing w:after="200" w:line="276" w:lineRule="auto"/>
              <w:rPr>
                <w:rFonts w:asciiTheme="minorHAnsi" w:hAnsiTheme="minorHAnsi" w:cs="Arial"/>
              </w:rPr>
            </w:pPr>
            <w:r w:rsidRPr="00353E58">
              <w:rPr>
                <w:rFonts w:eastAsia="Arial" w:asciiTheme="minorHAnsi" w:hAnsiTheme="minorHAnsi" w:cs="Arial"/>
              </w:rPr>
              <w:t>Certifications necessary to protect Reimbursement Program against waste, fraud, and abuse.</w:t>
            </w:r>
          </w:p>
        </w:tc>
      </w:tr>
      <w:tr w14:paraId="7D0B8EBA" w14:textId="77777777" w:rsidTr="00EE016D">
        <w:tblPrEx>
          <w:tblW w:w="13140" w:type="dxa"/>
          <w:tblInd w:w="-185" w:type="dxa"/>
          <w:tblLayout w:type="fixed"/>
          <w:tblLook w:val="0400"/>
        </w:tblPrEx>
        <w:trPr>
          <w:trHeight w:val="260"/>
        </w:trPr>
        <w:tc>
          <w:tcPr>
            <w:tcW w:w="990" w:type="dxa"/>
          </w:tcPr>
          <w:p w:rsidR="007D37F2" w:rsidRPr="00353E58" w:rsidP="00EE016D" w14:paraId="58F860AB" w14:textId="77777777">
            <w:pPr>
              <w:jc w:val="center"/>
              <w:rPr>
                <w:rFonts w:eastAsia="Arial" w:asciiTheme="minorHAnsi" w:hAnsiTheme="minorHAnsi" w:cs="Arial"/>
              </w:rPr>
            </w:pPr>
            <w:r w:rsidRPr="00EB3EC3">
              <w:rPr>
                <w:rFonts w:eastAsia="Arial" w:asciiTheme="minorHAnsi" w:hAnsiTheme="minorHAnsi" w:cs="Arial"/>
              </w:rPr>
              <w:t>1</w:t>
            </w:r>
            <w:r w:rsidRPr="00353E58">
              <w:rPr>
                <w:rFonts w:eastAsia="Arial" w:asciiTheme="minorHAnsi" w:hAnsiTheme="minorHAnsi" w:cs="Arial"/>
              </w:rPr>
              <w:t>7</w:t>
            </w:r>
          </w:p>
        </w:tc>
        <w:tc>
          <w:tcPr>
            <w:tcW w:w="3150" w:type="dxa"/>
          </w:tcPr>
          <w:p w:rsidR="007D37F2" w:rsidRPr="00353E58" w:rsidP="00EE016D" w14:paraId="4BA15FCE" w14:textId="77777777">
            <w:pPr>
              <w:rPr>
                <w:rFonts w:eastAsia="Arial" w:asciiTheme="minorHAnsi" w:hAnsiTheme="minorHAnsi" w:cs="Arial"/>
              </w:rPr>
            </w:pPr>
            <w:r w:rsidRPr="00353E58">
              <w:rPr>
                <w:rFonts w:eastAsia="Arial" w:asciiTheme="minorHAnsi" w:hAnsiTheme="minorHAnsi" w:cs="Arial"/>
              </w:rPr>
              <w:t>Applicant certifies that all information provided in this filing is true and correct to the best of Applicant’s knowledge.</w:t>
            </w:r>
          </w:p>
          <w:p w:rsidR="007D37F2" w:rsidRPr="00353E58" w:rsidP="00EE016D" w14:paraId="08E550F5" w14:textId="77777777">
            <w:pPr>
              <w:rPr>
                <w:rFonts w:eastAsia="Arial" w:asciiTheme="minorHAnsi" w:hAnsiTheme="minorHAnsi" w:cs="Arial"/>
              </w:rPr>
            </w:pPr>
          </w:p>
        </w:tc>
        <w:tc>
          <w:tcPr>
            <w:tcW w:w="1832" w:type="dxa"/>
          </w:tcPr>
          <w:p w:rsidR="007D37F2" w:rsidRPr="00353E58" w:rsidP="00EE016D" w14:paraId="605F88CA" w14:textId="77777777">
            <w:pPr>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4C0F99A7" w14:textId="77777777">
            <w:pPr>
              <w:rPr>
                <w:rFonts w:eastAsia="Arial" w:asciiTheme="minorHAnsi" w:hAnsiTheme="minorHAnsi" w:cs="Arial"/>
              </w:rPr>
            </w:pPr>
            <w:r w:rsidRPr="00353E58">
              <w:rPr>
                <w:rFonts w:eastAsia="Arial" w:asciiTheme="minorHAnsi" w:hAnsiTheme="minorHAnsi" w:cs="Arial"/>
              </w:rPr>
              <w:t>Certification necessary to ensure accuracy of information provided.</w:t>
            </w:r>
          </w:p>
          <w:p w:rsidR="007D37F2" w:rsidRPr="00353E58" w:rsidP="00EE016D" w14:paraId="0D868791" w14:textId="77777777">
            <w:pPr>
              <w:rPr>
                <w:rFonts w:eastAsia="Arial" w:asciiTheme="minorHAnsi" w:hAnsiTheme="minorHAnsi" w:cs="Arial"/>
              </w:rPr>
            </w:pPr>
          </w:p>
        </w:tc>
      </w:tr>
      <w:tr w14:paraId="3E3E6847" w14:textId="77777777" w:rsidTr="00EE016D">
        <w:tblPrEx>
          <w:tblW w:w="13140" w:type="dxa"/>
          <w:tblInd w:w="-185" w:type="dxa"/>
          <w:tblLayout w:type="fixed"/>
          <w:tblLook w:val="0400"/>
        </w:tblPrEx>
        <w:trPr>
          <w:trHeight w:val="260"/>
        </w:trPr>
        <w:tc>
          <w:tcPr>
            <w:tcW w:w="990" w:type="dxa"/>
          </w:tcPr>
          <w:p w:rsidR="007D37F2" w:rsidRPr="00353E58" w:rsidP="00EE016D" w14:paraId="3F6F7998" w14:textId="77777777">
            <w:pPr>
              <w:spacing w:after="200" w:line="276" w:lineRule="auto"/>
              <w:jc w:val="center"/>
              <w:rPr>
                <w:rFonts w:asciiTheme="minorHAnsi" w:hAnsiTheme="minorHAnsi" w:cs="Arial"/>
              </w:rPr>
            </w:pPr>
            <w:r w:rsidRPr="00EB3EC3">
              <w:rPr>
                <w:rFonts w:eastAsia="Arial" w:asciiTheme="minorHAnsi" w:hAnsiTheme="minorHAnsi" w:cs="Arial"/>
              </w:rPr>
              <w:t>1</w:t>
            </w:r>
            <w:r w:rsidRPr="00353E58">
              <w:rPr>
                <w:rFonts w:eastAsia="Arial" w:asciiTheme="minorHAnsi" w:hAnsiTheme="minorHAnsi" w:cs="Arial"/>
              </w:rPr>
              <w:t>8</w:t>
            </w:r>
          </w:p>
        </w:tc>
        <w:tc>
          <w:tcPr>
            <w:tcW w:w="3150" w:type="dxa"/>
          </w:tcPr>
          <w:p w:rsidR="007D37F2" w:rsidRPr="00353E58" w:rsidP="00EE016D" w14:paraId="32989828" w14:textId="77777777">
            <w:pPr>
              <w:spacing w:after="200" w:line="276" w:lineRule="auto"/>
              <w:rPr>
                <w:rFonts w:asciiTheme="minorHAnsi" w:hAnsiTheme="minorHAnsi" w:cs="Arial"/>
              </w:rPr>
            </w:pPr>
            <w:r w:rsidRPr="00353E58">
              <w:rPr>
                <w:rFonts w:eastAsia="Arial" w:asciiTheme="minorHAnsi" w:hAnsiTheme="minorHAnsi" w:cs="Arial"/>
              </w:rPr>
              <w:t>Certifying Official Name</w:t>
            </w:r>
          </w:p>
        </w:tc>
        <w:tc>
          <w:tcPr>
            <w:tcW w:w="1832" w:type="dxa"/>
          </w:tcPr>
          <w:p w:rsidR="007D37F2" w:rsidRPr="00353E58" w:rsidP="00EE016D" w14:paraId="23120B81"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06500698" w14:textId="77777777">
            <w:pPr>
              <w:rPr>
                <w:rFonts w:eastAsia="Arial" w:asciiTheme="minorHAnsi" w:hAnsiTheme="minorHAnsi" w:cs="Arial"/>
              </w:rPr>
            </w:pPr>
          </w:p>
        </w:tc>
        <w:tc>
          <w:tcPr>
            <w:tcW w:w="7168" w:type="dxa"/>
          </w:tcPr>
          <w:p w:rsidR="007D37F2" w:rsidRPr="00353E58" w:rsidP="00EE016D" w14:paraId="4719A792" w14:textId="77777777">
            <w:pPr>
              <w:spacing w:after="200" w:line="276" w:lineRule="auto"/>
              <w:rPr>
                <w:rFonts w:asciiTheme="minorHAnsi" w:hAnsiTheme="minorHAnsi" w:cs="Arial"/>
              </w:rPr>
            </w:pPr>
            <w:r w:rsidRPr="00353E58">
              <w:rPr>
                <w:rFonts w:eastAsia="Arial" w:asciiTheme="minorHAnsi" w:hAnsiTheme="minorHAnsi" w:cs="Arial"/>
              </w:rPr>
              <w:t xml:space="preserve">Name of certifying official.  </w:t>
            </w:r>
          </w:p>
        </w:tc>
      </w:tr>
      <w:tr w14:paraId="00C18A42" w14:textId="77777777" w:rsidTr="00EE016D">
        <w:tblPrEx>
          <w:tblW w:w="13140" w:type="dxa"/>
          <w:tblInd w:w="-185" w:type="dxa"/>
          <w:tblLayout w:type="fixed"/>
          <w:tblLook w:val="0400"/>
        </w:tblPrEx>
        <w:trPr>
          <w:trHeight w:val="260"/>
        </w:trPr>
        <w:tc>
          <w:tcPr>
            <w:tcW w:w="990" w:type="dxa"/>
          </w:tcPr>
          <w:p w:rsidR="007D37F2" w:rsidRPr="00353E58" w:rsidP="00EE016D" w14:paraId="7B333645" w14:textId="77777777">
            <w:pPr>
              <w:tabs>
                <w:tab w:val="left" w:pos="255"/>
                <w:tab w:val="center" w:pos="392"/>
              </w:tabs>
              <w:spacing w:after="200" w:line="276" w:lineRule="auto"/>
              <w:jc w:val="center"/>
              <w:rPr>
                <w:rFonts w:asciiTheme="minorHAnsi" w:hAnsiTheme="minorHAnsi" w:cs="Arial"/>
              </w:rPr>
            </w:pPr>
            <w:r w:rsidRPr="00EB3EC3">
              <w:rPr>
                <w:rFonts w:asciiTheme="minorHAnsi" w:hAnsiTheme="minorHAnsi" w:cs="Arial"/>
              </w:rPr>
              <w:t>19</w:t>
            </w:r>
          </w:p>
        </w:tc>
        <w:tc>
          <w:tcPr>
            <w:tcW w:w="3150" w:type="dxa"/>
          </w:tcPr>
          <w:p w:rsidR="007D37F2" w:rsidRPr="00353E58" w:rsidP="00EE016D" w14:paraId="76B5E408" w14:textId="77777777">
            <w:pPr>
              <w:spacing w:after="200" w:line="276" w:lineRule="auto"/>
              <w:rPr>
                <w:rFonts w:asciiTheme="minorHAnsi" w:hAnsiTheme="minorHAnsi" w:cs="Arial"/>
              </w:rPr>
            </w:pPr>
            <w:r w:rsidRPr="00353E58">
              <w:rPr>
                <w:rFonts w:eastAsia="Arial" w:asciiTheme="minorHAnsi" w:hAnsiTheme="minorHAnsi" w:cs="Arial"/>
              </w:rPr>
              <w:t>Certifying Official Title</w:t>
            </w:r>
          </w:p>
        </w:tc>
        <w:tc>
          <w:tcPr>
            <w:tcW w:w="1832" w:type="dxa"/>
          </w:tcPr>
          <w:p w:rsidR="007D37F2" w:rsidRPr="00353E58" w:rsidP="00EE016D" w14:paraId="3AFA078F"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2500CE25" w14:textId="77777777">
            <w:pPr>
              <w:rPr>
                <w:rFonts w:eastAsia="Arial" w:asciiTheme="minorHAnsi" w:hAnsiTheme="minorHAnsi" w:cs="Arial"/>
              </w:rPr>
            </w:pPr>
          </w:p>
        </w:tc>
        <w:tc>
          <w:tcPr>
            <w:tcW w:w="7168" w:type="dxa"/>
          </w:tcPr>
          <w:p w:rsidR="007D37F2" w:rsidRPr="00353E58" w:rsidP="00EE016D" w14:paraId="2AF12913" w14:textId="77777777">
            <w:pPr>
              <w:spacing w:after="200" w:line="276" w:lineRule="auto"/>
              <w:rPr>
                <w:rFonts w:asciiTheme="minorHAnsi" w:hAnsiTheme="minorHAnsi" w:cs="Arial"/>
              </w:rPr>
            </w:pPr>
            <w:r w:rsidRPr="00353E58">
              <w:rPr>
                <w:rFonts w:eastAsia="Arial" w:asciiTheme="minorHAnsi" w:hAnsiTheme="minorHAnsi" w:cs="Arial"/>
              </w:rPr>
              <w:t>Job title of certifying official.</w:t>
            </w:r>
          </w:p>
        </w:tc>
      </w:tr>
      <w:tr w14:paraId="5478FB06" w14:textId="77777777" w:rsidTr="00EE016D">
        <w:tblPrEx>
          <w:tblW w:w="13140" w:type="dxa"/>
          <w:tblInd w:w="-185" w:type="dxa"/>
          <w:tblLayout w:type="fixed"/>
          <w:tblLook w:val="0400"/>
        </w:tblPrEx>
        <w:trPr>
          <w:trHeight w:val="260"/>
        </w:trPr>
        <w:tc>
          <w:tcPr>
            <w:tcW w:w="990" w:type="dxa"/>
          </w:tcPr>
          <w:p w:rsidR="007D37F2" w:rsidRPr="00353E58" w:rsidP="00EE016D" w14:paraId="1BE1BCFA" w14:textId="77777777">
            <w:pPr>
              <w:spacing w:after="200" w:line="276" w:lineRule="auto"/>
              <w:jc w:val="center"/>
              <w:rPr>
                <w:rFonts w:asciiTheme="minorHAnsi" w:hAnsiTheme="minorHAnsi" w:cs="Arial"/>
              </w:rPr>
            </w:pPr>
            <w:r w:rsidRPr="00EB3EC3">
              <w:rPr>
                <w:rFonts w:eastAsia="Arial" w:asciiTheme="minorHAnsi" w:hAnsiTheme="minorHAnsi" w:cs="Arial"/>
              </w:rPr>
              <w:t>20</w:t>
            </w:r>
          </w:p>
        </w:tc>
        <w:tc>
          <w:tcPr>
            <w:tcW w:w="3150" w:type="dxa"/>
          </w:tcPr>
          <w:p w:rsidR="007D37F2" w:rsidRPr="00353E58" w:rsidP="00EE016D" w14:paraId="3E1B82BC" w14:textId="77777777">
            <w:pPr>
              <w:spacing w:after="200" w:line="276" w:lineRule="auto"/>
              <w:rPr>
                <w:rFonts w:asciiTheme="minorHAnsi" w:hAnsiTheme="minorHAnsi" w:cs="Arial"/>
              </w:rPr>
            </w:pPr>
            <w:r w:rsidRPr="00353E58">
              <w:rPr>
                <w:rFonts w:eastAsia="Arial" w:asciiTheme="minorHAnsi" w:hAnsiTheme="minorHAnsi" w:cs="Arial"/>
              </w:rPr>
              <w:t>Certifying Official Phone Number</w:t>
            </w:r>
          </w:p>
        </w:tc>
        <w:tc>
          <w:tcPr>
            <w:tcW w:w="1832" w:type="dxa"/>
          </w:tcPr>
          <w:p w:rsidR="007D37F2" w:rsidRPr="00353E58" w:rsidP="00EE016D" w14:paraId="40734951" w14:textId="77777777">
            <w:pPr>
              <w:tabs>
                <w:tab w:val="left" w:pos="1230"/>
              </w:tabs>
              <w:rPr>
                <w:rFonts w:eastAsia="Arial" w:asciiTheme="minorHAnsi" w:hAnsiTheme="minorHAnsi" w:cs="Arial"/>
              </w:rPr>
            </w:pPr>
            <w:r w:rsidRPr="00353E58">
              <w:rPr>
                <w:rFonts w:eastAsia="Arial" w:asciiTheme="minorHAnsi" w:hAnsiTheme="minorHAnsi" w:cs="Arial"/>
              </w:rPr>
              <w:t>Program Compliance</w:t>
            </w:r>
          </w:p>
        </w:tc>
        <w:tc>
          <w:tcPr>
            <w:tcW w:w="7168" w:type="dxa"/>
          </w:tcPr>
          <w:p w:rsidR="007D37F2" w:rsidRPr="00353E58" w:rsidP="00EE016D" w14:paraId="21D07082" w14:textId="77777777">
            <w:pPr>
              <w:tabs>
                <w:tab w:val="left" w:pos="1230"/>
              </w:tabs>
              <w:spacing w:after="200" w:line="276" w:lineRule="auto"/>
              <w:rPr>
                <w:rFonts w:asciiTheme="minorHAnsi" w:hAnsiTheme="minorHAnsi" w:cs="Arial"/>
              </w:rPr>
            </w:pPr>
            <w:r w:rsidRPr="00353E58">
              <w:rPr>
                <w:rFonts w:eastAsia="Arial" w:asciiTheme="minorHAnsi" w:hAnsiTheme="minorHAnsi" w:cs="Arial"/>
              </w:rPr>
              <w:t>Phone number of the certifying official.</w:t>
            </w:r>
          </w:p>
        </w:tc>
      </w:tr>
      <w:tr w14:paraId="00BAC236" w14:textId="77777777" w:rsidTr="00EE016D">
        <w:tblPrEx>
          <w:tblW w:w="13140" w:type="dxa"/>
          <w:tblInd w:w="-185" w:type="dxa"/>
          <w:tblLayout w:type="fixed"/>
          <w:tblLook w:val="0400"/>
        </w:tblPrEx>
        <w:trPr>
          <w:trHeight w:val="260"/>
        </w:trPr>
        <w:tc>
          <w:tcPr>
            <w:tcW w:w="990" w:type="dxa"/>
          </w:tcPr>
          <w:p w:rsidR="007D37F2" w:rsidRPr="00353E58" w:rsidP="00EE016D" w14:paraId="4043002D" w14:textId="77777777">
            <w:pPr>
              <w:spacing w:after="200" w:line="276" w:lineRule="auto"/>
              <w:jc w:val="center"/>
              <w:rPr>
                <w:rFonts w:asciiTheme="minorHAnsi" w:hAnsiTheme="minorHAnsi" w:cs="Arial"/>
              </w:rPr>
            </w:pPr>
            <w:r w:rsidRPr="00EB3EC3">
              <w:rPr>
                <w:rFonts w:eastAsia="Arial" w:asciiTheme="minorHAnsi" w:hAnsiTheme="minorHAnsi" w:cs="Arial"/>
              </w:rPr>
              <w:t>21</w:t>
            </w:r>
          </w:p>
        </w:tc>
        <w:tc>
          <w:tcPr>
            <w:tcW w:w="3150" w:type="dxa"/>
          </w:tcPr>
          <w:p w:rsidR="007D37F2" w:rsidRPr="00353E58" w:rsidP="00EE016D" w14:paraId="656AA6DF" w14:textId="77777777">
            <w:pPr>
              <w:spacing w:after="200" w:line="276" w:lineRule="auto"/>
              <w:rPr>
                <w:rFonts w:asciiTheme="minorHAnsi" w:hAnsiTheme="minorHAnsi" w:cs="Arial"/>
              </w:rPr>
            </w:pPr>
            <w:r w:rsidRPr="00353E58">
              <w:rPr>
                <w:rFonts w:eastAsia="Arial" w:asciiTheme="minorHAnsi" w:hAnsiTheme="minorHAnsi" w:cs="Arial"/>
              </w:rPr>
              <w:t>Certifying Official Email Address</w:t>
            </w:r>
          </w:p>
        </w:tc>
        <w:tc>
          <w:tcPr>
            <w:tcW w:w="1832" w:type="dxa"/>
          </w:tcPr>
          <w:p w:rsidR="007D37F2" w:rsidRPr="00353E58" w:rsidP="00EE016D" w14:paraId="4790A1C3"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129A8D22" w14:textId="77777777">
            <w:pPr>
              <w:rPr>
                <w:rFonts w:eastAsia="Arial" w:asciiTheme="minorHAnsi" w:hAnsiTheme="minorHAnsi" w:cs="Arial"/>
              </w:rPr>
            </w:pPr>
          </w:p>
        </w:tc>
        <w:tc>
          <w:tcPr>
            <w:tcW w:w="7168" w:type="dxa"/>
          </w:tcPr>
          <w:p w:rsidR="007D37F2" w:rsidRPr="00353E58" w:rsidP="00EE016D" w14:paraId="4E251C48" w14:textId="77777777">
            <w:pPr>
              <w:spacing w:after="200" w:line="276" w:lineRule="auto"/>
              <w:rPr>
                <w:rFonts w:asciiTheme="minorHAnsi" w:hAnsiTheme="minorHAnsi" w:cs="Arial"/>
              </w:rPr>
            </w:pPr>
            <w:r w:rsidRPr="00353E58">
              <w:rPr>
                <w:rFonts w:eastAsia="Arial" w:asciiTheme="minorHAnsi" w:hAnsiTheme="minorHAnsi" w:cs="Arial"/>
              </w:rPr>
              <w:t>Email address of the certifying official.</w:t>
            </w:r>
          </w:p>
        </w:tc>
      </w:tr>
      <w:tr w14:paraId="56C04DE8" w14:textId="77777777" w:rsidTr="00EE016D">
        <w:tblPrEx>
          <w:tblW w:w="13140" w:type="dxa"/>
          <w:tblInd w:w="-185" w:type="dxa"/>
          <w:tblLayout w:type="fixed"/>
          <w:tblLook w:val="0400"/>
        </w:tblPrEx>
        <w:trPr>
          <w:trHeight w:val="260"/>
        </w:trPr>
        <w:tc>
          <w:tcPr>
            <w:tcW w:w="990" w:type="dxa"/>
          </w:tcPr>
          <w:p w:rsidR="007D37F2" w:rsidRPr="00353E58" w:rsidP="00EE016D" w14:paraId="17B9531B" w14:textId="77777777">
            <w:pPr>
              <w:spacing w:after="200" w:line="276" w:lineRule="auto"/>
              <w:jc w:val="center"/>
              <w:rPr>
                <w:rFonts w:asciiTheme="minorHAnsi" w:hAnsiTheme="minorHAnsi" w:cs="Arial"/>
              </w:rPr>
            </w:pPr>
            <w:r w:rsidRPr="00EB3EC3">
              <w:rPr>
                <w:rFonts w:eastAsia="Arial" w:asciiTheme="minorHAnsi" w:hAnsiTheme="minorHAnsi" w:cs="Arial"/>
              </w:rPr>
              <w:t>22</w:t>
            </w:r>
          </w:p>
        </w:tc>
        <w:tc>
          <w:tcPr>
            <w:tcW w:w="3150" w:type="dxa"/>
          </w:tcPr>
          <w:p w:rsidR="007D37F2" w:rsidRPr="00353E58" w:rsidP="00EE016D" w14:paraId="3BB60335" w14:textId="77777777">
            <w:pPr>
              <w:spacing w:after="200" w:line="276" w:lineRule="auto"/>
              <w:rPr>
                <w:rFonts w:asciiTheme="minorHAnsi" w:hAnsiTheme="minorHAnsi" w:cs="Arial"/>
              </w:rPr>
            </w:pPr>
            <w:r w:rsidRPr="00353E58">
              <w:rPr>
                <w:rFonts w:eastAsia="Arial" w:asciiTheme="minorHAnsi" w:hAnsiTheme="minorHAnsi" w:cs="Arial"/>
              </w:rPr>
              <w:t>Date Signed</w:t>
            </w:r>
          </w:p>
        </w:tc>
        <w:tc>
          <w:tcPr>
            <w:tcW w:w="1832" w:type="dxa"/>
          </w:tcPr>
          <w:p w:rsidR="007D37F2" w:rsidRPr="00353E58" w:rsidP="00EE016D" w14:paraId="50A5E9C6" w14:textId="77777777">
            <w:pPr>
              <w:rPr>
                <w:rFonts w:eastAsia="Arial" w:asciiTheme="minorHAnsi" w:hAnsiTheme="minorHAnsi" w:cs="Arial"/>
              </w:rPr>
            </w:pPr>
            <w:r w:rsidRPr="00353E58">
              <w:rPr>
                <w:rFonts w:eastAsia="Arial" w:asciiTheme="minorHAnsi" w:hAnsiTheme="minorHAnsi" w:cs="Arial"/>
              </w:rPr>
              <w:t>Program Compliance</w:t>
            </w:r>
          </w:p>
          <w:p w:rsidR="007D37F2" w:rsidRPr="00353E58" w:rsidP="00EE016D" w14:paraId="0806271A" w14:textId="77777777">
            <w:pPr>
              <w:rPr>
                <w:rFonts w:eastAsia="Arial" w:asciiTheme="minorHAnsi" w:hAnsiTheme="minorHAnsi" w:cs="Arial"/>
              </w:rPr>
            </w:pPr>
          </w:p>
        </w:tc>
        <w:tc>
          <w:tcPr>
            <w:tcW w:w="7168" w:type="dxa"/>
          </w:tcPr>
          <w:p w:rsidR="007D37F2" w:rsidRPr="00353E58" w:rsidP="00EE016D" w14:paraId="6F16BF93" w14:textId="77777777">
            <w:pPr>
              <w:spacing w:after="200" w:line="276" w:lineRule="auto"/>
              <w:rPr>
                <w:rFonts w:asciiTheme="minorHAnsi" w:hAnsiTheme="minorHAnsi" w:cs="Arial"/>
              </w:rPr>
            </w:pPr>
            <w:r w:rsidRPr="00353E58">
              <w:rPr>
                <w:rFonts w:eastAsia="Arial" w:asciiTheme="minorHAnsi" w:hAnsiTheme="minorHAnsi" w:cs="Arial"/>
              </w:rPr>
              <w:t>The date on which the filing is certified will be auto-generated.</w:t>
            </w:r>
          </w:p>
        </w:tc>
      </w:tr>
    </w:tbl>
    <w:p w:rsidR="007D37F2" w:rsidRPr="00EB3EC3" w:rsidP="007D37F2" w14:paraId="2A799F84" w14:textId="77777777">
      <w:pPr>
        <w:rPr>
          <w:rFonts w:asciiTheme="minorHAnsi" w:hAnsiTheme="minorHAnsi" w:cs="Arial"/>
        </w:rPr>
      </w:pPr>
    </w:p>
    <w:p w:rsidR="00392483" w:rsidP="00392483" w14:paraId="61CD0E15" w14:textId="77777777">
      <w:pPr>
        <w:pStyle w:val="ParaNum"/>
        <w:numPr>
          <w:ilvl w:val="0"/>
          <w:numId w:val="0"/>
        </w:numPr>
        <w:rPr>
          <w:szCs w:val="22"/>
        </w:rPr>
      </w:pPr>
    </w:p>
    <w:sectPr w:rsidSect="009B1DF1">
      <w:headerReference w:type="default" r:id="rId17"/>
      <w:pgSz w:w="15840" w:h="12240" w:orient="landscape"/>
      <w:pgMar w:top="720" w:right="1440" w:bottom="720" w:left="1440" w:header="720" w:footer="720" w:gutter="0"/>
      <w:pgNumType w:start="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14:paraId="136111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EE016D" w14:paraId="0DDFF4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14:paraId="2E3DD1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14:paraId="2C5A19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31D3" w14:paraId="365E7F79" w14:textId="77777777">
      <w:r>
        <w:separator/>
      </w:r>
    </w:p>
  </w:footnote>
  <w:footnote w:type="continuationSeparator" w:id="1">
    <w:p w:rsidR="009A31D3" w14:paraId="451BD8D7" w14:textId="77777777">
      <w:pPr>
        <w:rPr>
          <w:sz w:val="20"/>
        </w:rPr>
      </w:pPr>
      <w:r>
        <w:rPr>
          <w:sz w:val="20"/>
        </w:rPr>
        <w:t xml:space="preserve">(Continued from previous page)  </w:t>
      </w:r>
      <w:r>
        <w:rPr>
          <w:sz w:val="20"/>
        </w:rPr>
        <w:separator/>
      </w:r>
    </w:p>
  </w:footnote>
  <w:footnote w:type="continuationNotice" w:id="2">
    <w:p w:rsidR="009A31D3" w14:paraId="23EF4026" w14:textId="77777777">
      <w:pPr>
        <w:jc w:val="right"/>
        <w:rPr>
          <w:sz w:val="20"/>
        </w:rPr>
      </w:pPr>
      <w:r>
        <w:rPr>
          <w:sz w:val="20"/>
        </w:rPr>
        <w:t>(continued….)</w:t>
      </w:r>
    </w:p>
  </w:footnote>
  <w:footnote w:id="3">
    <w:p w:rsidR="00EE016D" w:rsidRPr="004E1AB7" w14:paraId="5089AD1E" w14:textId="6509D2B6">
      <w:pPr>
        <w:pStyle w:val="FootnoteText"/>
      </w:pPr>
      <w:r w:rsidRPr="004E1AB7">
        <w:rPr>
          <w:rStyle w:val="FootnoteReference"/>
          <w:sz w:val="20"/>
        </w:rPr>
        <w:footnoteRef/>
      </w:r>
      <w:r w:rsidRPr="004E1AB7">
        <w:t xml:space="preserve"> Pub. L. 116-124, 133 Stat. 158 (2020), </w:t>
      </w:r>
      <w:r w:rsidRPr="004E1AB7">
        <w:rPr>
          <w:i/>
          <w:iCs/>
        </w:rPr>
        <w:t>codified at</w:t>
      </w:r>
      <w:r w:rsidRPr="004E1AB7">
        <w:t xml:space="preserve"> 47 U.S.C. § 1601 </w:t>
      </w:r>
      <w:r w:rsidRPr="004E1AB7">
        <w:rPr>
          <w:i/>
          <w:iCs/>
        </w:rPr>
        <w:t>et seq</w:t>
      </w:r>
      <w:r w:rsidRPr="004E1AB7">
        <w:t xml:space="preserve">. (Secure Networks Act), amended by, Consolidated Appropriations Act, 2021 (CAA), Pub. L. 116-260, Division N-Additional Coronavirus Response and Relief, Title IX-Broadband Internet Access Service, §§ 901, 906, 134 Stat. 1182 (2020).  </w:t>
      </w:r>
    </w:p>
  </w:footnote>
  <w:footnote w:id="4">
    <w:p w:rsidR="00EE016D" w:rsidRPr="004E1AB7" w:rsidP="00FE3062" w14:paraId="56B8D625" w14:textId="227DB802">
      <w:pPr>
        <w:pStyle w:val="FootnoteText"/>
      </w:pPr>
      <w:r w:rsidRPr="004E1AB7">
        <w:rPr>
          <w:rStyle w:val="FootnoteReference"/>
          <w:sz w:val="20"/>
        </w:rPr>
        <w:footnoteRef/>
      </w:r>
      <w:r w:rsidRPr="004E1AB7">
        <w:t xml:space="preserve"> </w:t>
      </w:r>
      <w:r w:rsidRPr="004E1AB7">
        <w:rPr>
          <w:i/>
          <w:iCs/>
        </w:rPr>
        <w:t>See Protecting Against National Security Threats to the Communications Supply Chain Through FCC Programs</w:t>
      </w:r>
      <w:r w:rsidRPr="004E1AB7">
        <w:t>, WC Docket No. 18-89, Second Report and Order, 35 FCC Rcd 14284 (2020) (</w:t>
      </w:r>
      <w:r w:rsidRPr="004E1AB7">
        <w:rPr>
          <w:i/>
          <w:iCs/>
        </w:rPr>
        <w:t>Second Report and Order</w:t>
      </w:r>
      <w:r w:rsidRPr="004E1AB7">
        <w:t>); 86 Fed. Reg. 2904 (Jan. 13, 2021).</w:t>
      </w:r>
    </w:p>
  </w:footnote>
  <w:footnote w:id="5">
    <w:p w:rsidR="00EE016D" w:rsidRPr="004E1AB7" w:rsidP="00FE3062" w14:paraId="632FEF56" w14:textId="0C465662">
      <w:pPr>
        <w:pStyle w:val="FootnoteText"/>
      </w:pPr>
      <w:r w:rsidRPr="004E1AB7">
        <w:rPr>
          <w:rStyle w:val="FootnoteReference"/>
          <w:sz w:val="20"/>
        </w:rPr>
        <w:footnoteRef/>
      </w:r>
      <w:r w:rsidRPr="004E1AB7">
        <w:t xml:space="preserve"> </w:t>
      </w:r>
      <w:r w:rsidRPr="004E1AB7">
        <w:rPr>
          <w:i/>
          <w:iCs/>
        </w:rPr>
        <w:t>See</w:t>
      </w:r>
      <w:r w:rsidRPr="004E1AB7">
        <w:t xml:space="preserve"> CAA §§ 901, 906.  The funding appropriated by Congress is not only for reimbursing program recipients but will also cover the expenses incurred by the Commission to implement and operate, that is</w:t>
      </w:r>
      <w:r w:rsidRPr="00CD4F11">
        <w:t>, “carry out,” the Reimbursement Program.  The CAA also amen</w:t>
      </w:r>
      <w:r w:rsidRPr="00014139">
        <w:t xml:space="preserve">ded the Secure Networks Act.  On February 17, 2021, the Commission proposed to amend its rules consistent with the </w:t>
      </w:r>
      <w:r w:rsidRPr="00C51CDD">
        <w:t xml:space="preserve">CAA amendments.  </w:t>
      </w:r>
      <w:r w:rsidRPr="00945670">
        <w:rPr>
          <w:i/>
          <w:iCs/>
        </w:rPr>
        <w:t>See Protecting Against</w:t>
      </w:r>
      <w:r w:rsidRPr="004E1AB7">
        <w:rPr>
          <w:i/>
          <w:iCs/>
        </w:rPr>
        <w:t xml:space="preserve"> National Security Threats to the Communications Supply Chain Through FCC Programs</w:t>
      </w:r>
      <w:r w:rsidRPr="004E1AB7">
        <w:t>, WC Docket No. 18-89, Third Further Notice of Proposed Rulemaking, FCC 21-26 (Feb. 22, 2021) (</w:t>
      </w:r>
      <w:r w:rsidRPr="004E1AB7">
        <w:rPr>
          <w:i/>
          <w:iCs/>
        </w:rPr>
        <w:t>Third Further Notice</w:t>
      </w:r>
      <w:r w:rsidRPr="004E1AB7">
        <w:t>).</w:t>
      </w:r>
    </w:p>
  </w:footnote>
  <w:footnote w:id="6">
    <w:p w:rsidR="00EE016D" w:rsidRPr="00014139" w14:paraId="2A5B22EA" w14:textId="4E5FBD8B">
      <w:pPr>
        <w:pStyle w:val="FootnoteText"/>
      </w:pPr>
      <w:r w:rsidRPr="004E1AB7">
        <w:rPr>
          <w:rStyle w:val="FootnoteReference"/>
          <w:sz w:val="20"/>
        </w:rPr>
        <w:footnoteRef/>
      </w:r>
      <w:r w:rsidRPr="004E1AB7">
        <w:t xml:space="preserve"> </w:t>
      </w:r>
      <w:r w:rsidRPr="004E1AB7">
        <w:rPr>
          <w:i/>
          <w:iCs/>
        </w:rPr>
        <w:t>Second Report and Order</w:t>
      </w:r>
      <w:r w:rsidRPr="00CD4F11">
        <w:t>, 35 FCC Rcd at 14330-14368, paras. 106-208;</w:t>
      </w:r>
      <w:r w:rsidRPr="00014139">
        <w:t xml:space="preserve"> </w:t>
      </w:r>
      <w:r w:rsidRPr="00014139">
        <w:rPr>
          <w:i/>
          <w:iCs/>
        </w:rPr>
        <w:t>see</w:t>
      </w:r>
      <w:r w:rsidRPr="00014139">
        <w:t xml:space="preserve"> 47 CFR § 1.50004.</w:t>
      </w:r>
    </w:p>
  </w:footnote>
  <w:footnote w:id="7">
    <w:p w:rsidR="00EE016D" w:rsidRPr="00CD4F11" w14:paraId="6DD43821" w14:textId="5BB66E19">
      <w:pPr>
        <w:pStyle w:val="FootnoteText"/>
      </w:pPr>
      <w:r w:rsidRPr="004E1AB7">
        <w:rPr>
          <w:rStyle w:val="FootnoteReference"/>
          <w:sz w:val="20"/>
        </w:rPr>
        <w:footnoteRef/>
      </w:r>
      <w:r w:rsidRPr="004E1AB7">
        <w:t xml:space="preserve"> </w:t>
      </w:r>
      <w:r w:rsidRPr="004E1AB7">
        <w:rPr>
          <w:i/>
          <w:iCs/>
        </w:rPr>
        <w:t>Second Report and Order</w:t>
      </w:r>
      <w:r w:rsidRPr="00CD4F11">
        <w:t>, 35 FCC Rcd at 14343, para. 140;</w:t>
      </w:r>
      <w:r>
        <w:t xml:space="preserve"> </w:t>
      </w:r>
      <w:r w:rsidRPr="00F9477F">
        <w:rPr>
          <w:i/>
          <w:iCs/>
        </w:rPr>
        <w:t>see</w:t>
      </w:r>
      <w:r w:rsidRPr="00CD4F11">
        <w:t xml:space="preserve"> Secure Networks Act § 4(d)(2)(B)</w:t>
      </w:r>
      <w:r w:rsidRPr="00CD4F11">
        <w:rPr>
          <w:rFonts w:eastAsia="Segoe UI Emoji"/>
        </w:rPr>
        <w:t>(</w:t>
      </w:r>
      <w:r w:rsidRPr="00CD4F11">
        <w:rPr>
          <w:rFonts w:eastAsia="Segoe UI Emoji"/>
        </w:rPr>
        <w:t>i</w:t>
      </w:r>
      <w:r w:rsidRPr="00CD4F11">
        <w:rPr>
          <w:rFonts w:eastAsia="Segoe UI Emoji"/>
        </w:rPr>
        <w:t xml:space="preserve">). </w:t>
      </w:r>
      <w:r w:rsidRPr="00CD4F11">
        <w:t xml:space="preserve"> </w:t>
      </w:r>
    </w:p>
  </w:footnote>
  <w:footnote w:id="8">
    <w:p w:rsidR="00EE016D" w:rsidRPr="00CD4F11" w:rsidP="00E163CF" w14:paraId="055734D1" w14:textId="3844F052">
      <w:pPr>
        <w:pStyle w:val="FootnoteText"/>
      </w:pPr>
      <w:r w:rsidRPr="004E1AB7">
        <w:rPr>
          <w:rStyle w:val="FootnoteReference"/>
          <w:sz w:val="20"/>
        </w:rPr>
        <w:footnoteRef/>
      </w:r>
      <w:r w:rsidRPr="004E1AB7">
        <w:t xml:space="preserve"> </w:t>
      </w:r>
      <w:r w:rsidRPr="004E1AB7">
        <w:rPr>
          <w:i/>
          <w:iCs/>
        </w:rPr>
        <w:t>Second Report and Order</w:t>
      </w:r>
      <w:r w:rsidRPr="00CD4F11">
        <w:t>, 35 FCC Rcd at 14331, para. 108.</w:t>
      </w:r>
    </w:p>
  </w:footnote>
  <w:footnote w:id="9">
    <w:p w:rsidR="00EE016D" w:rsidRPr="00CD4F11" w14:paraId="7D91E62D" w14:textId="00D5E2A6">
      <w:pPr>
        <w:pStyle w:val="FootnoteText"/>
      </w:pPr>
      <w:r w:rsidRPr="004E1AB7">
        <w:rPr>
          <w:rStyle w:val="FootnoteReference"/>
          <w:sz w:val="20"/>
        </w:rPr>
        <w:footnoteRef/>
      </w:r>
      <w:r w:rsidRPr="004E1AB7">
        <w:t xml:space="preserve"> </w:t>
      </w:r>
      <w:r w:rsidRPr="004E1AB7">
        <w:rPr>
          <w:i/>
          <w:iCs/>
        </w:rPr>
        <w:t>Id.</w:t>
      </w:r>
      <w:r w:rsidRPr="00CD4F11">
        <w:t xml:space="preserve"> at 14358, para. 180. </w:t>
      </w:r>
    </w:p>
  </w:footnote>
  <w:footnote w:id="10">
    <w:p w:rsidR="00EE016D" w:rsidRPr="00CD4F11" w14:paraId="61384BA6" w14:textId="77777777">
      <w:pPr>
        <w:pStyle w:val="FootnoteText"/>
      </w:pPr>
      <w:r w:rsidRPr="004E1AB7">
        <w:rPr>
          <w:rStyle w:val="FootnoteReference"/>
          <w:sz w:val="20"/>
        </w:rPr>
        <w:footnoteRef/>
      </w:r>
      <w:r w:rsidRPr="004E1AB7">
        <w:t xml:space="preserve"> </w:t>
      </w:r>
      <w:r w:rsidRPr="004E1AB7">
        <w:rPr>
          <w:i/>
          <w:iCs/>
        </w:rPr>
        <w:t>Id</w:t>
      </w:r>
      <w:r w:rsidRPr="00CD4F11">
        <w:t>.</w:t>
      </w:r>
    </w:p>
  </w:footnote>
  <w:footnote w:id="11">
    <w:p w:rsidR="00EE016D" w:rsidRPr="00CD4F11" w14:paraId="47BB1085" w14:textId="77777777">
      <w:pPr>
        <w:pStyle w:val="FootnoteText"/>
      </w:pPr>
      <w:r w:rsidRPr="004E1AB7">
        <w:rPr>
          <w:rStyle w:val="FootnoteReference"/>
          <w:sz w:val="20"/>
        </w:rPr>
        <w:footnoteRef/>
      </w:r>
      <w:r w:rsidRPr="004E1AB7">
        <w:t xml:space="preserve"> </w:t>
      </w:r>
      <w:r w:rsidRPr="004E1AB7">
        <w:rPr>
          <w:i/>
          <w:iCs/>
        </w:rPr>
        <w:t>Id</w:t>
      </w:r>
      <w:r w:rsidRPr="00CD4F11">
        <w:t>.</w:t>
      </w:r>
    </w:p>
  </w:footnote>
  <w:footnote w:id="12">
    <w:p w:rsidR="00EE016D" w:rsidRPr="00C51CDD" w:rsidP="00F93929" w14:paraId="7D9D2FD4" w14:textId="77777777">
      <w:pPr>
        <w:widowControl/>
        <w:spacing w:after="120"/>
        <w:rPr>
          <w:sz w:val="20"/>
        </w:rPr>
      </w:pPr>
      <w:r w:rsidRPr="004E1AB7">
        <w:rPr>
          <w:rStyle w:val="FootnoteReference"/>
          <w:sz w:val="20"/>
        </w:rPr>
        <w:footnoteRef/>
      </w:r>
      <w:r w:rsidRPr="004E1AB7">
        <w:rPr>
          <w:sz w:val="20"/>
        </w:rPr>
        <w:t xml:space="preserve"> </w:t>
      </w:r>
      <w:r w:rsidRPr="004E1AB7">
        <w:rPr>
          <w:i/>
          <w:iCs/>
          <w:sz w:val="20"/>
        </w:rPr>
        <w:t>Wireline Competition Bureau Seeks Comment on a Report and Preliminary Cost Catalog and</w:t>
      </w:r>
      <w:r w:rsidRPr="00CD4F11">
        <w:rPr>
          <w:i/>
          <w:iCs/>
          <w:sz w:val="20"/>
        </w:rPr>
        <w:t xml:space="preserve"> Replacement List to Help Providers Participate in the Supply Chain Reimbursement Program</w:t>
      </w:r>
      <w:r w:rsidRPr="00CD4F11">
        <w:rPr>
          <w:sz w:val="20"/>
        </w:rPr>
        <w:t xml:space="preserve">, WC Docket No. 18-89, Public Notice, DA 21-355 (WCB Mar. 25, 2021).  </w:t>
      </w:r>
    </w:p>
  </w:footnote>
  <w:footnote w:id="13">
    <w:p w:rsidR="00EE016D" w:rsidRPr="00C51CDD" w14:paraId="4D3EF1A4" w14:textId="4B67B837">
      <w:pPr>
        <w:pStyle w:val="FootnoteText"/>
      </w:pPr>
      <w:r w:rsidRPr="004E1AB7">
        <w:rPr>
          <w:rStyle w:val="FootnoteReference"/>
          <w:sz w:val="20"/>
        </w:rPr>
        <w:footnoteRef/>
      </w:r>
      <w:r w:rsidRPr="004E1AB7">
        <w:t xml:space="preserve"> </w:t>
      </w:r>
      <w:r w:rsidRPr="004E1AB7">
        <w:rPr>
          <w:i/>
          <w:iCs/>
        </w:rPr>
        <w:t xml:space="preserve">Wireline </w:t>
      </w:r>
      <w:r w:rsidRPr="00CD4F11">
        <w:rPr>
          <w:i/>
          <w:iCs/>
        </w:rPr>
        <w:t>Competition Bureau Announces Selection of the Secure and Trusted Communications Networks Reimbursement Program Fund Administrator</w:t>
      </w:r>
      <w:r w:rsidRPr="00CD4F11">
        <w:t>, WC Docket No. 18-89, Public Notice, DA 21-490 (WCB Apr. 28, 2021).</w:t>
      </w:r>
    </w:p>
  </w:footnote>
  <w:footnote w:id="14">
    <w:p w:rsidR="00EE016D" w:rsidRPr="00C51CDD" w14:paraId="30730555" w14:textId="1B11262C">
      <w:pPr>
        <w:pStyle w:val="FootnoteText"/>
      </w:pPr>
      <w:r w:rsidRPr="004E1AB7">
        <w:rPr>
          <w:rStyle w:val="FootnoteReference"/>
          <w:sz w:val="20"/>
        </w:rPr>
        <w:footnoteRef/>
      </w:r>
      <w:r w:rsidRPr="004E1AB7">
        <w:t xml:space="preserve"> </w:t>
      </w:r>
      <w:r w:rsidRPr="004E1AB7">
        <w:rPr>
          <w:i/>
          <w:iCs/>
        </w:rPr>
        <w:t>Id</w:t>
      </w:r>
      <w:r w:rsidRPr="00CD4F11">
        <w:t xml:space="preserve">.; </w:t>
      </w:r>
      <w:r w:rsidRPr="00CD4F11">
        <w:rPr>
          <w:i/>
          <w:iCs/>
        </w:rPr>
        <w:t>see Second Report and Order</w:t>
      </w:r>
      <w:r w:rsidRPr="00CD4F11">
        <w:t>, 35 FCC Rcd at 14358, para. 181 (Commission authorization for the Bureau to engage contractors to assist in the reimbursement process and the administration of the Reimbursement Program).</w:t>
      </w:r>
    </w:p>
  </w:footnote>
  <w:footnote w:id="15">
    <w:p w:rsidR="00EE016D" w:rsidRPr="004E1AB7" w14:paraId="31834466" w14:textId="4CC88726">
      <w:pPr>
        <w:pStyle w:val="FootnoteText"/>
      </w:pPr>
      <w:r w:rsidRPr="004E1AB7">
        <w:rPr>
          <w:rStyle w:val="FootnoteReference"/>
          <w:sz w:val="20"/>
        </w:rPr>
        <w:footnoteRef/>
      </w:r>
      <w:r w:rsidRPr="004E1AB7">
        <w:t xml:space="preserve"> 47 CFR § 1.50004.</w:t>
      </w:r>
    </w:p>
  </w:footnote>
  <w:footnote w:id="16">
    <w:p w:rsidR="00EE016D" w:rsidRPr="00CD4F11" w14:paraId="1475266B" w14:textId="001AD766">
      <w:pPr>
        <w:pStyle w:val="FootnoteText"/>
      </w:pPr>
      <w:r w:rsidRPr="004E1AB7">
        <w:rPr>
          <w:rStyle w:val="FootnoteReference"/>
          <w:sz w:val="20"/>
        </w:rPr>
        <w:footnoteRef/>
      </w:r>
      <w:r w:rsidRPr="004E1AB7">
        <w:t xml:space="preserve"> </w:t>
      </w:r>
      <w:r w:rsidRPr="004E1AB7">
        <w:rPr>
          <w:i/>
          <w:iCs/>
        </w:rPr>
        <w:t>Id</w:t>
      </w:r>
      <w:r w:rsidRPr="00CD4F11">
        <w:t>. § 1.50004(g).</w:t>
      </w:r>
    </w:p>
  </w:footnote>
  <w:footnote w:id="17">
    <w:p w:rsidR="00EE016D" w:rsidRPr="00CD4F11" w14:paraId="7DF4291B" w14:textId="5829A3AA">
      <w:pPr>
        <w:pStyle w:val="FootnoteText"/>
      </w:pPr>
      <w:r w:rsidRPr="004E1AB7">
        <w:rPr>
          <w:rStyle w:val="FootnoteReference"/>
          <w:sz w:val="20"/>
        </w:rPr>
        <w:footnoteRef/>
      </w:r>
      <w:r w:rsidRPr="004E1AB7">
        <w:t xml:space="preserve"> </w:t>
      </w:r>
      <w:r w:rsidRPr="004E1AB7">
        <w:rPr>
          <w:i/>
          <w:iCs/>
        </w:rPr>
        <w:t>Id</w:t>
      </w:r>
      <w:r w:rsidRPr="00CD4F11">
        <w:t>. § 1.50004(g)(1).</w:t>
      </w:r>
    </w:p>
  </w:footnote>
  <w:footnote w:id="18">
    <w:p w:rsidR="00EE016D" w:rsidRPr="00CD4F11" w14:paraId="46556149" w14:textId="20C61E20">
      <w:pPr>
        <w:pStyle w:val="FootnoteText"/>
      </w:pPr>
      <w:r w:rsidRPr="004E1AB7">
        <w:rPr>
          <w:rStyle w:val="FootnoteReference"/>
          <w:sz w:val="20"/>
        </w:rPr>
        <w:footnoteRef/>
      </w:r>
      <w:r w:rsidRPr="004E1AB7">
        <w:t xml:space="preserve"> </w:t>
      </w:r>
      <w:r w:rsidRPr="004E1AB7">
        <w:rPr>
          <w:i/>
          <w:iCs/>
        </w:rPr>
        <w:t>Id</w:t>
      </w:r>
      <w:r w:rsidRPr="00CD4F11">
        <w:t>. § 1.50004(h).</w:t>
      </w:r>
    </w:p>
  </w:footnote>
  <w:footnote w:id="19">
    <w:p w:rsidR="00EE016D" w:rsidRPr="00CD4F11" w:rsidP="00591816" w14:paraId="1C4B26D9" w14:textId="77777777">
      <w:pPr>
        <w:pStyle w:val="FootnoteText"/>
      </w:pPr>
      <w:r w:rsidRPr="004E1AB7">
        <w:rPr>
          <w:rStyle w:val="FootnoteReference"/>
          <w:sz w:val="20"/>
        </w:rPr>
        <w:footnoteRef/>
      </w:r>
      <w:r w:rsidRPr="004E1AB7">
        <w:t xml:space="preserve"> </w:t>
      </w:r>
      <w:r w:rsidRPr="004E1AB7">
        <w:rPr>
          <w:i/>
          <w:iCs/>
        </w:rPr>
        <w:t>See</w:t>
      </w:r>
      <w:r w:rsidRPr="00CD4F11">
        <w:t xml:space="preserve"> </w:t>
      </w:r>
      <w:r w:rsidRPr="00CD4F11">
        <w:rPr>
          <w:i/>
          <w:iCs/>
        </w:rPr>
        <w:t>id</w:t>
      </w:r>
      <w:r w:rsidRPr="00CD4F11">
        <w:t>. § 1.50004(c).</w:t>
      </w:r>
    </w:p>
  </w:footnote>
  <w:footnote w:id="20">
    <w:p w:rsidR="00EE016D" w:rsidRPr="00CD4F11" w:rsidP="00C603D8" w14:paraId="1D72FDFD" w14:textId="7530ACF8">
      <w:pPr>
        <w:pStyle w:val="FootnoteText"/>
      </w:pPr>
      <w:r w:rsidRPr="004E1AB7">
        <w:rPr>
          <w:rStyle w:val="FootnoteReference"/>
          <w:sz w:val="20"/>
        </w:rPr>
        <w:footnoteRef/>
      </w:r>
      <w:r w:rsidRPr="004E1AB7">
        <w:t xml:space="preserve"> </w:t>
      </w:r>
      <w:r w:rsidRPr="004E1AB7">
        <w:rPr>
          <w:i/>
          <w:iCs/>
        </w:rPr>
        <w:t>See</w:t>
      </w:r>
      <w:r w:rsidRPr="00CD4F11">
        <w:t xml:space="preserve"> 47 U.S.C. § 1603(d)(2)(B); 47 CFR § 1.50004(c)(1)(</w:t>
      </w:r>
      <w:r w:rsidRPr="00CD4F11">
        <w:t>i</w:t>
      </w:r>
      <w:r w:rsidRPr="00CD4F11">
        <w:t xml:space="preserve">).  </w:t>
      </w:r>
    </w:p>
  </w:footnote>
  <w:footnote w:id="21">
    <w:p w:rsidR="00EE016D" w:rsidRPr="00CD4F11" w:rsidP="00C603D8" w14:paraId="5F869A17" w14:textId="5E669A93">
      <w:pPr>
        <w:pStyle w:val="FootnoteText"/>
      </w:pPr>
      <w:r w:rsidRPr="004E1AB7">
        <w:rPr>
          <w:rStyle w:val="FootnoteReference"/>
          <w:sz w:val="20"/>
        </w:rPr>
        <w:footnoteRef/>
      </w:r>
      <w:r w:rsidRPr="004E1AB7">
        <w:t xml:space="preserve"> </w:t>
      </w:r>
      <w:r w:rsidRPr="004E1AB7">
        <w:rPr>
          <w:i/>
          <w:iCs/>
        </w:rPr>
        <w:t>See</w:t>
      </w:r>
      <w:r w:rsidRPr="00CD4F11">
        <w:t xml:space="preserve"> 47 CFR § 1.50004(c)(1)(</w:t>
      </w:r>
      <w:r w:rsidRPr="00CD4F11">
        <w:t>i</w:t>
      </w:r>
      <w:r w:rsidRPr="00CD4F11">
        <w:t xml:space="preserve">); </w:t>
      </w:r>
      <w:r w:rsidRPr="00CD4F11">
        <w:rPr>
          <w:i/>
          <w:iCs/>
        </w:rPr>
        <w:t>Second Report and Order</w:t>
      </w:r>
      <w:r w:rsidRPr="00CD4F11">
        <w:t>, 35 FCC Rcd at 14339, para. 128.</w:t>
      </w:r>
    </w:p>
  </w:footnote>
  <w:footnote w:id="22">
    <w:p w:rsidR="00EE016D" w:rsidRPr="00CD4F11" w14:paraId="3CD4167D" w14:textId="23002B7B">
      <w:pPr>
        <w:pStyle w:val="FootnoteText"/>
      </w:pPr>
      <w:r w:rsidRPr="004E1AB7">
        <w:rPr>
          <w:rStyle w:val="FootnoteReference"/>
          <w:sz w:val="20"/>
        </w:rPr>
        <w:footnoteRef/>
      </w:r>
      <w:r w:rsidRPr="004E1AB7">
        <w:t xml:space="preserve"> </w:t>
      </w:r>
      <w:r w:rsidRPr="004E1AB7">
        <w:rPr>
          <w:i/>
          <w:iCs/>
        </w:rPr>
        <w:t>See</w:t>
      </w:r>
      <w:r w:rsidRPr="00CD4F11">
        <w:t xml:space="preserve"> 47 CFR § 1.50004(c)(1)(</w:t>
      </w:r>
      <w:r w:rsidRPr="00CD4F11">
        <w:t>i</w:t>
      </w:r>
      <w:r w:rsidRPr="00CD4F11">
        <w:t>)</w:t>
      </w:r>
      <w:r>
        <w:t>, (iv)</w:t>
      </w:r>
      <w:r w:rsidRPr="00CD4F11">
        <w:t>.</w:t>
      </w:r>
    </w:p>
  </w:footnote>
  <w:footnote w:id="23">
    <w:p w:rsidR="00EE016D" w:rsidRPr="00CD4F11" w14:paraId="090614BA" w14:textId="74DCA0BD">
      <w:pPr>
        <w:pStyle w:val="FootnoteText"/>
      </w:pPr>
      <w:r w:rsidRPr="004E1AB7">
        <w:rPr>
          <w:rStyle w:val="FootnoteReference"/>
          <w:sz w:val="20"/>
        </w:rPr>
        <w:footnoteRef/>
      </w:r>
      <w:r w:rsidRPr="004E1AB7">
        <w:t xml:space="preserve"> </w:t>
      </w:r>
      <w:r w:rsidRPr="004E1AB7">
        <w:rPr>
          <w:i/>
          <w:iCs/>
        </w:rPr>
        <w:t>Id</w:t>
      </w:r>
      <w:r w:rsidRPr="00CD4F11">
        <w:t>.</w:t>
      </w:r>
    </w:p>
  </w:footnote>
  <w:footnote w:id="24">
    <w:p w:rsidR="00EE016D" w:rsidRPr="00014139" w:rsidP="00C603D8" w14:paraId="24DEF0DA" w14:textId="651301BA">
      <w:pPr>
        <w:pStyle w:val="FootnoteText"/>
      </w:pPr>
      <w:r w:rsidRPr="004E1AB7">
        <w:rPr>
          <w:rStyle w:val="FootnoteReference"/>
          <w:sz w:val="20"/>
        </w:rPr>
        <w:footnoteRef/>
      </w:r>
      <w:r w:rsidRPr="004E1AB7">
        <w:t xml:space="preserve"> </w:t>
      </w:r>
      <w:r w:rsidRPr="004E1AB7">
        <w:rPr>
          <w:i/>
          <w:iCs/>
        </w:rPr>
        <w:t>See</w:t>
      </w:r>
      <w:r w:rsidRPr="00CD4F11">
        <w:t xml:space="preserve"> </w:t>
      </w:r>
      <w:r w:rsidRPr="00CD4F11">
        <w:rPr>
          <w:i/>
          <w:iCs/>
        </w:rPr>
        <w:t>id</w:t>
      </w:r>
      <w:r w:rsidRPr="00CD4F11">
        <w:t>. § 1.50004</w:t>
      </w:r>
      <w:r w:rsidRPr="00014139">
        <w:t>(c)(</w:t>
      </w:r>
      <w:r w:rsidRPr="00014139">
        <w:t>i</w:t>
      </w:r>
      <w:r w:rsidRPr="00014139">
        <w:t xml:space="preserve">), (v). </w:t>
      </w:r>
    </w:p>
  </w:footnote>
  <w:footnote w:id="25">
    <w:p w:rsidR="00EE016D" w:rsidRPr="00CD4F11" w14:paraId="3CEE4ABF" w14:textId="375647DE">
      <w:pPr>
        <w:pStyle w:val="FootnoteText"/>
      </w:pPr>
      <w:r w:rsidRPr="004E1AB7">
        <w:rPr>
          <w:rStyle w:val="FootnoteReference"/>
          <w:sz w:val="20"/>
        </w:rPr>
        <w:footnoteRef/>
      </w:r>
      <w:r w:rsidRPr="004E1AB7">
        <w:t xml:space="preserve"> </w:t>
      </w:r>
      <w:r w:rsidRPr="004E1AB7">
        <w:rPr>
          <w:i/>
          <w:iCs/>
        </w:rPr>
        <w:t xml:space="preserve">See Second </w:t>
      </w:r>
      <w:r w:rsidRPr="00CD4F11">
        <w:rPr>
          <w:i/>
          <w:iCs/>
        </w:rPr>
        <w:t>Report and Order</w:t>
      </w:r>
      <w:r w:rsidRPr="00CD4F11">
        <w:t>, 35 FCC Rcd at 14358, para. 180.</w:t>
      </w:r>
    </w:p>
  </w:footnote>
  <w:footnote w:id="26">
    <w:p w:rsidR="00EE016D" w:rsidRPr="00A33F59" w:rsidP="00C603D8" w14:paraId="17CA98DD" w14:textId="30365D22">
      <w:pPr>
        <w:pStyle w:val="FootnoteText"/>
      </w:pPr>
      <w:r w:rsidRPr="004E1AB7">
        <w:rPr>
          <w:rStyle w:val="FootnoteReference"/>
          <w:sz w:val="20"/>
        </w:rPr>
        <w:footnoteRef/>
      </w:r>
      <w:r w:rsidRPr="004E1AB7">
        <w:t xml:space="preserve"> 47 U.S.C. § 1603(d)(2)(B), (d)(4); 47 CFR § 1.50004(a)(3), (c)(1)(iii).</w:t>
      </w:r>
    </w:p>
  </w:footnote>
  <w:footnote w:id="27">
    <w:p w:rsidR="00EE016D" w:rsidRPr="004E1AB7" w:rsidP="00C603D8" w14:paraId="52571C91" w14:textId="77777777">
      <w:pPr>
        <w:pStyle w:val="FootnoteText"/>
      </w:pPr>
      <w:r w:rsidRPr="004E1AB7">
        <w:rPr>
          <w:rStyle w:val="FootnoteReference"/>
          <w:sz w:val="20"/>
        </w:rPr>
        <w:footnoteRef/>
      </w:r>
      <w:r w:rsidRPr="004E1AB7">
        <w:t xml:space="preserve"> 47 CFR § 1.50004(c)(1)(v).</w:t>
      </w:r>
    </w:p>
  </w:footnote>
  <w:footnote w:id="28">
    <w:p w:rsidR="00EE016D" w:rsidRPr="004E1AB7" w:rsidP="00C603D8" w14:paraId="72EFCF0C" w14:textId="77777777">
      <w:pPr>
        <w:pStyle w:val="FootnoteText"/>
      </w:pPr>
      <w:r w:rsidRPr="004E1AB7">
        <w:rPr>
          <w:rStyle w:val="FootnoteReference"/>
          <w:sz w:val="20"/>
        </w:rPr>
        <w:footnoteRef/>
      </w:r>
      <w:r w:rsidRPr="004E1AB7">
        <w:t xml:space="preserve"> Applicants can register with CORES here: </w:t>
      </w:r>
      <w:hyperlink r:id="rId1" w:history="1">
        <w:r w:rsidRPr="004E1AB7">
          <w:rPr>
            <w:rStyle w:val="Hyperlink"/>
          </w:rPr>
          <w:t>http</w:t>
        </w:r>
        <w:r w:rsidRPr="00A33F59">
          <w:rPr>
            <w:rStyle w:val="Hyperlink"/>
          </w:rPr>
          <w:t>s://apps.fcc.gov/cores/userLogin.do</w:t>
        </w:r>
      </w:hyperlink>
      <w:r w:rsidRPr="004E1AB7">
        <w:t xml:space="preserve">.  </w:t>
      </w:r>
    </w:p>
  </w:footnote>
  <w:footnote w:id="29">
    <w:p w:rsidR="00EE016D" w:rsidRPr="00014139" w14:paraId="5A730169" w14:textId="7C1549D7">
      <w:pPr>
        <w:pStyle w:val="FootnoteText"/>
      </w:pPr>
      <w:r w:rsidRPr="00F9477F">
        <w:rPr>
          <w:rStyle w:val="FootnoteReference"/>
          <w:sz w:val="20"/>
        </w:rPr>
        <w:footnoteRef/>
      </w:r>
      <w:r w:rsidRPr="004E1AB7">
        <w:t xml:space="preserve"> </w:t>
      </w:r>
      <w:r w:rsidRPr="00F9477F">
        <w:rPr>
          <w:i/>
          <w:iCs/>
        </w:rPr>
        <w:t>See</w:t>
      </w:r>
      <w:r w:rsidRPr="004E1AB7">
        <w:t xml:space="preserve"> 47 CFR §</w:t>
      </w:r>
      <w:r w:rsidRPr="00A33F59">
        <w:t xml:space="preserve"> </w:t>
      </w:r>
      <w:r w:rsidRPr="00CD4F11">
        <w:t>1.8001.</w:t>
      </w:r>
    </w:p>
  </w:footnote>
  <w:footnote w:id="30">
    <w:p w:rsidR="00EE016D" w:rsidRPr="00CD4F11" w:rsidP="00C603D8" w14:paraId="74E70088" w14:textId="016CAA26">
      <w:pPr>
        <w:pStyle w:val="FootnoteText"/>
      </w:pPr>
      <w:r w:rsidRPr="004E1AB7">
        <w:rPr>
          <w:rStyle w:val="FootnoteReference"/>
          <w:sz w:val="20"/>
        </w:rPr>
        <w:footnoteRef/>
      </w:r>
      <w:r w:rsidRPr="004E1AB7">
        <w:t xml:space="preserve"> </w:t>
      </w:r>
      <w:r w:rsidRPr="004E1AB7">
        <w:rPr>
          <w:spacing w:val="-2"/>
        </w:rPr>
        <w:t xml:space="preserve">Applicants can register with the SAM here: </w:t>
      </w:r>
      <w:hyperlink r:id="rId2" w:history="1">
        <w:r w:rsidRPr="004E1AB7">
          <w:rPr>
            <w:rStyle w:val="Hyperlink"/>
            <w:spacing w:val="-2"/>
          </w:rPr>
          <w:t>https://www.sam.gov/SAM/</w:t>
        </w:r>
      </w:hyperlink>
      <w:r w:rsidRPr="004E1AB7">
        <w:rPr>
          <w:spacing w:val="-2"/>
        </w:rPr>
        <w:t xml:space="preserve">.  SAM registration requires additional information including: </w:t>
      </w:r>
      <w:r w:rsidRPr="004E1AB7">
        <w:t xml:space="preserve">Data Universal Numbering System (DUNS) </w:t>
      </w:r>
      <w:r w:rsidRPr="00A33F59">
        <w:rPr>
          <w:spacing w:val="-2"/>
        </w:rPr>
        <w:t xml:space="preserve">number, Taxpayer Identification Number (TIN) or Employment Identification Number (EIN), and bank routing and account number for Electronic Funds Transfer </w:t>
      </w:r>
      <w:r w:rsidRPr="00CD4F11">
        <w:rPr>
          <w:spacing w:val="-2"/>
        </w:rPr>
        <w:t>(EFT).  The CAGE code is a five-character identifier, which is used by entities doing business with the Federal government to provide banking and other related information.</w:t>
      </w:r>
    </w:p>
  </w:footnote>
  <w:footnote w:id="31">
    <w:p w:rsidR="00EE016D" w:rsidRPr="004E1AB7" w14:paraId="1FB6A31E" w14:textId="572C3592">
      <w:pPr>
        <w:pStyle w:val="FootnoteText"/>
      </w:pPr>
      <w:r w:rsidRPr="004E1AB7">
        <w:rPr>
          <w:rStyle w:val="FootnoteReference"/>
          <w:sz w:val="20"/>
        </w:rPr>
        <w:footnoteRef/>
      </w:r>
      <w:r w:rsidRPr="004E1AB7">
        <w:t xml:space="preserve"> </w:t>
      </w:r>
      <w:r w:rsidRPr="004E1AB7">
        <w:rPr>
          <w:i/>
          <w:iCs/>
        </w:rPr>
        <w:t>See</w:t>
      </w:r>
      <w:r w:rsidRPr="00A33F59">
        <w:t xml:space="preserve"> SAM Non-Federal User Guide, </w:t>
      </w:r>
      <w:hyperlink r:id="rId3" w:history="1">
        <w:r w:rsidRPr="004E1AB7">
          <w:rPr>
            <w:rStyle w:val="Hyperlink"/>
          </w:rPr>
          <w:t>https://sam.gov/SAM/SAM_Guide/SAM_Non_Federal_User_Guide/</w:t>
        </w:r>
        <w:r w:rsidRPr="004E1AB7">
          <w:rPr>
            <w:rStyle w:val="Hyperlink"/>
          </w:rPr>
          <w:br/>
          <w:t>SAM_Non_Fed_User_Guide.html</w:t>
        </w:r>
      </w:hyperlink>
      <w:r w:rsidRPr="004E1AB7">
        <w:t xml:space="preserve"> (SAM Non-Federal User Guide).</w:t>
      </w:r>
    </w:p>
  </w:footnote>
  <w:footnote w:id="32">
    <w:p w:rsidR="00EE016D" w:rsidRPr="001B09C4" w14:paraId="5D87C1EB" w14:textId="6EF08814">
      <w:pPr>
        <w:pStyle w:val="FootnoteText"/>
      </w:pPr>
      <w:r w:rsidRPr="004E1AB7">
        <w:rPr>
          <w:rStyle w:val="FootnoteReference"/>
          <w:sz w:val="20"/>
        </w:rPr>
        <w:footnoteRef/>
      </w:r>
      <w:r w:rsidRPr="004E1AB7">
        <w:t xml:space="preserve"> </w:t>
      </w:r>
      <w:r w:rsidRPr="004E1AB7">
        <w:rPr>
          <w:i/>
          <w:iCs/>
        </w:rPr>
        <w:t xml:space="preserve">See </w:t>
      </w:r>
      <w:r w:rsidRPr="00A33F59">
        <w:t>DATA Act, Pub. L. 113-101</w:t>
      </w:r>
      <w:r w:rsidRPr="00CD4F11">
        <w:t xml:space="preserve">, 128 Stat. 1146 (2014); </w:t>
      </w:r>
      <w:r w:rsidRPr="00CD4F11">
        <w:rPr>
          <w:i/>
          <w:iCs/>
        </w:rPr>
        <w:t>see</w:t>
      </w:r>
      <w:r w:rsidRPr="00CD4F11">
        <w:t xml:space="preserve"> 31 U.S.C. § 6101 </w:t>
      </w:r>
      <w:r w:rsidRPr="00CD4F11">
        <w:rPr>
          <w:i/>
          <w:iCs/>
        </w:rPr>
        <w:t>et seq</w:t>
      </w:r>
      <w:r w:rsidRPr="00014139">
        <w:t>.</w:t>
      </w:r>
    </w:p>
  </w:footnote>
  <w:footnote w:id="33">
    <w:p w:rsidR="00EE016D" w:rsidRPr="00CD4F11" w14:paraId="1BB7D087" w14:textId="282BBEA0">
      <w:pPr>
        <w:pStyle w:val="FootnoteText"/>
      </w:pPr>
      <w:r w:rsidRPr="004E1AB7">
        <w:rPr>
          <w:rStyle w:val="FootnoteReference"/>
          <w:sz w:val="20"/>
        </w:rPr>
        <w:footnoteRef/>
      </w:r>
      <w:r w:rsidRPr="004E1AB7">
        <w:t xml:space="preserve"> SAM Non-Federal User Guide § 4.3.1.6.1 (“</w:t>
      </w:r>
      <w:r w:rsidRPr="00A33F59">
        <w:rPr>
          <w:color w:val="000000"/>
        </w:rPr>
        <w:t>If your entity has more than one bank account that needs to be listed on the registration, you will need to create DUNS+4. The DUNS+4 should be created if the registered entity only has one physical location but more</w:t>
      </w:r>
      <w:r w:rsidRPr="00CD4F11">
        <w:rPr>
          <w:color w:val="000000"/>
        </w:rPr>
        <w:t xml:space="preserve"> than one bank account.  The DUNS+4 is a user generated four-digit number.”).</w:t>
      </w:r>
    </w:p>
  </w:footnote>
  <w:footnote w:id="34">
    <w:p w:rsidR="00EE016D" w:rsidRPr="004E1AB7" w14:paraId="7948F971" w14:textId="0082D32A">
      <w:pPr>
        <w:pStyle w:val="FootnoteText"/>
      </w:pPr>
      <w:r w:rsidRPr="004E1AB7">
        <w:rPr>
          <w:rStyle w:val="FootnoteReference"/>
          <w:sz w:val="20"/>
        </w:rPr>
        <w:footnoteRef/>
      </w:r>
      <w:r w:rsidRPr="004E1AB7">
        <w:t xml:space="preserve"> 47 CFR § 1.50004(b).</w:t>
      </w:r>
    </w:p>
  </w:footnote>
  <w:footnote w:id="35">
    <w:p w:rsidR="00EE016D" w:rsidRPr="00CD4F11" w14:paraId="2C805F7C" w14:textId="4951EF5F">
      <w:pPr>
        <w:pStyle w:val="FootnoteText"/>
      </w:pPr>
      <w:r w:rsidRPr="004E1AB7">
        <w:rPr>
          <w:rStyle w:val="FootnoteReference"/>
          <w:sz w:val="20"/>
        </w:rPr>
        <w:footnoteRef/>
      </w:r>
      <w:r w:rsidRPr="004E1AB7">
        <w:t xml:space="preserve"> </w:t>
      </w:r>
      <w:r w:rsidRPr="004E1AB7">
        <w:rPr>
          <w:i/>
          <w:iCs/>
        </w:rPr>
        <w:t>Id</w:t>
      </w:r>
      <w:r w:rsidRPr="00A33F59">
        <w:t>.</w:t>
      </w:r>
    </w:p>
  </w:footnote>
  <w:footnote w:id="36">
    <w:p w:rsidR="00EE016D" w:rsidRPr="004E1AB7" w:rsidP="00BE5275" w14:paraId="209CFCB2" w14:textId="4DDBFBAF">
      <w:pPr>
        <w:pStyle w:val="FootnoteText"/>
      </w:pPr>
      <w:r w:rsidRPr="00F9477F">
        <w:rPr>
          <w:rStyle w:val="FootnoteReference"/>
          <w:sz w:val="20"/>
        </w:rPr>
        <w:footnoteRef/>
      </w:r>
      <w:r w:rsidRPr="004E1AB7">
        <w:t xml:space="preserve"> </w:t>
      </w:r>
      <w:r w:rsidRPr="00D0717C">
        <w:rPr>
          <w:i/>
          <w:iCs/>
        </w:rPr>
        <w:t>Id</w:t>
      </w:r>
      <w:r>
        <w:t>.</w:t>
      </w:r>
      <w:r w:rsidRPr="004E1AB7">
        <w:t xml:space="preserve"> </w:t>
      </w:r>
    </w:p>
  </w:footnote>
  <w:footnote w:id="37">
    <w:p w:rsidR="00EE016D" w14:paraId="6F07797E" w14:textId="787C903D">
      <w:pPr>
        <w:pStyle w:val="FootnoteText"/>
      </w:pPr>
      <w:r>
        <w:rPr>
          <w:rStyle w:val="FootnoteReference"/>
        </w:rPr>
        <w:footnoteRef/>
      </w:r>
      <w:r>
        <w:t xml:space="preserve"> </w:t>
      </w:r>
      <w:r w:rsidRPr="001E7A93">
        <w:rPr>
          <w:i/>
          <w:iCs/>
        </w:rPr>
        <w:t>Id</w:t>
      </w:r>
      <w:r>
        <w:t>. § 1.50004(d); 47 U.S.C. § 1603(d)(3)(A)(</w:t>
      </w:r>
      <w:r>
        <w:t>i</w:t>
      </w:r>
      <w:r>
        <w:t>).</w:t>
      </w:r>
    </w:p>
  </w:footnote>
  <w:footnote w:id="38">
    <w:p w:rsidR="00EE016D" w:rsidRPr="00CD4F11" w:rsidP="004F497D" w14:paraId="2D657D15" w14:textId="460EFCE3">
      <w:pPr>
        <w:pStyle w:val="FootnoteText"/>
      </w:pPr>
      <w:r w:rsidRPr="004E1AB7">
        <w:rPr>
          <w:rStyle w:val="FootnoteReference"/>
          <w:sz w:val="20"/>
        </w:rPr>
        <w:footnoteRef/>
      </w:r>
      <w:r w:rsidRPr="004E1AB7">
        <w:rPr>
          <w:i/>
          <w:iCs/>
        </w:rPr>
        <w:t xml:space="preserve"> See </w:t>
      </w:r>
      <w:r w:rsidRPr="009B1DF1">
        <w:t>47 CFR</w:t>
      </w:r>
      <w:r w:rsidRPr="00CD4F11">
        <w:t xml:space="preserve"> § 1.50004(a).</w:t>
      </w:r>
    </w:p>
  </w:footnote>
  <w:footnote w:id="39">
    <w:p w:rsidR="00EE016D" w:rsidRPr="00CD4F11" w:rsidP="004F497D" w14:paraId="0EA29073" w14:textId="3C9A938C">
      <w:pPr>
        <w:pStyle w:val="FootnoteText"/>
      </w:pPr>
      <w:r w:rsidRPr="004E1AB7">
        <w:rPr>
          <w:rStyle w:val="FootnoteReference"/>
          <w:sz w:val="20"/>
        </w:rPr>
        <w:footnoteRef/>
      </w:r>
      <w:r w:rsidRPr="004E1AB7">
        <w:rPr>
          <w:i/>
          <w:iCs/>
        </w:rPr>
        <w:t xml:space="preserve"> See</w:t>
      </w:r>
      <w:r w:rsidRPr="004E1AB7">
        <w:t xml:space="preserve"> </w:t>
      </w:r>
      <w:r w:rsidRPr="00A33F59">
        <w:rPr>
          <w:i/>
          <w:iCs/>
        </w:rPr>
        <w:t>id</w:t>
      </w:r>
      <w:r w:rsidRPr="00CD4F11">
        <w:t>. § 1.50004(d).</w:t>
      </w:r>
    </w:p>
  </w:footnote>
  <w:footnote w:id="40">
    <w:p w:rsidR="00EE016D" w:rsidRPr="00CD4F11" w:rsidP="00A82DAF" w14:paraId="7BE926DB" w14:textId="2D8AA38D">
      <w:pPr>
        <w:pStyle w:val="FootnoteText"/>
      </w:pPr>
      <w:r w:rsidRPr="004E1AB7">
        <w:rPr>
          <w:rStyle w:val="FootnoteReference"/>
          <w:sz w:val="20"/>
        </w:rPr>
        <w:footnoteRef/>
      </w:r>
      <w:r w:rsidRPr="004E1AB7">
        <w:t xml:space="preserve"> </w:t>
      </w:r>
      <w:r w:rsidRPr="004E1AB7">
        <w:rPr>
          <w:i/>
          <w:iCs/>
        </w:rPr>
        <w:t>See</w:t>
      </w:r>
      <w:r w:rsidRPr="00A33F59">
        <w:t xml:space="preserve"> </w:t>
      </w:r>
      <w:r w:rsidRPr="00245A72">
        <w:rPr>
          <w:i/>
          <w:iCs/>
        </w:rPr>
        <w:t>id</w:t>
      </w:r>
      <w:r>
        <w:t>.</w:t>
      </w:r>
      <w:r w:rsidRPr="00A33F59">
        <w:t xml:space="preserve"> § 1.50</w:t>
      </w:r>
      <w:r w:rsidRPr="00CD4F11">
        <w:t>004(d)(1).</w:t>
      </w:r>
    </w:p>
  </w:footnote>
  <w:footnote w:id="41">
    <w:p w:rsidR="00EE016D" w14:paraId="26E11268" w14:textId="37C04F11">
      <w:pPr>
        <w:pStyle w:val="FootnoteText"/>
      </w:pPr>
      <w:r>
        <w:rPr>
          <w:rStyle w:val="FootnoteReference"/>
        </w:rPr>
        <w:footnoteRef/>
      </w:r>
      <w:r>
        <w:t xml:space="preserve"> We propose to separately notify each applicant that their application is not considered acceptable for filing and that they have a 15-day opportunity to cure the identified deficiency (or deficiencies).</w:t>
      </w:r>
    </w:p>
  </w:footnote>
  <w:footnote w:id="42">
    <w:p w:rsidR="00EE016D" w:rsidRPr="004E1AB7" w14:paraId="071D2B32" w14:textId="74D3AD4E">
      <w:pPr>
        <w:pStyle w:val="FootnoteText"/>
      </w:pPr>
      <w:r w:rsidRPr="004E1AB7">
        <w:rPr>
          <w:rStyle w:val="FootnoteReference"/>
          <w:sz w:val="20"/>
        </w:rPr>
        <w:footnoteRef/>
      </w:r>
      <w:r w:rsidRPr="004E1AB7">
        <w:t xml:space="preserve"> </w:t>
      </w:r>
      <w:r w:rsidRPr="004E1AB7">
        <w:rPr>
          <w:i/>
          <w:iCs/>
        </w:rPr>
        <w:t>See</w:t>
      </w:r>
      <w:r w:rsidRPr="00A33F59">
        <w:t xml:space="preserve"> </w:t>
      </w:r>
      <w:r>
        <w:t>47 CFR</w:t>
      </w:r>
      <w:r w:rsidRPr="00CD4F11">
        <w:t xml:space="preserve"> § 1.50004(f)</w:t>
      </w:r>
      <w:r>
        <w:t xml:space="preserve">.  </w:t>
      </w:r>
      <w:r>
        <w:rPr>
          <w:i/>
          <w:iCs/>
        </w:rPr>
        <w:t>B</w:t>
      </w:r>
      <w:r w:rsidRPr="00CD4F11">
        <w:rPr>
          <w:i/>
          <w:iCs/>
        </w:rPr>
        <w:t>ut see Third Further Notice</w:t>
      </w:r>
      <w:r w:rsidRPr="00014139">
        <w:t xml:space="preserve"> at 6-7, paras. 20-25 (seeking comment on changes to prioritization scheme).  In evaluating gr</w:t>
      </w:r>
      <w:r w:rsidRPr="00C51CDD">
        <w:t xml:space="preserve">oss cost estimate demand versus available funding, the Fund Administrator must </w:t>
      </w:r>
      <w:r w:rsidRPr="004E1AB7">
        <w:t>first account for expenses incurred by the Commission to implement and operate the Reimbursement Program which are provided for by the $1.9 billion congressional appropriation, e.g., expenses related to the hiring of a Fund Administrator, to first determine how much funding is available for allocation.</w:t>
      </w:r>
    </w:p>
  </w:footnote>
  <w:footnote w:id="43">
    <w:p w:rsidR="00EE016D" w:rsidRPr="00CD4F11" w:rsidP="00FD1694" w14:paraId="7F577402" w14:textId="334E3A65">
      <w:pPr>
        <w:pStyle w:val="FootnoteText"/>
      </w:pPr>
      <w:r w:rsidRPr="004E1AB7">
        <w:rPr>
          <w:rStyle w:val="FootnoteReference"/>
          <w:sz w:val="20"/>
        </w:rPr>
        <w:footnoteRef/>
      </w:r>
      <w:r w:rsidRPr="004E1AB7">
        <w:t xml:space="preserve"> 47 CFR § 1.50004(d).  For applications with a material defect that are given a </w:t>
      </w:r>
      <w:r w:rsidRPr="00A33F59">
        <w:t>15</w:t>
      </w:r>
      <w:r>
        <w:t>-</w:t>
      </w:r>
      <w:r w:rsidRPr="00A33F59">
        <w:t xml:space="preserve">day period to cure, the 90-day “deadline shall be extended through the end of the cure period.” </w:t>
      </w:r>
      <w:r w:rsidRPr="00CD4F11">
        <w:rPr>
          <w:i/>
          <w:iCs/>
        </w:rPr>
        <w:t xml:space="preserve"> Id</w:t>
      </w:r>
      <w:r w:rsidRPr="00CD4F11">
        <w:t>. § 1.50004(d)(1).</w:t>
      </w:r>
    </w:p>
  </w:footnote>
  <w:footnote w:id="44">
    <w:p w:rsidR="00EE016D" w:rsidRPr="00A33F59" w14:paraId="2A4A844A" w14:textId="7D49B5D6">
      <w:pPr>
        <w:pStyle w:val="FootnoteText"/>
      </w:pPr>
      <w:r w:rsidRPr="004E1AB7">
        <w:rPr>
          <w:rStyle w:val="FootnoteReference"/>
          <w:sz w:val="20"/>
        </w:rPr>
        <w:footnoteRef/>
      </w:r>
      <w:r w:rsidRPr="004E1AB7">
        <w:t xml:space="preserve"> </w:t>
      </w:r>
      <w:r w:rsidRPr="004E1AB7">
        <w:rPr>
          <w:i/>
          <w:iCs/>
        </w:rPr>
        <w:t>See</w:t>
      </w:r>
      <w:r w:rsidRPr="00A33F59">
        <w:t xml:space="preserve"> 47 U.S.C. § 1603(d)(3)(a); 47 CFR § 1.50004(d).</w:t>
      </w:r>
    </w:p>
  </w:footnote>
  <w:footnote w:id="45">
    <w:p w:rsidR="00EE016D" w:rsidRPr="00A33F59" w:rsidP="00207A72" w14:paraId="5A82C06D" w14:textId="18476C7D">
      <w:pPr>
        <w:pStyle w:val="FootnoteText"/>
      </w:pPr>
      <w:r w:rsidRPr="004E1AB7">
        <w:rPr>
          <w:rStyle w:val="FootnoteReference"/>
          <w:sz w:val="20"/>
        </w:rPr>
        <w:footnoteRef/>
      </w:r>
      <w:r w:rsidRPr="004E1AB7">
        <w:t xml:space="preserve"> </w:t>
      </w:r>
      <w:r w:rsidRPr="00A33F59">
        <w:t>47 CFR § 1.5000</w:t>
      </w:r>
      <w:r>
        <w:t>4</w:t>
      </w:r>
      <w:r w:rsidRPr="00A33F59">
        <w:t>(g)(1).</w:t>
      </w:r>
    </w:p>
  </w:footnote>
  <w:footnote w:id="46">
    <w:p w:rsidR="00EE016D" w:rsidRPr="00A33F59" w14:paraId="10A988E1" w14:textId="1A4D6000">
      <w:pPr>
        <w:pStyle w:val="FootnoteText"/>
      </w:pPr>
      <w:r w:rsidRPr="004E1AB7">
        <w:rPr>
          <w:rStyle w:val="FootnoteReference"/>
          <w:sz w:val="20"/>
        </w:rPr>
        <w:footnoteRef/>
      </w:r>
      <w:r w:rsidRPr="004E1AB7">
        <w:t xml:space="preserve"> </w:t>
      </w:r>
      <w:r w:rsidRPr="004E1AB7">
        <w:rPr>
          <w:i/>
          <w:iCs/>
        </w:rPr>
        <w:t>See Second Report and Order</w:t>
      </w:r>
      <w:r w:rsidRPr="00A33F59">
        <w:t>, 35 FCC Rcd at 14347, para. 152.</w:t>
      </w:r>
    </w:p>
  </w:footnote>
  <w:footnote w:id="47">
    <w:p w:rsidR="00EE016D" w:rsidRPr="004E1AB7" w14:paraId="1383C90A" w14:textId="2DECA4D9">
      <w:pPr>
        <w:pStyle w:val="FootnoteText"/>
      </w:pPr>
      <w:r w:rsidRPr="004E1AB7">
        <w:rPr>
          <w:rStyle w:val="FootnoteReference"/>
          <w:sz w:val="20"/>
        </w:rPr>
        <w:footnoteRef/>
      </w:r>
      <w:r w:rsidRPr="004E1AB7">
        <w:t xml:space="preserve"> 47 CFR § 1.50004(g).</w:t>
      </w:r>
    </w:p>
  </w:footnote>
  <w:footnote w:id="48">
    <w:p w:rsidR="00EE016D" w:rsidRPr="00A33F59" w14:paraId="34F5CA30" w14:textId="79291B5B">
      <w:pPr>
        <w:pStyle w:val="FootnoteText"/>
      </w:pPr>
      <w:r w:rsidRPr="004E1AB7">
        <w:rPr>
          <w:rStyle w:val="FootnoteReference"/>
          <w:sz w:val="20"/>
        </w:rPr>
        <w:footnoteRef/>
      </w:r>
      <w:r w:rsidRPr="004E1AB7">
        <w:t xml:space="preserve"> </w:t>
      </w:r>
      <w:r w:rsidRPr="004E1AB7">
        <w:rPr>
          <w:i/>
          <w:iCs/>
        </w:rPr>
        <w:t>Id</w:t>
      </w:r>
      <w:r w:rsidRPr="00A33F59">
        <w:t>. § 1.50004(g)(1).</w:t>
      </w:r>
    </w:p>
  </w:footnote>
  <w:footnote w:id="49">
    <w:p w:rsidR="00EE016D" w:rsidRPr="00A33F59" w:rsidP="003F4B7B" w14:paraId="298018A7" w14:textId="111B2C6B">
      <w:pPr>
        <w:pStyle w:val="FootnoteText"/>
      </w:pPr>
      <w:r w:rsidRPr="004E1AB7">
        <w:rPr>
          <w:rStyle w:val="FootnoteReference"/>
          <w:sz w:val="20"/>
        </w:rPr>
        <w:footnoteRef/>
      </w:r>
      <w:r w:rsidRPr="004E1AB7">
        <w:t xml:space="preserve"> </w:t>
      </w:r>
      <w:r w:rsidRPr="004E1AB7">
        <w:rPr>
          <w:i/>
          <w:iCs/>
        </w:rPr>
        <w:t>See</w:t>
      </w:r>
      <w:r w:rsidRPr="00A33F59">
        <w:t xml:space="preserve"> </w:t>
      </w:r>
      <w:r w:rsidRPr="00A33F59">
        <w:rPr>
          <w:i/>
          <w:iCs/>
        </w:rPr>
        <w:t>id</w:t>
      </w:r>
      <w:r w:rsidRPr="00A33F59">
        <w:t>. § 1.50004(g); Appx. B.</w:t>
      </w:r>
    </w:p>
  </w:footnote>
  <w:footnote w:id="50">
    <w:p w:rsidR="00EE016D" w:rsidRPr="00A33F59" w14:paraId="5431DC47" w14:textId="132D125C">
      <w:pPr>
        <w:pStyle w:val="FootnoteText"/>
      </w:pPr>
      <w:r w:rsidRPr="004E1AB7">
        <w:rPr>
          <w:rStyle w:val="FootnoteReference"/>
          <w:sz w:val="20"/>
        </w:rPr>
        <w:footnoteRef/>
      </w:r>
      <w:r w:rsidRPr="004E1AB7">
        <w:t xml:space="preserve"> </w:t>
      </w:r>
      <w:r w:rsidRPr="00373EF0">
        <w:t>47 CFR</w:t>
      </w:r>
      <w:r w:rsidRPr="00A33F59">
        <w:t xml:space="preserve"> § 1.50004(g). </w:t>
      </w:r>
    </w:p>
  </w:footnote>
  <w:footnote w:id="51">
    <w:p w:rsidR="00EE016D" w:rsidRPr="00F9477F" w:rsidP="00737999" w14:paraId="05BE40B7" w14:textId="4BE513C6">
      <w:pPr>
        <w:widowControl/>
        <w:autoSpaceDE w:val="0"/>
        <w:autoSpaceDN w:val="0"/>
        <w:adjustRightInd w:val="0"/>
        <w:spacing w:after="120"/>
        <w:rPr>
          <w:rFonts w:ascii="TimesNewRomanPSMT" w:hAnsi="TimesNewRomanPSMT" w:cs="TimesNewRomanPSMT"/>
        </w:rPr>
      </w:pPr>
      <w:r w:rsidRPr="00F9477F">
        <w:rPr>
          <w:rStyle w:val="FootnoteReference"/>
          <w:sz w:val="20"/>
        </w:rPr>
        <w:footnoteRef/>
      </w:r>
      <w:r w:rsidRPr="00F9477F">
        <w:rPr>
          <w:sz w:val="20"/>
        </w:rPr>
        <w:t xml:space="preserve"> </w:t>
      </w:r>
      <w:r w:rsidRPr="00F9477F">
        <w:rPr>
          <w:i/>
          <w:iCs/>
          <w:sz w:val="20"/>
        </w:rPr>
        <w:t>See Second Report and Order</w:t>
      </w:r>
      <w:r w:rsidRPr="00F9477F">
        <w:rPr>
          <w:sz w:val="20"/>
        </w:rPr>
        <w:t>, 35 FCC Rcd at 14353, para. 165 (“</w:t>
      </w:r>
      <w:r w:rsidRPr="004E1AB7">
        <w:rPr>
          <w:rFonts w:ascii="TimesNewRomanPSMT" w:hAnsi="TimesNewRomanPSMT" w:cs="TimesNewRomanPSMT"/>
          <w:snapToGrid/>
          <w:kern w:val="0"/>
          <w:sz w:val="20"/>
        </w:rPr>
        <w:t>Following the allocation of funds to eligible providers and after eligible providers incur actual costs, they will need to file reimbursement claims along with any required supporting invoices and other cost documentation, as directed by the Wireline Competition Bureau, to obtain reimbursement funds from their allocation.</w:t>
      </w:r>
      <w:r w:rsidRPr="00F9477F">
        <w:rPr>
          <w:sz w:val="20"/>
        </w:rPr>
        <w:t>”).</w:t>
      </w:r>
    </w:p>
  </w:footnote>
  <w:footnote w:id="52">
    <w:p w:rsidR="00EE016D" w14:paraId="2E6A4237" w14:textId="2C77CA52">
      <w:pPr>
        <w:pStyle w:val="FootnoteText"/>
      </w:pPr>
      <w:r>
        <w:rPr>
          <w:rStyle w:val="FootnoteReference"/>
        </w:rPr>
        <w:footnoteRef/>
      </w:r>
      <w:r>
        <w:t xml:space="preserve"> </w:t>
      </w:r>
      <w:r w:rsidRPr="00F9477F">
        <w:rPr>
          <w:i/>
          <w:iCs/>
        </w:rPr>
        <w:t>Id</w:t>
      </w:r>
      <w:r>
        <w:t>.</w:t>
      </w:r>
    </w:p>
  </w:footnote>
  <w:footnote w:id="53">
    <w:p w:rsidR="00EE016D" w14:paraId="54BABD5A" w14:textId="6E1B2E6E">
      <w:pPr>
        <w:pStyle w:val="FootnoteText"/>
      </w:pPr>
      <w:r>
        <w:rPr>
          <w:rStyle w:val="FootnoteReference"/>
        </w:rPr>
        <w:footnoteRef/>
      </w:r>
      <w:r>
        <w:t xml:space="preserve"> </w:t>
      </w:r>
      <w:r w:rsidRPr="00F9477F">
        <w:rPr>
          <w:i/>
          <w:iCs/>
        </w:rPr>
        <w:t>Id</w:t>
      </w:r>
      <w:r>
        <w:t>.</w:t>
      </w:r>
    </w:p>
  </w:footnote>
  <w:footnote w:id="54">
    <w:p w:rsidR="00EE016D" w:rsidRPr="00CD4F11" w:rsidP="00C51CDD" w14:paraId="4FFCBCE7" w14:textId="56A11077">
      <w:pPr>
        <w:pStyle w:val="FootnoteText"/>
      </w:pPr>
      <w:r w:rsidRPr="004E1AB7">
        <w:rPr>
          <w:rStyle w:val="FootnoteReference"/>
          <w:sz w:val="20"/>
        </w:rPr>
        <w:footnoteRef/>
      </w:r>
      <w:r w:rsidRPr="004E1AB7">
        <w:t xml:space="preserve"> 47 CFR § 1.50004(g)(1)-</w:t>
      </w:r>
      <w:r w:rsidRPr="00A33F59">
        <w:t xml:space="preserve">(2).  </w:t>
      </w:r>
    </w:p>
  </w:footnote>
  <w:footnote w:id="55">
    <w:p w:rsidR="00EE016D" w14:paraId="4D3BBED5" w14:textId="18CB6AC7">
      <w:pPr>
        <w:pStyle w:val="FootnoteText"/>
      </w:pPr>
      <w:r>
        <w:rPr>
          <w:rStyle w:val="FootnoteReference"/>
        </w:rPr>
        <w:footnoteRef/>
      </w:r>
      <w:r>
        <w:t xml:space="preserve"> </w:t>
      </w:r>
      <w:r w:rsidRPr="00F9477F">
        <w:rPr>
          <w:i/>
          <w:iCs/>
        </w:rPr>
        <w:t>Id</w:t>
      </w:r>
      <w:r>
        <w:t>.</w:t>
      </w:r>
    </w:p>
  </w:footnote>
  <w:footnote w:id="56">
    <w:p w:rsidR="00EE016D" w:rsidRPr="00CD4F11" w14:paraId="2277CCD4" w14:textId="7A62FABB">
      <w:pPr>
        <w:pStyle w:val="FootnoteText"/>
      </w:pPr>
      <w:r w:rsidRPr="004E1AB7">
        <w:rPr>
          <w:rStyle w:val="FootnoteReference"/>
          <w:sz w:val="20"/>
        </w:rPr>
        <w:footnoteRef/>
      </w:r>
      <w:r w:rsidRPr="004E1AB7">
        <w:t xml:space="preserve"> </w:t>
      </w:r>
      <w:r w:rsidRPr="004E1AB7">
        <w:rPr>
          <w:bCs/>
        </w:rPr>
        <w:t>Amendments may be filed up until action</w:t>
      </w:r>
      <w:r w:rsidRPr="00A33F59">
        <w:rPr>
          <w:bCs/>
        </w:rPr>
        <w:t xml:space="preserve"> is taken by the Bureau on the underlying filing.  At that point, changes to a granted filing are accomplished through the filing of a modification application.</w:t>
      </w:r>
    </w:p>
  </w:footnote>
  <w:footnote w:id="57">
    <w:p w:rsidR="00EE016D" w14:paraId="77403403" w14:textId="35CA778B">
      <w:pPr>
        <w:pStyle w:val="FootnoteText"/>
      </w:pPr>
      <w:r>
        <w:rPr>
          <w:rStyle w:val="FootnoteReference"/>
        </w:rPr>
        <w:footnoteRef/>
      </w:r>
      <w:r>
        <w:t xml:space="preserve"> </w:t>
      </w:r>
      <w:r w:rsidRPr="004E1AB7">
        <w:rPr>
          <w:i/>
          <w:iCs/>
        </w:rPr>
        <w:t>See Second Report and Order</w:t>
      </w:r>
      <w:r w:rsidRPr="00A33F59">
        <w:t>, 35 FCC Rcd at 14347, para. 152.</w:t>
      </w:r>
    </w:p>
  </w:footnote>
  <w:footnote w:id="58">
    <w:p w:rsidR="00EE016D" w14:paraId="2897DE1A" w14:textId="14F37A98">
      <w:pPr>
        <w:pStyle w:val="FootnoteText"/>
      </w:pPr>
      <w:r>
        <w:rPr>
          <w:rStyle w:val="FootnoteReference"/>
        </w:rPr>
        <w:footnoteRef/>
      </w:r>
      <w:r>
        <w:t xml:space="preserve"> This would not eliminate or exempt parties from needing to obtain the necessary approvals otherwise required prior to consummating the transaction.  </w:t>
      </w:r>
      <w:r w:rsidRPr="001E7A93">
        <w:rPr>
          <w:i/>
          <w:iCs/>
        </w:rPr>
        <w:t>See, e.g.</w:t>
      </w:r>
      <w:r>
        <w:t>, 47 U.S.C. § 310(d) (requiring Commission approval for the assignment or transfer of a station license).</w:t>
      </w:r>
    </w:p>
  </w:footnote>
  <w:footnote w:id="59">
    <w:p w:rsidR="00EE016D" w:rsidRPr="00CD4F11" w14:paraId="605B4691" w14:textId="77777777">
      <w:pPr>
        <w:pStyle w:val="FootnoteText"/>
      </w:pPr>
      <w:r w:rsidRPr="004E1AB7">
        <w:rPr>
          <w:rStyle w:val="FootnoteReference"/>
          <w:sz w:val="20"/>
        </w:rPr>
        <w:footnoteRef/>
      </w:r>
      <w:r w:rsidRPr="004E1AB7">
        <w:t xml:space="preserve"> As a condition of receiving funding, recipients “must provide consent to allow vendors or contractors used by the recipient in connection with the Reimbursement Program to release confidential information to the auditor, reviewer, or other representative.” 47 CFR § 1.50004(o).</w:t>
      </w:r>
    </w:p>
  </w:footnote>
  <w:footnote w:id="60">
    <w:p w:rsidR="00EE016D" w:rsidRPr="00CD4F11" w:rsidP="00FF64BB" w14:paraId="7FDDE993" w14:textId="753026CD">
      <w:pPr>
        <w:pStyle w:val="FootnoteText"/>
      </w:pPr>
      <w:r w:rsidRPr="004E1AB7">
        <w:rPr>
          <w:rStyle w:val="FootnoteReference"/>
          <w:sz w:val="20"/>
        </w:rPr>
        <w:footnoteRef/>
      </w:r>
      <w:r w:rsidRPr="004E1AB7">
        <w:t xml:space="preserve"> </w:t>
      </w:r>
      <w:r w:rsidRPr="004E1AB7">
        <w:rPr>
          <w:i/>
          <w:iCs/>
        </w:rPr>
        <w:t>Second Report and Order</w:t>
      </w:r>
      <w:r w:rsidRPr="00A33F59">
        <w:t xml:space="preserve">, 35 FCC Rcd at 14360, para. 189; </w:t>
      </w:r>
      <w:r w:rsidRPr="00A33F59">
        <w:rPr>
          <w:i/>
          <w:iCs/>
        </w:rPr>
        <w:t>see</w:t>
      </w:r>
      <w:r w:rsidRPr="00A33F59">
        <w:t xml:space="preserve"> 5 U.S.C.</w:t>
      </w:r>
      <w:r w:rsidRPr="00CD4F11">
        <w:t xml:space="preserve"> § 552(b); 47 CFR § 0.457(d)(2). </w:t>
      </w:r>
    </w:p>
  </w:footnote>
  <w:footnote w:id="61">
    <w:p w:rsidR="00EE016D" w:rsidRPr="00CD4F11" w14:paraId="50E610FC" w14:textId="01BEAFA1">
      <w:pPr>
        <w:pStyle w:val="FootnoteText"/>
      </w:pPr>
      <w:r w:rsidRPr="004E1AB7">
        <w:rPr>
          <w:rStyle w:val="FootnoteReference"/>
          <w:sz w:val="20"/>
        </w:rPr>
        <w:footnoteRef/>
      </w:r>
      <w:r w:rsidRPr="004E1AB7">
        <w:t xml:space="preserve"> </w:t>
      </w:r>
      <w:r w:rsidRPr="004E1AB7">
        <w:rPr>
          <w:i/>
          <w:iCs/>
        </w:rPr>
        <w:t>See Second Report and Order</w:t>
      </w:r>
      <w:r w:rsidRPr="00A33F59">
        <w:t xml:space="preserve">, 35 FCC Rcd at 14369-70, para. 214 &amp; n.610; </w:t>
      </w:r>
      <w:r w:rsidRPr="00CD4F11">
        <w:rPr>
          <w:i/>
          <w:iCs/>
        </w:rPr>
        <w:t xml:space="preserve">see </w:t>
      </w:r>
      <w:r w:rsidRPr="00CD4F11">
        <w:t>47 CFR § 1.50004(a)(3)(</w:t>
      </w:r>
      <w:r w:rsidRPr="00CD4F11">
        <w:t>i</w:t>
      </w:r>
      <w:r w:rsidRPr="00CD4F11">
        <w:t>)(A) (requiring applicants to certify as of the date of application submission that the provider has developed a plan for the permanent removal, replacement, and disposal of covered communications equipment or services).</w:t>
      </w:r>
    </w:p>
  </w:footnote>
  <w:footnote w:id="62">
    <w:p w:rsidR="00EE016D" w:rsidRPr="00CD4F11" w14:paraId="0030F4BA" w14:textId="00EB1E95">
      <w:pPr>
        <w:pStyle w:val="FootnoteText"/>
      </w:pPr>
      <w:r w:rsidRPr="004E1AB7">
        <w:rPr>
          <w:rStyle w:val="FootnoteReference"/>
          <w:sz w:val="20"/>
        </w:rPr>
        <w:footnoteRef/>
      </w:r>
      <w:r w:rsidRPr="004E1AB7">
        <w:t xml:space="preserve"> </w:t>
      </w:r>
      <w:r w:rsidRPr="004E1AB7">
        <w:rPr>
          <w:i/>
          <w:iCs/>
        </w:rPr>
        <w:t>Second Report and Order</w:t>
      </w:r>
      <w:r w:rsidRPr="00A33F59">
        <w:t xml:space="preserve">, 35 FCC Rcd at 14369-70, para. 214, n.610 (citing 5 U.S.C. </w:t>
      </w:r>
      <w:r w:rsidRPr="00CD4F11">
        <w:t xml:space="preserve">§ 552(b)(4)).  </w:t>
      </w:r>
    </w:p>
  </w:footnote>
  <w:footnote w:id="63">
    <w:p w:rsidR="00EE016D" w:rsidRPr="004E1AB7" w14:paraId="4E376CE5" w14:textId="273277FD">
      <w:pPr>
        <w:pStyle w:val="FootnoteText"/>
      </w:pPr>
      <w:r w:rsidRPr="004E1AB7">
        <w:rPr>
          <w:rStyle w:val="FootnoteReference"/>
          <w:sz w:val="20"/>
        </w:rPr>
        <w:footnoteRef/>
      </w:r>
      <w:r w:rsidRPr="004E1AB7">
        <w:t xml:space="preserve"> </w:t>
      </w:r>
      <w:r w:rsidRPr="004E1AB7">
        <w:rPr>
          <w:i/>
          <w:iCs/>
        </w:rPr>
        <w:t xml:space="preserve">See </w:t>
      </w:r>
      <w:r w:rsidRPr="00A33F59">
        <w:t>47 CFR § 1.50004(a)(3)(</w:t>
      </w:r>
      <w:r w:rsidRPr="00A33F59">
        <w:t>i</w:t>
      </w:r>
      <w:r w:rsidRPr="00A33F59">
        <w:t xml:space="preserve">)(A) (requiring </w:t>
      </w:r>
      <w:r w:rsidRPr="00CD4F11">
        <w:t xml:space="preserve">applicants to certify as of the date of application submission that the provider has developed a specific timeline for the permanent removal, replacement, and disposal of covered communications equipment or services); </w:t>
      </w:r>
      <w:r w:rsidRPr="00CD4F11">
        <w:rPr>
          <w:i/>
          <w:iCs/>
        </w:rPr>
        <w:t>id</w:t>
      </w:r>
      <w:r w:rsidRPr="00CD4F11">
        <w:t>. §</w:t>
      </w:r>
      <w:r w:rsidRPr="00C959EE">
        <w:t xml:space="preserve"> 1.50005(c)(1)(iv) (requests for </w:t>
      </w:r>
      <w:r w:rsidRPr="00BF2EA9">
        <w:t xml:space="preserve">funding allocation must include a specific timeline for the </w:t>
      </w:r>
      <w:r w:rsidRPr="00C51CDD">
        <w:t>permanent removal, replacement, and disposal of covered communications equipment and services</w:t>
      </w:r>
      <w:r w:rsidRPr="004E1AB7">
        <w:t>).</w:t>
      </w:r>
    </w:p>
  </w:footnote>
  <w:footnote w:id="64">
    <w:p w:rsidR="00EE016D" w:rsidRPr="00DA483E" w14:paraId="7C8AA94D" w14:textId="08BA31BA">
      <w:pPr>
        <w:pStyle w:val="FootnoteText"/>
      </w:pPr>
      <w:r w:rsidRPr="004E1AB7">
        <w:rPr>
          <w:rStyle w:val="FootnoteReference"/>
          <w:sz w:val="20"/>
        </w:rPr>
        <w:footnoteRef/>
      </w:r>
      <w:r w:rsidRPr="004E1AB7">
        <w:t xml:space="preserve"> </w:t>
      </w:r>
      <w:r w:rsidRPr="004E1AB7">
        <w:rPr>
          <w:i/>
          <w:iCs/>
        </w:rPr>
        <w:t>See</w:t>
      </w:r>
      <w:r w:rsidRPr="00A33F59">
        <w:t xml:space="preserve"> 47 CFR § 0.459 (procedures for requesting that materials or information submitted to the Commission be withheld from public inspection)</w:t>
      </w:r>
      <w:r w:rsidRPr="00CD4F11">
        <w:t>;</w:t>
      </w:r>
      <w:r w:rsidRPr="00CD4F11">
        <w:rPr>
          <w:i/>
          <w:iCs/>
        </w:rPr>
        <w:t xml:space="preserve"> id</w:t>
      </w:r>
      <w:r w:rsidRPr="00CD4F11">
        <w:t>. § 0.457 (listing records that are not routinely available for public inspection pursuant to 5 U.S.C. § 552(b)</w:t>
      </w:r>
      <w:r w:rsidRPr="00C959EE">
        <w:t>)</w:t>
      </w:r>
      <w:r w:rsidRPr="00DA483E">
        <w:t>.</w:t>
      </w:r>
    </w:p>
  </w:footnote>
  <w:footnote w:id="65">
    <w:p w:rsidR="00EE016D" w:rsidRPr="004E1AB7" w14:paraId="1ECF42B6" w14:textId="0E63C3C9">
      <w:pPr>
        <w:pStyle w:val="FootnoteText"/>
      </w:pPr>
      <w:r w:rsidRPr="004E1AB7">
        <w:rPr>
          <w:rStyle w:val="FootnoteReference"/>
          <w:sz w:val="20"/>
        </w:rPr>
        <w:footnoteRef/>
      </w:r>
      <w:r w:rsidRPr="004E1AB7">
        <w:t xml:space="preserve"> </w:t>
      </w:r>
      <w:r w:rsidRPr="004E1AB7">
        <w:rPr>
          <w:i/>
          <w:iCs/>
        </w:rPr>
        <w:t xml:space="preserve">See </w:t>
      </w:r>
      <w:r w:rsidRPr="00A33F59">
        <w:t xml:space="preserve">31 U.S.C. § 3716 </w:t>
      </w:r>
      <w:r w:rsidRPr="00A33F59">
        <w:rPr>
          <w:i/>
          <w:iCs/>
        </w:rPr>
        <w:t>et seq</w:t>
      </w:r>
      <w:r w:rsidRPr="00CD4F11">
        <w:t xml:space="preserve">.; U.S. Department of the Treasury, Treasury Offset Program, </w:t>
      </w:r>
      <w:hyperlink r:id="rId4" w:history="1">
        <w:r w:rsidRPr="004E1AB7">
          <w:rPr>
            <w:rStyle w:val="Hyperlink"/>
          </w:rPr>
          <w:t>https://fiscal.treasury.</w:t>
        </w:r>
        <w:r w:rsidRPr="004E1AB7">
          <w:rPr>
            <w:rStyle w:val="Hyperlink"/>
          </w:rPr>
          <w:br/>
          <w:t>gov/top/</w:t>
        </w:r>
      </w:hyperlink>
      <w:r w:rsidRPr="004E1AB7">
        <w:t xml:space="preserve"> (last visited Apr. 22, 2021). </w:t>
      </w:r>
    </w:p>
  </w:footnote>
  <w:footnote w:id="66">
    <w:p w:rsidR="00EE016D" w:rsidRPr="00A33F59" w14:paraId="52560678" w14:textId="342E6E13">
      <w:pPr>
        <w:pStyle w:val="FootnoteText"/>
      </w:pPr>
      <w:r w:rsidRPr="004E1AB7">
        <w:rPr>
          <w:rStyle w:val="FootnoteReference"/>
          <w:sz w:val="20"/>
        </w:rPr>
        <w:footnoteRef/>
      </w:r>
      <w:r w:rsidRPr="004E1AB7">
        <w:t xml:space="preserve"> </w:t>
      </w:r>
      <w:r w:rsidRPr="004E1AB7">
        <w:rPr>
          <w:i/>
          <w:iCs/>
        </w:rPr>
        <w:t xml:space="preserve">See </w:t>
      </w:r>
      <w:r w:rsidRPr="00A33F59">
        <w:t>31 U.S.C. § 3716(a)(1)-(4).</w:t>
      </w:r>
    </w:p>
  </w:footnote>
  <w:footnote w:id="67">
    <w:p w:rsidR="00EE016D" w:rsidRPr="004E1AB7" w14:paraId="32B41A31" w14:textId="12780AFB">
      <w:pPr>
        <w:pStyle w:val="FootnoteText"/>
      </w:pPr>
      <w:r w:rsidRPr="004E1AB7">
        <w:rPr>
          <w:rStyle w:val="FootnoteReference"/>
          <w:sz w:val="20"/>
        </w:rPr>
        <w:footnoteRef/>
      </w:r>
      <w:r w:rsidRPr="004E1AB7">
        <w:t xml:space="preserve"> </w:t>
      </w:r>
      <w:r w:rsidRPr="004E1AB7">
        <w:rPr>
          <w:i/>
          <w:iCs/>
        </w:rPr>
        <w:t>See</w:t>
      </w:r>
      <w:r w:rsidRPr="00A33F59">
        <w:t xml:space="preserve"> U.S. Department of the Treasury, TOP Frequently Asked Questions, </w:t>
      </w:r>
      <w:hyperlink r:id="rId5" w:history="1">
        <w:r w:rsidRPr="004E1AB7">
          <w:rPr>
            <w:rStyle w:val="Hyperlink"/>
          </w:rPr>
          <w:t>https://fiscal.treasury.gov/top/faqs-for-the-public.html</w:t>
        </w:r>
      </w:hyperlink>
      <w:r w:rsidRPr="004E1AB7">
        <w:t xml:space="preserve"> (last visited Apr. 22, 2021). </w:t>
      </w:r>
    </w:p>
  </w:footnote>
  <w:footnote w:id="68">
    <w:p w:rsidR="00EE016D" w:rsidRPr="00CD4F11" w14:paraId="3D6F56EF" w14:textId="4236A90F">
      <w:pPr>
        <w:pStyle w:val="FootnoteText"/>
      </w:pPr>
      <w:r w:rsidRPr="004E1AB7">
        <w:rPr>
          <w:rStyle w:val="FootnoteReference"/>
          <w:sz w:val="20"/>
        </w:rPr>
        <w:footnoteRef/>
      </w:r>
      <w:r w:rsidRPr="004E1AB7">
        <w:t xml:space="preserve"> 47 CFR § 1.1910; </w:t>
      </w:r>
      <w:r w:rsidRPr="004E1AB7">
        <w:rPr>
          <w:i/>
          <w:iCs/>
        </w:rPr>
        <w:t>see, e.g.</w:t>
      </w:r>
      <w:r w:rsidRPr="00A33F59">
        <w:t xml:space="preserve">, </w:t>
      </w:r>
      <w:r w:rsidRPr="00A33F59">
        <w:rPr>
          <w:i/>
          <w:iCs/>
        </w:rPr>
        <w:t>The Office of Managing Director and Wireline Competition Bureau Suspend the Red Light Rule for the COVID-19 Telehealth Program</w:t>
      </w:r>
      <w:r w:rsidRPr="00CD4F11">
        <w:t>, WC Docket No. 20-89, Public Notice, 35 FCC Rcd 3685 (WCB/OMD 2020) (suspending red light rule for COVID-19 Telehealth Program).</w:t>
      </w:r>
    </w:p>
  </w:footnote>
  <w:footnote w:id="69">
    <w:p w:rsidR="00EE016D" w:rsidRPr="00CD4F11" w14:paraId="07A843C2" w14:textId="300091EB">
      <w:pPr>
        <w:pStyle w:val="FootnoteText"/>
      </w:pPr>
      <w:r w:rsidRPr="004E1AB7">
        <w:rPr>
          <w:rStyle w:val="FootnoteReference"/>
          <w:sz w:val="20"/>
        </w:rPr>
        <w:footnoteRef/>
      </w:r>
      <w:r w:rsidRPr="004E1AB7">
        <w:t xml:space="preserve"> Debt Collection Improvement Act of 1996, Pub. L. No. 104-134, 110</w:t>
      </w:r>
      <w:r w:rsidRPr="00A33F59">
        <w:t xml:space="preserve"> Stat. 1321, 1358 (1996); </w:t>
      </w:r>
      <w:r w:rsidRPr="00A33F59">
        <w:rPr>
          <w:i/>
          <w:iCs/>
        </w:rPr>
        <w:t>Amendment of Parts 0 and 1 of the Commission's Rules/Implementation of the Debt Collection Improvement Act of 1996 and Adoption of Rules Governing Applications or Requests for Benefits by Deli</w:t>
      </w:r>
      <w:r w:rsidRPr="00CD4F11">
        <w:rPr>
          <w:i/>
          <w:iCs/>
        </w:rPr>
        <w:t>nquent Debtors</w:t>
      </w:r>
      <w:r w:rsidRPr="00CD4F11">
        <w:t>, Report and Order, 19 FCC Rcd 6540 (2004).</w:t>
      </w:r>
    </w:p>
  </w:footnote>
  <w:footnote w:id="70">
    <w:p w:rsidR="00EE016D" w:rsidRPr="004E1AB7" w14:paraId="67420620" w14:textId="642BDCA7">
      <w:pPr>
        <w:pStyle w:val="FootnoteText"/>
      </w:pPr>
      <w:r w:rsidRPr="004E1AB7">
        <w:rPr>
          <w:rStyle w:val="FootnoteReference"/>
          <w:sz w:val="20"/>
        </w:rPr>
        <w:footnoteRef/>
      </w:r>
      <w:r w:rsidRPr="004E1AB7">
        <w:t xml:space="preserve"> 47 CFR § 1.1910(b)(2).</w:t>
      </w:r>
    </w:p>
  </w:footnote>
  <w:footnote w:id="71">
    <w:p w:rsidR="00EE016D" w:rsidRPr="00A33F59" w:rsidP="008A11B2" w14:paraId="7AE99891" w14:textId="77777777">
      <w:pPr>
        <w:pStyle w:val="FootnoteText"/>
      </w:pPr>
      <w:r w:rsidRPr="004E1AB7">
        <w:rPr>
          <w:rStyle w:val="FootnoteReference"/>
          <w:sz w:val="20"/>
        </w:rPr>
        <w:footnoteRef/>
      </w:r>
      <w:r w:rsidRPr="004E1AB7">
        <w:t xml:space="preserve"> U.S. Bureau of the Fiscal Service, </w:t>
      </w:r>
      <w:r w:rsidRPr="004E1AB7">
        <w:rPr>
          <w:i/>
          <w:iCs/>
        </w:rPr>
        <w:t>Do Not Pay</w:t>
      </w:r>
      <w:r w:rsidRPr="00A33F59">
        <w:t xml:space="preserve">, </w:t>
      </w:r>
      <w:hyperlink r:id="rId6" w:history="1">
        <w:r w:rsidRPr="004E1AB7">
          <w:rPr>
            <w:rStyle w:val="Hyperlink"/>
          </w:rPr>
          <w:t>https://fiscal.treasury.gov/DNP/</w:t>
        </w:r>
      </w:hyperlink>
      <w:r w:rsidRPr="004E1AB7">
        <w:rPr>
          <w:rStyle w:val="Hyperlink"/>
          <w:color w:val="auto"/>
          <w:u w:val="none"/>
        </w:rPr>
        <w:t xml:space="preserve"> (</w:t>
      </w:r>
      <w:r w:rsidRPr="004E1AB7">
        <w:t>last visited Apr. 27, 2021)</w:t>
      </w:r>
      <w:r w:rsidRPr="00A33F59">
        <w:t>.</w:t>
      </w:r>
    </w:p>
  </w:footnote>
  <w:footnote w:id="72">
    <w:p w:rsidR="00EE016D" w:rsidRPr="00CD4F11" w:rsidP="00D13C59" w14:paraId="455C8CF9" w14:textId="354F5160">
      <w:pPr>
        <w:pStyle w:val="FootnoteText"/>
      </w:pPr>
      <w:r w:rsidRPr="004E1AB7">
        <w:rPr>
          <w:rStyle w:val="FootnoteReference"/>
          <w:sz w:val="20"/>
        </w:rPr>
        <w:footnoteRef/>
      </w:r>
      <w:r w:rsidRPr="004E1AB7">
        <w:t xml:space="preserve"> Payment Integrity Information Act (PIIA), Pub. L. No. 116-117, 134 Stat. 113 (2019);</w:t>
      </w:r>
      <w:r w:rsidRPr="00A33F59">
        <w:rPr>
          <w:i/>
          <w:iCs/>
        </w:rPr>
        <w:t xml:space="preserve"> see</w:t>
      </w:r>
      <w:r w:rsidRPr="00A33F59">
        <w:t xml:space="preserve"> 31 U.S.C. §§ 3301, 3351 </w:t>
      </w:r>
      <w:r w:rsidRPr="00A33F59">
        <w:rPr>
          <w:i/>
          <w:iCs/>
        </w:rPr>
        <w:t>et seq</w:t>
      </w:r>
      <w:r w:rsidRPr="00CD4F11">
        <w:t xml:space="preserve">. </w:t>
      </w:r>
    </w:p>
  </w:footnote>
  <w:footnote w:id="73">
    <w:p w:rsidR="00EE016D" w:rsidRPr="00A33F59" w:rsidP="00D13C59" w14:paraId="29405E0E" w14:textId="69F41116">
      <w:pPr>
        <w:pStyle w:val="FootnoteText"/>
      </w:pPr>
      <w:r w:rsidRPr="004E1AB7">
        <w:rPr>
          <w:rStyle w:val="FootnoteReference"/>
          <w:sz w:val="20"/>
        </w:rPr>
        <w:footnoteRef/>
      </w:r>
      <w:r w:rsidRPr="004E1AB7">
        <w:t xml:space="preserve"> U.S. Bureau of the Fiscal Service, </w:t>
      </w:r>
      <w:r w:rsidRPr="004E1AB7">
        <w:rPr>
          <w:i/>
          <w:iCs/>
        </w:rPr>
        <w:t>Privacy Program</w:t>
      </w:r>
      <w:r w:rsidRPr="00A33F59">
        <w:t xml:space="preserve">, </w:t>
      </w:r>
      <w:hyperlink r:id="rId7" w:anchor="data-correction-process" w:history="1">
        <w:r w:rsidRPr="004E1AB7">
          <w:rPr>
            <w:rStyle w:val="Hyperlink"/>
          </w:rPr>
          <w:t>https://fiscal.treasury.</w:t>
        </w:r>
        <w:r w:rsidRPr="00A33F59">
          <w:rPr>
            <w:rStyle w:val="Hyperlink"/>
          </w:rPr>
          <w:t>gov/dnp/privacy-program.html#data-correction-process</w:t>
        </w:r>
      </w:hyperlink>
      <w:r w:rsidRPr="004E1AB7">
        <w:rPr>
          <w:rStyle w:val="Hyperlink"/>
          <w:color w:val="auto"/>
          <w:u w:val="none"/>
        </w:rPr>
        <w:t xml:space="preserve"> (last visited Apr. 27, 2021)</w:t>
      </w:r>
      <w:r w:rsidRPr="00A33F59">
        <w:t>.</w:t>
      </w:r>
    </w:p>
  </w:footnote>
  <w:footnote w:id="74">
    <w:p w:rsidR="00EE016D" w:rsidRPr="00CD4F11" w:rsidP="007D7249" w14:paraId="3E8B19A3" w14:textId="6A1254BB">
      <w:pPr>
        <w:pStyle w:val="FootnoteText"/>
      </w:pPr>
      <w:r w:rsidRPr="004E1AB7">
        <w:rPr>
          <w:rStyle w:val="FootnoteReference"/>
          <w:sz w:val="20"/>
        </w:rPr>
        <w:footnoteRef/>
      </w:r>
      <w:r w:rsidRPr="004E1AB7">
        <w:t xml:space="preserve"> </w:t>
      </w:r>
      <w:r w:rsidRPr="004E1AB7">
        <w:rPr>
          <w:i/>
          <w:iCs/>
        </w:rPr>
        <w:t xml:space="preserve">See </w:t>
      </w:r>
      <w:r w:rsidRPr="00A33F59">
        <w:t xml:space="preserve">Paperwork Reduction Act of 1995, 44 U.S.C. §§3501-3520; </w:t>
      </w:r>
      <w:r w:rsidRPr="00A33F59">
        <w:rPr>
          <w:i/>
          <w:iCs/>
        </w:rPr>
        <w:t>Media Bureau Seeks Comment on Draft TV Broadcaster Relocation Fund R</w:t>
      </w:r>
      <w:r w:rsidRPr="00CD4F11">
        <w:rPr>
          <w:i/>
          <w:iCs/>
        </w:rPr>
        <w:t>eimbursement Form</w:t>
      </w:r>
      <w:r w:rsidRPr="00CD4F11">
        <w:t xml:space="preserve">, GN Docket No. 12-268, Public Notice, 29 FCC Rcd 11451 (MB 2014). </w:t>
      </w:r>
    </w:p>
  </w:footnote>
  <w:footnote w:id="75">
    <w:p w:rsidR="00EE016D" w:rsidRPr="004E1AB7" w14:paraId="79634858" w14:textId="77777777">
      <w:pPr>
        <w:pStyle w:val="FootnoteText"/>
      </w:pPr>
      <w:r w:rsidRPr="004E1AB7">
        <w:rPr>
          <w:rStyle w:val="FootnoteReference"/>
          <w:sz w:val="20"/>
        </w:rPr>
        <w:footnoteRef/>
      </w:r>
      <w:r w:rsidRPr="004E1AB7">
        <w:t xml:space="preserve"> 47 CFR §§ 1.415, 1.419.</w:t>
      </w:r>
    </w:p>
  </w:footnote>
  <w:footnote w:id="76">
    <w:p w:rsidR="00EE016D" w:rsidRPr="00A33F59" w:rsidP="00890CD5" w14:paraId="70DB58C5" w14:textId="77777777">
      <w:pPr>
        <w:pStyle w:val="FootnoteText"/>
      </w:pPr>
      <w:r w:rsidRPr="004E1AB7">
        <w:rPr>
          <w:rStyle w:val="FootnoteReference"/>
          <w:sz w:val="20"/>
        </w:rPr>
        <w:footnoteRef/>
      </w:r>
      <w:r w:rsidRPr="004E1AB7">
        <w:t xml:space="preserve"> </w:t>
      </w:r>
      <w:r w:rsidRPr="004E1AB7">
        <w:rPr>
          <w:i/>
        </w:rPr>
        <w:t>See Electronic Filing of Documents in Rulemaking Proceedings</w:t>
      </w:r>
      <w:r w:rsidRPr="00A33F59">
        <w:t>, 63 FR 24121 (1998).</w:t>
      </w:r>
    </w:p>
  </w:footnote>
  <w:footnote w:id="77">
    <w:p w:rsidR="00EE016D" w:rsidRPr="00CD4F11" w:rsidP="00890CD5" w14:paraId="29E960B3" w14:textId="77777777">
      <w:pPr>
        <w:pStyle w:val="FootnoteText"/>
      </w:pPr>
      <w:r w:rsidRPr="004E1AB7">
        <w:rPr>
          <w:rStyle w:val="FootnoteReference"/>
          <w:sz w:val="20"/>
        </w:rPr>
        <w:footnoteRef/>
      </w:r>
      <w:r w:rsidRPr="004E1AB7">
        <w:t xml:space="preserve"> </w:t>
      </w:r>
      <w:r w:rsidRPr="004E1AB7">
        <w:rPr>
          <w:i/>
          <w:iCs/>
        </w:rPr>
        <w:t xml:space="preserve">See FCC Announces Closure of FCC Headquarters Open </w:t>
      </w:r>
      <w:r w:rsidRPr="00A33F59">
        <w:rPr>
          <w:i/>
          <w:iCs/>
        </w:rPr>
        <w:t>Window and Change in Hand-Delivery Policy</w:t>
      </w:r>
      <w:r w:rsidRPr="00A33F59">
        <w:t>, Public Notice, 35 FCC Rcd 2788 (OMD 2020).</w:t>
      </w:r>
    </w:p>
  </w:footnote>
  <w:footnote w:id="78">
    <w:p w:rsidR="00EE016D" w:rsidRPr="00A33F59" w:rsidP="00890CD5" w14:paraId="792F727D" w14:textId="77777777">
      <w:pPr>
        <w:pStyle w:val="FootnoteText"/>
        <w:rPr>
          <w:i/>
          <w:iCs/>
        </w:rPr>
      </w:pPr>
      <w:r w:rsidRPr="004E1AB7">
        <w:rPr>
          <w:rStyle w:val="FootnoteReference"/>
          <w:sz w:val="20"/>
        </w:rPr>
        <w:footnoteRef/>
      </w:r>
      <w:r w:rsidRPr="004E1AB7">
        <w:t xml:space="preserve"> 47 CFR § 1.1200 </w:t>
      </w:r>
      <w:r w:rsidRPr="004E1AB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14:paraId="40CE0A24" w14:textId="19015430">
    <w:pPr>
      <w:tabs>
        <w:tab w:val="center" w:pos="4680"/>
        <w:tab w:val="right" w:pos="9360"/>
      </w:tabs>
    </w:pPr>
    <w:r>
      <w:rPr>
        <w:b/>
      </w:rPr>
      <w:tab/>
      <w:t>Federal Communications Commission</w:t>
    </w:r>
    <w:r>
      <w:rPr>
        <w:b/>
      </w:rPr>
      <w:tab/>
      <w:t>DA 21-607</w:t>
    </w:r>
  </w:p>
  <w:p w:rsidR="00EE016D" w14:paraId="3B67D288" w14:textId="6833AD6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E016D" w14:paraId="190481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rsidP="00491D1F" w14:paraId="512C2709" w14:textId="77777777">
    <w:pPr>
      <w:pStyle w:val="Header"/>
      <w:rPr>
        <w:noProof/>
        <w:snapToGrid/>
      </w:rPr>
    </w:pPr>
    <w:r>
      <w:rPr>
        <w:noProof/>
        <w:snapToGrid/>
      </w:rPr>
      <w:drawing>
        <wp:inline distT="0" distB="0" distL="0" distR="0">
          <wp:extent cx="65722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EE016D" w:rsidP="0032500C" w14:paraId="25E25425" w14:textId="3241F2E8">
    <w:pPr>
      <w:pStyle w:val="Header"/>
      <w:tabs>
        <w:tab w:val="left" w:pos="5055"/>
      </w:tabs>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016D" w:rsidP="00EE016D" w14:paraId="2E594A4B" w14:textId="09CD7BD6">
    <w:pPr>
      <w:pStyle w:val="Header"/>
    </w:pPr>
    <w:r>
      <w:t>DA 21-607</w:t>
    </w:r>
  </w:p>
  <w:p w:rsidR="00EE016D" w:rsidP="00EE016D" w14:paraId="16249337" w14:textId="63076923">
    <w:pPr>
      <w:pStyle w:val="Header"/>
    </w:pPr>
    <w:r>
      <w:t>OMB 3060-XXXX</w:t>
    </w:r>
  </w:p>
  <w:p w:rsidR="00EE016D" w14:paraId="143056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C6E08"/>
    <w:multiLevelType w:val="hybridMultilevel"/>
    <w:tmpl w:val="E6B412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BD712D"/>
    <w:multiLevelType w:val="hybridMultilevel"/>
    <w:tmpl w:val="1F544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BD5BFE"/>
    <w:multiLevelType w:val="hybridMultilevel"/>
    <w:tmpl w:val="E52E9D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38143B"/>
    <w:multiLevelType w:val="hybridMultilevel"/>
    <w:tmpl w:val="7CDCA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8608C"/>
    <w:multiLevelType w:val="hybridMultilevel"/>
    <w:tmpl w:val="8138D7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B216F4"/>
    <w:multiLevelType w:val="hybridMultilevel"/>
    <w:tmpl w:val="99B06A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BD1677"/>
    <w:multiLevelType w:val="hybridMultilevel"/>
    <w:tmpl w:val="1A988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677844"/>
    <w:multiLevelType w:val="hybridMultilevel"/>
    <w:tmpl w:val="646AC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796D32"/>
    <w:multiLevelType w:val="hybridMultilevel"/>
    <w:tmpl w:val="B82CF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CC333A7"/>
    <w:multiLevelType w:val="hybridMultilevel"/>
    <w:tmpl w:val="A3F8E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D50630B"/>
    <w:multiLevelType w:val="hybridMultilevel"/>
    <w:tmpl w:val="0DA83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13"/>
  </w:num>
  <w:num w:numId="5">
    <w:abstractNumId w:val="5"/>
  </w:num>
  <w:num w:numId="6">
    <w:abstractNumId w:val="1"/>
  </w:num>
  <w:num w:numId="7">
    <w:abstractNumId w:val="15"/>
  </w:num>
  <w:num w:numId="8">
    <w:abstractNumId w:val="14"/>
  </w:num>
  <w:num w:numId="9">
    <w:abstractNumId w:val="16"/>
  </w:num>
  <w:num w:numId="10">
    <w:abstractNumId w:val="16"/>
  </w:num>
  <w:num w:numId="11">
    <w:abstractNumId w:val="8"/>
  </w:num>
  <w:num w:numId="12">
    <w:abstractNumId w:val="3"/>
  </w:num>
  <w:num w:numId="13">
    <w:abstractNumId w:val="12"/>
  </w:num>
  <w:num w:numId="14">
    <w:abstractNumId w:val="18"/>
  </w:num>
  <w:num w:numId="15">
    <w:abstractNumId w:val="9"/>
  </w:num>
  <w:num w:numId="16">
    <w:abstractNumId w:val="0"/>
  </w:num>
  <w:num w:numId="17">
    <w:abstractNumId w:val="11"/>
  </w:num>
  <w:num w:numId="18">
    <w:abstractNumId w:val="17"/>
  </w:num>
  <w:num w:numId="19">
    <w:abstractNumId w:val="6"/>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CD"/>
    <w:rsid w:val="0000690F"/>
    <w:rsid w:val="00010818"/>
    <w:rsid w:val="000125F7"/>
    <w:rsid w:val="00014139"/>
    <w:rsid w:val="00022B70"/>
    <w:rsid w:val="00023DB1"/>
    <w:rsid w:val="00025C11"/>
    <w:rsid w:val="00026102"/>
    <w:rsid w:val="00026333"/>
    <w:rsid w:val="000313D3"/>
    <w:rsid w:val="000314BC"/>
    <w:rsid w:val="000343F9"/>
    <w:rsid w:val="00036CD6"/>
    <w:rsid w:val="00036F33"/>
    <w:rsid w:val="00050A20"/>
    <w:rsid w:val="00050CA7"/>
    <w:rsid w:val="00053455"/>
    <w:rsid w:val="0006063D"/>
    <w:rsid w:val="00065FC1"/>
    <w:rsid w:val="00073F79"/>
    <w:rsid w:val="000850D9"/>
    <w:rsid w:val="000904AA"/>
    <w:rsid w:val="00095D16"/>
    <w:rsid w:val="000A2C09"/>
    <w:rsid w:val="000A2C98"/>
    <w:rsid w:val="000A4074"/>
    <w:rsid w:val="000A7303"/>
    <w:rsid w:val="000A7D05"/>
    <w:rsid w:val="000B2639"/>
    <w:rsid w:val="000B3C5A"/>
    <w:rsid w:val="000B55AC"/>
    <w:rsid w:val="000B76D0"/>
    <w:rsid w:val="000C09BB"/>
    <w:rsid w:val="000C1868"/>
    <w:rsid w:val="000C3695"/>
    <w:rsid w:val="000C4D35"/>
    <w:rsid w:val="000C51C0"/>
    <w:rsid w:val="000D09D3"/>
    <w:rsid w:val="000E2A05"/>
    <w:rsid w:val="000E3DAE"/>
    <w:rsid w:val="000E42E1"/>
    <w:rsid w:val="000F3859"/>
    <w:rsid w:val="000F389C"/>
    <w:rsid w:val="000F5602"/>
    <w:rsid w:val="000F6E92"/>
    <w:rsid w:val="001012B8"/>
    <w:rsid w:val="00101E86"/>
    <w:rsid w:val="00103CCF"/>
    <w:rsid w:val="001052B2"/>
    <w:rsid w:val="0010773B"/>
    <w:rsid w:val="001105DD"/>
    <w:rsid w:val="00111058"/>
    <w:rsid w:val="001128C0"/>
    <w:rsid w:val="0011334D"/>
    <w:rsid w:val="00120331"/>
    <w:rsid w:val="0012136C"/>
    <w:rsid w:val="0012279A"/>
    <w:rsid w:val="0012282D"/>
    <w:rsid w:val="00127324"/>
    <w:rsid w:val="00130E41"/>
    <w:rsid w:val="00134576"/>
    <w:rsid w:val="0014218C"/>
    <w:rsid w:val="00145DC8"/>
    <w:rsid w:val="001510A9"/>
    <w:rsid w:val="00153670"/>
    <w:rsid w:val="0015515C"/>
    <w:rsid w:val="001608F1"/>
    <w:rsid w:val="00161CF6"/>
    <w:rsid w:val="00177B9B"/>
    <w:rsid w:val="00187026"/>
    <w:rsid w:val="00187BF6"/>
    <w:rsid w:val="00193BE7"/>
    <w:rsid w:val="001948D4"/>
    <w:rsid w:val="00195FFA"/>
    <w:rsid w:val="00196878"/>
    <w:rsid w:val="00196F94"/>
    <w:rsid w:val="001A31F7"/>
    <w:rsid w:val="001A3C13"/>
    <w:rsid w:val="001B09C4"/>
    <w:rsid w:val="001B1C96"/>
    <w:rsid w:val="001C13CE"/>
    <w:rsid w:val="001C17E4"/>
    <w:rsid w:val="001C20D7"/>
    <w:rsid w:val="001C4511"/>
    <w:rsid w:val="001C45DF"/>
    <w:rsid w:val="001C575B"/>
    <w:rsid w:val="001E28D7"/>
    <w:rsid w:val="001E7A93"/>
    <w:rsid w:val="001F78A2"/>
    <w:rsid w:val="002034F2"/>
    <w:rsid w:val="002036F7"/>
    <w:rsid w:val="002051B2"/>
    <w:rsid w:val="002062DF"/>
    <w:rsid w:val="002075AF"/>
    <w:rsid w:val="00207A72"/>
    <w:rsid w:val="00210630"/>
    <w:rsid w:val="00211ABE"/>
    <w:rsid w:val="00214160"/>
    <w:rsid w:val="0022191F"/>
    <w:rsid w:val="002250FB"/>
    <w:rsid w:val="00225762"/>
    <w:rsid w:val="00227B4B"/>
    <w:rsid w:val="00227D24"/>
    <w:rsid w:val="002313A6"/>
    <w:rsid w:val="002428CE"/>
    <w:rsid w:val="00245A72"/>
    <w:rsid w:val="00247F44"/>
    <w:rsid w:val="00256F5F"/>
    <w:rsid w:val="00262F9D"/>
    <w:rsid w:val="002630E6"/>
    <w:rsid w:val="00265D12"/>
    <w:rsid w:val="002840DD"/>
    <w:rsid w:val="00285779"/>
    <w:rsid w:val="00287819"/>
    <w:rsid w:val="00287AB2"/>
    <w:rsid w:val="00290217"/>
    <w:rsid w:val="00297758"/>
    <w:rsid w:val="00297C7E"/>
    <w:rsid w:val="002A574B"/>
    <w:rsid w:val="002A6F12"/>
    <w:rsid w:val="002B213E"/>
    <w:rsid w:val="002B4C86"/>
    <w:rsid w:val="002B5BD0"/>
    <w:rsid w:val="002C04DB"/>
    <w:rsid w:val="002C1111"/>
    <w:rsid w:val="002C471A"/>
    <w:rsid w:val="002C6DB7"/>
    <w:rsid w:val="002D1AF7"/>
    <w:rsid w:val="002D5883"/>
    <w:rsid w:val="002D6769"/>
    <w:rsid w:val="002D7AD6"/>
    <w:rsid w:val="002E49B6"/>
    <w:rsid w:val="002E76B3"/>
    <w:rsid w:val="002F1BE8"/>
    <w:rsid w:val="002F483D"/>
    <w:rsid w:val="00300EB9"/>
    <w:rsid w:val="00301015"/>
    <w:rsid w:val="00302A00"/>
    <w:rsid w:val="003123FD"/>
    <w:rsid w:val="00312610"/>
    <w:rsid w:val="00312F1B"/>
    <w:rsid w:val="00313DCE"/>
    <w:rsid w:val="003152CE"/>
    <w:rsid w:val="00315A7C"/>
    <w:rsid w:val="003162DB"/>
    <w:rsid w:val="00316B8C"/>
    <w:rsid w:val="003222E2"/>
    <w:rsid w:val="00323A58"/>
    <w:rsid w:val="00324A6F"/>
    <w:rsid w:val="0032500C"/>
    <w:rsid w:val="00326316"/>
    <w:rsid w:val="0033512E"/>
    <w:rsid w:val="00335D9E"/>
    <w:rsid w:val="003413A3"/>
    <w:rsid w:val="00353E58"/>
    <w:rsid w:val="00354B80"/>
    <w:rsid w:val="003562DE"/>
    <w:rsid w:val="00365554"/>
    <w:rsid w:val="00366618"/>
    <w:rsid w:val="00366BD7"/>
    <w:rsid w:val="003710EA"/>
    <w:rsid w:val="00373EF0"/>
    <w:rsid w:val="00374131"/>
    <w:rsid w:val="003769C4"/>
    <w:rsid w:val="00392483"/>
    <w:rsid w:val="003A6D3C"/>
    <w:rsid w:val="003B15C0"/>
    <w:rsid w:val="003B172D"/>
    <w:rsid w:val="003B46A2"/>
    <w:rsid w:val="003C07A3"/>
    <w:rsid w:val="003C656A"/>
    <w:rsid w:val="003C67C2"/>
    <w:rsid w:val="003C6AFA"/>
    <w:rsid w:val="003D0B83"/>
    <w:rsid w:val="003D13DE"/>
    <w:rsid w:val="003D3932"/>
    <w:rsid w:val="003D7591"/>
    <w:rsid w:val="003E18B4"/>
    <w:rsid w:val="003E29AE"/>
    <w:rsid w:val="003E3669"/>
    <w:rsid w:val="003E4199"/>
    <w:rsid w:val="003E5B59"/>
    <w:rsid w:val="003E6521"/>
    <w:rsid w:val="003F0055"/>
    <w:rsid w:val="003F311B"/>
    <w:rsid w:val="003F34C8"/>
    <w:rsid w:val="003F3585"/>
    <w:rsid w:val="003F4B7B"/>
    <w:rsid w:val="003F6124"/>
    <w:rsid w:val="00405A6A"/>
    <w:rsid w:val="00410666"/>
    <w:rsid w:val="00411164"/>
    <w:rsid w:val="00417CDC"/>
    <w:rsid w:val="00420D0D"/>
    <w:rsid w:val="00426D0C"/>
    <w:rsid w:val="004307F6"/>
    <w:rsid w:val="00430E9D"/>
    <w:rsid w:val="004312FA"/>
    <w:rsid w:val="0044494F"/>
    <w:rsid w:val="00444FA7"/>
    <w:rsid w:val="0045166D"/>
    <w:rsid w:val="004539D4"/>
    <w:rsid w:val="00460239"/>
    <w:rsid w:val="00463E17"/>
    <w:rsid w:val="004646F7"/>
    <w:rsid w:val="00465A88"/>
    <w:rsid w:val="00466E47"/>
    <w:rsid w:val="004711C2"/>
    <w:rsid w:val="00471882"/>
    <w:rsid w:val="00472D98"/>
    <w:rsid w:val="00476F1A"/>
    <w:rsid w:val="0048337B"/>
    <w:rsid w:val="0049095B"/>
    <w:rsid w:val="00491D1F"/>
    <w:rsid w:val="00494E5F"/>
    <w:rsid w:val="00496B38"/>
    <w:rsid w:val="004A0125"/>
    <w:rsid w:val="004A3AFF"/>
    <w:rsid w:val="004B0794"/>
    <w:rsid w:val="004B1131"/>
    <w:rsid w:val="004C0049"/>
    <w:rsid w:val="004C578C"/>
    <w:rsid w:val="004D3FCB"/>
    <w:rsid w:val="004D6B5A"/>
    <w:rsid w:val="004D6DDF"/>
    <w:rsid w:val="004E1AB7"/>
    <w:rsid w:val="004F300E"/>
    <w:rsid w:val="004F3CA7"/>
    <w:rsid w:val="004F497D"/>
    <w:rsid w:val="004F6E55"/>
    <w:rsid w:val="004F7397"/>
    <w:rsid w:val="00504AE1"/>
    <w:rsid w:val="005063DE"/>
    <w:rsid w:val="005112A6"/>
    <w:rsid w:val="00520C47"/>
    <w:rsid w:val="00523451"/>
    <w:rsid w:val="005272EB"/>
    <w:rsid w:val="005320B0"/>
    <w:rsid w:val="005323B3"/>
    <w:rsid w:val="0053679B"/>
    <w:rsid w:val="00543654"/>
    <w:rsid w:val="0054440B"/>
    <w:rsid w:val="00545175"/>
    <w:rsid w:val="00551158"/>
    <w:rsid w:val="005521C5"/>
    <w:rsid w:val="005550D9"/>
    <w:rsid w:val="00556612"/>
    <w:rsid w:val="00566C4A"/>
    <w:rsid w:val="00567515"/>
    <w:rsid w:val="00567E4B"/>
    <w:rsid w:val="00571919"/>
    <w:rsid w:val="00571CA0"/>
    <w:rsid w:val="00573EA3"/>
    <w:rsid w:val="005772E3"/>
    <w:rsid w:val="00580991"/>
    <w:rsid w:val="00583D1F"/>
    <w:rsid w:val="00583E25"/>
    <w:rsid w:val="00590EA2"/>
    <w:rsid w:val="00591816"/>
    <w:rsid w:val="00592F71"/>
    <w:rsid w:val="00594C9C"/>
    <w:rsid w:val="0059587F"/>
    <w:rsid w:val="00596665"/>
    <w:rsid w:val="005A681E"/>
    <w:rsid w:val="005B0F17"/>
    <w:rsid w:val="005B67E4"/>
    <w:rsid w:val="005B712D"/>
    <w:rsid w:val="005C0E13"/>
    <w:rsid w:val="005C6997"/>
    <w:rsid w:val="005C734A"/>
    <w:rsid w:val="005D11E4"/>
    <w:rsid w:val="005D316F"/>
    <w:rsid w:val="005D4780"/>
    <w:rsid w:val="005D4CB0"/>
    <w:rsid w:val="005D7167"/>
    <w:rsid w:val="005D7873"/>
    <w:rsid w:val="005E2870"/>
    <w:rsid w:val="005E3BEB"/>
    <w:rsid w:val="005E3F73"/>
    <w:rsid w:val="005E6273"/>
    <w:rsid w:val="005F1611"/>
    <w:rsid w:val="005F2FF3"/>
    <w:rsid w:val="005F34D1"/>
    <w:rsid w:val="005F34DC"/>
    <w:rsid w:val="005F3D0A"/>
    <w:rsid w:val="00600B85"/>
    <w:rsid w:val="006010BD"/>
    <w:rsid w:val="00603891"/>
    <w:rsid w:val="00614466"/>
    <w:rsid w:val="00614F6C"/>
    <w:rsid w:val="00616388"/>
    <w:rsid w:val="006176E8"/>
    <w:rsid w:val="00621744"/>
    <w:rsid w:val="0062431F"/>
    <w:rsid w:val="006254FF"/>
    <w:rsid w:val="006257B6"/>
    <w:rsid w:val="00625CB4"/>
    <w:rsid w:val="00633EE6"/>
    <w:rsid w:val="00636BA1"/>
    <w:rsid w:val="00641E55"/>
    <w:rsid w:val="006421A5"/>
    <w:rsid w:val="00642A90"/>
    <w:rsid w:val="00647BF4"/>
    <w:rsid w:val="00647C0E"/>
    <w:rsid w:val="006505FE"/>
    <w:rsid w:val="006539ED"/>
    <w:rsid w:val="00654DAB"/>
    <w:rsid w:val="00657B7B"/>
    <w:rsid w:val="006765B6"/>
    <w:rsid w:val="00677660"/>
    <w:rsid w:val="006838F0"/>
    <w:rsid w:val="006877A9"/>
    <w:rsid w:val="00687CC2"/>
    <w:rsid w:val="00687D73"/>
    <w:rsid w:val="006925FB"/>
    <w:rsid w:val="006A1B7F"/>
    <w:rsid w:val="006A3FA9"/>
    <w:rsid w:val="006A46F5"/>
    <w:rsid w:val="006B1B8E"/>
    <w:rsid w:val="006B34A5"/>
    <w:rsid w:val="006C5C77"/>
    <w:rsid w:val="006C6A5D"/>
    <w:rsid w:val="006C7002"/>
    <w:rsid w:val="006D0B63"/>
    <w:rsid w:val="006D1AD5"/>
    <w:rsid w:val="006D315C"/>
    <w:rsid w:val="006D32C8"/>
    <w:rsid w:val="006D7966"/>
    <w:rsid w:val="006E0B82"/>
    <w:rsid w:val="006E61C2"/>
    <w:rsid w:val="006F1B9D"/>
    <w:rsid w:val="006F1D88"/>
    <w:rsid w:val="006F2348"/>
    <w:rsid w:val="006F380A"/>
    <w:rsid w:val="0070582D"/>
    <w:rsid w:val="00705A28"/>
    <w:rsid w:val="007128C1"/>
    <w:rsid w:val="007135A8"/>
    <w:rsid w:val="00717B61"/>
    <w:rsid w:val="00720CBF"/>
    <w:rsid w:val="0072284B"/>
    <w:rsid w:val="00734721"/>
    <w:rsid w:val="00734F60"/>
    <w:rsid w:val="00735705"/>
    <w:rsid w:val="00737999"/>
    <w:rsid w:val="00744B2E"/>
    <w:rsid w:val="00744B6C"/>
    <w:rsid w:val="007470E3"/>
    <w:rsid w:val="00751324"/>
    <w:rsid w:val="007517FF"/>
    <w:rsid w:val="00751B17"/>
    <w:rsid w:val="007532F0"/>
    <w:rsid w:val="00755F8E"/>
    <w:rsid w:val="0075779E"/>
    <w:rsid w:val="007636D5"/>
    <w:rsid w:val="0077019B"/>
    <w:rsid w:val="00772352"/>
    <w:rsid w:val="00772F79"/>
    <w:rsid w:val="00774703"/>
    <w:rsid w:val="007802F7"/>
    <w:rsid w:val="0079365A"/>
    <w:rsid w:val="00794F1B"/>
    <w:rsid w:val="00795A01"/>
    <w:rsid w:val="007A4957"/>
    <w:rsid w:val="007A58C3"/>
    <w:rsid w:val="007A76CD"/>
    <w:rsid w:val="007B1244"/>
    <w:rsid w:val="007B4EC6"/>
    <w:rsid w:val="007B7ACC"/>
    <w:rsid w:val="007B7CE5"/>
    <w:rsid w:val="007C3BC4"/>
    <w:rsid w:val="007C4F0F"/>
    <w:rsid w:val="007C59EB"/>
    <w:rsid w:val="007C6301"/>
    <w:rsid w:val="007C6804"/>
    <w:rsid w:val="007D1127"/>
    <w:rsid w:val="007D37F2"/>
    <w:rsid w:val="007D49F7"/>
    <w:rsid w:val="007D7249"/>
    <w:rsid w:val="007D7E78"/>
    <w:rsid w:val="007E7408"/>
    <w:rsid w:val="007E7DCB"/>
    <w:rsid w:val="007F157A"/>
    <w:rsid w:val="007F2293"/>
    <w:rsid w:val="007F67C3"/>
    <w:rsid w:val="007F6F9D"/>
    <w:rsid w:val="00800D89"/>
    <w:rsid w:val="00801B07"/>
    <w:rsid w:val="00801D00"/>
    <w:rsid w:val="008054CF"/>
    <w:rsid w:val="008106F8"/>
    <w:rsid w:val="00814933"/>
    <w:rsid w:val="00817D88"/>
    <w:rsid w:val="00821195"/>
    <w:rsid w:val="00821987"/>
    <w:rsid w:val="00827004"/>
    <w:rsid w:val="00827A83"/>
    <w:rsid w:val="00827E0A"/>
    <w:rsid w:val="00830E44"/>
    <w:rsid w:val="00831B0B"/>
    <w:rsid w:val="00831C90"/>
    <w:rsid w:val="0083338B"/>
    <w:rsid w:val="00836FEC"/>
    <w:rsid w:val="00837D2B"/>
    <w:rsid w:val="008408E7"/>
    <w:rsid w:val="00840C09"/>
    <w:rsid w:val="00842FD1"/>
    <w:rsid w:val="00853661"/>
    <w:rsid w:val="0085726F"/>
    <w:rsid w:val="00857550"/>
    <w:rsid w:val="00860312"/>
    <w:rsid w:val="00860733"/>
    <w:rsid w:val="008631D9"/>
    <w:rsid w:val="0087240B"/>
    <w:rsid w:val="00876E80"/>
    <w:rsid w:val="00877359"/>
    <w:rsid w:val="008833EF"/>
    <w:rsid w:val="00883982"/>
    <w:rsid w:val="00884439"/>
    <w:rsid w:val="008862B3"/>
    <w:rsid w:val="008867E4"/>
    <w:rsid w:val="00886E48"/>
    <w:rsid w:val="008900BC"/>
    <w:rsid w:val="00890CD5"/>
    <w:rsid w:val="008957EF"/>
    <w:rsid w:val="008A11B2"/>
    <w:rsid w:val="008A2946"/>
    <w:rsid w:val="008A6264"/>
    <w:rsid w:val="008B4581"/>
    <w:rsid w:val="008C131C"/>
    <w:rsid w:val="008C3E77"/>
    <w:rsid w:val="008C783B"/>
    <w:rsid w:val="008D111A"/>
    <w:rsid w:val="008D3CE7"/>
    <w:rsid w:val="008D574D"/>
    <w:rsid w:val="008E2354"/>
    <w:rsid w:val="008E3C30"/>
    <w:rsid w:val="008E3CF6"/>
    <w:rsid w:val="008E4A14"/>
    <w:rsid w:val="008E4B0B"/>
    <w:rsid w:val="00911390"/>
    <w:rsid w:val="00916C8B"/>
    <w:rsid w:val="00932575"/>
    <w:rsid w:val="009362BA"/>
    <w:rsid w:val="00937849"/>
    <w:rsid w:val="0094529D"/>
    <w:rsid w:val="00945670"/>
    <w:rsid w:val="009466AF"/>
    <w:rsid w:val="00947208"/>
    <w:rsid w:val="00947C4A"/>
    <w:rsid w:val="00950D73"/>
    <w:rsid w:val="00952D7B"/>
    <w:rsid w:val="00952E04"/>
    <w:rsid w:val="00957470"/>
    <w:rsid w:val="00957CAC"/>
    <w:rsid w:val="00961336"/>
    <w:rsid w:val="00963649"/>
    <w:rsid w:val="00965458"/>
    <w:rsid w:val="00966184"/>
    <w:rsid w:val="00970086"/>
    <w:rsid w:val="00972142"/>
    <w:rsid w:val="009768D7"/>
    <w:rsid w:val="00977482"/>
    <w:rsid w:val="00981C15"/>
    <w:rsid w:val="00984678"/>
    <w:rsid w:val="00986591"/>
    <w:rsid w:val="009871D5"/>
    <w:rsid w:val="009942B1"/>
    <w:rsid w:val="009958F0"/>
    <w:rsid w:val="00996022"/>
    <w:rsid w:val="009A31D3"/>
    <w:rsid w:val="009A3416"/>
    <w:rsid w:val="009B1DF1"/>
    <w:rsid w:val="009B32EB"/>
    <w:rsid w:val="009B3E7D"/>
    <w:rsid w:val="009B705B"/>
    <w:rsid w:val="009C0F16"/>
    <w:rsid w:val="009C2490"/>
    <w:rsid w:val="009C6778"/>
    <w:rsid w:val="009D57B7"/>
    <w:rsid w:val="009D7E47"/>
    <w:rsid w:val="009E0AC0"/>
    <w:rsid w:val="009E242B"/>
    <w:rsid w:val="009E3D12"/>
    <w:rsid w:val="009E5DC9"/>
    <w:rsid w:val="009E7617"/>
    <w:rsid w:val="009F31BE"/>
    <w:rsid w:val="009F4896"/>
    <w:rsid w:val="009F5F83"/>
    <w:rsid w:val="00A02242"/>
    <w:rsid w:val="00A04352"/>
    <w:rsid w:val="00A048F0"/>
    <w:rsid w:val="00A07C87"/>
    <w:rsid w:val="00A12352"/>
    <w:rsid w:val="00A1406D"/>
    <w:rsid w:val="00A153BF"/>
    <w:rsid w:val="00A16D36"/>
    <w:rsid w:val="00A21523"/>
    <w:rsid w:val="00A22105"/>
    <w:rsid w:val="00A255B0"/>
    <w:rsid w:val="00A26491"/>
    <w:rsid w:val="00A27EBE"/>
    <w:rsid w:val="00A32BAD"/>
    <w:rsid w:val="00A334DE"/>
    <w:rsid w:val="00A33F59"/>
    <w:rsid w:val="00A34AE7"/>
    <w:rsid w:val="00A35304"/>
    <w:rsid w:val="00A36657"/>
    <w:rsid w:val="00A4058C"/>
    <w:rsid w:val="00A42F81"/>
    <w:rsid w:val="00A44FA3"/>
    <w:rsid w:val="00A45C6C"/>
    <w:rsid w:val="00A46F4D"/>
    <w:rsid w:val="00A4707A"/>
    <w:rsid w:val="00A515F9"/>
    <w:rsid w:val="00A60648"/>
    <w:rsid w:val="00A640D8"/>
    <w:rsid w:val="00A6727E"/>
    <w:rsid w:val="00A71D07"/>
    <w:rsid w:val="00A82DAF"/>
    <w:rsid w:val="00A94152"/>
    <w:rsid w:val="00A9777B"/>
    <w:rsid w:val="00AB63F3"/>
    <w:rsid w:val="00AC2813"/>
    <w:rsid w:val="00AC3B93"/>
    <w:rsid w:val="00AC3ED8"/>
    <w:rsid w:val="00AD0B3C"/>
    <w:rsid w:val="00AD0C3F"/>
    <w:rsid w:val="00AD5DA5"/>
    <w:rsid w:val="00AE0534"/>
    <w:rsid w:val="00AE0B5C"/>
    <w:rsid w:val="00AE0D8B"/>
    <w:rsid w:val="00AE2F9A"/>
    <w:rsid w:val="00AF0BFE"/>
    <w:rsid w:val="00AF17D5"/>
    <w:rsid w:val="00AF47D1"/>
    <w:rsid w:val="00AF4BFE"/>
    <w:rsid w:val="00AF5E70"/>
    <w:rsid w:val="00AF7558"/>
    <w:rsid w:val="00B00CE4"/>
    <w:rsid w:val="00B02175"/>
    <w:rsid w:val="00B035BA"/>
    <w:rsid w:val="00B03833"/>
    <w:rsid w:val="00B03900"/>
    <w:rsid w:val="00B03EA4"/>
    <w:rsid w:val="00B100B0"/>
    <w:rsid w:val="00B10CC4"/>
    <w:rsid w:val="00B157F4"/>
    <w:rsid w:val="00B1624F"/>
    <w:rsid w:val="00B23618"/>
    <w:rsid w:val="00B25C5F"/>
    <w:rsid w:val="00B3361B"/>
    <w:rsid w:val="00B33EC4"/>
    <w:rsid w:val="00B3661A"/>
    <w:rsid w:val="00B40148"/>
    <w:rsid w:val="00B44840"/>
    <w:rsid w:val="00B44DB2"/>
    <w:rsid w:val="00B451E1"/>
    <w:rsid w:val="00B52CB7"/>
    <w:rsid w:val="00B53F05"/>
    <w:rsid w:val="00B552E5"/>
    <w:rsid w:val="00B55F0A"/>
    <w:rsid w:val="00B6157E"/>
    <w:rsid w:val="00B67F6A"/>
    <w:rsid w:val="00B70924"/>
    <w:rsid w:val="00B7464A"/>
    <w:rsid w:val="00B825CD"/>
    <w:rsid w:val="00B832A8"/>
    <w:rsid w:val="00B839F6"/>
    <w:rsid w:val="00B83CD4"/>
    <w:rsid w:val="00B8435C"/>
    <w:rsid w:val="00B853BE"/>
    <w:rsid w:val="00B91231"/>
    <w:rsid w:val="00B94073"/>
    <w:rsid w:val="00B948FD"/>
    <w:rsid w:val="00B94D11"/>
    <w:rsid w:val="00BA11D2"/>
    <w:rsid w:val="00BA3668"/>
    <w:rsid w:val="00BA4804"/>
    <w:rsid w:val="00BA71C1"/>
    <w:rsid w:val="00BA7E01"/>
    <w:rsid w:val="00BB392B"/>
    <w:rsid w:val="00BB3A87"/>
    <w:rsid w:val="00BB5B9F"/>
    <w:rsid w:val="00BB7F0F"/>
    <w:rsid w:val="00BC799D"/>
    <w:rsid w:val="00BD6772"/>
    <w:rsid w:val="00BE5275"/>
    <w:rsid w:val="00BE5BFE"/>
    <w:rsid w:val="00BE6C22"/>
    <w:rsid w:val="00BF1258"/>
    <w:rsid w:val="00BF2EA9"/>
    <w:rsid w:val="00C05494"/>
    <w:rsid w:val="00C0671D"/>
    <w:rsid w:val="00C17574"/>
    <w:rsid w:val="00C260CD"/>
    <w:rsid w:val="00C31A96"/>
    <w:rsid w:val="00C342C7"/>
    <w:rsid w:val="00C3485C"/>
    <w:rsid w:val="00C41406"/>
    <w:rsid w:val="00C43A0A"/>
    <w:rsid w:val="00C43C9F"/>
    <w:rsid w:val="00C47FF1"/>
    <w:rsid w:val="00C51810"/>
    <w:rsid w:val="00C51CDD"/>
    <w:rsid w:val="00C53242"/>
    <w:rsid w:val="00C6022B"/>
    <w:rsid w:val="00C603D8"/>
    <w:rsid w:val="00C664F0"/>
    <w:rsid w:val="00C700B4"/>
    <w:rsid w:val="00C71702"/>
    <w:rsid w:val="00C7348F"/>
    <w:rsid w:val="00C73667"/>
    <w:rsid w:val="00C75EA7"/>
    <w:rsid w:val="00C80976"/>
    <w:rsid w:val="00C81027"/>
    <w:rsid w:val="00C81394"/>
    <w:rsid w:val="00C816C5"/>
    <w:rsid w:val="00C81E1D"/>
    <w:rsid w:val="00C82999"/>
    <w:rsid w:val="00C853D6"/>
    <w:rsid w:val="00C8560E"/>
    <w:rsid w:val="00C87250"/>
    <w:rsid w:val="00C911EE"/>
    <w:rsid w:val="00C959EE"/>
    <w:rsid w:val="00C96D76"/>
    <w:rsid w:val="00C97759"/>
    <w:rsid w:val="00CA2B0A"/>
    <w:rsid w:val="00CA6C90"/>
    <w:rsid w:val="00CB2121"/>
    <w:rsid w:val="00CB3384"/>
    <w:rsid w:val="00CB50E7"/>
    <w:rsid w:val="00CC0533"/>
    <w:rsid w:val="00CC1064"/>
    <w:rsid w:val="00CC2613"/>
    <w:rsid w:val="00CC443A"/>
    <w:rsid w:val="00CC558C"/>
    <w:rsid w:val="00CC7AE6"/>
    <w:rsid w:val="00CD3458"/>
    <w:rsid w:val="00CD3B10"/>
    <w:rsid w:val="00CD4F11"/>
    <w:rsid w:val="00CD791E"/>
    <w:rsid w:val="00CE0303"/>
    <w:rsid w:val="00CE4E5B"/>
    <w:rsid w:val="00CE70E0"/>
    <w:rsid w:val="00CF077A"/>
    <w:rsid w:val="00CF40BA"/>
    <w:rsid w:val="00CF4DF3"/>
    <w:rsid w:val="00D0717C"/>
    <w:rsid w:val="00D105C0"/>
    <w:rsid w:val="00D1072B"/>
    <w:rsid w:val="00D13C59"/>
    <w:rsid w:val="00D20155"/>
    <w:rsid w:val="00D26092"/>
    <w:rsid w:val="00D2635A"/>
    <w:rsid w:val="00D336B9"/>
    <w:rsid w:val="00D354E4"/>
    <w:rsid w:val="00D35F69"/>
    <w:rsid w:val="00D409BE"/>
    <w:rsid w:val="00D41703"/>
    <w:rsid w:val="00D434FE"/>
    <w:rsid w:val="00D47414"/>
    <w:rsid w:val="00D50445"/>
    <w:rsid w:val="00D50ED8"/>
    <w:rsid w:val="00D546F4"/>
    <w:rsid w:val="00D54DB3"/>
    <w:rsid w:val="00D56695"/>
    <w:rsid w:val="00D639D9"/>
    <w:rsid w:val="00D70954"/>
    <w:rsid w:val="00D71D7B"/>
    <w:rsid w:val="00D721BF"/>
    <w:rsid w:val="00D74489"/>
    <w:rsid w:val="00D81987"/>
    <w:rsid w:val="00D82143"/>
    <w:rsid w:val="00D8422F"/>
    <w:rsid w:val="00D842C3"/>
    <w:rsid w:val="00D905B5"/>
    <w:rsid w:val="00D9235E"/>
    <w:rsid w:val="00DA3F77"/>
    <w:rsid w:val="00DA483E"/>
    <w:rsid w:val="00DA52BA"/>
    <w:rsid w:val="00DA7B6F"/>
    <w:rsid w:val="00DB5901"/>
    <w:rsid w:val="00DB668B"/>
    <w:rsid w:val="00DC70AA"/>
    <w:rsid w:val="00DD1A18"/>
    <w:rsid w:val="00DD3054"/>
    <w:rsid w:val="00DD5DB9"/>
    <w:rsid w:val="00DD7239"/>
    <w:rsid w:val="00DE02E2"/>
    <w:rsid w:val="00DE1357"/>
    <w:rsid w:val="00DE2C52"/>
    <w:rsid w:val="00DE705B"/>
    <w:rsid w:val="00DF0272"/>
    <w:rsid w:val="00DF1370"/>
    <w:rsid w:val="00DF66A1"/>
    <w:rsid w:val="00DF7D00"/>
    <w:rsid w:val="00E006E0"/>
    <w:rsid w:val="00E032F6"/>
    <w:rsid w:val="00E0369F"/>
    <w:rsid w:val="00E0577C"/>
    <w:rsid w:val="00E069C1"/>
    <w:rsid w:val="00E074E6"/>
    <w:rsid w:val="00E11404"/>
    <w:rsid w:val="00E139E0"/>
    <w:rsid w:val="00E14EA1"/>
    <w:rsid w:val="00E15995"/>
    <w:rsid w:val="00E163CF"/>
    <w:rsid w:val="00E1687E"/>
    <w:rsid w:val="00E25291"/>
    <w:rsid w:val="00E26F59"/>
    <w:rsid w:val="00E270B4"/>
    <w:rsid w:val="00E30AB8"/>
    <w:rsid w:val="00E330A9"/>
    <w:rsid w:val="00E3315D"/>
    <w:rsid w:val="00E33E1B"/>
    <w:rsid w:val="00E36934"/>
    <w:rsid w:val="00E376E3"/>
    <w:rsid w:val="00E408A7"/>
    <w:rsid w:val="00E41819"/>
    <w:rsid w:val="00E42542"/>
    <w:rsid w:val="00E47AAF"/>
    <w:rsid w:val="00E53599"/>
    <w:rsid w:val="00E55B08"/>
    <w:rsid w:val="00E62987"/>
    <w:rsid w:val="00E63115"/>
    <w:rsid w:val="00E6484B"/>
    <w:rsid w:val="00E65E69"/>
    <w:rsid w:val="00E661A9"/>
    <w:rsid w:val="00E717D7"/>
    <w:rsid w:val="00E718CA"/>
    <w:rsid w:val="00E73CBA"/>
    <w:rsid w:val="00E77079"/>
    <w:rsid w:val="00E83451"/>
    <w:rsid w:val="00E851A0"/>
    <w:rsid w:val="00E92B32"/>
    <w:rsid w:val="00E96727"/>
    <w:rsid w:val="00E96927"/>
    <w:rsid w:val="00EA2D70"/>
    <w:rsid w:val="00EA3D0B"/>
    <w:rsid w:val="00EA6F17"/>
    <w:rsid w:val="00EB2FBD"/>
    <w:rsid w:val="00EB3EC3"/>
    <w:rsid w:val="00EB49E5"/>
    <w:rsid w:val="00EC331C"/>
    <w:rsid w:val="00EC4093"/>
    <w:rsid w:val="00EC5293"/>
    <w:rsid w:val="00EC7D22"/>
    <w:rsid w:val="00ED0218"/>
    <w:rsid w:val="00ED78FB"/>
    <w:rsid w:val="00ED7CCE"/>
    <w:rsid w:val="00EE016D"/>
    <w:rsid w:val="00EE232E"/>
    <w:rsid w:val="00EE72DD"/>
    <w:rsid w:val="00EF47EA"/>
    <w:rsid w:val="00EF5A87"/>
    <w:rsid w:val="00EF6FA3"/>
    <w:rsid w:val="00F005A5"/>
    <w:rsid w:val="00F031DC"/>
    <w:rsid w:val="00F06DAF"/>
    <w:rsid w:val="00F160CE"/>
    <w:rsid w:val="00F16BDC"/>
    <w:rsid w:val="00F214EE"/>
    <w:rsid w:val="00F32B35"/>
    <w:rsid w:val="00F41438"/>
    <w:rsid w:val="00F4583F"/>
    <w:rsid w:val="00F513BB"/>
    <w:rsid w:val="00F624FD"/>
    <w:rsid w:val="00F6497A"/>
    <w:rsid w:val="00F65307"/>
    <w:rsid w:val="00F76845"/>
    <w:rsid w:val="00F82EDA"/>
    <w:rsid w:val="00F84986"/>
    <w:rsid w:val="00F876CD"/>
    <w:rsid w:val="00F912E2"/>
    <w:rsid w:val="00F93911"/>
    <w:rsid w:val="00F93929"/>
    <w:rsid w:val="00F941EA"/>
    <w:rsid w:val="00F94597"/>
    <w:rsid w:val="00F9477F"/>
    <w:rsid w:val="00F95EA7"/>
    <w:rsid w:val="00FA2EC5"/>
    <w:rsid w:val="00FA30BB"/>
    <w:rsid w:val="00FA4D3A"/>
    <w:rsid w:val="00FA6928"/>
    <w:rsid w:val="00FB3AAA"/>
    <w:rsid w:val="00FB3C93"/>
    <w:rsid w:val="00FB482E"/>
    <w:rsid w:val="00FC0C71"/>
    <w:rsid w:val="00FC1794"/>
    <w:rsid w:val="00FC3250"/>
    <w:rsid w:val="00FC3CE9"/>
    <w:rsid w:val="00FC59E2"/>
    <w:rsid w:val="00FD00C9"/>
    <w:rsid w:val="00FD1694"/>
    <w:rsid w:val="00FE0521"/>
    <w:rsid w:val="00FE1166"/>
    <w:rsid w:val="00FE3062"/>
    <w:rsid w:val="00FE5794"/>
    <w:rsid w:val="00FE69A6"/>
    <w:rsid w:val="00FF0108"/>
    <w:rsid w:val="00FF2DB3"/>
    <w:rsid w:val="00FF56F3"/>
    <w:rsid w:val="00FF64BB"/>
    <w:rsid w:val="00FF7D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39E44E"/>
  <w15:chartTrackingRefBased/>
  <w15:docId w15:val="{FB7D5E0E-9313-493B-AC97-2AF72D7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4218C"/>
    <w:pPr>
      <w:keepNext/>
      <w:spacing w:after="120"/>
      <w:ind w:left="1440" w:hanging="7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491D1F"/>
    <w:pPr>
      <w:tabs>
        <w:tab w:val="center" w:pos="4680"/>
        <w:tab w:val="right" w:pos="9360"/>
      </w:tabs>
      <w:ind w:hanging="990"/>
      <w:jc w:val="right"/>
    </w:pPr>
    <w:rPr>
      <w:rFonts w:asciiTheme="minorHAnsi" w:hAnsiTheme="minorHAnsi" w:cstheme="minorHAnsi"/>
      <w:bCs/>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A2"/>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AC3B93"/>
  </w:style>
  <w:style w:type="character" w:customStyle="1" w:styleId="ParaNumCharChar">
    <w:name w:val="ParaNum Char Char"/>
    <w:link w:val="ParaNum"/>
    <w:locked/>
    <w:rsid w:val="00890CD5"/>
    <w:rPr>
      <w:snapToGrid w:val="0"/>
      <w:kern w:val="28"/>
      <w:sz w:val="22"/>
    </w:rPr>
  </w:style>
  <w:style w:type="paragraph" w:customStyle="1" w:styleId="Default">
    <w:name w:val="Default"/>
    <w:rsid w:val="00890CD5"/>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890CD5"/>
    <w:rPr>
      <w:color w:val="605E5C"/>
      <w:shd w:val="clear" w:color="auto" w:fill="E1DFDD"/>
    </w:rPr>
  </w:style>
  <w:style w:type="paragraph" w:styleId="ListParagraph">
    <w:name w:val="List Paragraph"/>
    <w:basedOn w:val="Normal"/>
    <w:uiPriority w:val="34"/>
    <w:qFormat/>
    <w:rsid w:val="00817D88"/>
    <w:pPr>
      <w:ind w:left="720"/>
      <w:contextualSpacing/>
    </w:pPr>
  </w:style>
  <w:style w:type="character" w:customStyle="1" w:styleId="normaltextrun">
    <w:name w:val="normaltextrun"/>
    <w:basedOn w:val="DefaultParagraphFont"/>
    <w:rsid w:val="00744B2E"/>
  </w:style>
  <w:style w:type="character" w:customStyle="1" w:styleId="eop">
    <w:name w:val="eop"/>
    <w:basedOn w:val="DefaultParagraphFont"/>
    <w:rsid w:val="00744B2E"/>
  </w:style>
  <w:style w:type="character" w:styleId="CommentReference">
    <w:name w:val="annotation reference"/>
    <w:basedOn w:val="DefaultParagraphFont"/>
    <w:uiPriority w:val="99"/>
    <w:semiHidden/>
    <w:unhideWhenUsed/>
    <w:rsid w:val="00FE1166"/>
    <w:rPr>
      <w:sz w:val="16"/>
      <w:szCs w:val="16"/>
    </w:rPr>
  </w:style>
  <w:style w:type="paragraph" w:styleId="CommentText">
    <w:name w:val="annotation text"/>
    <w:basedOn w:val="Normal"/>
    <w:link w:val="CommentTextChar"/>
    <w:uiPriority w:val="99"/>
    <w:semiHidden/>
    <w:unhideWhenUsed/>
    <w:rsid w:val="00FE1166"/>
    <w:rPr>
      <w:sz w:val="20"/>
    </w:rPr>
  </w:style>
  <w:style w:type="character" w:customStyle="1" w:styleId="CommentTextChar">
    <w:name w:val="Comment Text Char"/>
    <w:basedOn w:val="DefaultParagraphFont"/>
    <w:link w:val="CommentText"/>
    <w:uiPriority w:val="99"/>
    <w:semiHidden/>
    <w:rsid w:val="00FE1166"/>
    <w:rPr>
      <w:snapToGrid w:val="0"/>
      <w:kern w:val="28"/>
    </w:rPr>
  </w:style>
  <w:style w:type="paragraph" w:styleId="CommentSubject">
    <w:name w:val="annotation subject"/>
    <w:basedOn w:val="CommentText"/>
    <w:next w:val="CommentText"/>
    <w:link w:val="CommentSubjectChar"/>
    <w:uiPriority w:val="99"/>
    <w:semiHidden/>
    <w:unhideWhenUsed/>
    <w:rsid w:val="00FE1166"/>
    <w:rPr>
      <w:b/>
      <w:bCs/>
    </w:rPr>
  </w:style>
  <w:style w:type="character" w:customStyle="1" w:styleId="CommentSubjectChar">
    <w:name w:val="Comment Subject Char"/>
    <w:basedOn w:val="CommentTextChar"/>
    <w:link w:val="CommentSubject"/>
    <w:uiPriority w:val="99"/>
    <w:semiHidden/>
    <w:rsid w:val="00FE1166"/>
    <w:rPr>
      <w:b/>
      <w:bCs/>
      <w:snapToGrid w:val="0"/>
      <w:kern w:val="28"/>
    </w:rPr>
  </w:style>
  <w:style w:type="paragraph" w:styleId="Revision">
    <w:name w:val="Revision"/>
    <w:hidden/>
    <w:uiPriority w:val="99"/>
    <w:semiHidden/>
    <w:rsid w:val="00E73CBA"/>
    <w:rPr>
      <w:snapToGrid w:val="0"/>
      <w:kern w:val="28"/>
      <w:sz w:val="22"/>
    </w:rPr>
  </w:style>
  <w:style w:type="character" w:customStyle="1" w:styleId="ParaNumChar">
    <w:name w:val="ParaNum Char"/>
    <w:locked/>
    <w:rsid w:val="00D13C59"/>
    <w:rPr>
      <w:snapToGrid w:val="0"/>
      <w:kern w:val="28"/>
      <w:sz w:val="22"/>
    </w:rPr>
  </w:style>
  <w:style w:type="character" w:customStyle="1" w:styleId="HeaderChar">
    <w:name w:val="Header Char"/>
    <w:basedOn w:val="DefaultParagraphFont"/>
    <w:link w:val="Header"/>
    <w:uiPriority w:val="99"/>
    <w:rsid w:val="00491D1F"/>
    <w:rPr>
      <w:rFonts w:asciiTheme="minorHAnsi" w:hAnsiTheme="minorHAnsi" w:cstheme="minorHAnsi"/>
      <w:bCs/>
      <w:snapToGrid w:val="0"/>
      <w:kern w:val="28"/>
      <w:sz w:val="22"/>
      <w:szCs w:val="22"/>
    </w:rPr>
  </w:style>
  <w:style w:type="paragraph" w:styleId="NoSpacing">
    <w:name w:val="No Spacing"/>
    <w:uiPriority w:val="1"/>
    <w:qFormat/>
    <w:rsid w:val="00491D1F"/>
    <w:rPr>
      <w:rFonts w:ascii="Calibri" w:eastAsia="Calibri" w:hAnsi="Calibri" w:cs="Calibri"/>
      <w:color w:val="000000"/>
      <w:sz w:val="22"/>
      <w:szCs w:val="22"/>
    </w:rPr>
  </w:style>
  <w:style w:type="table" w:styleId="TableGrid">
    <w:name w:val="Table Grid"/>
    <w:basedOn w:val="TableNormal"/>
    <w:uiPriority w:val="39"/>
    <w:rsid w:val="00491D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91D1F"/>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https://apps.fcc.gov/cores/userLogin.do" TargetMode="External" /><Relationship Id="rId14" Type="http://schemas.openxmlformats.org/officeDocument/2006/relationships/hyperlink" Target="https://www.sam.gov/SAM/" TargetMode="External" /><Relationship Id="rId15" Type="http://schemas.openxmlformats.org/officeDocument/2006/relationships/hyperlink" Target="https://www.dnb.com/duns-number.html" TargetMode="External" /><Relationship Id="rId16" Type="http://schemas.openxmlformats.org/officeDocument/2006/relationships/hyperlink" Target="https://sam.gov/SAM/SAM_Guide/SAM_Non_Federal_User_Guide/SAM_Non_Fed_User_Guide.html" TargetMode="Externa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supplychai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cores/userLogin.do" TargetMode="External" /><Relationship Id="rId2" Type="http://schemas.openxmlformats.org/officeDocument/2006/relationships/hyperlink" Target="https://www.sam.gov/SAM/" TargetMode="External" /><Relationship Id="rId3" Type="http://schemas.openxmlformats.org/officeDocument/2006/relationships/hyperlink" Target="https://sam.gov/SAM/SAM_Guide/SAM_Non_Federal_User_Guide/SAM_Non_Fed_User_Guide.html" TargetMode="External" /><Relationship Id="rId4" Type="http://schemas.openxmlformats.org/officeDocument/2006/relationships/hyperlink" Target="https://fiscal.treasury.gov/top/" TargetMode="External" /><Relationship Id="rId5" Type="http://schemas.openxmlformats.org/officeDocument/2006/relationships/hyperlink" Target="https://fiscal.treasury.gov/top/faqs-for-the-public.html" TargetMode="External" /><Relationship Id="rId6" Type="http://schemas.openxmlformats.org/officeDocument/2006/relationships/hyperlink" Target="https://fiscal.treasury.gov/DNP/" TargetMode="External" /><Relationship Id="rId7" Type="http://schemas.openxmlformats.org/officeDocument/2006/relationships/hyperlink" Target="https://fiscal.treasury.gov/dnp/privacy-program.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