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A51F7" w:rsidRPr="00ED5746" w:rsidP="000E2437" w14:paraId="135363D5" w14:textId="77777777">
      <w:pPr>
        <w:jc w:val="center"/>
        <w:rPr>
          <w:b/>
        </w:rPr>
      </w:pPr>
      <w:r w:rsidRPr="00ED5746">
        <w:rPr>
          <w:rFonts w:ascii="Times New Roman Bold" w:hAnsi="Times New Roman Bold"/>
          <w:b/>
          <w:kern w:val="0"/>
          <w:szCs w:val="22"/>
        </w:rPr>
        <w:t>Before</w:t>
      </w:r>
      <w:r w:rsidRPr="00ED5746">
        <w:rPr>
          <w:b/>
        </w:rPr>
        <w:t xml:space="preserve"> the</w:t>
      </w:r>
      <w:r>
        <w:rPr>
          <w:b/>
        </w:rPr>
        <w:t>.</w:t>
      </w:r>
    </w:p>
    <w:p w:rsidR="006A51F7" w:rsidRPr="00ED5746" w:rsidP="006A51F7" w14:paraId="0129970F" w14:textId="77777777">
      <w:pPr>
        <w:pStyle w:val="StyleBoldCentered"/>
      </w:pPr>
      <w:r w:rsidRPr="00ED5746">
        <w:t>F</w:t>
      </w:r>
      <w:r w:rsidRPr="00ED5746">
        <w:rPr>
          <w:caps w:val="0"/>
        </w:rPr>
        <w:t>ederal Communications Commission</w:t>
      </w:r>
    </w:p>
    <w:p w:rsidR="006A51F7" w:rsidRPr="00ED5746" w:rsidP="006A51F7" w14:paraId="3394C22A" w14:textId="77777777">
      <w:pPr>
        <w:pStyle w:val="StyleBoldCentered"/>
      </w:pPr>
      <w:r w:rsidRPr="00ED5746">
        <w:rPr>
          <w:caps w:val="0"/>
        </w:rPr>
        <w:t>Washington, D</w:t>
      </w:r>
      <w:r>
        <w:rPr>
          <w:caps w:val="0"/>
        </w:rPr>
        <w:t>.</w:t>
      </w:r>
      <w:r w:rsidRPr="00ED5746">
        <w:rPr>
          <w:caps w:val="0"/>
        </w:rPr>
        <w:t>C</w:t>
      </w:r>
      <w:r>
        <w:rPr>
          <w:caps w:val="0"/>
        </w:rPr>
        <w:t>.</w:t>
      </w:r>
      <w:r w:rsidRPr="00ED5746">
        <w:rPr>
          <w:caps w:val="0"/>
        </w:rPr>
        <w:t xml:space="preserve"> 20554</w:t>
      </w:r>
    </w:p>
    <w:p w:rsidR="006A51F7" w:rsidRPr="00ED5746" w:rsidP="006A51F7" w14:paraId="6CE98313" w14:textId="77777777"/>
    <w:tbl>
      <w:tblPr>
        <w:tblW w:w="0" w:type="auto"/>
        <w:tblLayout w:type="fixed"/>
        <w:tblLook w:val="0000"/>
      </w:tblPr>
      <w:tblGrid>
        <w:gridCol w:w="4698"/>
        <w:gridCol w:w="630"/>
        <w:gridCol w:w="4248"/>
      </w:tblGrid>
      <w:tr w14:paraId="7D50AD08" w14:textId="77777777" w:rsidTr="00346C3F">
        <w:tblPrEx>
          <w:tblW w:w="0" w:type="auto"/>
          <w:tblLayout w:type="fixed"/>
          <w:tblLook w:val="0000"/>
        </w:tblPrEx>
        <w:tc>
          <w:tcPr>
            <w:tcW w:w="4698" w:type="dxa"/>
          </w:tcPr>
          <w:p w:rsidR="006A51F7" w:rsidRPr="00D84548" w:rsidP="00346C3F" w14:paraId="55564F9F" w14:textId="77777777">
            <w:pPr>
              <w:tabs>
                <w:tab w:val="center" w:pos="4680"/>
              </w:tabs>
              <w:suppressAutoHyphens/>
              <w:rPr>
                <w:spacing w:val="-2"/>
              </w:rPr>
            </w:pPr>
            <w:r w:rsidRPr="00ED5746">
              <w:rPr>
                <w:spacing w:val="-2"/>
              </w:rPr>
              <w:t>In the Matter of</w:t>
            </w:r>
          </w:p>
          <w:p w:rsidR="006A51F7" w:rsidRPr="00D23E19" w:rsidP="00346C3F" w14:paraId="6B397594" w14:textId="77777777">
            <w:pPr>
              <w:tabs>
                <w:tab w:val="left" w:pos="360"/>
                <w:tab w:val="center" w:pos="4680"/>
                <w:tab w:val="right" w:leader="dot" w:pos="9360"/>
              </w:tabs>
              <w:suppressAutoHyphens/>
              <w:ind w:left="360" w:right="720" w:hanging="360"/>
              <w:rPr>
                <w:spacing w:val="-2"/>
              </w:rPr>
            </w:pPr>
          </w:p>
          <w:p w:rsidR="006A51F7" w:rsidRPr="00D84548" w:rsidP="00346C3F" w14:paraId="1660A169" w14:textId="77777777">
            <w:pPr>
              <w:autoSpaceDE w:val="0"/>
              <w:autoSpaceDN w:val="0"/>
              <w:adjustRightInd w:val="0"/>
            </w:pPr>
            <w:r>
              <w:rPr>
                <w:szCs w:val="22"/>
              </w:rPr>
              <w:t>Broadband VI, LLC</w:t>
            </w:r>
          </w:p>
        </w:tc>
        <w:tc>
          <w:tcPr>
            <w:tcW w:w="630" w:type="dxa"/>
          </w:tcPr>
          <w:p w:rsidR="006A51F7" w:rsidRPr="00D84548" w:rsidP="00346C3F" w14:paraId="141CE954" w14:textId="77777777">
            <w:pPr>
              <w:tabs>
                <w:tab w:val="center" w:pos="4680"/>
              </w:tabs>
              <w:suppressAutoHyphens/>
              <w:rPr>
                <w:b/>
                <w:spacing w:val="-2"/>
              </w:rPr>
            </w:pPr>
            <w:r w:rsidRPr="00D84548">
              <w:rPr>
                <w:b/>
                <w:spacing w:val="-2"/>
              </w:rPr>
              <w:t>)</w:t>
            </w:r>
          </w:p>
          <w:p w:rsidR="006A51F7" w:rsidRPr="00D23E19" w:rsidP="00346C3F" w14:paraId="342FE720" w14:textId="77777777">
            <w:pPr>
              <w:tabs>
                <w:tab w:val="center" w:pos="4680"/>
              </w:tabs>
              <w:suppressAutoHyphens/>
              <w:rPr>
                <w:b/>
                <w:spacing w:val="-2"/>
              </w:rPr>
            </w:pPr>
            <w:r w:rsidRPr="00D84548">
              <w:rPr>
                <w:b/>
                <w:spacing w:val="-2"/>
              </w:rPr>
              <w:t>)</w:t>
            </w:r>
          </w:p>
          <w:p w:rsidR="006A51F7" w:rsidRPr="00D23E19" w:rsidP="00346C3F" w14:paraId="2CC28587" w14:textId="77777777">
            <w:pPr>
              <w:tabs>
                <w:tab w:val="center" w:pos="4680"/>
              </w:tabs>
              <w:suppressAutoHyphens/>
              <w:rPr>
                <w:b/>
                <w:spacing w:val="-2"/>
              </w:rPr>
            </w:pPr>
            <w:r w:rsidRPr="00D84548">
              <w:rPr>
                <w:b/>
                <w:spacing w:val="-2"/>
              </w:rPr>
              <w:t>)</w:t>
            </w:r>
          </w:p>
          <w:p w:rsidR="006A51F7" w:rsidRPr="00D23E19" w:rsidP="00346C3F" w14:paraId="3D8949C9" w14:textId="77777777">
            <w:pPr>
              <w:tabs>
                <w:tab w:val="center" w:pos="4680"/>
              </w:tabs>
              <w:suppressAutoHyphens/>
              <w:rPr>
                <w:b/>
                <w:spacing w:val="-2"/>
              </w:rPr>
            </w:pPr>
            <w:r w:rsidRPr="00D84548">
              <w:rPr>
                <w:b/>
                <w:spacing w:val="-2"/>
              </w:rPr>
              <w:t>)</w:t>
            </w:r>
          </w:p>
          <w:p w:rsidR="006A51F7" w:rsidRPr="00D23E19" w:rsidP="00346C3F" w14:paraId="56E07145" w14:textId="77777777">
            <w:pPr>
              <w:tabs>
                <w:tab w:val="center" w:pos="4680"/>
              </w:tabs>
              <w:suppressAutoHyphens/>
              <w:rPr>
                <w:b/>
                <w:spacing w:val="-2"/>
              </w:rPr>
            </w:pPr>
            <w:r w:rsidRPr="00D84548">
              <w:rPr>
                <w:b/>
                <w:spacing w:val="-2"/>
              </w:rPr>
              <w:t>)</w:t>
            </w:r>
          </w:p>
          <w:p w:rsidR="006A51F7" w:rsidP="00346C3F" w14:paraId="7B664851" w14:textId="6A274B38">
            <w:pPr>
              <w:tabs>
                <w:tab w:val="center" w:pos="4680"/>
              </w:tabs>
              <w:suppressAutoHyphens/>
              <w:rPr>
                <w:b/>
                <w:spacing w:val="-2"/>
              </w:rPr>
            </w:pPr>
            <w:r w:rsidRPr="00D84548">
              <w:rPr>
                <w:b/>
                <w:spacing w:val="-2"/>
              </w:rPr>
              <w:t>)</w:t>
            </w:r>
          </w:p>
          <w:p w:rsidR="000E2437" w:rsidRPr="00D23E19" w:rsidP="00346C3F" w14:paraId="007DA1C1" w14:textId="6EB306A2">
            <w:pPr>
              <w:tabs>
                <w:tab w:val="center" w:pos="4680"/>
              </w:tabs>
              <w:suppressAutoHyphens/>
              <w:rPr>
                <w:b/>
                <w:spacing w:val="-2"/>
              </w:rPr>
            </w:pPr>
            <w:r>
              <w:rPr>
                <w:b/>
                <w:spacing w:val="-2"/>
              </w:rPr>
              <w:t>)</w:t>
            </w:r>
          </w:p>
          <w:p w:rsidR="006A51F7" w:rsidRPr="00D23E19" w:rsidP="00346C3F" w14:paraId="1DF14CFB" w14:textId="77777777">
            <w:pPr>
              <w:tabs>
                <w:tab w:val="center" w:pos="4680"/>
              </w:tabs>
              <w:suppressAutoHyphens/>
              <w:rPr>
                <w:b/>
                <w:spacing w:val="-2"/>
              </w:rPr>
            </w:pPr>
            <w:r w:rsidRPr="00D84548">
              <w:rPr>
                <w:b/>
                <w:spacing w:val="-2"/>
              </w:rPr>
              <w:t>)</w:t>
            </w:r>
          </w:p>
          <w:p w:rsidR="006A51F7" w:rsidRPr="00D23E19" w:rsidP="00346C3F" w14:paraId="4D22EEE8" w14:textId="77777777">
            <w:pPr>
              <w:tabs>
                <w:tab w:val="center" w:pos="4680"/>
              </w:tabs>
              <w:suppressAutoHyphens/>
              <w:rPr>
                <w:b/>
                <w:spacing w:val="-2"/>
              </w:rPr>
            </w:pPr>
          </w:p>
        </w:tc>
        <w:tc>
          <w:tcPr>
            <w:tcW w:w="4248" w:type="dxa"/>
          </w:tcPr>
          <w:p w:rsidR="006A51F7" w:rsidP="00346C3F" w14:paraId="50341D30" w14:textId="77777777">
            <w:pPr>
              <w:tabs>
                <w:tab w:val="center" w:pos="4680"/>
              </w:tabs>
              <w:suppressAutoHyphens/>
              <w:ind w:left="432"/>
              <w:rPr>
                <w:spacing w:val="-2"/>
                <w:szCs w:val="22"/>
              </w:rPr>
            </w:pPr>
          </w:p>
          <w:p w:rsidR="006A51F7" w:rsidP="00346C3F" w14:paraId="7A508B48" w14:textId="77777777">
            <w:pPr>
              <w:tabs>
                <w:tab w:val="center" w:pos="4680"/>
              </w:tabs>
              <w:suppressAutoHyphens/>
              <w:ind w:left="432"/>
              <w:rPr>
                <w:spacing w:val="-2"/>
                <w:szCs w:val="22"/>
              </w:rPr>
            </w:pPr>
          </w:p>
          <w:p w:rsidR="006A51F7" w:rsidRPr="00F15937" w:rsidP="00346C3F" w14:paraId="7EFC48FB" w14:textId="77777777">
            <w:pPr>
              <w:tabs>
                <w:tab w:val="center" w:pos="4680"/>
              </w:tabs>
              <w:suppressAutoHyphens/>
              <w:ind w:left="432"/>
              <w:rPr>
                <w:spacing w:val="-2"/>
                <w:szCs w:val="22"/>
              </w:rPr>
            </w:pPr>
            <w:r w:rsidRPr="00F15937">
              <w:rPr>
                <w:spacing w:val="-2"/>
                <w:szCs w:val="22"/>
              </w:rPr>
              <w:t>File No.:  EB-IHD-21-00032308</w:t>
            </w:r>
          </w:p>
          <w:p w:rsidR="006A51F7" w:rsidRPr="00F15937" w:rsidP="00346C3F" w14:paraId="2F88C0E4" w14:textId="77777777">
            <w:pPr>
              <w:ind w:left="432"/>
              <w:rPr>
                <w:spacing w:val="-2"/>
                <w:szCs w:val="22"/>
              </w:rPr>
            </w:pPr>
            <w:r w:rsidRPr="00F15937">
              <w:rPr>
                <w:spacing w:val="-2"/>
                <w:szCs w:val="22"/>
              </w:rPr>
              <w:t xml:space="preserve">NAL/CD Acct. No.:  </w:t>
            </w:r>
            <w:r w:rsidRPr="00F15937">
              <w:rPr>
                <w:szCs w:val="22"/>
                <w:shd w:val="clear" w:color="auto" w:fill="FFFFFF"/>
              </w:rPr>
              <w:t>202132080028</w:t>
            </w:r>
          </w:p>
          <w:p w:rsidR="006A51F7" w:rsidRPr="00D84548" w:rsidP="00346C3F" w14:paraId="2C5CC079" w14:textId="77777777">
            <w:pPr>
              <w:tabs>
                <w:tab w:val="center" w:pos="4680"/>
              </w:tabs>
              <w:suppressAutoHyphens/>
              <w:ind w:left="432"/>
              <w:rPr>
                <w:snapToGrid/>
                <w:spacing w:val="-2"/>
              </w:rPr>
            </w:pPr>
            <w:r w:rsidRPr="00F15937">
              <w:rPr>
                <w:szCs w:val="22"/>
              </w:rPr>
              <w:t xml:space="preserve">FRN:  </w:t>
            </w:r>
            <w:r w:rsidRPr="00F15937">
              <w:rPr>
                <w:spacing w:val="-2"/>
                <w:szCs w:val="22"/>
              </w:rPr>
              <w:t>0016966806</w:t>
            </w:r>
          </w:p>
        </w:tc>
      </w:tr>
    </w:tbl>
    <w:p w:rsidR="006A51F7" w:rsidRPr="00D84548" w:rsidP="006A51F7" w14:paraId="1B0B0C43" w14:textId="77777777">
      <w:pPr>
        <w:jc w:val="center"/>
        <w:outlineLvl w:val="0"/>
        <w:rPr>
          <w:b/>
          <w:szCs w:val="22"/>
        </w:rPr>
      </w:pPr>
      <w:r w:rsidRPr="00D84548">
        <w:rPr>
          <w:b/>
          <w:szCs w:val="22"/>
        </w:rPr>
        <w:t>ORDER</w:t>
      </w:r>
    </w:p>
    <w:p w:rsidR="006A51F7" w:rsidRPr="00D84548" w:rsidP="006A51F7" w14:paraId="11E21FAA" w14:textId="77777777">
      <w:pPr>
        <w:tabs>
          <w:tab w:val="left" w:pos="-720"/>
        </w:tabs>
        <w:suppressAutoHyphens/>
        <w:spacing w:line="227" w:lineRule="auto"/>
        <w:rPr>
          <w:spacing w:val="-2"/>
        </w:rPr>
      </w:pPr>
    </w:p>
    <w:p w:rsidR="006A51F7" w:rsidRPr="00D84548" w:rsidP="006A51F7" w14:paraId="2AE56E83" w14:textId="69C5FB44">
      <w:pPr>
        <w:tabs>
          <w:tab w:val="left" w:pos="720"/>
          <w:tab w:val="right" w:pos="9360"/>
        </w:tabs>
        <w:suppressAutoHyphens/>
        <w:spacing w:line="227" w:lineRule="auto"/>
        <w:rPr>
          <w:spacing w:val="-2"/>
        </w:rPr>
      </w:pPr>
      <w:r w:rsidRPr="00D84548">
        <w:rPr>
          <w:b/>
          <w:spacing w:val="-2"/>
        </w:rPr>
        <w:t xml:space="preserve">Adopted: </w:t>
      </w:r>
      <w:r w:rsidR="004E39F2">
        <w:rPr>
          <w:b/>
          <w:spacing w:val="-2"/>
        </w:rPr>
        <w:t>June 2</w:t>
      </w:r>
      <w:r w:rsidRPr="00D84548">
        <w:rPr>
          <w:b/>
          <w:spacing w:val="-2"/>
        </w:rPr>
        <w:t>, 20</w:t>
      </w:r>
      <w:r>
        <w:rPr>
          <w:b/>
          <w:spacing w:val="-2"/>
        </w:rPr>
        <w:t>21</w:t>
      </w:r>
      <w:r w:rsidRPr="00D84548">
        <w:rPr>
          <w:b/>
          <w:spacing w:val="-2"/>
        </w:rPr>
        <w:tab/>
        <w:t xml:space="preserve">Released:  </w:t>
      </w:r>
      <w:r w:rsidR="004E39F2">
        <w:rPr>
          <w:b/>
          <w:spacing w:val="-2"/>
        </w:rPr>
        <w:t>June 3</w:t>
      </w:r>
      <w:r w:rsidRPr="00D84548">
        <w:rPr>
          <w:b/>
          <w:spacing w:val="-2"/>
        </w:rPr>
        <w:t>, 20</w:t>
      </w:r>
      <w:r>
        <w:rPr>
          <w:b/>
          <w:spacing w:val="-2"/>
        </w:rPr>
        <w:t>21</w:t>
      </w:r>
    </w:p>
    <w:p w:rsidR="006A51F7" w:rsidRPr="00D84548" w:rsidP="006A51F7" w14:paraId="3ECD6272" w14:textId="77777777"/>
    <w:p w:rsidR="006A51F7" w:rsidRPr="00D84548" w:rsidP="006A51F7" w14:paraId="6846747F" w14:textId="77777777">
      <w:pPr>
        <w:rPr>
          <w:spacing w:val="-2"/>
        </w:rPr>
      </w:pPr>
      <w:r w:rsidRPr="00D84548">
        <w:rPr>
          <w:spacing w:val="-2"/>
          <w:szCs w:val="22"/>
        </w:rPr>
        <w:t>By the Chief</w:t>
      </w:r>
      <w:r>
        <w:rPr>
          <w:spacing w:val="-2"/>
          <w:szCs w:val="22"/>
        </w:rPr>
        <w:t xml:space="preserve">, </w:t>
      </w:r>
      <w:r w:rsidRPr="00D84548">
        <w:rPr>
          <w:spacing w:val="-2"/>
          <w:szCs w:val="22"/>
        </w:rPr>
        <w:t>Enforcement Bureau:</w:t>
      </w:r>
    </w:p>
    <w:p w:rsidR="006A51F7" w:rsidRPr="00D84548" w:rsidP="006A51F7" w14:paraId="71F0181B" w14:textId="77777777"/>
    <w:p w:rsidR="006A51F7" w:rsidRPr="00D84548" w:rsidP="006A51F7" w14:paraId="22D9BA33" w14:textId="77777777">
      <w:pPr>
        <w:pStyle w:val="ParaNum"/>
        <w:numPr>
          <w:ilvl w:val="0"/>
          <w:numId w:val="34"/>
        </w:numPr>
        <w:tabs>
          <w:tab w:val="clear" w:pos="1080"/>
        </w:tabs>
        <w:rPr>
          <w:color w:val="000000"/>
          <w:szCs w:val="22"/>
        </w:rPr>
      </w:pPr>
      <w:r w:rsidRPr="00D84548">
        <w:rPr>
          <w:szCs w:val="22"/>
        </w:rPr>
        <w:t xml:space="preserve">The Enforcement Bureau (Bureau) of the Federal Communications Commission </w:t>
      </w:r>
      <w:r>
        <w:rPr>
          <w:szCs w:val="22"/>
        </w:rPr>
        <w:t xml:space="preserve">and Broadband VI, LLC (Broadband VI) </w:t>
      </w:r>
      <w:r w:rsidRPr="00D84548">
        <w:rPr>
          <w:szCs w:val="22"/>
        </w:rPr>
        <w:t>ha</w:t>
      </w:r>
      <w:r>
        <w:rPr>
          <w:szCs w:val="22"/>
        </w:rPr>
        <w:t>ve</w:t>
      </w:r>
      <w:r w:rsidRPr="00D84548">
        <w:rPr>
          <w:szCs w:val="22"/>
        </w:rPr>
        <w:t xml:space="preserve"> entered into a Consent Decree to resolve its </w:t>
      </w:r>
      <w:r>
        <w:rPr>
          <w:szCs w:val="22"/>
        </w:rPr>
        <w:t>review</w:t>
      </w:r>
      <w:r w:rsidRPr="00D84548">
        <w:rPr>
          <w:szCs w:val="22"/>
        </w:rPr>
        <w:t xml:space="preserve"> </w:t>
      </w:r>
      <w:r>
        <w:rPr>
          <w:szCs w:val="22"/>
        </w:rPr>
        <w:t xml:space="preserve">of </w:t>
      </w:r>
      <w:r w:rsidRPr="00D84548">
        <w:rPr>
          <w:szCs w:val="22"/>
        </w:rPr>
        <w:t xml:space="preserve">whether </w:t>
      </w:r>
      <w:r>
        <w:rPr>
          <w:szCs w:val="22"/>
        </w:rPr>
        <w:t>Broadband VI violated the Commission’s rules pertaining to unauthorized transfers of control and assignments of licenses in the wireless radio service.  Broadband VI entered into an agreement with Surge Communications, LLC (Surge) by which Surge sold certain of its assets to Broadband VI, including its interests in seven wireless radio licenses, without prior Commission consent.</w:t>
      </w:r>
      <w:r w:rsidRPr="00D84548">
        <w:rPr>
          <w:szCs w:val="22"/>
        </w:rPr>
        <w:t xml:space="preserve"> </w:t>
      </w:r>
      <w:r>
        <w:rPr>
          <w:szCs w:val="22"/>
        </w:rPr>
        <w:t xml:space="preserve"> To resolve this matter, Broadband VI agrees to implement a compliance plan and pay a $28,000 civil penalty. </w:t>
      </w:r>
    </w:p>
    <w:p w:rsidR="006A51F7" w:rsidRPr="00D84548" w:rsidP="006A51F7" w14:paraId="15C8E9B5" w14:textId="77777777">
      <w:pPr>
        <w:pStyle w:val="ParaNum"/>
        <w:numPr>
          <w:ilvl w:val="0"/>
          <w:numId w:val="34"/>
        </w:numPr>
        <w:tabs>
          <w:tab w:val="clear" w:pos="1080"/>
          <w:tab w:val="left" w:pos="1440"/>
        </w:tabs>
        <w:rPr>
          <w:szCs w:val="22"/>
        </w:rPr>
      </w:pPr>
      <w:r w:rsidRPr="00D84548">
        <w:rPr>
          <w:szCs w:val="22"/>
        </w:rPr>
        <w:t xml:space="preserve">After reviewing the terms of the Consent Decree and evaluating the facts before us, we find that the public interest would be served by adopting the Consent Decree and terminating the referenced </w:t>
      </w:r>
      <w:r>
        <w:rPr>
          <w:szCs w:val="22"/>
        </w:rPr>
        <w:t>review</w:t>
      </w:r>
      <w:r w:rsidRPr="00D84548">
        <w:rPr>
          <w:szCs w:val="22"/>
        </w:rPr>
        <w:t xml:space="preserve"> regarding</w:t>
      </w:r>
      <w:r>
        <w:rPr>
          <w:szCs w:val="22"/>
        </w:rPr>
        <w:t xml:space="preserve"> Broadband VI</w:t>
      </w:r>
      <w:r w:rsidRPr="00D84548">
        <w:rPr>
          <w:szCs w:val="22"/>
        </w:rPr>
        <w:t xml:space="preserve">’s compliance </w:t>
      </w:r>
      <w:r>
        <w:rPr>
          <w:szCs w:val="22"/>
        </w:rPr>
        <w:t>with section 310(d)</w:t>
      </w:r>
      <w:r w:rsidRPr="00D84548">
        <w:rPr>
          <w:szCs w:val="22"/>
        </w:rPr>
        <w:t xml:space="preserve"> of the Communications Act of 1934, as amended (Act)</w:t>
      </w:r>
      <w:r>
        <w:rPr>
          <w:rStyle w:val="FootnoteReference"/>
          <w:szCs w:val="22"/>
        </w:rPr>
        <w:footnoteReference w:id="3"/>
      </w:r>
      <w:r w:rsidRPr="00D84548">
        <w:rPr>
          <w:szCs w:val="22"/>
        </w:rPr>
        <w:t xml:space="preserve">, and </w:t>
      </w:r>
      <w:r>
        <w:rPr>
          <w:szCs w:val="22"/>
        </w:rPr>
        <w:t>s</w:t>
      </w:r>
      <w:r w:rsidRPr="00D84548">
        <w:rPr>
          <w:szCs w:val="22"/>
        </w:rPr>
        <w:t xml:space="preserve">ection </w:t>
      </w:r>
      <w:r>
        <w:rPr>
          <w:szCs w:val="22"/>
        </w:rPr>
        <w:t>1.948</w:t>
      </w:r>
      <w:r w:rsidRPr="00D84548">
        <w:rPr>
          <w:szCs w:val="22"/>
        </w:rPr>
        <w:t xml:space="preserve"> of the Commission’s rules</w:t>
      </w:r>
      <w:r>
        <w:rPr>
          <w:rStyle w:val="FootnoteReference"/>
          <w:szCs w:val="22"/>
        </w:rPr>
        <w:footnoteReference w:id="4"/>
      </w:r>
      <w:r>
        <w:rPr>
          <w:szCs w:val="22"/>
        </w:rPr>
        <w:t xml:space="preserve">  pertaining to unauthorized transfers of control and assignments of licenses. </w:t>
      </w:r>
    </w:p>
    <w:p w:rsidR="006A51F7" w:rsidRPr="00D84548" w:rsidP="007C652F" w14:paraId="57BA7A8D" w14:textId="77777777">
      <w:pPr>
        <w:pStyle w:val="ParaNum"/>
        <w:widowControl/>
        <w:numPr>
          <w:ilvl w:val="0"/>
          <w:numId w:val="34"/>
        </w:numPr>
        <w:tabs>
          <w:tab w:val="clear" w:pos="1080"/>
          <w:tab w:val="left" w:pos="1440"/>
        </w:tabs>
        <w:rPr>
          <w:szCs w:val="22"/>
        </w:rPr>
      </w:pPr>
      <w:r>
        <w:rPr>
          <w:szCs w:val="22"/>
        </w:rPr>
        <w:t>In the absence of material new evidence relating to this matter, we do not set for hearing the question of Broadband VI’s basic qualifications to hold or obtain any Commission license or authorization.</w:t>
      </w:r>
      <w:r>
        <w:rPr>
          <w:rStyle w:val="FootnoteReference"/>
          <w:szCs w:val="22"/>
        </w:rPr>
        <w:footnoteReference w:id="5"/>
      </w:r>
    </w:p>
    <w:p w:rsidR="004E39F2" w:rsidRPr="004E39F2" w:rsidP="007C652F" w14:paraId="4AC8EAD2" w14:textId="061E425F">
      <w:pPr>
        <w:pStyle w:val="ParaNum"/>
        <w:widowControl/>
        <w:numPr>
          <w:ilvl w:val="0"/>
          <w:numId w:val="34"/>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w:t>
      </w:r>
      <w:r>
        <w:rPr>
          <w:szCs w:val="22"/>
        </w:rPr>
        <w:t>s</w:t>
      </w:r>
      <w:r w:rsidRPr="00D84548">
        <w:rPr>
          <w:szCs w:val="22"/>
        </w:rPr>
        <w:t>ection 4(</w:t>
      </w:r>
      <w:r w:rsidRPr="00D84548">
        <w:rPr>
          <w:szCs w:val="22"/>
        </w:rPr>
        <w:t>i</w:t>
      </w:r>
      <w:r w:rsidRPr="00D84548">
        <w:rPr>
          <w:szCs w:val="22"/>
        </w:rPr>
        <w:t>) of the Act</w:t>
      </w:r>
      <w:r>
        <w:rPr>
          <w:rStyle w:val="FootnoteReference"/>
          <w:szCs w:val="22"/>
        </w:rPr>
        <w:footnoteReference w:id="6"/>
      </w:r>
      <w:r w:rsidRPr="00D84548">
        <w:rPr>
          <w:szCs w:val="22"/>
        </w:rPr>
        <w:t xml:space="preserve"> and the authority delegated by </w:t>
      </w:r>
      <w:r>
        <w:rPr>
          <w:szCs w:val="22"/>
        </w:rPr>
        <w:t>s</w:t>
      </w:r>
      <w:r w:rsidRPr="00D84548">
        <w:rPr>
          <w:szCs w:val="22"/>
        </w:rPr>
        <w:t xml:space="preserve">ections 0.111 and 0.311 of the </w:t>
      </w:r>
      <w:r>
        <w:rPr>
          <w:szCs w:val="22"/>
        </w:rPr>
        <w:t>Commission’s r</w:t>
      </w:r>
      <w:r w:rsidRPr="00D84548">
        <w:rPr>
          <w:szCs w:val="22"/>
        </w:rPr>
        <w:t>ules,</w:t>
      </w:r>
      <w:r>
        <w:rPr>
          <w:rStyle w:val="FootnoteReference"/>
          <w:szCs w:val="22"/>
        </w:rPr>
        <w:footnoteReference w:id="7"/>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7C652F" w:rsidRPr="007C652F" w:rsidP="007C652F" w14:paraId="0E213F45" w14:textId="188BD127">
      <w:pPr>
        <w:pStyle w:val="ParaNum"/>
        <w:widowControl/>
        <w:numPr>
          <w:ilvl w:val="0"/>
          <w:numId w:val="34"/>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0269D6">
        <w:rPr>
          <w:bCs/>
        </w:rPr>
        <w:t>.</w:t>
      </w:r>
    </w:p>
    <w:p w:rsidR="007C652F" w:rsidP="007C652F" w14:paraId="46E39292" w14:textId="237AB6DE">
      <w:pPr>
        <w:pStyle w:val="ParaNum"/>
        <w:widowControl/>
        <w:numPr>
          <w:ilvl w:val="0"/>
          <w:numId w:val="0"/>
        </w:numPr>
        <w:tabs>
          <w:tab w:val="left" w:pos="1440"/>
        </w:tabs>
        <w:ind w:firstLine="720"/>
        <w:rPr>
          <w:b/>
        </w:rPr>
      </w:pPr>
    </w:p>
    <w:p w:rsidR="007C652F" w:rsidRPr="007C652F" w:rsidP="007C652F" w14:paraId="35C63598" w14:textId="77777777">
      <w:pPr>
        <w:pStyle w:val="ParaNum"/>
        <w:widowControl/>
        <w:numPr>
          <w:ilvl w:val="0"/>
          <w:numId w:val="0"/>
        </w:numPr>
        <w:tabs>
          <w:tab w:val="left" w:pos="1440"/>
        </w:tabs>
        <w:ind w:firstLine="720"/>
        <w:rPr>
          <w:b/>
        </w:rPr>
      </w:pPr>
    </w:p>
    <w:p w:rsidR="006A51F7" w:rsidRPr="00D84548" w:rsidP="007C652F" w14:paraId="7D9E6309" w14:textId="77777777">
      <w:pPr>
        <w:pStyle w:val="ParaNum"/>
        <w:widowControl/>
        <w:numPr>
          <w:ilvl w:val="0"/>
          <w:numId w:val="34"/>
        </w:numPr>
        <w:tabs>
          <w:tab w:val="clear" w:pos="1080"/>
          <w:tab w:val="left" w:pos="1440"/>
        </w:tabs>
        <w:rPr>
          <w:szCs w:val="22"/>
        </w:rPr>
      </w:pPr>
      <w:r w:rsidRPr="00D84548">
        <w:rPr>
          <w:b/>
        </w:rPr>
        <w:t>IT IS FURTHER ORDERED</w:t>
      </w:r>
      <w:r w:rsidRPr="00D84548">
        <w:t xml:space="preserve"> that a copy of this Order and Consent Decree </w:t>
      </w:r>
      <w:r w:rsidRPr="00981F23">
        <w:rPr>
          <w:color w:val="000000" w:themeColor="text1"/>
          <w:szCs w:val="22"/>
        </w:rPr>
        <w:t xml:space="preserve">shall be sent by first class mail and certified mail, return receipt requested, to </w:t>
      </w:r>
      <w:r>
        <w:rPr>
          <w:color w:val="000000" w:themeColor="text1"/>
          <w:szCs w:val="22"/>
        </w:rPr>
        <w:t>Stephen E. Coran</w:t>
      </w:r>
      <w:r w:rsidRPr="00981F23">
        <w:rPr>
          <w:color w:val="000000" w:themeColor="text1"/>
          <w:szCs w:val="22"/>
        </w:rPr>
        <w:t xml:space="preserve">, Esq., </w:t>
      </w:r>
      <w:r>
        <w:rPr>
          <w:color w:val="000000" w:themeColor="text1"/>
          <w:szCs w:val="22"/>
        </w:rPr>
        <w:t>Lerman</w:t>
      </w:r>
      <w:r>
        <w:rPr>
          <w:color w:val="000000" w:themeColor="text1"/>
          <w:szCs w:val="22"/>
        </w:rPr>
        <w:t xml:space="preserve"> Center </w:t>
      </w:r>
      <w:r>
        <w:rPr>
          <w:color w:val="000000" w:themeColor="text1"/>
          <w:szCs w:val="22"/>
        </w:rPr>
        <w:t>PLLC</w:t>
      </w:r>
      <w:r w:rsidRPr="00981F23">
        <w:rPr>
          <w:color w:val="000000" w:themeColor="text1"/>
          <w:szCs w:val="22"/>
        </w:rPr>
        <w:t xml:space="preserve">, </w:t>
      </w:r>
      <w:r>
        <w:rPr>
          <w:color w:val="000000" w:themeColor="text1"/>
          <w:szCs w:val="22"/>
        </w:rPr>
        <w:t>2001 L Street NW, Suite 400, Washington, DC 20036</w:t>
      </w:r>
      <w:r w:rsidRPr="00981F23">
        <w:rPr>
          <w:color w:val="000000" w:themeColor="text1"/>
          <w:szCs w:val="22"/>
        </w:rPr>
        <w:t>.</w:t>
      </w:r>
    </w:p>
    <w:p w:rsidR="006A51F7" w:rsidP="006A51F7" w14:paraId="404A484E" w14:textId="77777777">
      <w:pPr>
        <w:pStyle w:val="ParaNum"/>
        <w:numPr>
          <w:ilvl w:val="0"/>
          <w:numId w:val="0"/>
        </w:numPr>
        <w:tabs>
          <w:tab w:val="left" w:pos="1440"/>
        </w:tabs>
        <w:spacing w:after="240"/>
        <w:ind w:left="720"/>
        <w:rPr>
          <w:b/>
        </w:rPr>
      </w:pPr>
    </w:p>
    <w:p w:rsidR="006A51F7" w:rsidRPr="00EF505E" w:rsidP="006A51F7" w14:paraId="7CC4B1DF"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6A51F7" w:rsidRPr="00EF505E" w:rsidP="006A51F7" w14:paraId="20E8BA8A" w14:textId="77777777">
      <w:pPr>
        <w:rPr>
          <w:szCs w:val="22"/>
          <w:lang w:val="fr-FR"/>
        </w:rPr>
      </w:pPr>
    </w:p>
    <w:p w:rsidR="006A51F7" w:rsidRPr="00EF505E" w:rsidP="006A51F7" w14:paraId="1B4903CC" w14:textId="77777777">
      <w:pPr>
        <w:rPr>
          <w:szCs w:val="22"/>
          <w:lang w:val="fr-FR"/>
        </w:rPr>
      </w:pPr>
    </w:p>
    <w:p w:rsidR="006A51F7" w:rsidRPr="00EF505E" w:rsidP="006A51F7" w14:paraId="5B235D68" w14:textId="77777777">
      <w:pPr>
        <w:rPr>
          <w:szCs w:val="22"/>
          <w:lang w:val="fr-FR"/>
        </w:rPr>
      </w:pPr>
    </w:p>
    <w:p w:rsidR="006A51F7" w:rsidRPr="00EF505E" w:rsidP="006A51F7" w14:paraId="76C356BD" w14:textId="77777777">
      <w:pPr>
        <w:outlineLvl w:val="0"/>
        <w:rPr>
          <w:szCs w:val="22"/>
          <w:lang w:val="fr-FR"/>
        </w:rPr>
      </w:pPr>
    </w:p>
    <w:p w:rsidR="006A51F7" w:rsidP="006A51F7" w14:paraId="3EE38972"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t xml:space="preserve">Rosemary C. Harold </w:t>
      </w:r>
    </w:p>
    <w:p w:rsidR="006A51F7" w:rsidP="006A51F7" w14:paraId="3A1CACC3"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rsidR="006A51F7" w:rsidP="006A51F7" w14:paraId="791C8037" w14:textId="77777777">
      <w:pPr>
        <w:ind w:left="3600" w:firstLine="720"/>
        <w:outlineLvl w:val="0"/>
        <w:rPr>
          <w:szCs w:val="22"/>
        </w:rPr>
      </w:pPr>
      <w:r>
        <w:rPr>
          <w:szCs w:val="22"/>
        </w:rPr>
        <w:t>Enforcement Bureau</w:t>
      </w:r>
    </w:p>
    <w:p w:rsidR="00B63AE1" w:rsidP="00B63AE1" w14:paraId="22647DEE" w14:textId="77777777">
      <w:pPr>
        <w:rPr>
          <w:rFonts w:ascii="Times New Roman Bold" w:hAnsi="Times New Roman Bold"/>
          <w:b/>
          <w:kern w:val="0"/>
          <w:szCs w:val="22"/>
        </w:rPr>
        <w:sectPr w:rsidSect="00302835">
          <w:headerReference w:type="default" r:id="rId6"/>
          <w:footerReference w:type="default" r:id="rId7"/>
          <w:headerReference w:type="first" r:id="rId8"/>
          <w:footerReference w:type="first" r:id="rId9"/>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5B4F0E" w:rsidRPr="00843A5F" w:rsidP="00B63AE1" w14:paraId="11AA1438" w14:textId="5C88E052">
      <w:pPr>
        <w:jc w:val="center"/>
        <w:rPr>
          <w:b/>
        </w:rPr>
      </w:pPr>
      <w:r w:rsidRPr="00843A5F">
        <w:rPr>
          <w:rFonts w:ascii="Times New Roman Bold" w:hAnsi="Times New Roman Bold"/>
          <w:b/>
          <w:kern w:val="0"/>
          <w:szCs w:val="22"/>
        </w:rPr>
        <w:t>Before</w:t>
      </w:r>
      <w:r w:rsidRPr="00843A5F">
        <w:rPr>
          <w:b/>
        </w:rPr>
        <w:t xml:space="preserve"> the</w:t>
      </w:r>
    </w:p>
    <w:p w:rsidR="005B4F0E" w:rsidRPr="00843A5F" w:rsidP="005B4F0E" w14:paraId="44D6517B" w14:textId="77777777">
      <w:pPr>
        <w:pStyle w:val="StyleBoldCentered"/>
      </w:pPr>
      <w:r w:rsidRPr="00843A5F">
        <w:t>F</w:t>
      </w:r>
      <w:r w:rsidRPr="00843A5F">
        <w:rPr>
          <w:caps w:val="0"/>
        </w:rPr>
        <w:t>ederal Communications Commission</w:t>
      </w:r>
    </w:p>
    <w:p w:rsidR="005B4F0E" w:rsidRPr="00843A5F" w:rsidP="005B4F0E" w14:paraId="6D00AACE" w14:textId="77777777">
      <w:pPr>
        <w:pStyle w:val="StyleBoldCentered"/>
      </w:pPr>
      <w:r w:rsidRPr="00843A5F">
        <w:rPr>
          <w:caps w:val="0"/>
        </w:rPr>
        <w:t>Washington, DC 20554</w:t>
      </w:r>
    </w:p>
    <w:p w:rsidR="005B4F0E" w:rsidRPr="00843A5F" w:rsidP="005B4F0E" w14:paraId="4DA599D8" w14:textId="77777777"/>
    <w:tbl>
      <w:tblPr>
        <w:tblW w:w="9576" w:type="dxa"/>
        <w:tblLayout w:type="fixed"/>
        <w:tblLook w:val="0000"/>
      </w:tblPr>
      <w:tblGrid>
        <w:gridCol w:w="4698"/>
        <w:gridCol w:w="630"/>
        <w:gridCol w:w="4248"/>
      </w:tblGrid>
      <w:tr w14:paraId="506B04B4" w14:textId="77777777" w:rsidTr="00051558">
        <w:tblPrEx>
          <w:tblW w:w="9576" w:type="dxa"/>
          <w:tblLayout w:type="fixed"/>
          <w:tblLook w:val="0000"/>
        </w:tblPrEx>
        <w:trPr>
          <w:trHeight w:val="2043"/>
        </w:trPr>
        <w:tc>
          <w:tcPr>
            <w:tcW w:w="4698" w:type="dxa"/>
          </w:tcPr>
          <w:p w:rsidR="005B4F0E" w:rsidRPr="00843A5F" w:rsidP="008048A6" w14:paraId="650BDACB" w14:textId="77777777">
            <w:pPr>
              <w:tabs>
                <w:tab w:val="center" w:pos="4680"/>
              </w:tabs>
              <w:suppressAutoHyphens/>
              <w:rPr>
                <w:spacing w:val="-2"/>
              </w:rPr>
            </w:pPr>
            <w:r w:rsidRPr="00843A5F">
              <w:rPr>
                <w:spacing w:val="-2"/>
              </w:rPr>
              <w:t>In the Matter of</w:t>
            </w:r>
          </w:p>
          <w:p w:rsidR="005B4F0E" w:rsidRPr="00843A5F" w:rsidP="008048A6" w14:paraId="12D58A18" w14:textId="77777777">
            <w:pPr>
              <w:tabs>
                <w:tab w:val="center" w:pos="4680"/>
              </w:tabs>
              <w:suppressAutoHyphens/>
              <w:rPr>
                <w:spacing w:val="-2"/>
              </w:rPr>
            </w:pPr>
          </w:p>
          <w:p w:rsidR="008A1C76" w:rsidRPr="007C0B39" w:rsidP="008048A6" w14:paraId="251F8739" w14:textId="1B7FC58F">
            <w:pPr>
              <w:tabs>
                <w:tab w:val="center" w:pos="4680"/>
              </w:tabs>
              <w:suppressAutoHyphens/>
              <w:rPr>
                <w:spacing w:val="-2"/>
              </w:rPr>
            </w:pPr>
            <w:r>
              <w:t>BROADBAND VI, LLC</w:t>
            </w:r>
          </w:p>
        </w:tc>
        <w:tc>
          <w:tcPr>
            <w:tcW w:w="630" w:type="dxa"/>
          </w:tcPr>
          <w:p w:rsidR="005B4F0E" w:rsidRPr="00111BA8" w:rsidP="008048A6" w14:paraId="45935AA4" w14:textId="77777777">
            <w:pPr>
              <w:tabs>
                <w:tab w:val="center" w:pos="4680"/>
              </w:tabs>
              <w:suppressAutoHyphens/>
              <w:rPr>
                <w:b/>
                <w:spacing w:val="-2"/>
              </w:rPr>
            </w:pPr>
            <w:r w:rsidRPr="00111BA8">
              <w:rPr>
                <w:b/>
                <w:spacing w:val="-2"/>
              </w:rPr>
              <w:t>)</w:t>
            </w:r>
          </w:p>
          <w:p w:rsidR="005B4F0E" w:rsidRPr="00111BA8" w:rsidP="008048A6" w14:paraId="4109239D" w14:textId="77777777">
            <w:pPr>
              <w:tabs>
                <w:tab w:val="center" w:pos="4680"/>
              </w:tabs>
              <w:suppressAutoHyphens/>
              <w:rPr>
                <w:b/>
                <w:spacing w:val="-2"/>
              </w:rPr>
            </w:pPr>
            <w:r w:rsidRPr="00111BA8">
              <w:rPr>
                <w:b/>
                <w:spacing w:val="-2"/>
              </w:rPr>
              <w:t>)</w:t>
            </w:r>
          </w:p>
          <w:p w:rsidR="005B4F0E" w:rsidRPr="00111BA8" w:rsidP="008048A6" w14:paraId="16A8164E" w14:textId="77777777">
            <w:pPr>
              <w:tabs>
                <w:tab w:val="center" w:pos="4680"/>
              </w:tabs>
              <w:suppressAutoHyphens/>
              <w:rPr>
                <w:b/>
                <w:spacing w:val="-2"/>
              </w:rPr>
            </w:pPr>
            <w:r w:rsidRPr="00111BA8">
              <w:rPr>
                <w:b/>
                <w:spacing w:val="-2"/>
              </w:rPr>
              <w:t>)</w:t>
            </w:r>
          </w:p>
          <w:p w:rsidR="005B4F0E" w:rsidRPr="00111BA8" w:rsidP="008048A6" w14:paraId="496C60C3" w14:textId="77777777">
            <w:pPr>
              <w:tabs>
                <w:tab w:val="center" w:pos="4680"/>
              </w:tabs>
              <w:suppressAutoHyphens/>
              <w:rPr>
                <w:b/>
                <w:spacing w:val="-2"/>
              </w:rPr>
            </w:pPr>
            <w:r w:rsidRPr="00111BA8">
              <w:rPr>
                <w:b/>
                <w:spacing w:val="-2"/>
              </w:rPr>
              <w:t>)</w:t>
            </w:r>
          </w:p>
          <w:p w:rsidR="005B4F0E" w:rsidRPr="00111BA8" w:rsidP="00486AAF" w14:paraId="5DC8FC0B" w14:textId="77777777">
            <w:pPr>
              <w:tabs>
                <w:tab w:val="center" w:pos="4680"/>
              </w:tabs>
              <w:suppressAutoHyphens/>
              <w:rPr>
                <w:b/>
                <w:spacing w:val="-2"/>
              </w:rPr>
            </w:pPr>
            <w:r w:rsidRPr="00111BA8">
              <w:rPr>
                <w:b/>
                <w:spacing w:val="-2"/>
              </w:rPr>
              <w:t>)</w:t>
            </w:r>
          </w:p>
          <w:p w:rsidR="00302835" w:rsidRPr="00111BA8" w:rsidP="00486AAF" w14:paraId="027A1EB9" w14:textId="77777777">
            <w:pPr>
              <w:tabs>
                <w:tab w:val="center" w:pos="4680"/>
              </w:tabs>
              <w:suppressAutoHyphens/>
              <w:rPr>
                <w:b/>
                <w:spacing w:val="-2"/>
              </w:rPr>
            </w:pPr>
            <w:r w:rsidRPr="00111BA8">
              <w:rPr>
                <w:b/>
                <w:spacing w:val="-2"/>
              </w:rPr>
              <w:t>)</w:t>
            </w:r>
          </w:p>
          <w:p w:rsidR="00076C13" w:rsidRPr="00111BA8" w:rsidP="00486AAF" w14:paraId="21F941D3" w14:textId="77777777">
            <w:pPr>
              <w:tabs>
                <w:tab w:val="center" w:pos="4680"/>
              </w:tabs>
              <w:suppressAutoHyphens/>
              <w:rPr>
                <w:b/>
                <w:spacing w:val="-2"/>
              </w:rPr>
            </w:pPr>
            <w:r w:rsidRPr="00111BA8">
              <w:rPr>
                <w:b/>
                <w:spacing w:val="-2"/>
              </w:rPr>
              <w:t>)</w:t>
            </w:r>
          </w:p>
          <w:p w:rsidR="00302835" w:rsidRPr="00111BA8" w:rsidP="00486AAF" w14:paraId="725F1258" w14:textId="77777777">
            <w:pPr>
              <w:tabs>
                <w:tab w:val="center" w:pos="4680"/>
              </w:tabs>
              <w:suppressAutoHyphens/>
              <w:rPr>
                <w:spacing w:val="-2"/>
              </w:rPr>
            </w:pPr>
          </w:p>
        </w:tc>
        <w:tc>
          <w:tcPr>
            <w:tcW w:w="4248" w:type="dxa"/>
          </w:tcPr>
          <w:p w:rsidR="00843A5F" w:rsidRPr="00111BA8" w:rsidP="00076C13" w14:paraId="444FB0E1" w14:textId="77777777">
            <w:pPr>
              <w:tabs>
                <w:tab w:val="center" w:pos="4680"/>
              </w:tabs>
              <w:suppressAutoHyphens/>
              <w:ind w:left="432"/>
              <w:rPr>
                <w:spacing w:val="-2"/>
                <w:szCs w:val="22"/>
              </w:rPr>
            </w:pPr>
          </w:p>
          <w:p w:rsidR="00843A5F" w:rsidRPr="00111BA8" w:rsidP="00076C13" w14:paraId="40418BC5" w14:textId="77777777">
            <w:pPr>
              <w:tabs>
                <w:tab w:val="center" w:pos="4680"/>
              </w:tabs>
              <w:suppressAutoHyphens/>
              <w:ind w:left="432"/>
              <w:rPr>
                <w:spacing w:val="-2"/>
                <w:szCs w:val="22"/>
              </w:rPr>
            </w:pPr>
          </w:p>
          <w:p w:rsidR="005B4F0E" w:rsidRPr="00111BA8" w:rsidP="00076C13" w14:paraId="2D9BCADA" w14:textId="37EBC491">
            <w:pPr>
              <w:tabs>
                <w:tab w:val="center" w:pos="4680"/>
              </w:tabs>
              <w:suppressAutoHyphens/>
              <w:ind w:left="432"/>
              <w:rPr>
                <w:spacing w:val="-2"/>
                <w:szCs w:val="22"/>
              </w:rPr>
            </w:pPr>
            <w:r w:rsidRPr="00111BA8">
              <w:rPr>
                <w:spacing w:val="-2"/>
                <w:szCs w:val="22"/>
              </w:rPr>
              <w:t xml:space="preserve">File No.:  </w:t>
            </w:r>
            <w:r w:rsidRPr="00111BA8" w:rsidR="003870E3">
              <w:rPr>
                <w:szCs w:val="22"/>
                <w:shd w:val="clear" w:color="auto" w:fill="FFFFFF"/>
              </w:rPr>
              <w:t>EB-IHD-21-00032308</w:t>
            </w:r>
          </w:p>
          <w:p w:rsidR="00C43E4A" w:rsidRPr="00111BA8" w:rsidP="00076C13" w14:paraId="4CC1CF35" w14:textId="5884213D">
            <w:pPr>
              <w:ind w:left="432"/>
              <w:rPr>
                <w:spacing w:val="-2"/>
                <w:szCs w:val="22"/>
              </w:rPr>
            </w:pPr>
            <w:r w:rsidRPr="00111BA8">
              <w:rPr>
                <w:spacing w:val="-2"/>
                <w:szCs w:val="22"/>
              </w:rPr>
              <w:t xml:space="preserve">CD </w:t>
            </w:r>
            <w:r w:rsidRPr="00111BA8" w:rsidR="005B4F0E">
              <w:rPr>
                <w:spacing w:val="-2"/>
                <w:szCs w:val="22"/>
              </w:rPr>
              <w:t xml:space="preserve">Acct. No.:  </w:t>
            </w:r>
            <w:r w:rsidRPr="00111BA8" w:rsidR="003870E3">
              <w:rPr>
                <w:szCs w:val="22"/>
                <w:shd w:val="clear" w:color="auto" w:fill="FFFFFF"/>
              </w:rPr>
              <w:t>202132080028</w:t>
            </w:r>
          </w:p>
          <w:p w:rsidR="005B4F0E" w:rsidRPr="00111BA8" w:rsidP="00076C13" w14:paraId="1215264D" w14:textId="4E201181">
            <w:pPr>
              <w:tabs>
                <w:tab w:val="center" w:pos="4680"/>
              </w:tabs>
              <w:suppressAutoHyphens/>
              <w:ind w:left="432"/>
              <w:rPr>
                <w:spacing w:val="-2"/>
              </w:rPr>
            </w:pPr>
            <w:r w:rsidRPr="00111BA8">
              <w:rPr>
                <w:szCs w:val="22"/>
              </w:rPr>
              <w:t>FRN</w:t>
            </w:r>
            <w:r w:rsidRPr="00111BA8">
              <w:rPr>
                <w:szCs w:val="22"/>
              </w:rPr>
              <w:t xml:space="preserve">: </w:t>
            </w:r>
            <w:r w:rsidRPr="00111BA8" w:rsidR="00ED3BA5">
              <w:rPr>
                <w:spacing w:val="-2"/>
                <w:szCs w:val="22"/>
              </w:rPr>
              <w:t xml:space="preserve"> 0016966806</w:t>
            </w:r>
            <w:r w:rsidRPr="00111BA8" w:rsidR="00ED3BA5">
              <w:rPr>
                <w:szCs w:val="22"/>
                <w:shd w:val="clear" w:color="auto" w:fill="F7F5FF"/>
              </w:rPr>
              <w:t xml:space="preserve"> </w:t>
            </w:r>
          </w:p>
        </w:tc>
      </w:tr>
    </w:tbl>
    <w:p w:rsidR="00064ADC" w:rsidRPr="007C0B39" w:rsidP="00FD0F9C" w14:paraId="34A05817" w14:textId="77777777">
      <w:pPr>
        <w:pStyle w:val="StyleBoldCentered"/>
      </w:pPr>
      <w:r w:rsidRPr="007C0B39">
        <w:t>CONSENT DECREE</w:t>
      </w:r>
    </w:p>
    <w:p w:rsidR="00064ADC" w:rsidRPr="007C0B39" w:rsidP="00064ADC" w14:paraId="06603703" w14:textId="77777777">
      <w:pPr>
        <w:pStyle w:val="StyleBoldCentered"/>
      </w:pPr>
    </w:p>
    <w:p w:rsidR="00E02214" w:rsidRPr="007C0B39" w:rsidP="003E746E" w14:paraId="342B1A99" w14:textId="33364537">
      <w:pPr>
        <w:pStyle w:val="ParaNum"/>
        <w:widowControl/>
      </w:pPr>
      <w:r w:rsidRPr="007C0B39">
        <w:t>The Enforcement Bureau of the Federal Communications Commission and</w:t>
      </w:r>
      <w:r w:rsidRPr="007C0B39" w:rsidR="00302835">
        <w:t xml:space="preserve"> </w:t>
      </w:r>
      <w:r w:rsidR="00506BBE">
        <w:t>Broadband VI, LLC (Broadband VI)</w:t>
      </w:r>
      <w:r w:rsidRPr="007C0B39">
        <w:t xml:space="preserve">, by their authorized representatives, hereby enter into this Consent Decree for the purpose of terminating the </w:t>
      </w:r>
      <w:r w:rsidRPr="007C0B39" w:rsidR="00FD0F9C">
        <w:t xml:space="preserve">Enforcement </w:t>
      </w:r>
      <w:r w:rsidRPr="007C0B39" w:rsidR="00B709FD">
        <w:t xml:space="preserve">Bureau’s </w:t>
      </w:r>
      <w:r w:rsidRPr="00137CE3" w:rsidR="00D01C65">
        <w:t xml:space="preserve">review of allegations of non-compliance with </w:t>
      </w:r>
      <w:r w:rsidRPr="00137CE3" w:rsidR="00D01C65">
        <w:rPr>
          <w:szCs w:val="24"/>
        </w:rPr>
        <w:t xml:space="preserve">certain requirements of the Communications Act of 1934, as amended, and </w:t>
      </w:r>
      <w:r w:rsidRPr="00137CE3" w:rsidR="00D01C65">
        <w:t xml:space="preserve">the Commission’s rules  applicable to </w:t>
      </w:r>
      <w:bookmarkStart w:id="0" w:name="_Hlk71798715"/>
      <w:r w:rsidRPr="00137CE3" w:rsidR="00D01C65">
        <w:t>Broadband VI</w:t>
      </w:r>
      <w:bookmarkEnd w:id="0"/>
      <w:r w:rsidRPr="00137CE3" w:rsidR="00D01C65">
        <w:rPr>
          <w:szCs w:val="24"/>
        </w:rPr>
        <w:t>.</w:t>
      </w:r>
      <w:r w:rsidR="006A5BB3">
        <w:t xml:space="preserve">  </w:t>
      </w:r>
      <w:r w:rsidR="00927DDF">
        <w:t>T</w:t>
      </w:r>
      <w:r w:rsidR="006A5BB3">
        <w:t>o resolve this matter</w:t>
      </w:r>
      <w:r w:rsidR="00927DDF">
        <w:t>,</w:t>
      </w:r>
      <w:r w:rsidR="006A5BB3">
        <w:t xml:space="preserve"> </w:t>
      </w:r>
      <w:r w:rsidR="00506BBE">
        <w:t>Broadband VI</w:t>
      </w:r>
      <w:r w:rsidR="006A5BB3">
        <w:t xml:space="preserve"> agrees to </w:t>
      </w:r>
      <w:r w:rsidR="00ED3C07">
        <w:t xml:space="preserve">implement a </w:t>
      </w:r>
      <w:r w:rsidR="006A5BB3">
        <w:t>compliance plan and pay a $</w:t>
      </w:r>
      <w:r w:rsidR="00506BBE">
        <w:t>28,000</w:t>
      </w:r>
      <w:r w:rsidR="000B2885">
        <w:t xml:space="preserve"> </w:t>
      </w:r>
      <w:r w:rsidR="00D923CD">
        <w:t>civil penalty</w:t>
      </w:r>
      <w:r w:rsidR="006A5BB3">
        <w:t>.</w:t>
      </w:r>
    </w:p>
    <w:p w:rsidR="00BD08D2" w:rsidRPr="007C0B39" w:rsidP="003E746E" w14:paraId="74A8355F" w14:textId="77777777">
      <w:pPr>
        <w:pStyle w:val="Heading1"/>
        <w:widowControl/>
      </w:pPr>
      <w:r w:rsidRPr="007C0B39">
        <w:t>DEFINITIONS</w:t>
      </w:r>
    </w:p>
    <w:p w:rsidR="00BD08D2" w:rsidRPr="007C0B39" w:rsidP="003E746E" w14:paraId="74147CE3" w14:textId="77777777">
      <w:pPr>
        <w:pStyle w:val="ParaNum"/>
        <w:widowControl/>
      </w:pPr>
      <w:r w:rsidRPr="007C0B39">
        <w:t>For the purposes of this Consent Decree, the following definitions shall apply:</w:t>
      </w:r>
    </w:p>
    <w:p w:rsidR="00BD08D2" w:rsidRPr="007C0B39" w:rsidP="003E746E" w14:paraId="51080893" w14:textId="77777777">
      <w:pPr>
        <w:widowControl/>
        <w:numPr>
          <w:ilvl w:val="0"/>
          <w:numId w:val="5"/>
        </w:numPr>
        <w:tabs>
          <w:tab w:val="clear" w:pos="1224"/>
        </w:tabs>
        <w:spacing w:after="120"/>
        <w:ind w:left="1890"/>
        <w:rPr>
          <w:szCs w:val="22"/>
        </w:rPr>
      </w:pPr>
      <w:r w:rsidRPr="007C0B39">
        <w:rPr>
          <w:szCs w:val="22"/>
        </w:rPr>
        <w:t>“Act”</w:t>
      </w:r>
      <w:r w:rsidRPr="007C0B39">
        <w:rPr>
          <w:rStyle w:val="ParanumChar"/>
          <w:szCs w:val="22"/>
        </w:rPr>
        <w:t xml:space="preserve"> </w:t>
      </w:r>
      <w:r w:rsidRPr="007C0B39">
        <w:t>means</w:t>
      </w:r>
      <w:r w:rsidRPr="007C0B39">
        <w:rPr>
          <w:szCs w:val="22"/>
        </w:rPr>
        <w:t xml:space="preserve"> the Communications Act of 1934, as amended</w:t>
      </w:r>
      <w:r w:rsidR="00610208">
        <w:rPr>
          <w:szCs w:val="22"/>
        </w:rPr>
        <w:t>.</w:t>
      </w:r>
      <w:r>
        <w:rPr>
          <w:rStyle w:val="FootnoteReference"/>
          <w:szCs w:val="22"/>
        </w:rPr>
        <w:footnoteReference w:id="8"/>
      </w:r>
    </w:p>
    <w:p w:rsidR="00C37C15" w:rsidRPr="00C37C15" w:rsidP="003E746E" w14:paraId="3C84D0E8" w14:textId="411AB767">
      <w:pPr>
        <w:widowControl/>
        <w:numPr>
          <w:ilvl w:val="0"/>
          <w:numId w:val="5"/>
        </w:numPr>
        <w:tabs>
          <w:tab w:val="clear" w:pos="1224"/>
        </w:tabs>
        <w:spacing w:after="120"/>
        <w:ind w:left="1890"/>
        <w:rPr>
          <w:szCs w:val="22"/>
        </w:rPr>
      </w:pPr>
      <w:r w:rsidRPr="007C0B39">
        <w:rPr>
          <w:szCs w:val="22"/>
        </w:rPr>
        <w:t>“</w:t>
      </w:r>
      <w:r w:rsidRPr="007C0B39">
        <w:t>Adopting</w:t>
      </w:r>
      <w:r w:rsidRPr="007C0B39" w:rsidR="00246786">
        <w:rPr>
          <w:szCs w:val="22"/>
        </w:rPr>
        <w:t xml:space="preserve"> Order” means an o</w:t>
      </w:r>
      <w:r w:rsidRPr="007C0B39">
        <w:rPr>
          <w:szCs w:val="22"/>
        </w:rPr>
        <w:t>rder of the Bureau adopting the terms of this Consent Decree without change, addition, deletion, or modification.</w:t>
      </w:r>
    </w:p>
    <w:p w:rsidR="00C37C15" w:rsidRPr="00C37C15" w:rsidP="003E746E" w14:paraId="208BF5E9" w14:textId="67043033">
      <w:pPr>
        <w:widowControl/>
        <w:numPr>
          <w:ilvl w:val="0"/>
          <w:numId w:val="5"/>
        </w:numPr>
        <w:tabs>
          <w:tab w:val="clear" w:pos="1224"/>
        </w:tabs>
        <w:spacing w:after="120"/>
        <w:ind w:left="1890"/>
        <w:rPr>
          <w:szCs w:val="22"/>
        </w:rPr>
      </w:pPr>
      <w:r w:rsidRPr="007C0B39">
        <w:rPr>
          <w:szCs w:val="22"/>
        </w:rPr>
        <w:t>“</w:t>
      </w:r>
      <w:r>
        <w:rPr>
          <w:szCs w:val="22"/>
        </w:rPr>
        <w:t>Broadband VI”</w:t>
      </w:r>
      <w:r w:rsidRPr="00F23171">
        <w:rPr>
          <w:iCs/>
          <w:szCs w:val="22"/>
        </w:rPr>
        <w:t xml:space="preserve"> or </w:t>
      </w:r>
      <w:r>
        <w:rPr>
          <w:iCs/>
          <w:szCs w:val="22"/>
        </w:rPr>
        <w:t>“</w:t>
      </w:r>
      <w:r w:rsidRPr="00F23171">
        <w:rPr>
          <w:iCs/>
          <w:szCs w:val="22"/>
        </w:rPr>
        <w:t>Company</w:t>
      </w:r>
      <w:r w:rsidRPr="007C0B39">
        <w:rPr>
          <w:szCs w:val="22"/>
        </w:rPr>
        <w:t xml:space="preserve">” means </w:t>
      </w:r>
      <w:r w:rsidRPr="00F23171">
        <w:t xml:space="preserve">Broadband VI, LLC </w:t>
      </w:r>
      <w:r w:rsidRPr="007C0B39">
        <w:rPr>
          <w:szCs w:val="22"/>
        </w:rPr>
        <w:t>and its affiliates, subsidiaries, predecessors-in-interest, and successors-in-interest.</w:t>
      </w:r>
    </w:p>
    <w:p w:rsidR="00BD08D2" w:rsidRPr="007C0B39" w:rsidP="003E746E" w14:paraId="2A5B15D1" w14:textId="77777777">
      <w:pPr>
        <w:widowControl/>
        <w:numPr>
          <w:ilvl w:val="0"/>
          <w:numId w:val="5"/>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rsidR="00887F97" w:rsidP="003E746E" w14:paraId="0360BAF0" w14:textId="66EF8FC2">
      <w:pPr>
        <w:widowControl/>
        <w:numPr>
          <w:ilvl w:val="0"/>
          <w:numId w:val="5"/>
        </w:numPr>
        <w:tabs>
          <w:tab w:val="clear" w:pos="1224"/>
        </w:tabs>
        <w:spacing w:after="120"/>
        <w:ind w:left="1890"/>
        <w:rPr>
          <w:szCs w:val="22"/>
        </w:rPr>
      </w:pPr>
      <w:r w:rsidRPr="003870E3">
        <w:rPr>
          <w:szCs w:val="22"/>
        </w:rPr>
        <w:t>“CD Acct No.” means account numbe</w:t>
      </w:r>
      <w:r w:rsidRPr="002320EB">
        <w:rPr>
          <w:szCs w:val="22"/>
        </w:rPr>
        <w:t xml:space="preserve">r </w:t>
      </w:r>
      <w:r w:rsidRPr="002320EB" w:rsidR="003870E3">
        <w:rPr>
          <w:szCs w:val="22"/>
          <w:shd w:val="clear" w:color="auto" w:fill="FFFFFF"/>
        </w:rPr>
        <w:t>202132080028</w:t>
      </w:r>
      <w:r w:rsidRPr="00887F97">
        <w:rPr>
          <w:szCs w:val="22"/>
        </w:rPr>
        <w:t xml:space="preserve">, associated with payment obligations described in </w:t>
      </w:r>
      <w:r w:rsidRPr="002320EB">
        <w:rPr>
          <w:szCs w:val="22"/>
        </w:rPr>
        <w:t xml:space="preserve">paragraph </w:t>
      </w:r>
      <w:r w:rsidRPr="002320EB" w:rsidR="003870E3">
        <w:rPr>
          <w:szCs w:val="22"/>
        </w:rPr>
        <w:t>18</w:t>
      </w:r>
      <w:r w:rsidRPr="00887F97">
        <w:rPr>
          <w:szCs w:val="22"/>
        </w:rPr>
        <w:t xml:space="preserve"> of this Consent Decree.</w:t>
      </w:r>
    </w:p>
    <w:p w:rsidR="00BD08D2" w:rsidRPr="007C0B39" w:rsidP="003E746E" w14:paraId="30F02BA8" w14:textId="77777777">
      <w:pPr>
        <w:widowControl/>
        <w:numPr>
          <w:ilvl w:val="0"/>
          <w:numId w:val="5"/>
        </w:numPr>
        <w:tabs>
          <w:tab w:val="clear" w:pos="1224"/>
        </w:tabs>
        <w:spacing w:after="120"/>
        <w:ind w:left="1890"/>
        <w:rPr>
          <w:szCs w:val="22"/>
        </w:rPr>
      </w:pPr>
      <w:r w:rsidRPr="007C0B39">
        <w:rPr>
          <w:szCs w:val="22"/>
        </w:rPr>
        <w:t>“</w:t>
      </w:r>
      <w:r w:rsidRPr="007C0B39">
        <w:t>Commission</w:t>
      </w:r>
      <w:r w:rsidRPr="007C0B39">
        <w:rPr>
          <w:szCs w:val="22"/>
        </w:rPr>
        <w:t xml:space="preserve">” and “FCC” mean the Federal Communications Commission and </w:t>
      </w:r>
      <w:r w:rsidRPr="007C0B39">
        <w:rPr>
          <w:szCs w:val="22"/>
        </w:rPr>
        <w:t>all of</w:t>
      </w:r>
      <w:r w:rsidRPr="007C0B39">
        <w:rPr>
          <w:szCs w:val="22"/>
        </w:rPr>
        <w:t xml:space="preserve"> its bureaus and offices.</w:t>
      </w:r>
    </w:p>
    <w:p w:rsidR="00BD08D2" w:rsidRPr="006462D3" w:rsidP="003E746E" w14:paraId="08C794CA" w14:textId="46CE4C2E">
      <w:pPr>
        <w:widowControl/>
        <w:numPr>
          <w:ilvl w:val="0"/>
          <w:numId w:val="5"/>
        </w:numPr>
        <w:tabs>
          <w:tab w:val="clear" w:pos="1224"/>
        </w:tabs>
        <w:spacing w:after="120"/>
        <w:ind w:left="1890"/>
        <w:rPr>
          <w:szCs w:val="22"/>
        </w:rPr>
      </w:pPr>
      <w:r w:rsidRPr="007C0B39">
        <w:rPr>
          <w:szCs w:val="22"/>
        </w:rPr>
        <w:t>“</w:t>
      </w:r>
      <w:r w:rsidRPr="00137CE3">
        <w:t>Communications</w:t>
      </w:r>
      <w:r w:rsidRPr="00137CE3">
        <w:rPr>
          <w:szCs w:val="22"/>
        </w:rPr>
        <w:t xml:space="preserve"> Laws”</w:t>
      </w:r>
      <w:r w:rsidRPr="007C0B39">
        <w:rPr>
          <w:szCs w:val="22"/>
        </w:rPr>
        <w:t xml:space="preserve"> means collectively, the Act, the Rules, and the published and promulgated orders and decision</w:t>
      </w:r>
      <w:r w:rsidRPr="007C0B39" w:rsidR="00302835">
        <w:rPr>
          <w:szCs w:val="22"/>
        </w:rPr>
        <w:t xml:space="preserve">s of the Commission to which </w:t>
      </w:r>
      <w:r w:rsidR="00506BBE">
        <w:rPr>
          <w:szCs w:val="22"/>
        </w:rPr>
        <w:t>Broadband VI</w:t>
      </w:r>
      <w:r w:rsidRPr="007C0B39">
        <w:rPr>
          <w:szCs w:val="22"/>
        </w:rPr>
        <w:t xml:space="preserve"> is subject by vi</w:t>
      </w:r>
      <w:r w:rsidRPr="007C0B39" w:rsidR="00246786">
        <w:rPr>
          <w:szCs w:val="22"/>
        </w:rPr>
        <w:t>rtue of its business activities</w:t>
      </w:r>
      <w:r w:rsidRPr="007C0B39" w:rsidR="008155A1">
        <w:rPr>
          <w:szCs w:val="22"/>
        </w:rPr>
        <w:t xml:space="preserve">, including but not limited to </w:t>
      </w:r>
      <w:r w:rsidRPr="006462D3" w:rsidR="008155A1">
        <w:rPr>
          <w:szCs w:val="22"/>
        </w:rPr>
        <w:t>the</w:t>
      </w:r>
      <w:r w:rsidRPr="006462D3" w:rsidR="00EC75CA">
        <w:rPr>
          <w:szCs w:val="22"/>
        </w:rPr>
        <w:t xml:space="preserve"> </w:t>
      </w:r>
      <w:bookmarkStart w:id="1" w:name="_Hlk71798518"/>
      <w:r w:rsidRPr="006462D3" w:rsidR="00692BF7">
        <w:rPr>
          <w:szCs w:val="22"/>
        </w:rPr>
        <w:t>Unauthorized Transfer</w:t>
      </w:r>
      <w:bookmarkEnd w:id="1"/>
      <w:r w:rsidRPr="006462D3" w:rsidR="00692BF7">
        <w:rPr>
          <w:szCs w:val="22"/>
        </w:rPr>
        <w:t xml:space="preserve"> </w:t>
      </w:r>
      <w:r w:rsidRPr="006462D3" w:rsidR="008155A1">
        <w:rPr>
          <w:szCs w:val="22"/>
        </w:rPr>
        <w:t>Rules</w:t>
      </w:r>
      <w:r w:rsidRPr="006462D3">
        <w:rPr>
          <w:szCs w:val="22"/>
        </w:rPr>
        <w:t>.</w:t>
      </w:r>
    </w:p>
    <w:p w:rsidR="00BD08D2" w:rsidRPr="007C0B39" w:rsidP="003E746E" w14:paraId="6BA3CB2B" w14:textId="50183D29">
      <w:pPr>
        <w:widowControl/>
        <w:numPr>
          <w:ilvl w:val="0"/>
          <w:numId w:val="5"/>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w:t>
      </w:r>
      <w:r w:rsidRPr="007C0B39" w:rsidR="008155A1">
        <w:rPr>
          <w:szCs w:val="22"/>
        </w:rPr>
        <w:t xml:space="preserve">, </w:t>
      </w:r>
      <w:r w:rsidRPr="007C0B39">
        <w:rPr>
          <w:szCs w:val="22"/>
        </w:rPr>
        <w:t>program</w:t>
      </w:r>
      <w:r w:rsidRPr="007C0B39" w:rsidR="008155A1">
        <w:rPr>
          <w:szCs w:val="22"/>
        </w:rPr>
        <w:t>, and procedures</w:t>
      </w:r>
      <w:r w:rsidRPr="007C0B39" w:rsidR="00BC7821">
        <w:rPr>
          <w:szCs w:val="22"/>
        </w:rPr>
        <w:t xml:space="preserve"> d</w:t>
      </w:r>
      <w:r w:rsidRPr="007C0B39">
        <w:rPr>
          <w:szCs w:val="22"/>
        </w:rPr>
        <w:t xml:space="preserve">escribed in this Consent Decree at </w:t>
      </w:r>
      <w:r w:rsidRPr="002320EB">
        <w:rPr>
          <w:szCs w:val="22"/>
        </w:rPr>
        <w:t>paragraph</w:t>
      </w:r>
      <w:r w:rsidRPr="002320EB" w:rsidR="00FB39CB">
        <w:rPr>
          <w:szCs w:val="22"/>
        </w:rPr>
        <w:t xml:space="preserve"> </w:t>
      </w:r>
      <w:r w:rsidRPr="002320EB" w:rsidR="003870E3">
        <w:rPr>
          <w:szCs w:val="22"/>
        </w:rPr>
        <w:t>13</w:t>
      </w:r>
      <w:r w:rsidRPr="007C0B39">
        <w:rPr>
          <w:szCs w:val="22"/>
        </w:rPr>
        <w:t>.</w:t>
      </w:r>
    </w:p>
    <w:p w:rsidR="00BD08D2" w:rsidRPr="00137CE3" w:rsidP="003E746E" w14:paraId="05B61CE5" w14:textId="642F90AC">
      <w:pPr>
        <w:widowControl/>
        <w:numPr>
          <w:ilvl w:val="0"/>
          <w:numId w:val="5"/>
        </w:numPr>
        <w:tabs>
          <w:tab w:val="clear" w:pos="1224"/>
        </w:tabs>
        <w:spacing w:after="120"/>
        <w:ind w:left="1890"/>
        <w:rPr>
          <w:szCs w:val="22"/>
        </w:rPr>
      </w:pPr>
      <w:r w:rsidRPr="00137CE3">
        <w:rPr>
          <w:szCs w:val="22"/>
        </w:rPr>
        <w:t>“</w:t>
      </w:r>
      <w:r w:rsidRPr="00137CE3">
        <w:t>Covered</w:t>
      </w:r>
      <w:r w:rsidRPr="00137CE3">
        <w:rPr>
          <w:szCs w:val="22"/>
        </w:rPr>
        <w:t xml:space="preserve"> </w:t>
      </w:r>
      <w:r w:rsidRPr="00137CE3">
        <w:t>Employees</w:t>
      </w:r>
      <w:r w:rsidRPr="00137CE3">
        <w:rPr>
          <w:szCs w:val="22"/>
        </w:rPr>
        <w:t>” me</w:t>
      </w:r>
      <w:r w:rsidRPr="00137CE3" w:rsidR="00FB39CB">
        <w:rPr>
          <w:szCs w:val="22"/>
        </w:rPr>
        <w:t xml:space="preserve">ans all employees and agents of </w:t>
      </w:r>
      <w:r w:rsidRPr="00137CE3" w:rsidR="00506BBE">
        <w:rPr>
          <w:szCs w:val="22"/>
        </w:rPr>
        <w:t>Broadband VI</w:t>
      </w:r>
      <w:r w:rsidRPr="00137CE3" w:rsidR="00FB39CB">
        <w:rPr>
          <w:szCs w:val="22"/>
        </w:rPr>
        <w:t xml:space="preserve"> </w:t>
      </w:r>
      <w:r w:rsidRPr="00137CE3">
        <w:rPr>
          <w:szCs w:val="22"/>
        </w:rPr>
        <w:t xml:space="preserve">who perform, supervise, oversee, or manage the performance of, duties that relate to </w:t>
      </w:r>
      <w:r w:rsidRPr="00137CE3" w:rsidR="00506BBE">
        <w:rPr>
          <w:szCs w:val="22"/>
        </w:rPr>
        <w:t>Broadband VI</w:t>
      </w:r>
      <w:r w:rsidRPr="00137CE3">
        <w:rPr>
          <w:szCs w:val="22"/>
        </w:rPr>
        <w:t xml:space="preserve">’s responsibilities under the Communications Laws, including the </w:t>
      </w:r>
      <w:r w:rsidRPr="00137CE3" w:rsidR="00692BF7">
        <w:rPr>
          <w:szCs w:val="22"/>
        </w:rPr>
        <w:t>Unauthorized Transfer Rules</w:t>
      </w:r>
      <w:r w:rsidRPr="00137CE3">
        <w:rPr>
          <w:szCs w:val="22"/>
        </w:rPr>
        <w:t>.</w:t>
      </w:r>
    </w:p>
    <w:p w:rsidR="00BD08D2" w:rsidRPr="007C0B39" w:rsidP="003E746E" w14:paraId="367F42CD" w14:textId="1C8A7288">
      <w:pPr>
        <w:widowControl/>
        <w:numPr>
          <w:ilvl w:val="0"/>
          <w:numId w:val="5"/>
        </w:numPr>
        <w:tabs>
          <w:tab w:val="clear" w:pos="1224"/>
        </w:tabs>
        <w:spacing w:after="120"/>
        <w:ind w:left="1886"/>
        <w:rPr>
          <w:szCs w:val="22"/>
        </w:rPr>
      </w:pPr>
      <w:r w:rsidRPr="007C0B39">
        <w:rPr>
          <w:szCs w:val="22"/>
        </w:rPr>
        <w:t>“</w:t>
      </w:r>
      <w:r w:rsidRPr="007C0B39">
        <w:t>Effective</w:t>
      </w:r>
      <w:r w:rsidRPr="007C0B39" w:rsidR="00CE68FE">
        <w:rPr>
          <w:szCs w:val="22"/>
        </w:rPr>
        <w:t xml:space="preserve"> Date” means the date by</w:t>
      </w:r>
      <w:r w:rsidRPr="007C0B39" w:rsidR="00C04651">
        <w:rPr>
          <w:szCs w:val="22"/>
        </w:rPr>
        <w:t xml:space="preserve"> which </w:t>
      </w:r>
      <w:r w:rsidRPr="007C0B39" w:rsidR="00CE68FE">
        <w:rPr>
          <w:szCs w:val="22"/>
        </w:rPr>
        <w:t xml:space="preserve">both </w:t>
      </w:r>
      <w:r w:rsidRPr="007C0B39" w:rsidR="00C04651">
        <w:rPr>
          <w:szCs w:val="22"/>
        </w:rPr>
        <w:t xml:space="preserve">the Bureau </w:t>
      </w:r>
      <w:r w:rsidRPr="007C0B39" w:rsidR="00CE68FE">
        <w:rPr>
          <w:szCs w:val="22"/>
        </w:rPr>
        <w:t xml:space="preserve">and </w:t>
      </w:r>
      <w:r w:rsidR="00506BBE">
        <w:rPr>
          <w:szCs w:val="22"/>
        </w:rPr>
        <w:t>Broadband VI</w:t>
      </w:r>
      <w:r w:rsidRPr="007C0B39" w:rsidR="00CE68FE">
        <w:rPr>
          <w:szCs w:val="22"/>
        </w:rPr>
        <w:t xml:space="preserve"> have signed the Consent Decree</w:t>
      </w:r>
      <w:r w:rsidR="00F1082C">
        <w:rPr>
          <w:szCs w:val="22"/>
        </w:rPr>
        <w:t xml:space="preserve"> and the Bureau has released an Adopting Order</w:t>
      </w:r>
      <w:r w:rsidRPr="007C0B39" w:rsidR="00C04651">
        <w:rPr>
          <w:szCs w:val="22"/>
        </w:rPr>
        <w:t>.</w:t>
      </w:r>
    </w:p>
    <w:p w:rsidR="00BD08D2" w:rsidRPr="007C0B39" w:rsidP="003E746E" w14:paraId="03C39803" w14:textId="207BD29D">
      <w:pPr>
        <w:widowControl/>
        <w:numPr>
          <w:ilvl w:val="0"/>
          <w:numId w:val="5"/>
        </w:numPr>
        <w:tabs>
          <w:tab w:val="clear" w:pos="1224"/>
        </w:tabs>
        <w:spacing w:after="120"/>
        <w:ind w:left="1890"/>
        <w:rPr>
          <w:szCs w:val="22"/>
        </w:rPr>
      </w:pPr>
      <w:r w:rsidRPr="007C0B39">
        <w:rPr>
          <w:szCs w:val="22"/>
        </w:rPr>
        <w:t>“</w:t>
      </w:r>
      <w:r w:rsidRPr="007C0B39">
        <w:t>Operating</w:t>
      </w:r>
      <w:r w:rsidRPr="007C0B39">
        <w:rPr>
          <w:szCs w:val="22"/>
        </w:rPr>
        <w:t xml:space="preserve"> Procedures” mean</w:t>
      </w:r>
      <w:r w:rsidRPr="007C0B39" w:rsidR="003010FA">
        <w:rPr>
          <w:szCs w:val="22"/>
        </w:rPr>
        <w:t>s</w:t>
      </w:r>
      <w:r w:rsidRPr="007C0B39" w:rsidR="00683B2D">
        <w:rPr>
          <w:szCs w:val="22"/>
        </w:rPr>
        <w:t xml:space="preserve"> the standard</w:t>
      </w:r>
      <w:r w:rsidRPr="007C0B39">
        <w:rPr>
          <w:szCs w:val="22"/>
        </w:rPr>
        <w:t xml:space="preserve"> internal operating procedures and compliance pol</w:t>
      </w:r>
      <w:r w:rsidRPr="007C0B39" w:rsidR="00AD6D76">
        <w:rPr>
          <w:szCs w:val="22"/>
        </w:rPr>
        <w:t xml:space="preserve">icies established by </w:t>
      </w:r>
      <w:r w:rsidR="00506BBE">
        <w:rPr>
          <w:szCs w:val="22"/>
        </w:rPr>
        <w:t>Broadband VI</w:t>
      </w:r>
      <w:r w:rsidRPr="007C0B39">
        <w:rPr>
          <w:szCs w:val="22"/>
        </w:rPr>
        <w:t xml:space="preserve"> to implement the Compliance Plan.</w:t>
      </w:r>
    </w:p>
    <w:p w:rsidR="00BD08D2" w:rsidRPr="007C0B39" w:rsidP="003E746E" w14:paraId="01AB6EC1" w14:textId="42B651FA">
      <w:pPr>
        <w:widowControl/>
        <w:numPr>
          <w:ilvl w:val="0"/>
          <w:numId w:val="5"/>
        </w:numPr>
        <w:tabs>
          <w:tab w:val="clear" w:pos="1224"/>
        </w:tabs>
        <w:spacing w:after="120"/>
        <w:ind w:left="1890"/>
        <w:rPr>
          <w:szCs w:val="22"/>
        </w:rPr>
      </w:pPr>
      <w:r w:rsidRPr="007C0B39">
        <w:rPr>
          <w:szCs w:val="22"/>
        </w:rPr>
        <w:t>“</w:t>
      </w:r>
      <w:r w:rsidRPr="007C0B39">
        <w:t>Parties</w:t>
      </w:r>
      <w:r w:rsidRPr="007C0B39">
        <w:rPr>
          <w:szCs w:val="22"/>
        </w:rPr>
        <w:t>” mean</w:t>
      </w:r>
      <w:r w:rsidRPr="007C0B39" w:rsidR="003010FA">
        <w:rPr>
          <w:szCs w:val="22"/>
        </w:rPr>
        <w:t>s</w:t>
      </w:r>
      <w:r w:rsidRPr="007C0B39">
        <w:rPr>
          <w:szCs w:val="22"/>
        </w:rPr>
        <w:t xml:space="preserve"> </w:t>
      </w:r>
      <w:r w:rsidR="00506BBE">
        <w:rPr>
          <w:szCs w:val="22"/>
        </w:rPr>
        <w:t>Broadband VI</w:t>
      </w:r>
      <w:r w:rsidRPr="007C0B39" w:rsidR="00AD6D76">
        <w:rPr>
          <w:szCs w:val="22"/>
        </w:rPr>
        <w:t xml:space="preserve"> </w:t>
      </w:r>
      <w:r w:rsidRPr="007C0B39">
        <w:rPr>
          <w:szCs w:val="22"/>
        </w:rPr>
        <w:t>and the Bureau, each of which is a “Party.”</w:t>
      </w:r>
    </w:p>
    <w:p w:rsidR="00C37C15" w:rsidP="003E746E" w14:paraId="7652E6CA" w14:textId="137DED8F">
      <w:pPr>
        <w:widowControl/>
        <w:numPr>
          <w:ilvl w:val="0"/>
          <w:numId w:val="5"/>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w:t>
      </w:r>
      <w:r w:rsidRPr="007C0B39" w:rsidR="003010FA">
        <w:t>s</w:t>
      </w:r>
      <w:r w:rsidRPr="007C0B39">
        <w:rPr>
          <w:szCs w:val="22"/>
        </w:rPr>
        <w:t xml:space="preserve"> the Commission’s regulations found in Title 47 of the Code of Federal Regulations.</w:t>
      </w:r>
    </w:p>
    <w:p w:rsidR="002F12E0" w:rsidRPr="00692BF7" w:rsidP="003E746E" w14:paraId="523FF574" w14:textId="652B4B40">
      <w:pPr>
        <w:widowControl/>
        <w:numPr>
          <w:ilvl w:val="0"/>
          <w:numId w:val="5"/>
        </w:numPr>
        <w:tabs>
          <w:tab w:val="clear" w:pos="1224"/>
        </w:tabs>
        <w:spacing w:after="120"/>
        <w:ind w:left="1890"/>
        <w:rPr>
          <w:szCs w:val="22"/>
        </w:rPr>
      </w:pPr>
      <w:r w:rsidRPr="00137CE3">
        <w:rPr>
          <w:szCs w:val="22"/>
        </w:rPr>
        <w:t>“</w:t>
      </w:r>
      <w:bookmarkStart w:id="2" w:name="_Hlk71804686"/>
      <w:r w:rsidRPr="00137CE3">
        <w:rPr>
          <w:szCs w:val="22"/>
        </w:rPr>
        <w:t>Unauthorized Transfer Rules”</w:t>
      </w:r>
      <w:bookmarkEnd w:id="2"/>
      <w:r w:rsidRPr="00C37C15">
        <w:rPr>
          <w:szCs w:val="22"/>
        </w:rPr>
        <w:t xml:space="preserve"> means Section 310(d) of the Act</w:t>
      </w:r>
      <w:r>
        <w:rPr>
          <w:rStyle w:val="FootnoteReference"/>
          <w:szCs w:val="22"/>
        </w:rPr>
        <w:footnoteReference w:id="9"/>
      </w:r>
      <w:r w:rsidRPr="00C37C15">
        <w:rPr>
          <w:szCs w:val="22"/>
        </w:rPr>
        <w:t xml:space="preserve"> and Section 1.948 of the Rules,</w:t>
      </w:r>
      <w:r>
        <w:rPr>
          <w:rStyle w:val="FootnoteReference"/>
          <w:szCs w:val="22"/>
        </w:rPr>
        <w:footnoteReference w:id="10"/>
      </w:r>
      <w:r w:rsidRPr="00C37C15">
        <w:rPr>
          <w:szCs w:val="22"/>
        </w:rPr>
        <w:t xml:space="preserve"> pertaining to unauthorized transfers of control and assignments of licenses</w:t>
      </w:r>
      <w:r>
        <w:rPr>
          <w:szCs w:val="22"/>
        </w:rPr>
        <w:t>.</w:t>
      </w:r>
    </w:p>
    <w:p w:rsidR="00E02214" w:rsidRPr="007C0B39" w:rsidP="003E746E" w14:paraId="775322CA" w14:textId="77777777">
      <w:pPr>
        <w:pStyle w:val="Heading1"/>
        <w:widowControl/>
        <w:rPr>
          <w:szCs w:val="22"/>
        </w:rPr>
      </w:pPr>
      <w:r w:rsidRPr="007C0B39">
        <w:t>BACKGROUND</w:t>
      </w:r>
    </w:p>
    <w:p w:rsidR="00EC4E56" w:rsidRPr="00EC4E56" w:rsidP="003E746E" w14:paraId="54AB8A19" w14:textId="4A63884E">
      <w:pPr>
        <w:pStyle w:val="ParaNum"/>
        <w:widowControl/>
      </w:pPr>
      <w:r w:rsidRPr="00601EBF">
        <w:t xml:space="preserve">Broadband VI is a fixed wireless </w:t>
      </w:r>
      <w:r w:rsidRPr="000E32D5">
        <w:t>internet service provider</w:t>
      </w:r>
      <w:r w:rsidRPr="00601EBF">
        <w:t xml:space="preserve"> that serves the U.S. Virgin Islands.  </w:t>
      </w:r>
      <w:r w:rsidR="00C0337A">
        <w:t xml:space="preserve">Based upon information received by the Commission, the Bureau </w:t>
      </w:r>
      <w:r w:rsidRPr="00137CE3" w:rsidR="00C0337A">
        <w:t>reviewed</w:t>
      </w:r>
      <w:r w:rsidR="00C0337A">
        <w:t xml:space="preserve"> issues related to Broadband VI’s </w:t>
      </w:r>
      <w:bookmarkStart w:id="5" w:name="_Hlk71806938"/>
      <w:r w:rsidR="00C0337A">
        <w:t xml:space="preserve">compliance with the </w:t>
      </w:r>
      <w:r w:rsidR="00980D21">
        <w:t xml:space="preserve">Communications Laws, including the </w:t>
      </w:r>
      <w:r w:rsidRPr="00C0337A" w:rsidR="00C0337A">
        <w:rPr>
          <w:szCs w:val="22"/>
        </w:rPr>
        <w:t>Unauthorized Transfer Rules</w:t>
      </w:r>
      <w:bookmarkEnd w:id="5"/>
      <w:r w:rsidR="00D923CD">
        <w:rPr>
          <w:szCs w:val="22"/>
        </w:rPr>
        <w:t xml:space="preserve"> and the requirements that eligible telecommunications carriers must fulfill in order to claim and receive federal Lifeline support.</w:t>
      </w:r>
    </w:p>
    <w:p w:rsidR="007B0D37" w:rsidP="003E746E" w14:paraId="5506ED7F" w14:textId="330740FE">
      <w:pPr>
        <w:pStyle w:val="ParaNum"/>
        <w:widowControl/>
      </w:pPr>
      <w:r>
        <w:rPr>
          <w:szCs w:val="22"/>
        </w:rPr>
        <w:t xml:space="preserve">In the course of its </w:t>
      </w:r>
      <w:r w:rsidRPr="00137CE3">
        <w:rPr>
          <w:szCs w:val="22"/>
        </w:rPr>
        <w:t>review</w:t>
      </w:r>
      <w:r w:rsidR="00980D21">
        <w:rPr>
          <w:szCs w:val="22"/>
        </w:rPr>
        <w:t xml:space="preserve"> of Broadband VI’s compliance with the Communications Laws</w:t>
      </w:r>
      <w:r>
        <w:rPr>
          <w:szCs w:val="22"/>
        </w:rPr>
        <w:t xml:space="preserve">, the Bureau learned that </w:t>
      </w:r>
      <w:r w:rsidR="00601EBF">
        <w:t>Broadband VI</w:t>
      </w:r>
      <w:r w:rsidRPr="00601EBF" w:rsidR="00601EBF">
        <w:t xml:space="preserve"> </w:t>
      </w:r>
      <w:r w:rsidR="00E1783B">
        <w:t>and Surge Communications, LLC (“</w:t>
      </w:r>
      <w:r w:rsidR="00980D21">
        <w:t>Surge</w:t>
      </w:r>
      <w:r w:rsidR="00E1783B">
        <w:t xml:space="preserve">”) </w:t>
      </w:r>
      <w:r w:rsidRPr="00601EBF" w:rsidR="00601EBF">
        <w:t xml:space="preserve">entered into and consummated an agreement </w:t>
      </w:r>
      <w:r w:rsidR="00AF58BD">
        <w:rPr>
          <w:szCs w:val="22"/>
        </w:rPr>
        <w:t>o</w:t>
      </w:r>
      <w:r w:rsidRPr="00601EBF" w:rsidR="00AF58BD">
        <w:t>n February 20, 2019,</w:t>
      </w:r>
      <w:r w:rsidR="00AF58BD">
        <w:t xml:space="preserve"> </w:t>
      </w:r>
      <w:r w:rsidRPr="00601EBF" w:rsidR="00601EBF">
        <w:t xml:space="preserve">by which Surge sold certain of its assets to Broadband VI, including its interests in </w:t>
      </w:r>
      <w:r w:rsidR="00E1783B">
        <w:t xml:space="preserve">seven wireless radio licenses.  </w:t>
      </w:r>
      <w:r w:rsidR="0009284C">
        <w:t>T</w:t>
      </w:r>
      <w:r w:rsidR="00E1783B">
        <w:t>he parties did not obtain the required prior FCC approval for this transfer</w:t>
      </w:r>
      <w:r w:rsidR="00C0337A">
        <w:t>,</w:t>
      </w:r>
      <w:r w:rsidR="0009284C">
        <w:t xml:space="preserve"> but</w:t>
      </w:r>
      <w:r w:rsidR="00E1783B">
        <w:t xml:space="preserve"> </w:t>
      </w:r>
      <w:r w:rsidR="0013503B">
        <w:t xml:space="preserve">subsequently, </w:t>
      </w:r>
      <w:r w:rsidR="00AF58BD">
        <w:t xml:space="preserve">in a </w:t>
      </w:r>
      <w:r w:rsidR="001137C6">
        <w:t>February 2</w:t>
      </w:r>
      <w:r w:rsidR="00D10739">
        <w:t>8</w:t>
      </w:r>
      <w:r w:rsidR="001137C6">
        <w:t>, 2020</w:t>
      </w:r>
      <w:r w:rsidR="00AF58BD">
        <w:t xml:space="preserve"> filing</w:t>
      </w:r>
      <w:r w:rsidR="0009284C">
        <w:t xml:space="preserve">, </w:t>
      </w:r>
      <w:r w:rsidR="00E1783B">
        <w:t>sought</w:t>
      </w:r>
      <w:r w:rsidRPr="00601EBF" w:rsidR="00601EBF">
        <w:t xml:space="preserve"> Commission consent </w:t>
      </w:r>
      <w:r w:rsidRPr="00C0337A" w:rsidR="00601EBF">
        <w:rPr>
          <w:i/>
          <w:iCs/>
        </w:rPr>
        <w:t>nunc</w:t>
      </w:r>
      <w:r w:rsidRPr="00C0337A" w:rsidR="00601EBF">
        <w:rPr>
          <w:i/>
          <w:iCs/>
        </w:rPr>
        <w:t xml:space="preserve"> pro </w:t>
      </w:r>
      <w:r w:rsidRPr="00C0337A" w:rsidR="00601EBF">
        <w:rPr>
          <w:i/>
          <w:iCs/>
        </w:rPr>
        <w:t>tunc</w:t>
      </w:r>
      <w:r w:rsidRPr="00601EBF" w:rsidR="00601EBF">
        <w:t xml:space="preserve"> to the assignment of </w:t>
      </w:r>
      <w:r w:rsidR="00E1783B">
        <w:t>the</w:t>
      </w:r>
      <w:r w:rsidRPr="00601EBF" w:rsidR="00601EBF">
        <w:t xml:space="preserve"> licenses</w:t>
      </w:r>
      <w:r w:rsidR="00AA0C6B">
        <w:t>, which was granted.</w:t>
      </w:r>
      <w:r>
        <w:rPr>
          <w:rStyle w:val="FootnoteReference"/>
        </w:rPr>
        <w:footnoteReference w:id="11"/>
      </w:r>
      <w:r w:rsidRPr="00601EBF" w:rsidR="00601EBF">
        <w:t xml:space="preserve"> </w:t>
      </w:r>
    </w:p>
    <w:p w:rsidR="00D923CD" w:rsidRPr="007C0B39" w:rsidP="003E746E" w14:paraId="23C2CC88" w14:textId="77777777">
      <w:pPr>
        <w:pStyle w:val="ParaNum"/>
        <w:widowControl/>
      </w:pPr>
      <w:r>
        <w:t>S</w:t>
      </w:r>
      <w:r w:rsidRPr="00601EBF">
        <w:t>ection 310(d) of the Act provides that “[n]o construction permit or station license, or any</w:t>
      </w:r>
      <w:r>
        <w:t xml:space="preserve"> r</w:t>
      </w:r>
      <w:r w:rsidRPr="00601EBF">
        <w:t>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w:t>
      </w:r>
      <w:r>
        <w:t xml:space="preserve">ion </w:t>
      </w:r>
      <w:r w:rsidRPr="00601EBF">
        <w:t xml:space="preserve"> that the public interest, convenience, and necessity will be served thereby.”</w:t>
      </w:r>
      <w:r>
        <w:rPr>
          <w:rStyle w:val="FootnoteReference"/>
        </w:rPr>
        <w:footnoteReference w:id="12"/>
      </w:r>
      <w:r w:rsidRPr="00601EBF">
        <w:t xml:space="preserve"> </w:t>
      </w:r>
      <w:r>
        <w:t xml:space="preserve"> </w:t>
      </w:r>
      <w:r w:rsidRPr="00601EBF">
        <w:t>Section 1.948 of the Rules similarly requires Commission consent prior to the transfer of control or assignment of a wireless radio license.</w:t>
      </w:r>
      <w:r>
        <w:rPr>
          <w:rStyle w:val="FootnoteReference"/>
        </w:rPr>
        <w:footnoteReference w:id="13"/>
      </w:r>
    </w:p>
    <w:p w:rsidR="000D79FA" w:rsidRPr="007C0B39" w:rsidP="003E746E" w14:paraId="0B3A6725" w14:textId="651FD7C0">
      <w:pPr>
        <w:pStyle w:val="ParaNum"/>
        <w:widowControl/>
      </w:pPr>
      <w:r w:rsidRPr="00D1456B">
        <w:t>To resolve th</w:t>
      </w:r>
      <w:r>
        <w:t>is matter</w:t>
      </w:r>
      <w:r w:rsidRPr="00D1456B">
        <w:t xml:space="preserve">, the Parties now </w:t>
      </w:r>
      <w:r w:rsidRPr="00D1456B">
        <w:t>enter into</w:t>
      </w:r>
      <w:r w:rsidRPr="00D1456B">
        <w:t xml:space="preserve"> this Consent Decree </w:t>
      </w:r>
      <w:r>
        <w:t xml:space="preserve">pursuant to which Broadband VI will develop and implement a compliance plan to ensure its </w:t>
      </w:r>
      <w:r w:rsidRPr="00D1456B">
        <w:t xml:space="preserve">future compliance with </w:t>
      </w:r>
      <w:r>
        <w:t xml:space="preserve">the </w:t>
      </w:r>
      <w:bookmarkStart w:id="6" w:name="_Hlk72756181"/>
      <w:r w:rsidR="003870E3">
        <w:t xml:space="preserve">Unauthorized Transfer Rules </w:t>
      </w:r>
      <w:bookmarkEnd w:id="6"/>
      <w:r>
        <w:t xml:space="preserve">and agrees to pay a </w:t>
      </w:r>
      <w:r w:rsidR="00D923CD">
        <w:t>civil penalty</w:t>
      </w:r>
      <w:r w:rsidRPr="00D1456B">
        <w:t>.</w:t>
      </w:r>
    </w:p>
    <w:p w:rsidR="00E02214" w:rsidRPr="007C0B39" w:rsidP="003E746E" w14:paraId="05D20D1D" w14:textId="77777777">
      <w:pPr>
        <w:pStyle w:val="Heading1"/>
        <w:widowControl/>
      </w:pPr>
      <w:bookmarkStart w:id="7" w:name="FN[FN18]"/>
      <w:bookmarkEnd w:id="7"/>
      <w:r w:rsidRPr="007C0B39">
        <w:t>TERMS OF AGREEMENT</w:t>
      </w:r>
    </w:p>
    <w:p w:rsidR="00E02214" w:rsidRPr="007C0B39" w:rsidP="003E746E" w14:paraId="664DBB31" w14:textId="77777777">
      <w:pPr>
        <w:pStyle w:val="ParaNum"/>
        <w:widowControl/>
        <w:rPr>
          <w:szCs w:val="22"/>
        </w:rPr>
      </w:pPr>
      <w:r w:rsidRPr="007C0B39">
        <w:rPr>
          <w:b/>
          <w:szCs w:val="22"/>
          <w:u w:val="single"/>
        </w:rPr>
        <w:t>Adopting Order</w:t>
      </w:r>
      <w:r w:rsidRPr="007C0B39" w:rsidR="00CE68FE">
        <w:rPr>
          <w:szCs w:val="22"/>
        </w:rPr>
        <w:t>.  The provisions of this Consent Decree shall be incorporated by the Bureau in an Adopting Order</w:t>
      </w:r>
      <w:r w:rsidRPr="007C0B39">
        <w:rPr>
          <w:szCs w:val="22"/>
        </w:rPr>
        <w:t>.</w:t>
      </w:r>
    </w:p>
    <w:p w:rsidR="00E02214" w:rsidRPr="007C0B39" w:rsidP="003E746E" w14:paraId="4F1346B4" w14:textId="74C7C85A">
      <w:pPr>
        <w:pStyle w:val="ParaNum"/>
        <w:widowControl/>
        <w:rPr>
          <w:szCs w:val="22"/>
        </w:rPr>
      </w:pPr>
      <w:r w:rsidRPr="007C0B39">
        <w:rPr>
          <w:b/>
          <w:szCs w:val="22"/>
          <w:u w:val="single"/>
        </w:rPr>
        <w:t>Jurisdiction</w:t>
      </w:r>
      <w:r w:rsidRPr="007C0B39">
        <w:rPr>
          <w:szCs w:val="22"/>
        </w:rPr>
        <w:t xml:space="preserve">.  </w:t>
      </w:r>
      <w:r w:rsidR="00506BBE">
        <w:rPr>
          <w:szCs w:val="22"/>
        </w:rPr>
        <w:t>Broadband VI</w:t>
      </w:r>
      <w:r w:rsidRPr="007C0B39" w:rsidR="00EF30D3">
        <w:rPr>
          <w:szCs w:val="22"/>
        </w:rPr>
        <w:t xml:space="preserve"> </w:t>
      </w:r>
      <w:r w:rsidRPr="007C0B39">
        <w:rPr>
          <w:szCs w:val="22"/>
        </w:rPr>
        <w:t>agrees that the Bureau has jurisdiction over it and the matters contained in this Con</w:t>
      </w:r>
      <w:r w:rsidRPr="007C0B39" w:rsidR="00073450">
        <w:rPr>
          <w:szCs w:val="22"/>
        </w:rPr>
        <w:t xml:space="preserve">sent Decree and </w:t>
      </w:r>
      <w:r w:rsidRPr="007C0B39">
        <w:rPr>
          <w:szCs w:val="22"/>
        </w:rPr>
        <w:t xml:space="preserve">has the </w:t>
      </w:r>
      <w:r w:rsidRPr="00ED419F">
        <w:t>authority</w:t>
      </w:r>
      <w:r w:rsidRPr="007C0B39">
        <w:rPr>
          <w:szCs w:val="22"/>
        </w:rPr>
        <w:t xml:space="preserve"> to </w:t>
      </w:r>
      <w:r w:rsidRPr="007C0B39">
        <w:rPr>
          <w:szCs w:val="22"/>
        </w:rPr>
        <w:t>enter into</w:t>
      </w:r>
      <w:r w:rsidRPr="007C0B39">
        <w:rPr>
          <w:szCs w:val="22"/>
        </w:rPr>
        <w:t xml:space="preserve"> and adopt this Consent Decree.</w:t>
      </w:r>
    </w:p>
    <w:p w:rsidR="0013249B" w:rsidRPr="007C0B39" w:rsidP="003E746E" w14:paraId="318C438E" w14:textId="7D0838AF">
      <w:pPr>
        <w:pStyle w:val="ParaNum"/>
        <w:widowControl/>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w:t>
      </w:r>
      <w:r w:rsidRPr="007C0B39" w:rsidR="00CE68FE">
        <w:rPr>
          <w:szCs w:val="22"/>
        </w:rPr>
        <w:t xml:space="preserve">Parties agree that </w:t>
      </w:r>
      <w:r w:rsidR="0042314D">
        <w:rPr>
          <w:szCs w:val="22"/>
        </w:rPr>
        <w:t xml:space="preserve">the </w:t>
      </w:r>
      <w:r w:rsidR="0042314D">
        <w:rPr>
          <w:szCs w:val="22"/>
        </w:rPr>
        <w:t xml:space="preserve">Adopting Order and </w:t>
      </w:r>
      <w:r w:rsidRPr="007C0B39">
        <w:rPr>
          <w:szCs w:val="22"/>
        </w:rPr>
        <w:t>this Consent Decree</w:t>
      </w:r>
      <w:r w:rsidR="0042314D">
        <w:rPr>
          <w:szCs w:val="22"/>
        </w:rPr>
        <w:t xml:space="preserve"> </w:t>
      </w:r>
      <w:r w:rsidRPr="007C0B39">
        <w:rPr>
          <w:szCs w:val="22"/>
        </w:rPr>
        <w:t xml:space="preserve">shall have the same force and effect as any other order of the Commission.  </w:t>
      </w:r>
    </w:p>
    <w:p w:rsidR="006B3C40" w:rsidRPr="00C566EC" w:rsidP="003E746E" w14:paraId="6D086218" w14:textId="7317A1F9">
      <w:pPr>
        <w:pStyle w:val="ParaNum"/>
        <w:widowControl/>
        <w:rPr>
          <w:szCs w:val="22"/>
        </w:rPr>
      </w:pPr>
      <w:r w:rsidRPr="007C0B39">
        <w:rPr>
          <w:b/>
          <w:szCs w:val="22"/>
          <w:u w:val="single"/>
        </w:rPr>
        <w:t xml:space="preserve">Termination of </w:t>
      </w:r>
      <w:r w:rsidR="00DF4C61">
        <w:rPr>
          <w:b/>
          <w:szCs w:val="22"/>
          <w:u w:val="single"/>
        </w:rPr>
        <w:t>Review</w:t>
      </w:r>
      <w:r w:rsidRPr="007C0B39">
        <w:rPr>
          <w:szCs w:val="22"/>
        </w:rPr>
        <w:t xml:space="preserve">.  In express reliance </w:t>
      </w:r>
      <w:r w:rsidRPr="007C0B39">
        <w:t>on</w:t>
      </w:r>
      <w:r w:rsidRPr="007C0B39">
        <w:rPr>
          <w:szCs w:val="22"/>
        </w:rPr>
        <w:t xml:space="preserve"> the covenants and representations in this Consent </w:t>
      </w:r>
      <w:r w:rsidRPr="000B2885">
        <w:rPr>
          <w:szCs w:val="22"/>
        </w:rPr>
        <w:t xml:space="preserve">Decree and to avoid further expenditure of public resources, the Bureau agrees to terminate </w:t>
      </w:r>
      <w:r w:rsidRPr="000B2885" w:rsidR="00111892">
        <w:rPr>
          <w:szCs w:val="22"/>
        </w:rPr>
        <w:t>its</w:t>
      </w:r>
      <w:r w:rsidR="00111892">
        <w:rPr>
          <w:szCs w:val="22"/>
        </w:rPr>
        <w:t xml:space="preserve"> </w:t>
      </w:r>
      <w:r w:rsidRPr="003F365A" w:rsidR="00111892">
        <w:rPr>
          <w:szCs w:val="22"/>
        </w:rPr>
        <w:t>review</w:t>
      </w:r>
      <w:r w:rsidR="00111892">
        <w:rPr>
          <w:szCs w:val="22"/>
        </w:rPr>
        <w:t xml:space="preserve"> of Broadband VI’s </w:t>
      </w:r>
      <w:r w:rsidR="000B2885">
        <w:rPr>
          <w:szCs w:val="22"/>
        </w:rPr>
        <w:t xml:space="preserve">regulatory </w:t>
      </w:r>
      <w:r w:rsidR="00111892">
        <w:rPr>
          <w:szCs w:val="22"/>
        </w:rPr>
        <w:t>compliance.</w:t>
      </w:r>
      <w:r w:rsidRPr="007C0B39">
        <w:rPr>
          <w:szCs w:val="22"/>
        </w:rPr>
        <w:t xml:space="preserve">  In consideration for </w:t>
      </w:r>
      <w:r w:rsidRPr="007C0B39" w:rsidR="007A541A">
        <w:rPr>
          <w:szCs w:val="22"/>
        </w:rPr>
        <w:t xml:space="preserve">the </w:t>
      </w:r>
      <w:r w:rsidRPr="007C0B39">
        <w:rPr>
          <w:szCs w:val="22"/>
        </w:rPr>
        <w:t xml:space="preserve">termination of the </w:t>
      </w:r>
      <w:r w:rsidRPr="000B2885" w:rsidR="00111892">
        <w:rPr>
          <w:szCs w:val="22"/>
        </w:rPr>
        <w:t xml:space="preserve">Bureau’s </w:t>
      </w:r>
      <w:r w:rsidRPr="003F365A" w:rsidR="00111892">
        <w:rPr>
          <w:szCs w:val="22"/>
        </w:rPr>
        <w:t>review</w:t>
      </w:r>
      <w:r w:rsidRPr="007C0B39">
        <w:rPr>
          <w:szCs w:val="22"/>
        </w:rPr>
        <w:t xml:space="preserve">, </w:t>
      </w:r>
      <w:r w:rsidR="00506BBE">
        <w:rPr>
          <w:szCs w:val="22"/>
        </w:rPr>
        <w:t>Broadband VI</w:t>
      </w:r>
      <w:r w:rsidRPr="007C0B39" w:rsidR="00076C13">
        <w:rPr>
          <w:szCs w:val="22"/>
        </w:rPr>
        <w:t xml:space="preserve"> </w:t>
      </w:r>
      <w:r w:rsidRPr="007C0B39" w:rsidR="006A0CCD">
        <w:rPr>
          <w:szCs w:val="22"/>
        </w:rPr>
        <w:t>a</w:t>
      </w:r>
      <w:r w:rsidRPr="007C0B39">
        <w:rPr>
          <w:szCs w:val="22"/>
        </w:rPr>
        <w:t xml:space="preserve">grees to the terms, conditions, and procedures contained herein. </w:t>
      </w:r>
      <w:r w:rsidRPr="007C0B39" w:rsidR="00073450">
        <w:rPr>
          <w:szCs w:val="22"/>
        </w:rPr>
        <w:t xml:space="preserve"> The Bureau further agrees that,</w:t>
      </w:r>
      <w:r w:rsidRPr="007C0B39">
        <w:rPr>
          <w:szCs w:val="22"/>
        </w:rPr>
        <w:t xml:space="preserve"> in the absence of n</w:t>
      </w:r>
      <w:r w:rsidRPr="007C0B39" w:rsidR="00076C13">
        <w:rPr>
          <w:szCs w:val="22"/>
        </w:rPr>
        <w:t>ew evidence, it</w:t>
      </w:r>
      <w:r w:rsidRPr="007C0B39">
        <w:rPr>
          <w:szCs w:val="22"/>
        </w:rPr>
        <w:t xml:space="preserve"> will not</w:t>
      </w:r>
      <w:r w:rsidRPr="007C0B39" w:rsidR="00683B2D">
        <w:rPr>
          <w:szCs w:val="22"/>
        </w:rPr>
        <w:t xml:space="preserve"> use the facts developed in </w:t>
      </w:r>
      <w:r w:rsidR="00111892">
        <w:rPr>
          <w:szCs w:val="22"/>
        </w:rPr>
        <w:t xml:space="preserve">its </w:t>
      </w:r>
      <w:r w:rsidRPr="003F365A" w:rsidR="00111892">
        <w:rPr>
          <w:szCs w:val="22"/>
        </w:rPr>
        <w:t>review</w:t>
      </w:r>
      <w:r w:rsidRPr="000B2885" w:rsidR="00111892">
        <w:rPr>
          <w:szCs w:val="22"/>
        </w:rPr>
        <w:t xml:space="preserve"> </w:t>
      </w:r>
      <w:r w:rsidRPr="000B2885">
        <w:rPr>
          <w:szCs w:val="22"/>
        </w:rPr>
        <w:t>through the Effective Date, or the existence of this Consent Decree, to institute any new proceeding</w:t>
      </w:r>
      <w:r w:rsidRPr="000B2885" w:rsidR="00A90A66">
        <w:rPr>
          <w:szCs w:val="22"/>
        </w:rPr>
        <w:t xml:space="preserve"> on its own motion</w:t>
      </w:r>
      <w:r w:rsidRPr="000B2885">
        <w:rPr>
          <w:szCs w:val="22"/>
        </w:rPr>
        <w:t xml:space="preserve"> against </w:t>
      </w:r>
      <w:r w:rsidRPr="000B2885" w:rsidR="00506BBE">
        <w:rPr>
          <w:szCs w:val="22"/>
        </w:rPr>
        <w:t>Broadband VI</w:t>
      </w:r>
      <w:r w:rsidRPr="000B2885" w:rsidR="00076C13">
        <w:rPr>
          <w:szCs w:val="22"/>
        </w:rPr>
        <w:t xml:space="preserve"> </w:t>
      </w:r>
      <w:r w:rsidRPr="000B2885">
        <w:rPr>
          <w:szCs w:val="22"/>
        </w:rPr>
        <w:t xml:space="preserve">concerning the matters that were the subject of the </w:t>
      </w:r>
      <w:r w:rsidRPr="000B2885" w:rsidR="009D5670">
        <w:rPr>
          <w:szCs w:val="22"/>
        </w:rPr>
        <w:t xml:space="preserve">Bureau’s </w:t>
      </w:r>
      <w:r w:rsidRPr="003F365A" w:rsidR="009D5670">
        <w:rPr>
          <w:szCs w:val="22"/>
        </w:rPr>
        <w:t>review</w:t>
      </w:r>
      <w:r w:rsidRPr="000B2885" w:rsidR="00A90A66">
        <w:rPr>
          <w:szCs w:val="22"/>
        </w:rPr>
        <w:t>,</w:t>
      </w:r>
      <w:r w:rsidRPr="000B2885">
        <w:t xml:space="preserve"> or to set for hearing the question of </w:t>
      </w:r>
      <w:r w:rsidRPr="000B2885" w:rsidR="00506BBE">
        <w:t>Broadband VI</w:t>
      </w:r>
      <w:r w:rsidRPr="000B2885">
        <w:t>’s basic qualifications to be a Commission licensee or hold Commission licenses or authorizations</w:t>
      </w:r>
      <w:r w:rsidRPr="000B2885" w:rsidR="00897EDF">
        <w:t xml:space="preserve"> based on the matters that were the subject of the</w:t>
      </w:r>
      <w:r w:rsidRPr="000B2885" w:rsidR="00EC4E56">
        <w:t xml:space="preserve"> </w:t>
      </w:r>
      <w:r w:rsidRPr="003F365A" w:rsidR="00EC4E56">
        <w:t>review</w:t>
      </w:r>
      <w:r w:rsidRPr="000B2885">
        <w:t>.</w:t>
      </w:r>
      <w:r>
        <w:rPr>
          <w:rStyle w:val="FootnoteReference"/>
        </w:rPr>
        <w:footnoteReference w:id="14"/>
      </w:r>
    </w:p>
    <w:p w:rsidR="00BD5BEC" w:rsidRPr="003F365A" w:rsidP="003E746E" w14:paraId="73699461" w14:textId="749EDBE4">
      <w:pPr>
        <w:pStyle w:val="ParaNum"/>
        <w:widowControl/>
        <w:rPr>
          <w:iCs/>
        </w:rPr>
      </w:pPr>
      <w:r w:rsidRPr="007C0B39">
        <w:rPr>
          <w:b/>
          <w:u w:val="single"/>
        </w:rPr>
        <w:t>Admission of Liability</w:t>
      </w:r>
      <w:r w:rsidRPr="007C0B39">
        <w:t xml:space="preserve">.  </w:t>
      </w:r>
      <w:r w:rsidR="00506BBE">
        <w:t>Broadband VI</w:t>
      </w:r>
      <w:r w:rsidRPr="007C0B39">
        <w:t xml:space="preserve"> admits for the purpose of this Consent Decree and for Commission civil enforcement purposes, and in express reliance on the provisions of </w:t>
      </w:r>
      <w:r w:rsidRPr="002320EB">
        <w:t xml:space="preserve">paragraph </w:t>
      </w:r>
      <w:r w:rsidRPr="002320EB" w:rsidR="0062080D">
        <w:t>10</w:t>
      </w:r>
      <w:r w:rsidRPr="007C0B39">
        <w:t xml:space="preserve"> herein,</w:t>
      </w:r>
      <w:r w:rsidR="009D5670">
        <w:t xml:space="preserve"> that its actions described in </w:t>
      </w:r>
      <w:r w:rsidRPr="002320EB" w:rsidR="00F11E9C">
        <w:t>p</w:t>
      </w:r>
      <w:r w:rsidRPr="002320EB" w:rsidR="009D5670">
        <w:t>aragraph</w:t>
      </w:r>
      <w:r w:rsidRPr="002320EB" w:rsidR="00EC4E56">
        <w:t xml:space="preserve"> </w:t>
      </w:r>
      <w:r w:rsidRPr="002320EB" w:rsidR="001627E5">
        <w:t>4</w:t>
      </w:r>
      <w:r w:rsidR="009D5670">
        <w:t xml:space="preserve"> of this Consent Decree violated the Unauthorized Transfer Rules.</w:t>
      </w:r>
    </w:p>
    <w:p w:rsidR="00276A71" w:rsidRPr="00561DDC" w:rsidP="003E746E" w14:paraId="03593F5C" w14:textId="6CADC27E">
      <w:pPr>
        <w:pStyle w:val="ParaNum"/>
        <w:widowControl/>
        <w:rPr>
          <w:iCs/>
          <w:szCs w:val="22"/>
        </w:rPr>
      </w:pPr>
      <w:bookmarkStart w:id="8"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sidR="00506BBE">
        <w:rPr>
          <w:szCs w:val="22"/>
        </w:rPr>
        <w:t>Broadband VI</w:t>
      </w:r>
      <w:r w:rsidRPr="007C0B39" w:rsidR="00EF30D3">
        <w:rPr>
          <w:szCs w:val="22"/>
        </w:rPr>
        <w:t xml:space="preserve"> </w:t>
      </w:r>
      <w:r w:rsidRPr="007C0B39">
        <w:rPr>
          <w:szCs w:val="22"/>
        </w:rPr>
        <w:t xml:space="preserve">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w:t>
      </w:r>
      <w:r w:rsidR="00506BBE">
        <w:t>Broadband VI</w:t>
      </w:r>
      <w:r w:rsidRPr="007C0B39" w:rsidR="00302C38">
        <w:t xml:space="preserve"> </w:t>
      </w:r>
      <w:r w:rsidRPr="007C0B39">
        <w:rPr>
          <w:szCs w:val="22"/>
        </w:rPr>
        <w:t>complies with the terms and conditions of the Compliance Plan and this Consent Decree.</w:t>
      </w:r>
      <w:r w:rsidRPr="007C0B39" w:rsidR="00B0044E">
        <w:rPr>
          <w:szCs w:val="22"/>
        </w:rPr>
        <w:t xml:space="preserve"> </w:t>
      </w:r>
      <w:r w:rsidRPr="007C0B39">
        <w:rPr>
          <w:szCs w:val="22"/>
        </w:rPr>
        <w:t xml:space="preserve"> In </w:t>
      </w:r>
      <w:r w:rsidRPr="00ED419F">
        <w:t>addition</w:t>
      </w:r>
      <w:r w:rsidRPr="007C0B39">
        <w:rPr>
          <w:szCs w:val="22"/>
        </w:rPr>
        <w:t xml:space="preserve"> to the general knowledge of the </w:t>
      </w:r>
      <w:r w:rsidRPr="00137CE3">
        <w:rPr>
          <w:szCs w:val="22"/>
        </w:rPr>
        <w:t>Communications Laws</w:t>
      </w:r>
      <w:r w:rsidRPr="007C0B39">
        <w:rPr>
          <w:szCs w:val="22"/>
        </w:rPr>
        <w:t xml:space="preserve"> necessary to discharge his</w:t>
      </w:r>
      <w:r w:rsidRPr="007C0B39" w:rsidR="00B0044E">
        <w:rPr>
          <w:szCs w:val="22"/>
        </w:rPr>
        <w:t xml:space="preserve"> or </w:t>
      </w:r>
      <w:r w:rsidRPr="007C0B39">
        <w:rPr>
          <w:szCs w:val="22"/>
        </w:rPr>
        <w:t>her duties under this Consent Decree, the Compliance Officer shall have specifi</w:t>
      </w:r>
      <w:r w:rsidRPr="007C0B39" w:rsidR="00302C38">
        <w:rPr>
          <w:szCs w:val="22"/>
        </w:rPr>
        <w:t>c knowledge of the</w:t>
      </w:r>
      <w:r w:rsidR="000C4C1D">
        <w:rPr>
          <w:szCs w:val="22"/>
        </w:rPr>
        <w:t xml:space="preserve"> Unauthorized Transfer </w:t>
      </w:r>
      <w:r w:rsidRPr="007C0B39">
        <w:rPr>
          <w:szCs w:val="22"/>
        </w:rPr>
        <w:t>Rules prior to assuming his/her duties.</w:t>
      </w:r>
      <w:bookmarkEnd w:id="8"/>
    </w:p>
    <w:p w:rsidR="00E02214" w:rsidRPr="007C0B39" w:rsidP="003E746E" w14:paraId="11E0696B" w14:textId="485990A5">
      <w:pPr>
        <w:pStyle w:val="ParaNum"/>
        <w:widowControl/>
        <w:rPr>
          <w:szCs w:val="22"/>
        </w:rPr>
      </w:pPr>
      <w:bookmarkStart w:id="9" w:name="_Ref357521857"/>
      <w:r w:rsidRPr="007C0B39">
        <w:rPr>
          <w:b/>
          <w:szCs w:val="22"/>
          <w:u w:val="single"/>
        </w:rPr>
        <w:t>Compliance Plan</w:t>
      </w:r>
      <w:r w:rsidRPr="007C0B39">
        <w:rPr>
          <w:szCs w:val="22"/>
        </w:rPr>
        <w:t xml:space="preserve">.  For purposes of settling the matters set forth herein, </w:t>
      </w:r>
      <w:r w:rsidR="00506BBE">
        <w:t>Broadband VI</w:t>
      </w:r>
      <w:r w:rsidRPr="007C0B39" w:rsidR="00EA12C6">
        <w:rPr>
          <w:szCs w:val="22"/>
        </w:rPr>
        <w:t xml:space="preserve"> </w:t>
      </w:r>
      <w:r w:rsidRPr="007C0B39">
        <w:rPr>
          <w:szCs w:val="22"/>
        </w:rPr>
        <w:t xml:space="preserve">agrees that it shall, within sixty (60) calendar days after the Effective Date, develop and implement a Compliance Plan designed to ensure future compliance with the </w:t>
      </w:r>
      <w:r w:rsidR="003870E3">
        <w:t xml:space="preserve">Unauthorized Transfer Rules </w:t>
      </w:r>
      <w:r w:rsidRPr="007C0B39">
        <w:rPr>
          <w:szCs w:val="22"/>
        </w:rPr>
        <w:t>and with the terms and conditions of this Consent Decree.  W</w:t>
      </w:r>
      <w:r w:rsidRPr="007C0B39" w:rsidR="00302C38">
        <w:rPr>
          <w:szCs w:val="22"/>
        </w:rPr>
        <w:t>ith respect to the</w:t>
      </w:r>
      <w:r w:rsidR="00525C61">
        <w:rPr>
          <w:szCs w:val="22"/>
        </w:rPr>
        <w:t xml:space="preserve"> Unauthorized Transfer </w:t>
      </w:r>
      <w:r w:rsidRPr="007C0B39">
        <w:rPr>
          <w:szCs w:val="22"/>
        </w:rPr>
        <w:t xml:space="preserve">Rules, </w:t>
      </w:r>
      <w:r w:rsidR="00506BBE">
        <w:t>Broadband VI</w:t>
      </w:r>
      <w:r w:rsidRPr="007C0B39" w:rsidR="00302C38">
        <w:rPr>
          <w:szCs w:val="22"/>
        </w:rPr>
        <w:t xml:space="preserve"> will</w:t>
      </w:r>
      <w:r w:rsidRPr="007C0B39">
        <w:rPr>
          <w:szCs w:val="22"/>
        </w:rPr>
        <w:t xml:space="preserve"> implement</w:t>
      </w:r>
      <w:r w:rsidRPr="007C0B39" w:rsidR="00073450">
        <w:rPr>
          <w:szCs w:val="22"/>
        </w:rPr>
        <w:t>, at a minimum,</w:t>
      </w:r>
      <w:r w:rsidRPr="007C0B39">
        <w:rPr>
          <w:szCs w:val="22"/>
        </w:rPr>
        <w:t xml:space="preserve"> the following procedures:</w:t>
      </w:r>
      <w:bookmarkEnd w:id="9"/>
      <w:r w:rsidR="00525C61">
        <w:rPr>
          <w:szCs w:val="22"/>
        </w:rPr>
        <w:t xml:space="preserve"> </w:t>
      </w:r>
    </w:p>
    <w:p w:rsidR="0055035F" w:rsidRPr="007C0B39" w:rsidP="003E746E" w14:paraId="45552E93" w14:textId="7D392A14">
      <w:pPr>
        <w:widowControl/>
        <w:numPr>
          <w:ilvl w:val="0"/>
          <w:numId w:val="6"/>
        </w:numPr>
        <w:tabs>
          <w:tab w:val="clear" w:pos="1656"/>
        </w:tabs>
        <w:spacing w:after="120"/>
        <w:ind w:left="1886"/>
        <w:rPr>
          <w:szCs w:val="22"/>
        </w:rPr>
      </w:pPr>
      <w:r w:rsidRPr="007C0B39">
        <w:rPr>
          <w:b/>
          <w:szCs w:val="22"/>
          <w:u w:val="single"/>
        </w:rPr>
        <w:t>Operating Procedures</w:t>
      </w:r>
      <w:r w:rsidR="00BD779B">
        <w:rPr>
          <w:szCs w:val="22"/>
        </w:rPr>
        <w:t>.  Within thirty (3</w:t>
      </w:r>
      <w:r w:rsidRPr="007C0B39">
        <w:rPr>
          <w:szCs w:val="22"/>
        </w:rPr>
        <w:t xml:space="preserve">0) calendar days after the Effective Date, </w:t>
      </w:r>
      <w:r w:rsidR="00506BBE">
        <w:rPr>
          <w:szCs w:val="22"/>
        </w:rPr>
        <w:t>Broadband VI</w:t>
      </w:r>
      <w:r w:rsidRPr="007C0B39">
        <w:rPr>
          <w:szCs w:val="22"/>
        </w:rPr>
        <w:t xml:space="preserve"> shall establish Operating Procedures that all Covered Employees must follow to help ensure </w:t>
      </w:r>
      <w:r w:rsidR="00506BBE">
        <w:t>Broadband VI</w:t>
      </w:r>
      <w:r w:rsidRPr="007C0B39" w:rsidR="00EA12C6">
        <w:rPr>
          <w:szCs w:val="22"/>
        </w:rPr>
        <w:t>’</w:t>
      </w:r>
      <w:r w:rsidRPr="007C0B39">
        <w:rPr>
          <w:szCs w:val="22"/>
        </w:rPr>
        <w:t>s c</w:t>
      </w:r>
      <w:r w:rsidRPr="007C0B39" w:rsidR="00302C38">
        <w:rPr>
          <w:szCs w:val="22"/>
        </w:rPr>
        <w:t xml:space="preserve">ompliance with the </w:t>
      </w:r>
      <w:r w:rsidR="00F63691">
        <w:rPr>
          <w:szCs w:val="22"/>
        </w:rPr>
        <w:t xml:space="preserve">Unauthorized Transfer </w:t>
      </w:r>
      <w:r w:rsidRPr="007C0B39">
        <w:rPr>
          <w:szCs w:val="22"/>
        </w:rPr>
        <w:t xml:space="preserve">Rules.  </w:t>
      </w:r>
      <w:r w:rsidR="00506BBE">
        <w:t>Broadband VI</w:t>
      </w:r>
      <w:r w:rsidRPr="007C0B39">
        <w:rPr>
          <w:szCs w:val="22"/>
        </w:rPr>
        <w:t>’s Operating Procedures shall include internal procedures and policies specifically designed to ensure that</w:t>
      </w:r>
      <w:r w:rsidRPr="007C0B39" w:rsidR="00BE103C">
        <w:rPr>
          <w:szCs w:val="22"/>
        </w:rPr>
        <w:t xml:space="preserve"> </w:t>
      </w:r>
      <w:r w:rsidR="00F63691">
        <w:rPr>
          <w:szCs w:val="22"/>
        </w:rPr>
        <w:t>the Company complies with the Unauthorized Transfer Rules.</w:t>
      </w:r>
      <w:r w:rsidRPr="007C0B39">
        <w:rPr>
          <w:szCs w:val="22"/>
        </w:rPr>
        <w:t xml:space="preserve">  </w:t>
      </w:r>
      <w:r w:rsidR="00506BBE">
        <w:t>Broadband VI</w:t>
      </w:r>
      <w:r w:rsidRPr="007C0B39" w:rsidR="00302C38">
        <w:t xml:space="preserve"> </w:t>
      </w:r>
      <w:r w:rsidRPr="007C0B39">
        <w:rPr>
          <w:szCs w:val="22"/>
        </w:rPr>
        <w:t xml:space="preserve">shall also develop a Compliance Checklist that describes the steps </w:t>
      </w:r>
      <w:r w:rsidRPr="007C0B39" w:rsidR="006E4E12">
        <w:rPr>
          <w:szCs w:val="22"/>
        </w:rPr>
        <w:t xml:space="preserve">that </w:t>
      </w:r>
      <w:r w:rsidRPr="007C0B39">
        <w:rPr>
          <w:szCs w:val="22"/>
        </w:rPr>
        <w:t xml:space="preserve">a Covered Employee must follow to ensure compliance </w:t>
      </w:r>
      <w:r w:rsidRPr="007C0B39" w:rsidR="00302C38">
        <w:rPr>
          <w:szCs w:val="22"/>
        </w:rPr>
        <w:t xml:space="preserve">with the </w:t>
      </w:r>
      <w:r w:rsidR="00F63691">
        <w:rPr>
          <w:szCs w:val="22"/>
        </w:rPr>
        <w:t>Unauthorized Transfer</w:t>
      </w:r>
      <w:r w:rsidRPr="007C0B39">
        <w:rPr>
          <w:szCs w:val="22"/>
        </w:rPr>
        <w:t xml:space="preserve"> Rules.</w:t>
      </w:r>
    </w:p>
    <w:p w:rsidR="0055035F" w:rsidRPr="007C0B39" w:rsidP="003E746E" w14:paraId="6FE894D7" w14:textId="2E598447">
      <w:pPr>
        <w:widowControl/>
        <w:numPr>
          <w:ilvl w:val="0"/>
          <w:numId w:val="6"/>
        </w:numPr>
        <w:tabs>
          <w:tab w:val="clear" w:pos="1656"/>
        </w:tabs>
        <w:spacing w:after="120"/>
        <w:ind w:left="1886"/>
        <w:rPr>
          <w:szCs w:val="22"/>
        </w:rPr>
      </w:pPr>
      <w:r w:rsidRPr="007C0B39">
        <w:rPr>
          <w:b/>
          <w:szCs w:val="22"/>
          <w:u w:val="single"/>
        </w:rPr>
        <w:t>Compliance Manual</w:t>
      </w:r>
      <w:r w:rsidRPr="007C0B39">
        <w:rPr>
          <w:szCs w:val="22"/>
        </w:rPr>
        <w:t>.  Within sixty (60) calendar days after the Effective Date, the Compliance Officer shall develop and distribute a Compliance Manual to all Covered Employees.  The Compliance Manua</w:t>
      </w:r>
      <w:r w:rsidRPr="00E8133D">
        <w:rPr>
          <w:szCs w:val="22"/>
        </w:rPr>
        <w:t>l</w:t>
      </w:r>
      <w:r w:rsidRPr="00E8133D" w:rsidR="00302C38">
        <w:rPr>
          <w:szCs w:val="22"/>
        </w:rPr>
        <w:t xml:space="preserve"> shall explain</w:t>
      </w:r>
      <w:r w:rsidRPr="00E8133D" w:rsidR="00E8133D">
        <w:rPr>
          <w:szCs w:val="22"/>
        </w:rPr>
        <w:t xml:space="preserve"> </w:t>
      </w:r>
      <w:r w:rsidRPr="007C0B39" w:rsidR="00302C38">
        <w:rPr>
          <w:szCs w:val="22"/>
        </w:rPr>
        <w:t xml:space="preserve">the </w:t>
      </w:r>
      <w:r w:rsidR="00F63691">
        <w:rPr>
          <w:szCs w:val="22"/>
        </w:rPr>
        <w:t>Unauthorized Transfer</w:t>
      </w:r>
      <w:r w:rsidRPr="007C0B39">
        <w:rPr>
          <w:szCs w:val="22"/>
        </w:rPr>
        <w:t xml:space="preserve"> Rules and set forth the Operating Procedures that Covered Employees shall follow to help ensure </w:t>
      </w:r>
      <w:r w:rsidR="00506BBE">
        <w:t>Broadband VI</w:t>
      </w:r>
      <w:r w:rsidRPr="007C0B39" w:rsidR="00EA12C6">
        <w:rPr>
          <w:szCs w:val="22"/>
        </w:rPr>
        <w:t>’</w:t>
      </w:r>
      <w:r w:rsidRPr="007C0B39">
        <w:rPr>
          <w:szCs w:val="22"/>
        </w:rPr>
        <w:t>s co</w:t>
      </w:r>
      <w:r w:rsidRPr="007C0B39" w:rsidR="00302C38">
        <w:rPr>
          <w:szCs w:val="22"/>
        </w:rPr>
        <w:t xml:space="preserve">mpliance with the </w:t>
      </w:r>
      <w:r w:rsidR="00F63691">
        <w:rPr>
          <w:szCs w:val="22"/>
        </w:rPr>
        <w:t>Unauthorized Transfer</w:t>
      </w:r>
      <w:r w:rsidRPr="007C0B39" w:rsidR="00302C38">
        <w:rPr>
          <w:szCs w:val="22"/>
        </w:rPr>
        <w:t xml:space="preserve"> </w:t>
      </w:r>
      <w:r w:rsidRPr="007C0B39">
        <w:rPr>
          <w:szCs w:val="22"/>
        </w:rPr>
        <w:t xml:space="preserve">Rules.  </w:t>
      </w:r>
      <w:r w:rsidR="00506BBE">
        <w:t>Broadband VI</w:t>
      </w:r>
      <w:r w:rsidRPr="007C0B39" w:rsidR="00EA12C6">
        <w:rPr>
          <w:szCs w:val="22"/>
        </w:rPr>
        <w:t xml:space="preserve"> </w:t>
      </w:r>
      <w:r w:rsidRPr="007C0B39">
        <w:rPr>
          <w:szCs w:val="22"/>
        </w:rPr>
        <w:t xml:space="preserve">shall periodically review and revise the Compliance Manual as necessary to ensure that the information set forth therein remains current and accurate.  </w:t>
      </w:r>
      <w:r w:rsidR="00506BBE">
        <w:t>Broadband VI</w:t>
      </w:r>
      <w:r w:rsidRPr="007C0B39" w:rsidR="00EA12C6">
        <w:rPr>
          <w:szCs w:val="22"/>
        </w:rPr>
        <w:t xml:space="preserve"> </w:t>
      </w:r>
      <w:r w:rsidRPr="007C0B39">
        <w:rPr>
          <w:szCs w:val="22"/>
        </w:rPr>
        <w:t xml:space="preserve">shall distribute any revisions to the Compliance Manual promptly to </w:t>
      </w:r>
      <w:r w:rsidRPr="007C0B39" w:rsidR="006E4E12">
        <w:rPr>
          <w:szCs w:val="22"/>
        </w:rPr>
        <w:t xml:space="preserve">all </w:t>
      </w:r>
      <w:r w:rsidRPr="007C0B39">
        <w:rPr>
          <w:szCs w:val="22"/>
        </w:rPr>
        <w:t>Covered Employees.</w:t>
      </w:r>
    </w:p>
    <w:p w:rsidR="0055035F" w:rsidRPr="007C0B39" w:rsidP="003E746E" w14:paraId="48A2FB55" w14:textId="2CE55A91">
      <w:pPr>
        <w:widowControl/>
        <w:numPr>
          <w:ilvl w:val="0"/>
          <w:numId w:val="6"/>
        </w:numPr>
        <w:tabs>
          <w:tab w:val="clear" w:pos="1656"/>
        </w:tabs>
        <w:spacing w:after="120"/>
        <w:ind w:left="1886"/>
      </w:pPr>
      <w:r w:rsidRPr="007C0B39">
        <w:rPr>
          <w:b/>
          <w:szCs w:val="22"/>
          <w:u w:val="single"/>
        </w:rPr>
        <w:t>Compliance Training Program</w:t>
      </w:r>
      <w:r w:rsidRPr="007C0B39">
        <w:rPr>
          <w:szCs w:val="22"/>
        </w:rPr>
        <w:t xml:space="preserve">.  </w:t>
      </w:r>
      <w:r w:rsidR="00F63691">
        <w:rPr>
          <w:szCs w:val="22"/>
        </w:rPr>
        <w:t xml:space="preserve">Within sixty (60) calendar days, </w:t>
      </w:r>
      <w:r w:rsidR="00506BBE">
        <w:t>Broadband VI</w:t>
      </w:r>
      <w:r w:rsidRPr="007C0B39" w:rsidR="00EA12C6">
        <w:rPr>
          <w:szCs w:val="22"/>
        </w:rPr>
        <w:t xml:space="preserve"> </w:t>
      </w:r>
      <w:r w:rsidRPr="007C0B39">
        <w:rPr>
          <w:szCs w:val="22"/>
        </w:rPr>
        <w:t>shall establish and implement a Compliance Training Program on c</w:t>
      </w:r>
      <w:r w:rsidRPr="007C0B39" w:rsidR="00302C38">
        <w:rPr>
          <w:szCs w:val="22"/>
        </w:rPr>
        <w:t xml:space="preserve">ompliance with </w:t>
      </w:r>
      <w:r w:rsidR="00F63691">
        <w:rPr>
          <w:szCs w:val="22"/>
        </w:rPr>
        <w:t>the Unauthorized Transfer</w:t>
      </w:r>
      <w:r w:rsidRPr="007C0B39">
        <w:rPr>
          <w:szCs w:val="22"/>
        </w:rPr>
        <w:t xml:space="preserve"> Rules and the Operating Procedures.  As part of the Compliance Training Program, Covered Employees shall be advised of </w:t>
      </w:r>
      <w:r w:rsidR="00506BBE">
        <w:t>Broadband VI</w:t>
      </w:r>
      <w:r w:rsidRPr="007C0B39" w:rsidR="00EA12C6">
        <w:rPr>
          <w:szCs w:val="22"/>
        </w:rPr>
        <w:t>’</w:t>
      </w:r>
      <w:r w:rsidRPr="007C0B39">
        <w:rPr>
          <w:szCs w:val="22"/>
        </w:rPr>
        <w:t>s obligation to report any noncomplia</w:t>
      </w:r>
      <w:r w:rsidRPr="007C0B39" w:rsidR="00302C38">
        <w:rPr>
          <w:szCs w:val="22"/>
        </w:rPr>
        <w:t xml:space="preserve">nce with the </w:t>
      </w:r>
      <w:r w:rsidR="00F63691">
        <w:rPr>
          <w:szCs w:val="22"/>
        </w:rPr>
        <w:t>Unauthorized Transfer</w:t>
      </w:r>
      <w:r w:rsidRPr="007C0B39">
        <w:rPr>
          <w:szCs w:val="22"/>
        </w:rPr>
        <w:t xml:space="preserve"> Rules under </w:t>
      </w:r>
      <w:r w:rsidRPr="002320EB">
        <w:rPr>
          <w:szCs w:val="22"/>
        </w:rPr>
        <w:t xml:space="preserve">paragraph </w:t>
      </w:r>
      <w:r w:rsidRPr="002320EB" w:rsidR="0062080D">
        <w:rPr>
          <w:szCs w:val="22"/>
        </w:rPr>
        <w:t>14</w:t>
      </w:r>
      <w:r w:rsidRPr="007C0B39">
        <w:rPr>
          <w:szCs w:val="22"/>
        </w:rPr>
        <w:t xml:space="preserve"> of this Consent Decree and shall be instructed on how to disclose noncompliance to the Compliance Officer.  All Covered Employees shall be trained pursuant to the Compliance Training Program within sixty (</w:t>
      </w:r>
      <w:r w:rsidR="00F63691">
        <w:rPr>
          <w:szCs w:val="22"/>
        </w:rPr>
        <w:t>9</w:t>
      </w:r>
      <w:r w:rsidRPr="007C0B39">
        <w:rPr>
          <w:szCs w:val="22"/>
        </w:rPr>
        <w:t>0) calendar days after the Effe</w:t>
      </w:r>
      <w:r w:rsidRPr="007C0B39" w:rsidR="00302C38">
        <w:rPr>
          <w:szCs w:val="22"/>
        </w:rPr>
        <w:t>ctive Date, except</w:t>
      </w:r>
      <w:r w:rsidRPr="007C0B39" w:rsidR="00BD5BEC">
        <w:rPr>
          <w:szCs w:val="22"/>
        </w:rPr>
        <w:t xml:space="preserve"> that a</w:t>
      </w:r>
      <w:r w:rsidRPr="007C0B39">
        <w:rPr>
          <w:szCs w:val="22"/>
        </w:rPr>
        <w:t xml:space="preserve">ny person who becomes a Covered </w:t>
      </w:r>
      <w:r w:rsidRPr="007C0B39" w:rsidR="00036B37">
        <w:rPr>
          <w:szCs w:val="22"/>
        </w:rPr>
        <w:t>Employee at any time after the i</w:t>
      </w:r>
      <w:r w:rsidRPr="007C0B39">
        <w:rPr>
          <w:szCs w:val="22"/>
        </w:rPr>
        <w:t xml:space="preserve">nitial </w:t>
      </w:r>
      <w:r w:rsidRPr="007C0B39" w:rsidR="006F7147">
        <w:rPr>
          <w:szCs w:val="22"/>
        </w:rPr>
        <w:t xml:space="preserve">Compliance </w:t>
      </w:r>
      <w:r w:rsidRPr="007C0B39">
        <w:rPr>
          <w:szCs w:val="22"/>
        </w:rPr>
        <w:t xml:space="preserve">Training Program shall be trained within thirty (30) calendar days after the date such person becomes a Covered Employee.  </w:t>
      </w:r>
      <w:r w:rsidR="00506BBE">
        <w:t>Broadband VI</w:t>
      </w:r>
      <w:r w:rsidRPr="007C0B39" w:rsidR="00EA12C6">
        <w:rPr>
          <w:szCs w:val="22"/>
        </w:rPr>
        <w:t xml:space="preserve"> </w:t>
      </w:r>
      <w:r w:rsidRPr="007C0B39" w:rsidR="00036B37">
        <w:rPr>
          <w:szCs w:val="22"/>
        </w:rPr>
        <w:t>shall repeat</w:t>
      </w:r>
      <w:r w:rsidRPr="007C0B39">
        <w:rPr>
          <w:szCs w:val="22"/>
        </w:rPr>
        <w:t xml:space="preserve"> compliance training on an annual </w:t>
      </w:r>
      <w:r w:rsidRPr="007C0B39">
        <w:rPr>
          <w:szCs w:val="22"/>
        </w:rPr>
        <w:t>basis, and</w:t>
      </w:r>
      <w:r w:rsidRPr="007C0B39">
        <w:rPr>
          <w:szCs w:val="22"/>
        </w:rPr>
        <w:t xml:space="preserve"> shall periodically review and revise the Compliance Training Program as necessary to ensure that it remains current and complete and to enhance its effectiveness.</w:t>
      </w:r>
    </w:p>
    <w:p w:rsidR="00E02214" w:rsidRPr="007C0B39" w:rsidP="003E746E" w14:paraId="2F90D634" w14:textId="0E0B999C">
      <w:pPr>
        <w:pStyle w:val="ParaNum"/>
        <w:widowControl/>
      </w:pPr>
      <w:bookmarkStart w:id="10" w:name="_Ref321323028"/>
      <w:r w:rsidRPr="007C0B39">
        <w:rPr>
          <w:b/>
          <w:u w:val="single"/>
        </w:rPr>
        <w:t>Reporting Noncompliance</w:t>
      </w:r>
      <w:r w:rsidRPr="007C0B39">
        <w:t xml:space="preserve">.  </w:t>
      </w:r>
      <w:r w:rsidR="00506BBE">
        <w:t>Broadband VI</w:t>
      </w:r>
      <w:r w:rsidRPr="007C0B39" w:rsidR="00EA12C6">
        <w:t xml:space="preserve"> </w:t>
      </w:r>
      <w:r w:rsidRPr="007C0B39">
        <w:t xml:space="preserve">shall report any noncompliance with </w:t>
      </w:r>
      <w:r w:rsidR="00F63691">
        <w:t>the</w:t>
      </w:r>
      <w:r w:rsidRPr="007C0B39">
        <w:t xml:space="preserve"> </w:t>
      </w:r>
      <w:r w:rsidR="00F63691">
        <w:t>Unauthorized Transfer</w:t>
      </w:r>
      <w:r w:rsidRPr="007C0B39">
        <w:t xml:space="preserve"> Rules and with the terms and conditions of this Consent Decree within fifteen (15) calendar days after discovery of such noncompliance.  Such reports shall include a detailed explanation of</w:t>
      </w:r>
      <w:r w:rsidRPr="007C0B39" w:rsidR="008A7975">
        <w:t>:</w:t>
      </w:r>
      <w:r w:rsidRPr="007C0B39">
        <w:t xml:space="preserve"> </w:t>
      </w:r>
      <w:r w:rsidRPr="007C0B39" w:rsidR="008A7975">
        <w:t xml:space="preserve"> </w:t>
      </w:r>
      <w:r w:rsidRPr="007C0B39">
        <w:t>(</w:t>
      </w:r>
      <w:r w:rsidRPr="007C0B39">
        <w:t>i</w:t>
      </w:r>
      <w:r w:rsidRPr="007C0B39">
        <w:t xml:space="preserve">) each instance of noncompliance; (ii) the steps that </w:t>
      </w:r>
      <w:r w:rsidR="00506BBE">
        <w:t>Broadband VI</w:t>
      </w:r>
      <w:r w:rsidRPr="007C0B39" w:rsidR="003533DC">
        <w:t xml:space="preserve"> </w:t>
      </w:r>
      <w:r w:rsidRPr="007C0B39">
        <w:t>has taken or will take to remedy such noncompliance; (iii) the schedule on which such remedial actions will be taken; and (iv) the steps that</w:t>
      </w:r>
      <w:r w:rsidR="009C4501">
        <w:t xml:space="preserve"> </w:t>
      </w:r>
      <w:r w:rsidR="00506BBE">
        <w:t>Broadband VI</w:t>
      </w:r>
      <w:r w:rsidRPr="007C0B39" w:rsidR="00EA12C6">
        <w:t xml:space="preserve"> </w:t>
      </w:r>
      <w:r w:rsidRPr="007C0B39">
        <w:t>has taken or will take to prevent the recurrence of any such noncompliance.  All reports of noncompliance shall be submitted to</w:t>
      </w:r>
      <w:r w:rsidRPr="007C0B39" w:rsidR="00BE103C">
        <w:t xml:space="preserve"> </w:t>
      </w:r>
      <w:r w:rsidR="00F63691">
        <w:t xml:space="preserve">the Chief, Investigations </w:t>
      </w:r>
      <w:r w:rsidR="000B2885">
        <w:t xml:space="preserve">and </w:t>
      </w:r>
      <w:r w:rsidR="00F63691">
        <w:t xml:space="preserve">Hearings Division, Enforcement Bureau, Federal Communications Commission, 45 L Street NE, Washington, DC 20554, </w:t>
      </w:r>
      <w:r w:rsidRPr="007C0B39">
        <w:t xml:space="preserve">with a copy submitted electronically to </w:t>
      </w:r>
      <w:r w:rsidR="00F63691">
        <w:t xml:space="preserve">Jeffrey J. Gee at </w:t>
      </w:r>
      <w:hyperlink r:id="rId10" w:history="1">
        <w:r w:rsidRPr="000B2885" w:rsidR="000B2885">
          <w:rPr>
            <w:rStyle w:val="Hyperlink"/>
          </w:rPr>
          <w:t>Jeffrey.Gee@fcc.gov</w:t>
        </w:r>
      </w:hyperlink>
      <w:r w:rsidR="00F63691">
        <w:t xml:space="preserve"> and Victoria Randazzo at </w:t>
      </w:r>
      <w:hyperlink r:id="rId11" w:history="1">
        <w:r w:rsidRPr="006B7BE2" w:rsidR="00F63691">
          <w:rPr>
            <w:rStyle w:val="Hyperlink"/>
          </w:rPr>
          <w:t>Victoria.Randazzo@fcc.gov</w:t>
        </w:r>
      </w:hyperlink>
      <w:r w:rsidRPr="007C0B39">
        <w:t>.</w:t>
      </w:r>
      <w:bookmarkEnd w:id="10"/>
    </w:p>
    <w:p w:rsidR="00E02214" w:rsidRPr="007C0B39" w:rsidP="003E746E" w14:paraId="62765910" w14:textId="0C729777">
      <w:pPr>
        <w:pStyle w:val="ParaNum"/>
        <w:widowControl/>
        <w:rPr>
          <w:caps/>
        </w:rPr>
      </w:pPr>
      <w:bookmarkStart w:id="11" w:name="_Ref379202892"/>
      <w:r w:rsidRPr="007C0B39">
        <w:rPr>
          <w:b/>
          <w:u w:val="single"/>
        </w:rPr>
        <w:t>Compliance Reports</w:t>
      </w:r>
      <w:r w:rsidRPr="007C0B39">
        <w:t xml:space="preserve">.  </w:t>
      </w:r>
      <w:r w:rsidR="00506BBE">
        <w:t>Broadband VI</w:t>
      </w:r>
      <w:r w:rsidRPr="007C0B39" w:rsidR="003533DC">
        <w:t xml:space="preserve"> </w:t>
      </w:r>
      <w:r w:rsidRPr="007C0B39">
        <w:t xml:space="preserve">shall file </w:t>
      </w:r>
      <w:r w:rsidRPr="007C0B39" w:rsidR="00014484">
        <w:t>c</w:t>
      </w:r>
      <w:r w:rsidRPr="007C0B39">
        <w:t xml:space="preserve">ompliance </w:t>
      </w:r>
      <w:r w:rsidRPr="007C0B39" w:rsidR="00014484">
        <w:t>r</w:t>
      </w:r>
      <w:r w:rsidRPr="007C0B39">
        <w:t>eports with the Commission ninety (90) calendar days after the Effective Date, twelve (12) months after the Effective Date, twenty-four (24) months after the Effective Date, and thirty-six (36) months after the Effective Date.</w:t>
      </w:r>
      <w:bookmarkEnd w:id="11"/>
      <w:r w:rsidRPr="007C0B39" w:rsidR="003533DC">
        <w:t xml:space="preserve">  </w:t>
      </w:r>
    </w:p>
    <w:p w:rsidR="00E02214" w:rsidRPr="007C0B39" w:rsidP="003E746E" w14:paraId="7143A249" w14:textId="5547B30D">
      <w:pPr>
        <w:widowControl/>
        <w:numPr>
          <w:ilvl w:val="0"/>
          <w:numId w:val="7"/>
        </w:numPr>
        <w:tabs>
          <w:tab w:val="clear" w:pos="1782"/>
        </w:tabs>
        <w:spacing w:after="120"/>
        <w:ind w:left="1886"/>
        <w:rPr>
          <w:szCs w:val="22"/>
        </w:rPr>
      </w:pPr>
      <w:r w:rsidRPr="007C0B39">
        <w:rPr>
          <w:szCs w:val="22"/>
        </w:rPr>
        <w:t xml:space="preserve">Each Compliance Report shall include a detailed description of </w:t>
      </w:r>
      <w:r w:rsidR="00506BBE">
        <w:t>Broadband VI</w:t>
      </w:r>
      <w:r w:rsidRPr="007C0B39" w:rsidR="00EA12C6">
        <w:rPr>
          <w:szCs w:val="22"/>
        </w:rPr>
        <w:t>’</w:t>
      </w:r>
      <w:r w:rsidRPr="007C0B39">
        <w:rPr>
          <w:szCs w:val="22"/>
        </w:rPr>
        <w:t xml:space="preserve">s efforts during the relevant period to comply with the terms and conditions of this Consent Decree and the </w:t>
      </w:r>
      <w:r w:rsidR="00F63691">
        <w:rPr>
          <w:szCs w:val="22"/>
        </w:rPr>
        <w:t>Unauthorized Transfer</w:t>
      </w:r>
      <w:r w:rsidRPr="007C0B39">
        <w:rPr>
          <w:szCs w:val="22"/>
        </w:rPr>
        <w:t xml:space="preserve"> Rules.  In addition, each Compliance Report shall include a certification by the Compliance Officer, as an agent of and on behalf of </w:t>
      </w:r>
      <w:r w:rsidR="00506BBE">
        <w:t>Broadband VI</w:t>
      </w:r>
      <w:r w:rsidRPr="007C0B39">
        <w:rPr>
          <w:szCs w:val="22"/>
        </w:rPr>
        <w:t xml:space="preserve">, stating that the Compliance Officer has personal knowledge that </w:t>
      </w:r>
      <w:r w:rsidR="00506BBE">
        <w:t>Broadband VI</w:t>
      </w:r>
      <w:r w:rsidRPr="007C0B39" w:rsidR="003533DC">
        <w:t>:</w:t>
      </w:r>
      <w:r w:rsidRPr="007C0B39" w:rsidR="00EA12C6">
        <w:rPr>
          <w:szCs w:val="22"/>
        </w:rPr>
        <w:t xml:space="preserve"> </w:t>
      </w:r>
      <w:r w:rsidRPr="007C0B39" w:rsidR="003533DC">
        <w:rPr>
          <w:szCs w:val="22"/>
        </w:rPr>
        <w:t xml:space="preserve"> </w:t>
      </w:r>
      <w:r w:rsidRPr="007C0B39">
        <w:rPr>
          <w:szCs w:val="22"/>
        </w:rPr>
        <w:t>(</w:t>
      </w:r>
      <w:r w:rsidRPr="007C0B39">
        <w:rPr>
          <w:szCs w:val="22"/>
        </w:rPr>
        <w:t>i</w:t>
      </w:r>
      <w:r w:rsidRPr="007C0B39">
        <w:rPr>
          <w:szCs w:val="22"/>
        </w:rPr>
        <w:t xml:space="preserve">)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w:t>
      </w:r>
      <w:r w:rsidRPr="002320EB">
        <w:rPr>
          <w:szCs w:val="22"/>
        </w:rPr>
        <w:t xml:space="preserve">paragraph </w:t>
      </w:r>
      <w:r w:rsidRPr="002320EB" w:rsidR="0062080D">
        <w:rPr>
          <w:szCs w:val="22"/>
        </w:rPr>
        <w:t>14</w:t>
      </w:r>
      <w:r w:rsidRPr="007C0B39">
        <w:rPr>
          <w:b/>
          <w:szCs w:val="22"/>
        </w:rPr>
        <w:t xml:space="preserve"> </w:t>
      </w:r>
      <w:r w:rsidRPr="007C0B39">
        <w:rPr>
          <w:szCs w:val="22"/>
        </w:rPr>
        <w:t>of this Consent Decree.</w:t>
      </w:r>
    </w:p>
    <w:p w:rsidR="00E02214" w:rsidRPr="007C0B39" w:rsidP="003E746E" w14:paraId="4AB5C4CD" w14:textId="77777777">
      <w:pPr>
        <w:widowControl/>
        <w:numPr>
          <w:ilvl w:val="0"/>
          <w:numId w:val="7"/>
        </w:numPr>
        <w:tabs>
          <w:tab w:val="clear" w:pos="1782"/>
        </w:tabs>
        <w:spacing w:after="120"/>
        <w:ind w:left="1886"/>
        <w:rPr>
          <w:szCs w:val="22"/>
        </w:rPr>
      </w:pPr>
      <w:r w:rsidRPr="007C0B39">
        <w:rPr>
          <w:szCs w:val="22"/>
        </w:rPr>
        <w:t xml:space="preserve">The Compliance Officer’s certification shall be accompanied by a statement explaining the basis for such certification and shall comply with </w:t>
      </w:r>
      <w:r w:rsidR="00605853">
        <w:rPr>
          <w:szCs w:val="22"/>
        </w:rPr>
        <w:t>s</w:t>
      </w:r>
      <w:r w:rsidRPr="007C0B39">
        <w:rPr>
          <w:szCs w:val="22"/>
        </w:rPr>
        <w:t>ection 1.16 of the Rules and be subscribed to as true under penalty of perjury in substantially the form set forth therein.</w:t>
      </w:r>
      <w:r>
        <w:rPr>
          <w:rStyle w:val="FootnoteReference"/>
          <w:szCs w:val="22"/>
        </w:rPr>
        <w:footnoteReference w:id="15"/>
      </w:r>
    </w:p>
    <w:p w:rsidR="00E02214" w:rsidRPr="007C0B39" w:rsidP="003E746E" w14:paraId="3A4BD719" w14:textId="2CB15062">
      <w:pPr>
        <w:widowControl/>
        <w:numPr>
          <w:ilvl w:val="0"/>
          <w:numId w:val="7"/>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sidR="00506BBE">
        <w:t>Broadband VI</w:t>
      </w:r>
      <w:r w:rsidRPr="007C0B39">
        <w:rPr>
          <w:szCs w:val="22"/>
        </w:rPr>
        <w:t>, shall provide the Commission with a detailed explanation of the reason(s) why and describe fully</w:t>
      </w:r>
      <w:r w:rsidRPr="007C0B39" w:rsidR="003533DC">
        <w:rPr>
          <w:szCs w:val="22"/>
        </w:rPr>
        <w:t>:</w:t>
      </w:r>
      <w:r w:rsidRPr="007C0B39">
        <w:rPr>
          <w:szCs w:val="22"/>
        </w:rPr>
        <w:t xml:space="preserve"> </w:t>
      </w:r>
      <w:r w:rsidRPr="007C0B39" w:rsidR="003533DC">
        <w:rPr>
          <w:szCs w:val="22"/>
        </w:rPr>
        <w:t xml:space="preserve"> </w:t>
      </w:r>
      <w:r w:rsidRPr="007C0B39">
        <w:rPr>
          <w:szCs w:val="22"/>
        </w:rPr>
        <w:t>(</w:t>
      </w:r>
      <w:r w:rsidRPr="007C0B39">
        <w:rPr>
          <w:szCs w:val="22"/>
        </w:rPr>
        <w:t>i</w:t>
      </w:r>
      <w:r w:rsidRPr="007C0B39">
        <w:rPr>
          <w:szCs w:val="22"/>
        </w:rPr>
        <w:t xml:space="preserve">) each instance of noncompliance; (ii) the steps that </w:t>
      </w:r>
      <w:r w:rsidR="00506BBE">
        <w:t>Broadband VI</w:t>
      </w:r>
      <w:r w:rsidRPr="007C0B39">
        <w:rPr>
          <w:szCs w:val="22"/>
        </w:rPr>
        <w:t xml:space="preserve"> has taken or will take to remedy such noncompliance, including the schedule on which proposed remedial actions will be taken; and (iii) the steps that </w:t>
      </w:r>
      <w:r w:rsidR="00506BBE">
        <w:t>Broadband VI</w:t>
      </w:r>
      <w:r w:rsidRPr="007C0B39">
        <w:rPr>
          <w:szCs w:val="22"/>
        </w:rPr>
        <w:t xml:space="preserve"> has taken or will take to prevent the recurrence of any such noncompliance, including the schedule on which such preventive action will be taken.</w:t>
      </w:r>
    </w:p>
    <w:p w:rsidR="003533DC" w:rsidRPr="007C0B39" w:rsidP="003E746E" w14:paraId="0A879FC5" w14:textId="304D9F22">
      <w:pPr>
        <w:widowControl/>
        <w:numPr>
          <w:ilvl w:val="0"/>
          <w:numId w:val="7"/>
        </w:numPr>
        <w:tabs>
          <w:tab w:val="clear" w:pos="1782"/>
        </w:tabs>
        <w:spacing w:after="120"/>
        <w:ind w:left="1886" w:hanging="450"/>
        <w:rPr>
          <w:szCs w:val="22"/>
        </w:rPr>
      </w:pPr>
      <w:r w:rsidRPr="007C0B39">
        <w:rPr>
          <w:szCs w:val="22"/>
        </w:rPr>
        <w:t>All Compliance Reports shall be submitted</w:t>
      </w:r>
      <w:r w:rsidRPr="00CE2DE2" w:rsidR="00CE2DE2">
        <w:t xml:space="preserve"> </w:t>
      </w:r>
      <w:r w:rsidR="00CE2DE2">
        <w:t xml:space="preserve">to the Chief, Investigations &amp; Hearings Division, Enforcement Bureau, Federal Communications Commission, 45 L Street NE, Washington, DC 20554, </w:t>
      </w:r>
      <w:r w:rsidRPr="007C0B39" w:rsidR="00CE2DE2">
        <w:t xml:space="preserve">with a copy submitted electronically to </w:t>
      </w:r>
      <w:r w:rsidR="00CE2DE2">
        <w:t xml:space="preserve">Jeffrey J. Gee at </w:t>
      </w:r>
      <w:hyperlink r:id="rId10" w:history="1">
        <w:r w:rsidRPr="000B2885" w:rsidR="000B2885">
          <w:rPr>
            <w:rStyle w:val="Hyperlink"/>
          </w:rPr>
          <w:t>Jeffrey.Gee@fcc.gov</w:t>
        </w:r>
      </w:hyperlink>
      <w:r w:rsidR="00CE2DE2">
        <w:t xml:space="preserve"> and Victoria Randazzo at </w:t>
      </w:r>
      <w:hyperlink r:id="rId11" w:history="1">
        <w:r w:rsidRPr="006B7BE2" w:rsidR="00CE2DE2">
          <w:rPr>
            <w:rStyle w:val="Hyperlink"/>
          </w:rPr>
          <w:t>Victoria.Randazzo@fcc.gov</w:t>
        </w:r>
      </w:hyperlink>
      <w:r w:rsidRPr="007C0B39" w:rsidR="00CE2DE2">
        <w:t>.</w:t>
      </w:r>
    </w:p>
    <w:p w:rsidR="006F66EF" w:rsidRPr="006F66EF" w:rsidP="003E746E" w14:paraId="5349175A" w14:textId="7BFAA13E">
      <w:pPr>
        <w:pStyle w:val="ParaNum"/>
        <w:widowControl/>
        <w:rPr>
          <w:iCs/>
          <w:szCs w:val="22"/>
        </w:rPr>
      </w:pPr>
      <w:r w:rsidRPr="006F66EF">
        <w:rPr>
          <w:b/>
          <w:szCs w:val="22"/>
          <w:u w:val="single"/>
        </w:rPr>
        <w:t>Termination Date</w:t>
      </w:r>
      <w:r w:rsidRPr="006F66EF">
        <w:rPr>
          <w:szCs w:val="22"/>
        </w:rPr>
        <w:t xml:space="preserve">. </w:t>
      </w:r>
      <w:r w:rsidRPr="006F66EF">
        <w:rPr>
          <w:b/>
          <w:szCs w:val="22"/>
        </w:rPr>
        <w:t xml:space="preserve"> </w:t>
      </w:r>
      <w:r w:rsidRPr="006F66EF">
        <w:rPr>
          <w:szCs w:val="22"/>
        </w:rPr>
        <w:t xml:space="preserve">Unless stated otherwise, the </w:t>
      </w:r>
      <w:r w:rsidRPr="006F66EF" w:rsidR="00C3652C">
        <w:t>requirement</w:t>
      </w:r>
      <w:r w:rsidRPr="006F66EF">
        <w:t>s</w:t>
      </w:r>
      <w:r w:rsidRPr="006F66EF">
        <w:rPr>
          <w:szCs w:val="22"/>
        </w:rPr>
        <w:t xml:space="preserve"> set forth in </w:t>
      </w:r>
      <w:r w:rsidRPr="002320EB">
        <w:rPr>
          <w:szCs w:val="22"/>
        </w:rPr>
        <w:t xml:space="preserve">paragraphs </w:t>
      </w:r>
      <w:r w:rsidRPr="002320EB" w:rsidR="0062080D">
        <w:rPr>
          <w:szCs w:val="22"/>
        </w:rPr>
        <w:t>12</w:t>
      </w:r>
      <w:r w:rsidRPr="002320EB">
        <w:rPr>
          <w:szCs w:val="22"/>
        </w:rPr>
        <w:t xml:space="preserve"> through </w:t>
      </w:r>
      <w:r w:rsidRPr="002320EB" w:rsidR="0062080D">
        <w:rPr>
          <w:szCs w:val="22"/>
        </w:rPr>
        <w:t>15</w:t>
      </w:r>
      <w:r w:rsidRPr="006F66EF">
        <w:rPr>
          <w:szCs w:val="22"/>
        </w:rPr>
        <w:t xml:space="preserve"> of this Consent Decree shall expire thirty-six (36) months after the Effective Date.</w:t>
      </w:r>
    </w:p>
    <w:p w:rsidR="00E02214" w:rsidRPr="006F66EF" w:rsidP="003E746E" w14:paraId="434CC895" w14:textId="47981926">
      <w:pPr>
        <w:pStyle w:val="ParaNum"/>
        <w:widowControl/>
        <w:rPr>
          <w:iCs/>
          <w:szCs w:val="22"/>
        </w:rPr>
      </w:pPr>
      <w:r w:rsidRPr="006F66EF">
        <w:rPr>
          <w:b/>
          <w:iCs/>
          <w:u w:val="single"/>
        </w:rPr>
        <w:t>Section 208 Complaints; Subsequent Investigations</w:t>
      </w:r>
      <w:r w:rsidRPr="006F66EF">
        <w:rPr>
          <w:iCs/>
        </w:rPr>
        <w:t xml:space="preserve">.  Nothing in this Consent Decree shall prevent the Commission or its delegated authority from adjudicating complaints filed pursuant to </w:t>
      </w:r>
      <w:r w:rsidRPr="006F66EF" w:rsidR="00605853">
        <w:rPr>
          <w:iCs/>
        </w:rPr>
        <w:t>s</w:t>
      </w:r>
      <w:r w:rsidRPr="006F66EF">
        <w:rPr>
          <w:iCs/>
        </w:rPr>
        <w:t>ection 208 of the Act</w:t>
      </w:r>
      <w:r>
        <w:rPr>
          <w:rStyle w:val="FootnoteReference"/>
          <w:iCs/>
          <w:szCs w:val="22"/>
        </w:rPr>
        <w:footnoteReference w:id="16"/>
      </w:r>
      <w:r w:rsidRPr="006F66EF">
        <w:rPr>
          <w:iCs/>
        </w:rPr>
        <w:t xml:space="preserve"> against </w:t>
      </w:r>
      <w:r w:rsidRPr="006F66EF" w:rsidR="00506BBE">
        <w:rPr>
          <w:iCs/>
          <w:szCs w:val="22"/>
        </w:rPr>
        <w:t>Broadband VI</w:t>
      </w:r>
      <w:r w:rsidRPr="006F66EF" w:rsidR="00EA12C6">
        <w:rPr>
          <w:iCs/>
          <w:szCs w:val="22"/>
        </w:rPr>
        <w:t xml:space="preserve"> </w:t>
      </w:r>
      <w:r w:rsidRPr="006F66EF">
        <w:rPr>
          <w:iCs/>
        </w:rPr>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Pr="006F66EF" w:rsidR="00506BBE">
        <w:rPr>
          <w:iCs/>
        </w:rPr>
        <w:t>Broadband VI</w:t>
      </w:r>
      <w:r w:rsidRPr="006F66EF" w:rsidR="00EA12C6">
        <w:rPr>
          <w:iCs/>
        </w:rPr>
        <w:t xml:space="preserve"> </w:t>
      </w:r>
      <w:r w:rsidRPr="006F66EF">
        <w:rPr>
          <w:iCs/>
        </w:rPr>
        <w:t xml:space="preserve">with the </w:t>
      </w:r>
      <w:r w:rsidR="003870E3">
        <w:rPr>
          <w:iCs/>
        </w:rPr>
        <w:t>Unauthorized Transfer Rules</w:t>
      </w:r>
      <w:r w:rsidRPr="009D3294" w:rsidR="006D2C6E">
        <w:rPr>
          <w:iCs/>
        </w:rPr>
        <w:t>.</w:t>
      </w:r>
      <w:r w:rsidRPr="009D3294" w:rsidR="007B0D37">
        <w:rPr>
          <w:b/>
        </w:rPr>
        <w:t xml:space="preserve"> </w:t>
      </w:r>
    </w:p>
    <w:p w:rsidR="0088350A" w:rsidRPr="00CF6886" w:rsidP="003E746E" w14:paraId="2A173090" w14:textId="320D6A8E">
      <w:pPr>
        <w:pStyle w:val="ParaNum"/>
        <w:widowControl/>
        <w:rPr>
          <w:iCs/>
        </w:rPr>
      </w:pPr>
      <w:bookmarkStart w:id="12" w:name="_Ref357521957"/>
      <w:r>
        <w:rPr>
          <w:b/>
          <w:iCs/>
          <w:u w:val="single"/>
        </w:rPr>
        <w:t>Civil Penalty</w:t>
      </w:r>
      <w:r w:rsidRPr="00CF6886" w:rsidR="00E02214">
        <w:rPr>
          <w:iCs/>
        </w:rPr>
        <w:t>.</w:t>
      </w:r>
      <w:r w:rsidRPr="007C0B39" w:rsidR="00E02214">
        <w:t xml:space="preserve">  </w:t>
      </w:r>
      <w:r w:rsidR="00506BBE">
        <w:t>Broadband VI</w:t>
      </w:r>
      <w:r w:rsidRPr="007C0B39" w:rsidR="003C4A20">
        <w:t xml:space="preserve"> </w:t>
      </w:r>
      <w:r w:rsidRPr="007C0B39" w:rsidR="003533DC">
        <w:t xml:space="preserve">will </w:t>
      </w:r>
      <w:r w:rsidRPr="007C0B39" w:rsidR="00276A71">
        <w:t xml:space="preserve">pay a </w:t>
      </w:r>
      <w:r>
        <w:t>civil penalty</w:t>
      </w:r>
      <w:r w:rsidR="00B02746">
        <w:t xml:space="preserve"> </w:t>
      </w:r>
      <w:r w:rsidRPr="007C0B39" w:rsidR="00E02214">
        <w:t xml:space="preserve">to the United States Treasury in the amount of </w:t>
      </w:r>
      <w:r w:rsidR="00F365F4">
        <w:t>Twenty-Eight Thousand</w:t>
      </w:r>
      <w:r w:rsidR="00E8133D">
        <w:t xml:space="preserve"> dollars</w:t>
      </w:r>
      <w:r w:rsidR="00F365F4">
        <w:t xml:space="preserve"> </w:t>
      </w:r>
      <w:r w:rsidRPr="002755D1" w:rsidR="00E02214">
        <w:t>($</w:t>
      </w:r>
      <w:r w:rsidR="00F365F4">
        <w:t>28,000</w:t>
      </w:r>
      <w:r w:rsidRPr="002755D1" w:rsidR="00E02214">
        <w:rPr>
          <w:szCs w:val="22"/>
        </w:rPr>
        <w:t>)</w:t>
      </w:r>
      <w:r w:rsidR="00B64D45">
        <w:t xml:space="preserve"> </w:t>
      </w:r>
      <w:r w:rsidRPr="00B64D45" w:rsidR="00F82AC0">
        <w:rPr>
          <w:iCs/>
        </w:rPr>
        <w:t>within thirty (30) calendar days of the Effective Date</w:t>
      </w:r>
      <w:r w:rsidR="00B64D45">
        <w:rPr>
          <w:iCs/>
        </w:rPr>
        <w:t>.</w:t>
      </w:r>
      <w:r w:rsidR="00CF6886">
        <w:rPr>
          <w:iCs/>
        </w:rPr>
        <w:t xml:space="preserve">  </w:t>
      </w:r>
      <w:r w:rsidRPr="00CF6886" w:rsidR="00506BBE">
        <w:rPr>
          <w:szCs w:val="22"/>
        </w:rPr>
        <w:t>Broadband VI</w:t>
      </w:r>
      <w:r w:rsidRPr="00CF6886" w:rsidR="000F779D">
        <w:rPr>
          <w:szCs w:val="22"/>
        </w:rPr>
        <w:t xml:space="preserve"> acknowledges and agrees that upon execution of this Consent Decree, the </w:t>
      </w:r>
      <w:r>
        <w:rPr>
          <w:szCs w:val="22"/>
        </w:rPr>
        <w:t>Civil Penalty</w:t>
      </w:r>
      <w:r w:rsidR="00B02746">
        <w:rPr>
          <w:szCs w:val="22"/>
        </w:rPr>
        <w:t xml:space="preserve"> </w:t>
      </w:r>
      <w:r w:rsidRPr="00CF6886" w:rsidR="000F779D">
        <w:rPr>
          <w:szCs w:val="22"/>
        </w:rPr>
        <w:t>shall become a “Claim” or “Debt” as defined in 31 U.S.C. § 3701(b)(1).</w:t>
      </w:r>
      <w:r>
        <w:rPr>
          <w:rStyle w:val="FootnoteReference"/>
          <w:szCs w:val="22"/>
        </w:rPr>
        <w:footnoteReference w:id="17"/>
      </w:r>
      <w:r w:rsidRPr="00CF6886" w:rsidR="000F779D">
        <w:rPr>
          <w:szCs w:val="22"/>
        </w:rPr>
        <w:t xml:space="preserve">  Upon an Event of Default, all procedures for collection as permitted by law may, at the Commission’s discretion, be initiated.</w:t>
      </w:r>
      <w:r w:rsidRPr="00CF6886" w:rsidR="003E1218">
        <w:rPr>
          <w:szCs w:val="22"/>
        </w:rPr>
        <w:t xml:space="preserve">  </w:t>
      </w:r>
      <w:r w:rsidR="00506BBE">
        <w:t>Broadband VI</w:t>
      </w:r>
      <w:r w:rsidRPr="00CF6886" w:rsidR="00F82AC0">
        <w:rPr>
          <w:szCs w:val="22"/>
        </w:rPr>
        <w:t xml:space="preserve"> </w:t>
      </w:r>
      <w:r w:rsidRPr="007C0B39" w:rsidR="00F82AC0">
        <w:t xml:space="preserve">shall send electronic notification of payment to </w:t>
      </w:r>
      <w:r w:rsidR="00B64D45">
        <w:t xml:space="preserve">Jeffrey J. Gee at </w:t>
      </w:r>
      <w:hyperlink r:id="rId10" w:history="1">
        <w:r w:rsidRPr="00B02746" w:rsidR="00B02746">
          <w:rPr>
            <w:rStyle w:val="Hyperlink"/>
          </w:rPr>
          <w:t>Jeffrey.Gee@fcc.gov</w:t>
        </w:r>
      </w:hyperlink>
      <w:r w:rsidR="00B64D45">
        <w:t xml:space="preserve"> and Victoria Ra</w:t>
      </w:r>
      <w:r w:rsidR="00104121">
        <w:t>n</w:t>
      </w:r>
      <w:r w:rsidR="00B64D45">
        <w:t>d</w:t>
      </w:r>
      <w:r w:rsidR="00104121">
        <w:t>azzo</w:t>
      </w:r>
      <w:r w:rsidR="00F63691">
        <w:t xml:space="preserve"> </w:t>
      </w:r>
      <w:r w:rsidR="00B64D45">
        <w:t xml:space="preserve">at </w:t>
      </w:r>
      <w:hyperlink r:id="rId11" w:history="1">
        <w:r w:rsidRPr="006B7BE2" w:rsidR="00104121">
          <w:rPr>
            <w:rStyle w:val="Hyperlink"/>
          </w:rPr>
          <w:t>Victoria.Randazzo@fcc.gov</w:t>
        </w:r>
      </w:hyperlink>
      <w:r w:rsidR="00B64D45">
        <w:t xml:space="preserve"> </w:t>
      </w:r>
      <w:r w:rsidRPr="007C0B39" w:rsidR="00F82AC0">
        <w:t xml:space="preserve">on the date said payment is made.  </w:t>
      </w:r>
      <w:r w:rsidRPr="00AD0726">
        <w:t xml:space="preserve">Payment of the </w:t>
      </w:r>
      <w:r>
        <w:t>Civil Penalty</w:t>
      </w:r>
      <w:r w:rsidR="00B02746">
        <w:t xml:space="preserve"> </w:t>
      </w:r>
      <w:r w:rsidRPr="00AD0726">
        <w:t xml:space="preserve">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18"/>
      </w:r>
      <w:r w:rsidRPr="00AD0726">
        <w:t xml:space="preserve"> or by wire transfer.  </w:t>
      </w:r>
      <w:r>
        <w:t xml:space="preserve">The Commission no longer accepts </w:t>
      </w:r>
      <w:r>
        <w:t>Civil Penalty</w:t>
      </w:r>
      <w:r>
        <w:t xml:space="preserve">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19"/>
      </w:r>
      <w:r w:rsidRPr="00AD0726">
        <w:t xml:space="preserve"> </w:t>
      </w:r>
    </w:p>
    <w:p w:rsidR="0088350A" w:rsidRPr="00AD0726" w:rsidP="003E746E" w14:paraId="56AEC31A" w14:textId="77777777">
      <w:pPr>
        <w:widowControl/>
        <w:numPr>
          <w:ilvl w:val="0"/>
          <w:numId w:val="31"/>
        </w:numPr>
        <w:spacing w:after="120"/>
      </w:pPr>
      <w:r w:rsidRPr="00AD0726">
        <w:t xml:space="preserve">Payment by wire transfer must be made to ABA Number 021030004, receiving bank TREAS/NYC, and Account Number 27000001.  A completed Form 159 must be faxed to the Federal Communications Commission at 202-418-2843 or e-mailed to </w:t>
      </w:r>
      <w:r w:rsidRPr="001F25BC">
        <w:rPr>
          <w:rStyle w:val="Hyperlink"/>
          <w:rFonts w:eastAsiaTheme="minorHAnsi"/>
          <w:kern w:val="0"/>
        </w:rPr>
        <w:t>RROGWireFaxes@fcc.gov</w:t>
      </w:r>
      <w:r w:rsidRPr="00AD0726">
        <w:t xml:space="preserve"> 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“FORF” 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20"/>
      </w:r>
      <w:r w:rsidRPr="00AD0726">
        <w:t xml:space="preserve">  For additional detail and wire transfer instructions</w:t>
      </w:r>
      <w:r>
        <w:t>,</w:t>
      </w:r>
      <w:r w:rsidRPr="00AD0726">
        <w:t xml:space="preserve"> go to </w:t>
      </w:r>
      <w:hyperlink r:id="rId12" w:history="1">
        <w:r w:rsidRPr="0088797D">
          <w:rPr>
            <w:rStyle w:val="Hyperlink"/>
            <w:rFonts w:eastAsiaTheme="minorHAnsi"/>
            <w:kern w:val="0"/>
          </w:rPr>
          <w:t>https://www.fcc.gov/licensing-databases/fees/wire-transfer</w:t>
        </w:r>
      </w:hyperlink>
      <w:r w:rsidRPr="00AD0726">
        <w:t xml:space="preserve">.  </w:t>
      </w:r>
    </w:p>
    <w:p w:rsidR="0088350A" w:rsidRPr="00AD0726" w:rsidP="003E746E" w14:paraId="097F9E88" w14:textId="16B85822">
      <w:pPr>
        <w:widowControl/>
        <w:numPr>
          <w:ilvl w:val="0"/>
          <w:numId w:val="31"/>
        </w:numPr>
        <w:spacing w:after="120"/>
      </w:pPr>
      <w:r w:rsidRPr="00AD0726">
        <w:t xml:space="preserve">Payment by credit card must be made by using the </w:t>
      </w:r>
      <w:r>
        <w:t xml:space="preserve">Commission’s </w:t>
      </w:r>
      <w:r w:rsidRPr="00AD0726">
        <w:t xml:space="preserve">Fee Filer website at </w:t>
      </w:r>
      <w:hyperlink r:id="rId13" w:history="1">
        <w:r w:rsidRPr="0088797D">
          <w:rPr>
            <w:rStyle w:val="Hyperlink"/>
          </w:rPr>
          <w:t>https://apps.fcc.gov/FeeFiler/login.cfm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w:t>
      </w:r>
      <w:r w:rsidR="007E75EC">
        <w:t xml:space="preserve">CD </w:t>
      </w:r>
      <w:r w:rsidRPr="00AD0726">
        <w:t>Acct</w:t>
      </w:r>
      <w:r w:rsidR="007E75EC">
        <w:t>. No.</w:t>
      </w:r>
      <w:r w:rsidRPr="00AD0726">
        <w:t xml:space="preserve"> – the bill number is the</w:t>
      </w:r>
      <w:r w:rsidR="00620F5E">
        <w:t xml:space="preserve"> </w:t>
      </w:r>
      <w:r w:rsidR="007E75EC">
        <w:t>CD</w:t>
      </w:r>
      <w:r w:rsidRPr="00AD0726">
        <w:t xml:space="preserve"> Acct</w:t>
      </w:r>
      <w:r w:rsidR="007E75EC">
        <w:t>. No.</w:t>
      </w:r>
      <w:r w:rsidRPr="00AD0726">
        <w:t xml:space="preserve"> with the first two digits excluded</w:t>
      </w:r>
      <w:r>
        <w:t xml:space="preserve"> – and then choose </w:t>
      </w:r>
      <w:r w:rsidRPr="00AD0726">
        <w:t xml:space="preserve">the “Pay by Credit Card” option.  </w:t>
      </w:r>
      <w:r w:rsidR="00F1082C">
        <w:t>IMPORTANT NOTE:</w:t>
      </w:r>
      <w:r w:rsidRPr="00AD0726">
        <w:t xml:space="preserve"> there is a $24,999.99</w:t>
      </w:r>
      <w:r>
        <w:t xml:space="preserve"> </w:t>
      </w:r>
      <w:r w:rsidRPr="00AD0726">
        <w:t>limit on credit card transactions.</w:t>
      </w:r>
    </w:p>
    <w:p w:rsidR="008D216B" w:rsidP="003E746E" w14:paraId="7FF171F6" w14:textId="2BE4F46A">
      <w:pPr>
        <w:widowControl/>
        <w:numPr>
          <w:ilvl w:val="0"/>
          <w:numId w:val="31"/>
        </w:numPr>
        <w:spacing w:after="120"/>
      </w:pPr>
      <w:r w:rsidRPr="00AD0726">
        <w:t>Payment by ACH</w:t>
      </w:r>
      <w:r>
        <w:t xml:space="preserve"> </w:t>
      </w:r>
      <w:r w:rsidRPr="00AD0726">
        <w:t xml:space="preserve">must be made by using the Commission’s Fee Filer website at </w:t>
      </w:r>
      <w:hyperlink r:id="rId13" w:history="1">
        <w:r w:rsidRPr="0088797D">
          <w:rPr>
            <w:rStyle w:val="Hyperlink"/>
            <w:rFonts w:eastAsiaTheme="minorHAnsi"/>
            <w:kern w:val="0"/>
          </w:rPr>
          <w:t>https://apps.fcc.gov/FeeFiler/login.cfm</w:t>
        </w:r>
      </w:hyperlink>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this process for each FRN. </w:t>
      </w:r>
      <w:r>
        <w:t xml:space="preserve"> Next, </w:t>
      </w:r>
      <w:r w:rsidRPr="00AD0726">
        <w:t xml:space="preserve">select “Pay bills” on the Fee Filer Menu and then select the bill number associated </w:t>
      </w:r>
      <w:r w:rsidR="00F1082C">
        <w:t>with</w:t>
      </w:r>
      <w:r w:rsidRPr="00AD0726">
        <w:t xml:space="preserve"> the </w:t>
      </w:r>
      <w:r w:rsidR="007E75EC">
        <w:t>CD</w:t>
      </w:r>
      <w:r w:rsidRPr="00AD0726">
        <w:t xml:space="preserve"> Acct</w:t>
      </w:r>
      <w:r w:rsidR="007E75EC">
        <w:t>. No.</w:t>
      </w:r>
      <w:r w:rsidRPr="00AD0726">
        <w:t xml:space="preserve"> – the bill number is the </w:t>
      </w:r>
      <w:r w:rsidR="00FC7E4A">
        <w:t xml:space="preserve">CD </w:t>
      </w:r>
      <w:r w:rsidRPr="00AD0726">
        <w:t>Acct</w:t>
      </w:r>
      <w:r w:rsidR="007E75EC">
        <w:t>.</w:t>
      </w:r>
      <w:r w:rsidRPr="00AD0726">
        <w:t xml:space="preserve"> </w:t>
      </w:r>
      <w:r w:rsidR="007E75EC">
        <w:t>No.</w:t>
      </w:r>
      <w:r w:rsidRPr="00AD0726">
        <w:t xml:space="preserve"> with the first two digits excluded</w:t>
      </w:r>
      <w:r>
        <w:t xml:space="preserve"> </w:t>
      </w:r>
      <w:r w:rsidR="00F1082C">
        <w:t>(</w:t>
      </w:r>
      <w:r w:rsidRPr="00974611" w:rsidR="00F1082C">
        <w:t>e.g.</w:t>
      </w:r>
      <w:r w:rsidR="00F1082C">
        <w:t>,</w:t>
      </w:r>
      <w:r w:rsidRPr="00974611" w:rsidR="00F1082C">
        <w:t xml:space="preserve"> </w:t>
      </w:r>
      <w:r w:rsidR="00F1082C">
        <w:t xml:space="preserve">NAL 1912345678 = FCC bill Number 12345678)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p>
    <w:p w:rsidR="00F82AC0" w:rsidRPr="00F82AC0" w:rsidP="003E746E" w14:paraId="6CADF129" w14:textId="4F649317">
      <w:pPr>
        <w:pStyle w:val="ParaNum"/>
        <w:widowControl/>
      </w:pPr>
      <w:r w:rsidRPr="004227E6">
        <w:rPr>
          <w:b/>
          <w:u w:val="single"/>
        </w:rPr>
        <w:t>Event of Default</w:t>
      </w:r>
      <w:r w:rsidRPr="004227E6">
        <w:t xml:space="preserve">.  </w:t>
      </w:r>
      <w:r w:rsidR="00506BBE">
        <w:rPr>
          <w:szCs w:val="22"/>
        </w:rPr>
        <w:t>Broadband VI</w:t>
      </w:r>
      <w:r w:rsidRPr="004227E6">
        <w:t xml:space="preserve"> agrees that an Event of Default shall occur upon the failure by </w:t>
      </w:r>
      <w:r w:rsidR="00506BBE">
        <w:rPr>
          <w:szCs w:val="22"/>
        </w:rPr>
        <w:t>Broadband VI</w:t>
      </w:r>
      <w:r w:rsidRPr="004227E6">
        <w:rPr>
          <w:szCs w:val="22"/>
        </w:rPr>
        <w:t xml:space="preserve"> </w:t>
      </w:r>
      <w:r w:rsidRPr="004227E6">
        <w:t xml:space="preserve">to pay the </w:t>
      </w:r>
      <w:r>
        <w:t xml:space="preserve">full amount of the </w:t>
      </w:r>
      <w:r w:rsidR="00D923CD">
        <w:t>Civil Penalty</w:t>
      </w:r>
      <w:r>
        <w:t xml:space="preserve"> </w:t>
      </w:r>
      <w:r w:rsidRPr="004227E6">
        <w:t>on or before the due date specified in this Consent Decree.</w:t>
      </w:r>
    </w:p>
    <w:p w:rsidR="00F82AC0" w:rsidRPr="007C0B39" w:rsidP="003E746E" w14:paraId="6809A967" w14:textId="44B638FA">
      <w:pPr>
        <w:pStyle w:val="ParaNum"/>
        <w:widowControl/>
      </w:pPr>
      <w:r w:rsidRPr="004227E6">
        <w:rPr>
          <w:b/>
          <w:szCs w:val="22"/>
          <w:u w:val="single"/>
        </w:rPr>
        <w:t>Interest, Charges for Collection, and Acceleration of Maturity Date</w:t>
      </w:r>
      <w:r w:rsidRPr="004227E6">
        <w:rPr>
          <w:szCs w:val="22"/>
        </w:rPr>
        <w:t xml:space="preserve">.  After an Event of Default has occurred under this Consent Decree, the then unpaid amount of the </w:t>
      </w:r>
      <w:r w:rsidR="00D923CD">
        <w:t>Civil Penalty</w:t>
      </w:r>
      <w:r w:rsidR="00B02746">
        <w:t xml:space="preserve"> </w:t>
      </w:r>
      <w:r w:rsidRPr="004227E6">
        <w:rPr>
          <w:szCs w:val="22"/>
        </w:rPr>
        <w:t xml:space="preserve">shall accrue interest, computed using the U.S. Prime Rate in effect on the date of the Event of Default plus 4.75%, from the date of the Event of Default until payment in full.  Upon an Event of Default, the then unpaid amount of the </w:t>
      </w:r>
      <w:r w:rsidR="00D923CD">
        <w:t>Civil Penalty</w:t>
      </w:r>
      <w:r w:rsidRPr="004227E6">
        <w:rPr>
          <w:szCs w:val="22"/>
        </w:rPr>
        <w:t xml:space="preserve">,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sidR="00506BBE">
        <w:rPr>
          <w:szCs w:val="22"/>
        </w:rPr>
        <w:t>Broadband VI</w:t>
      </w:r>
      <w:r w:rsidRPr="004227E6">
        <w:rPr>
          <w:szCs w:val="22"/>
        </w:rPr>
        <w:t>.</w:t>
      </w:r>
    </w:p>
    <w:bookmarkEnd w:id="12"/>
    <w:p w:rsidR="00E02214" w:rsidRPr="007C0B39" w:rsidP="003E746E" w14:paraId="13AFBC0F" w14:textId="03388BD1">
      <w:pPr>
        <w:pStyle w:val="ParaNum"/>
        <w:widowControl/>
      </w:pPr>
      <w:r w:rsidRPr="007C0B39">
        <w:rPr>
          <w:b/>
          <w:u w:val="single"/>
        </w:rPr>
        <w:t>Waivers</w:t>
      </w:r>
      <w:r w:rsidRPr="007C0B39">
        <w:t xml:space="preserve">.  </w:t>
      </w:r>
      <w:r w:rsidRPr="007C0B39" w:rsidR="00CE68FE">
        <w:t xml:space="preserve">As of the Effective Date, </w:t>
      </w:r>
      <w:r w:rsidR="00506BBE">
        <w:t>Broadband VI</w:t>
      </w:r>
      <w:r w:rsidRPr="007C0B39">
        <w:t xml:space="preserve"> waives any and all rights it may have to seek administrative or judicial reconsideration, review, appeal or stay, or to otherwise challenge or contest the validity of this Consent Decree and the Adoptin</w:t>
      </w:r>
      <w:r w:rsidRPr="007C0B39" w:rsidR="00CE68FE">
        <w:t>g Order</w:t>
      </w:r>
      <w:r w:rsidRPr="007C0B39">
        <w:t xml:space="preserve">.  </w:t>
      </w:r>
      <w:r w:rsidR="00506BBE">
        <w:t>Broadband VI</w:t>
      </w:r>
      <w:r w:rsidRPr="007C0B39" w:rsidR="00F26C20">
        <w:t xml:space="preserve"> </w:t>
      </w:r>
      <w:r w:rsidRPr="007C0B39">
        <w:t xml:space="preserve">shall retain the right to challenge Commission interpretation of the Consent Decree or any terms contained herein.  If either Party (or the United States on behalf of the Commission) brings a judicial action to enforce the terms of the </w:t>
      </w:r>
      <w:r w:rsidRPr="007C0B39" w:rsidR="00CE68FE">
        <w:t xml:space="preserve">Consent Decree or </w:t>
      </w:r>
      <w:r w:rsidRPr="007C0B39" w:rsidR="00582BA0">
        <w:t xml:space="preserve">the </w:t>
      </w:r>
      <w:r w:rsidRPr="007C0B39">
        <w:t xml:space="preserve">Adopting Order, neither </w:t>
      </w:r>
      <w:r w:rsidR="00506BBE">
        <w:t>Broadband VI</w:t>
      </w:r>
      <w:r w:rsidRPr="007C0B39" w:rsidR="00E03587">
        <w:t xml:space="preserve"> </w:t>
      </w:r>
      <w:r w:rsidRPr="007C0B39">
        <w:t xml:space="preserve">nor the Commission shall contest the validity of the Consent Decree or the Adopting Order, and </w:t>
      </w:r>
      <w:r w:rsidR="00506BBE">
        <w:t>Broadband VI</w:t>
      </w:r>
      <w:r w:rsidRPr="007C0B39" w:rsidR="00E03587">
        <w:t xml:space="preserve"> </w:t>
      </w:r>
      <w:r w:rsidRPr="007C0B39">
        <w:t xml:space="preserve">shall waive any statutory right to a trial </w:t>
      </w:r>
      <w:r w:rsidRPr="007C0B39">
        <w:rPr>
          <w:i/>
        </w:rPr>
        <w:t>de novo</w:t>
      </w:r>
      <w:r w:rsidRPr="007C0B39">
        <w:t xml:space="preserve">.  </w:t>
      </w:r>
      <w:r w:rsidR="00506BBE">
        <w:t>Broadband VI</w:t>
      </w:r>
      <w:r w:rsidRPr="007C0B39" w:rsidR="00E03587">
        <w:t xml:space="preserve"> </w:t>
      </w:r>
      <w:r w:rsidRPr="007C0B39">
        <w:t>hereby agrees to waive any claims it may otherwise have under the Equal Access to Justice Act</w:t>
      </w:r>
      <w:r>
        <w:rPr>
          <w:rStyle w:val="FootnoteReference"/>
          <w:szCs w:val="22"/>
        </w:rPr>
        <w:footnoteReference w:id="21"/>
      </w:r>
      <w:r w:rsidRPr="007C0B39">
        <w:t xml:space="preserve"> relating to the matters addressed in this Consent Decree.</w:t>
      </w:r>
    </w:p>
    <w:p w:rsidR="003F5CF7" w:rsidRPr="007C0B39" w:rsidP="003E746E" w14:paraId="57CE5075" w14:textId="77777777">
      <w:pPr>
        <w:pStyle w:val="ParaNum"/>
        <w:widowControl/>
        <w:rPr>
          <w:szCs w:val="22"/>
        </w:rPr>
      </w:pPr>
      <w:r w:rsidRPr="007C0B39">
        <w:rPr>
          <w:b/>
          <w:szCs w:val="22"/>
          <w:u w:val="single"/>
        </w:rPr>
        <w:t>Severability</w:t>
      </w:r>
      <w:r w:rsidRPr="007C0B39">
        <w:rPr>
          <w:szCs w:val="22"/>
        </w:rPr>
        <w:t>.  The Parties agree that if any of the provisio</w:t>
      </w:r>
      <w:r w:rsidRPr="007C0B39" w:rsidR="00E3009C">
        <w:rPr>
          <w:szCs w:val="22"/>
        </w:rPr>
        <w:t xml:space="preserve">ns of the </w:t>
      </w:r>
      <w:r w:rsidRPr="007C0B39">
        <w:rPr>
          <w:szCs w:val="22"/>
        </w:rPr>
        <w:t xml:space="preserve">Consent Decree shall be </w:t>
      </w:r>
      <w:r w:rsidRPr="007C0B39" w:rsidR="00926FC4">
        <w:rPr>
          <w:szCs w:val="22"/>
        </w:rPr>
        <w:t xml:space="preserve">held </w:t>
      </w:r>
      <w:r w:rsidRPr="007C0B39">
        <w:rPr>
          <w:szCs w:val="22"/>
        </w:rPr>
        <w:t>unenforceable</w:t>
      </w:r>
      <w:r w:rsidRPr="007C0B39" w:rsidR="00926FC4">
        <w:rPr>
          <w:szCs w:val="22"/>
        </w:rPr>
        <w:t xml:space="preserve"> by any court of competent jurisdiction</w:t>
      </w:r>
      <w:r w:rsidRPr="007C0B39">
        <w:rPr>
          <w:szCs w:val="22"/>
        </w:rPr>
        <w:t>, such unenforceability shall not render unenforceab</w:t>
      </w:r>
      <w:r w:rsidRPr="007C0B39" w:rsidR="00E3009C">
        <w:rPr>
          <w:szCs w:val="22"/>
        </w:rPr>
        <w:t xml:space="preserve">le the entire </w:t>
      </w:r>
      <w:r w:rsidRPr="007C0B39">
        <w:rPr>
          <w:szCs w:val="22"/>
        </w:rPr>
        <w:t>Consent Decree, but rath</w:t>
      </w:r>
      <w:r w:rsidRPr="007C0B39" w:rsidR="00E3009C">
        <w:rPr>
          <w:szCs w:val="22"/>
        </w:rPr>
        <w:t xml:space="preserve">er the entire </w:t>
      </w:r>
      <w:r w:rsidRPr="007C0B39">
        <w:rPr>
          <w:szCs w:val="22"/>
        </w:rPr>
        <w:t>Consent Decree shall be construed as if not containing the particular unenforceable provision or provisions, and the rights and obligations of the Parties shall be construed and enforced accordingly.</w:t>
      </w:r>
    </w:p>
    <w:p w:rsidR="00E02214" w:rsidRPr="007C0B39" w:rsidP="003E746E" w14:paraId="20F17D82" w14:textId="77777777">
      <w:pPr>
        <w:pStyle w:val="ParaNum"/>
        <w:widowControl/>
        <w:rPr>
          <w:szCs w:val="22"/>
        </w:rPr>
      </w:pPr>
      <w:r w:rsidRPr="007C0B39">
        <w:rPr>
          <w:b/>
          <w:szCs w:val="22"/>
          <w:u w:val="single"/>
        </w:rPr>
        <w:t>Invalidity</w:t>
      </w:r>
      <w:r w:rsidRPr="007C0B39">
        <w:rPr>
          <w:szCs w:val="22"/>
        </w:rPr>
        <w:t xml:space="preserve">.  </w:t>
      </w:r>
      <w:r w:rsidRPr="007C0B39">
        <w:rPr>
          <w:szCs w:val="22"/>
        </w:rPr>
        <w:t>In the event that</w:t>
      </w:r>
      <w:r w:rsidRPr="007C0B39">
        <w:rPr>
          <w:szCs w:val="22"/>
        </w:rPr>
        <w:t xml:space="preserve"> this Consent Decree in its entirety is rendered invalid by any court of competent jurisdiction, it shall become null and void and may not be used in any manner in any legal proceeding.</w:t>
      </w:r>
    </w:p>
    <w:p w:rsidR="00E02214" w:rsidRPr="007C0B39" w:rsidP="003E746E" w14:paraId="6B68B85E" w14:textId="7D4F5B6D">
      <w:pPr>
        <w:pStyle w:val="ParaNum"/>
        <w:widowControl/>
      </w:pPr>
      <w:r w:rsidRPr="007C0B39">
        <w:rPr>
          <w:b/>
          <w:u w:val="single"/>
        </w:rPr>
        <w:t>Subsequent Rule or Order</w:t>
      </w:r>
      <w:r w:rsidRPr="007C0B39">
        <w:t>.  The Parties agree that if any provision of the Consent Decree</w:t>
      </w:r>
      <w:r w:rsidRPr="007C0B39" w:rsidR="00F26C20">
        <w:t xml:space="preserve"> conflicts with any subsequent Rule or </w:t>
      </w:r>
      <w:r w:rsidR="008D216B">
        <w:t>o</w:t>
      </w:r>
      <w:r w:rsidRPr="007C0B39">
        <w:t>rder adopted by the Commission (e</w:t>
      </w:r>
      <w:r w:rsidRPr="007C0B39" w:rsidR="00F26C20">
        <w:t xml:space="preserve">xcept an </w:t>
      </w:r>
      <w:r w:rsidR="008D216B">
        <w:t>o</w:t>
      </w:r>
      <w:r w:rsidRPr="007C0B39">
        <w:t xml:space="preserve">rder specifically intended to revise the terms of this Consent Decree to which </w:t>
      </w:r>
      <w:r w:rsidR="00506BBE">
        <w:rPr>
          <w:szCs w:val="22"/>
        </w:rPr>
        <w:t>Broadband VI</w:t>
      </w:r>
      <w:r w:rsidRPr="007C0B39" w:rsidR="00E03587">
        <w:rPr>
          <w:szCs w:val="22"/>
        </w:rPr>
        <w:t xml:space="preserve"> </w:t>
      </w:r>
      <w:r w:rsidRPr="007C0B39">
        <w:t xml:space="preserve">does not expressly consent) that provision will be superseded by such </w:t>
      </w:r>
      <w:r w:rsidRPr="007C0B39" w:rsidR="00F26C20">
        <w:t>R</w:t>
      </w:r>
      <w:r w:rsidRPr="007C0B39" w:rsidR="0096758E">
        <w:t xml:space="preserve">ule or </w:t>
      </w:r>
      <w:r w:rsidR="008D216B">
        <w:t>o</w:t>
      </w:r>
      <w:r w:rsidRPr="007C0B39">
        <w:t>rder.</w:t>
      </w:r>
    </w:p>
    <w:p w:rsidR="00E02214" w:rsidRPr="007C0B39" w:rsidP="003E746E" w14:paraId="2B75EDAE" w14:textId="2D14680D">
      <w:pPr>
        <w:pStyle w:val="ParaNum"/>
        <w:widowControl/>
      </w:pPr>
      <w:r w:rsidRPr="007C0B39">
        <w:rPr>
          <w:b/>
          <w:u w:val="single"/>
        </w:rPr>
        <w:t>Successors and Assigns</w:t>
      </w:r>
      <w:r w:rsidRPr="007C0B39">
        <w:t xml:space="preserve">.  </w:t>
      </w:r>
      <w:r w:rsidR="00506BBE">
        <w:t>Broadband VI</w:t>
      </w:r>
      <w:r w:rsidRPr="007C0B39" w:rsidR="00E03587">
        <w:rPr>
          <w:szCs w:val="22"/>
        </w:rPr>
        <w:t xml:space="preserve"> </w:t>
      </w:r>
      <w:r w:rsidRPr="007C0B39">
        <w:t>agrees that the provisions of this Consent Decree shall be binding on its successors, assigns, and transferees.</w:t>
      </w:r>
    </w:p>
    <w:p w:rsidR="00E02214" w:rsidRPr="007C0B39" w:rsidP="003E746E" w14:paraId="662BE5AE" w14:textId="22F3E062">
      <w:pPr>
        <w:pStyle w:val="ParaNum"/>
        <w:widowControl/>
        <w:rPr>
          <w:szCs w:val="22"/>
        </w:rPr>
      </w:pPr>
      <w:r w:rsidRPr="007C0B39">
        <w:rPr>
          <w:b/>
          <w:szCs w:val="22"/>
          <w:u w:val="single"/>
        </w:rPr>
        <w:t>Final Settlement</w:t>
      </w:r>
      <w:r w:rsidRPr="007C0B39">
        <w:rPr>
          <w:szCs w:val="22"/>
        </w:rPr>
        <w:t>.  The Parties agree and acknowledge that this Consent Decree shall constitute a final settlement between the Parties with respect to the</w:t>
      </w:r>
      <w:r w:rsidR="002E5A04">
        <w:rPr>
          <w:szCs w:val="22"/>
        </w:rPr>
        <w:t xml:space="preserve"> </w:t>
      </w:r>
      <w:r w:rsidRPr="00137CE3" w:rsidR="002E5A04">
        <w:rPr>
          <w:szCs w:val="22"/>
        </w:rPr>
        <w:t xml:space="preserve">Bureau’s </w:t>
      </w:r>
      <w:r w:rsidRPr="00137CE3" w:rsidR="00E01C6E">
        <w:rPr>
          <w:szCs w:val="22"/>
        </w:rPr>
        <w:t>r</w:t>
      </w:r>
      <w:r w:rsidRPr="00137CE3" w:rsidR="002E5A04">
        <w:rPr>
          <w:szCs w:val="22"/>
        </w:rPr>
        <w:t>eview.</w:t>
      </w:r>
      <w:r w:rsidRPr="007C0B39">
        <w:rPr>
          <w:szCs w:val="22"/>
        </w:rPr>
        <w:t xml:space="preserve"> </w:t>
      </w:r>
    </w:p>
    <w:p w:rsidR="00E02214" w:rsidRPr="007C0B39" w:rsidP="003E746E" w14:paraId="3D172A44" w14:textId="77777777">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rsidR="00E02214" w:rsidRPr="007C0B39" w:rsidP="003E746E" w14:paraId="3CBD3551" w14:textId="77777777">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rsidR="003329C5" w:rsidRPr="007C0B39" w:rsidP="003E746E" w14:paraId="41B32A42" w14:textId="77777777">
      <w:pPr>
        <w:pStyle w:val="ParaNum"/>
        <w:widowControl/>
        <w:rPr>
          <w:szCs w:val="22"/>
        </w:rPr>
      </w:pPr>
      <w:r w:rsidRPr="007C0B39">
        <w:rPr>
          <w:b/>
          <w:szCs w:val="22"/>
          <w:u w:val="single"/>
        </w:rPr>
        <w:t>Authorized Representative</w:t>
      </w:r>
      <w:r w:rsidRPr="007C0B39">
        <w:rPr>
          <w:szCs w:val="22"/>
        </w:rPr>
        <w:t xml:space="preserve">. </w:t>
      </w:r>
      <w:r w:rsidRPr="007C0B39" w:rsidR="00B73A30">
        <w:rPr>
          <w:szCs w:val="22"/>
        </w:rPr>
        <w:t xml:space="preserve"> </w:t>
      </w:r>
      <w:r w:rsidRPr="007C0B39" w:rsidR="005D5341">
        <w:rPr>
          <w:szCs w:val="22"/>
        </w:rPr>
        <w:t xml:space="preserve">Each Party </w:t>
      </w:r>
      <w:r w:rsidRPr="007C0B39" w:rsidR="005D5341">
        <w:t>represents</w:t>
      </w:r>
      <w:r w:rsidRPr="007C0B39" w:rsidR="005D5341">
        <w:rPr>
          <w:szCs w:val="22"/>
        </w:rPr>
        <w:t xml:space="preserve"> and warrants to the other that it has full power and authority to </w:t>
      </w:r>
      <w:r w:rsidRPr="007C0B39" w:rsidR="005D5341">
        <w:rPr>
          <w:szCs w:val="22"/>
        </w:rPr>
        <w:t>enter into</w:t>
      </w:r>
      <w:r w:rsidRPr="007C0B39" w:rsidR="005D5341">
        <w:rPr>
          <w:szCs w:val="22"/>
        </w:rPr>
        <w:t xml:space="preserve"> this Consent Decree.  Each person signing this Consent Decree on behalf of a Party hereby represents that he or she is fully authorized by the Party to execute this Consent Decree and to bind the Party to its terms and conditions.</w:t>
      </w:r>
    </w:p>
    <w:p w:rsidR="00E02214" w:rsidRPr="007C0B39" w:rsidP="003E746E" w14:paraId="11690AE8" w14:textId="77777777">
      <w:pPr>
        <w:pStyle w:val="ParaNum"/>
        <w:widowControl/>
        <w:rPr>
          <w:szCs w:val="22"/>
        </w:rPr>
      </w:pPr>
      <w:r w:rsidRPr="007C0B39">
        <w:rPr>
          <w:b/>
          <w:u w:val="single"/>
        </w:rPr>
        <w:t>Counterparts</w:t>
      </w:r>
      <w:r w:rsidRPr="007C0B39">
        <w:rPr>
          <w:szCs w:val="22"/>
        </w:rPr>
        <w:t xml:space="preserve">.  </w:t>
      </w:r>
      <w:r w:rsidRPr="007C0B39" w:rsidR="00BB440F">
        <w:rPr>
          <w:szCs w:val="22"/>
        </w:rPr>
        <w:t xml:space="preserve">This Consent Decree may be </w:t>
      </w:r>
      <w:r w:rsidRPr="007C0B39" w:rsidR="00BB440F">
        <w:t>signed</w:t>
      </w:r>
      <w:r w:rsidRPr="007C0B39" w:rsidR="00BB440F">
        <w:rPr>
          <w:szCs w:val="22"/>
        </w:rPr>
        <w:t xml:space="preserve"> in counterpart (including </w:t>
      </w:r>
      <w:r w:rsidRPr="007C0B39" w:rsidR="008A2AD9">
        <w:rPr>
          <w:szCs w:val="22"/>
        </w:rPr>
        <w:t xml:space="preserve">electronically or </w:t>
      </w:r>
      <w:r w:rsidRPr="007C0B39" w:rsidR="00BB440F">
        <w:rPr>
          <w:szCs w:val="22"/>
        </w:rPr>
        <w:t xml:space="preserve">by facsimile).  Each counterpart, when executed and delivered, shall be an original, and </w:t>
      </w:r>
      <w:r w:rsidRPr="007C0B39" w:rsidR="00BB440F">
        <w:rPr>
          <w:szCs w:val="22"/>
        </w:rPr>
        <w:t>all of</w:t>
      </w:r>
      <w:r w:rsidRPr="007C0B39" w:rsidR="00BB440F">
        <w:rPr>
          <w:szCs w:val="22"/>
        </w:rPr>
        <w:t xml:space="preserve"> the counterparts together shall constitute one and the same fully executed instrument.</w:t>
      </w:r>
    </w:p>
    <w:p w:rsidR="00E24E9F" w:rsidRPr="007C0B39" w:rsidP="009A17A5" w14:paraId="05D43376" w14:textId="77777777">
      <w:pPr>
        <w:keepNext/>
        <w:keepLines/>
      </w:pPr>
    </w:p>
    <w:p w:rsidR="00E24E9F" w:rsidRPr="007C0B39" w:rsidP="009A17A5" w14:paraId="38C6ECCA" w14:textId="77777777">
      <w:pPr>
        <w:keepNext/>
        <w:keepLines/>
      </w:pPr>
    </w:p>
    <w:p w:rsidR="00E24E9F" w:rsidRPr="007C0B39" w:rsidP="009A17A5" w14:paraId="4276E0B1" w14:textId="77777777">
      <w:pPr>
        <w:keepNext/>
        <w:keepLines/>
      </w:pPr>
      <w:r w:rsidRPr="007C0B39">
        <w:t>________________________________</w:t>
      </w:r>
    </w:p>
    <w:p w:rsidR="00EE1291" w:rsidRPr="007C0B39" w:rsidP="009A17A5" w14:paraId="6596C1F0" w14:textId="7FF843B4">
      <w:pPr>
        <w:keepNext/>
        <w:keepLines/>
      </w:pPr>
      <w:r>
        <w:t>Rosemary C. Harold</w:t>
      </w:r>
    </w:p>
    <w:p w:rsidR="00E24E9F" w:rsidRPr="007C0B39" w:rsidP="009A17A5" w14:paraId="639AF3A5" w14:textId="69DEFE02">
      <w:pPr>
        <w:keepNext/>
        <w:keepLines/>
      </w:pPr>
      <w:r>
        <w:t>Chief</w:t>
      </w:r>
    </w:p>
    <w:p w:rsidR="00E24E9F" w:rsidRPr="007C0B39" w:rsidP="009A17A5" w14:paraId="4A81EA84" w14:textId="77777777">
      <w:pPr>
        <w:keepNext/>
        <w:keepLines/>
      </w:pPr>
      <w:r w:rsidRPr="007C0B39">
        <w:t>Enforcement Bureau</w:t>
      </w:r>
    </w:p>
    <w:p w:rsidR="00E24E9F" w:rsidRPr="007C0B39" w:rsidP="009A17A5" w14:paraId="750EA12B" w14:textId="77777777">
      <w:pPr>
        <w:keepNext/>
        <w:keepLines/>
      </w:pPr>
    </w:p>
    <w:p w:rsidR="00E24E9F" w:rsidRPr="007C0B39" w:rsidP="009A17A5" w14:paraId="4D49D8F2" w14:textId="77777777">
      <w:pPr>
        <w:keepNext/>
        <w:keepLines/>
      </w:pPr>
    </w:p>
    <w:p w:rsidR="00E24E9F" w:rsidRPr="007C0B39" w:rsidP="009A17A5" w14:paraId="25148C2A" w14:textId="77777777">
      <w:pPr>
        <w:keepNext/>
        <w:keepLines/>
      </w:pPr>
      <w:r w:rsidRPr="007C0B39">
        <w:t>________________________________</w:t>
      </w:r>
    </w:p>
    <w:p w:rsidR="00E24E9F" w:rsidRPr="007C0B39" w:rsidP="009A17A5" w14:paraId="2051EF57" w14:textId="77777777">
      <w:pPr>
        <w:keepNext/>
        <w:keepLines/>
      </w:pPr>
      <w:r w:rsidRPr="007C0B39">
        <w:t>Date</w:t>
      </w:r>
    </w:p>
    <w:p w:rsidR="00E24E9F" w:rsidRPr="007C0B39" w:rsidP="009A17A5" w14:paraId="0257AC68" w14:textId="77777777">
      <w:pPr>
        <w:keepNext/>
        <w:keepLines/>
      </w:pPr>
    </w:p>
    <w:p w:rsidR="00E24E9F" w:rsidRPr="007C0B39" w:rsidP="00710CC1" w14:paraId="787DD66A" w14:textId="77777777">
      <w:pPr>
        <w:keepLines/>
      </w:pPr>
    </w:p>
    <w:p w:rsidR="00E24E9F" w:rsidRPr="007C0B39" w:rsidP="00710CC1" w14:paraId="0E97890A" w14:textId="77777777">
      <w:pPr>
        <w:keepLines/>
      </w:pPr>
    </w:p>
    <w:p w:rsidR="00E24E9F" w:rsidRPr="007C0B39" w:rsidP="00710CC1" w14:paraId="6670F7A8" w14:textId="77777777">
      <w:pPr>
        <w:keepLines/>
      </w:pPr>
      <w:r w:rsidRPr="007C0B39">
        <w:t>________________________________</w:t>
      </w:r>
    </w:p>
    <w:p w:rsidR="00EE1291" w:rsidRPr="007C0B39" w:rsidP="00710CC1" w14:paraId="16D9DC9F" w14:textId="3349E073">
      <w:pPr>
        <w:keepLines/>
      </w:pPr>
      <w:r>
        <w:t>David Zumwalt</w:t>
      </w:r>
    </w:p>
    <w:p w:rsidR="00EE1291" w:rsidRPr="007C0B39" w:rsidP="00710CC1" w14:paraId="3EF18B84" w14:textId="46965DF4">
      <w:pPr>
        <w:keepLines/>
      </w:pPr>
      <w:r>
        <w:t>Chief Operating Officer</w:t>
      </w:r>
    </w:p>
    <w:p w:rsidR="00E24E9F" w:rsidRPr="007C0B39" w:rsidP="00710CC1" w14:paraId="538212EE" w14:textId="30AF8947">
      <w:pPr>
        <w:keepLines/>
      </w:pPr>
      <w:r>
        <w:t>Broadband VI</w:t>
      </w:r>
      <w:r w:rsidR="003870E3">
        <w:t>, LLC</w:t>
      </w:r>
    </w:p>
    <w:p w:rsidR="00E24E9F" w:rsidP="00710CC1" w14:paraId="401D1558" w14:textId="119F4025">
      <w:pPr>
        <w:keepLines/>
      </w:pPr>
    </w:p>
    <w:p w:rsidR="00D74D78" w:rsidRPr="007C0B39" w:rsidP="00710CC1" w14:paraId="256C9180" w14:textId="77777777">
      <w:pPr>
        <w:keepLines/>
      </w:pPr>
    </w:p>
    <w:p w:rsidR="00E24E9F" w:rsidRPr="007C0B39" w:rsidP="00710CC1" w14:paraId="36C8A57D" w14:textId="77777777">
      <w:pPr>
        <w:keepLines/>
      </w:pPr>
      <w:r w:rsidRPr="007C0B39">
        <w:t>________________________________</w:t>
      </w:r>
    </w:p>
    <w:p w:rsidR="00E24E9F" w:rsidRPr="002C00E8" w:rsidP="002755D1" w14:paraId="4A81820E" w14:textId="77777777">
      <w:pPr>
        <w:keepLines/>
      </w:pPr>
      <w:r w:rsidRPr="007C0B39">
        <w:t>Date</w:t>
      </w:r>
    </w:p>
    <w:sectPr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200819"/>
      <w:docPartObj>
        <w:docPartGallery w:val="Page Numbers (Bottom of Page)"/>
        <w:docPartUnique/>
      </w:docPartObj>
    </w:sdtPr>
    <w:sdtEndPr>
      <w:rPr>
        <w:noProof/>
      </w:rPr>
    </w:sdtEndPr>
    <w:sdtContent>
      <w:p w:rsidR="00153AAA" w:rsidP="00453A9E" w14:paraId="4802E019" w14:textId="77777777">
        <w:pPr>
          <w:pStyle w:val="Footer"/>
          <w:jc w:val="center"/>
        </w:pPr>
        <w:r>
          <w:fldChar w:fldCharType="begin"/>
        </w:r>
        <w:r>
          <w:instrText xml:space="preserve"> PAGE   \* MERGEFORMAT </w:instrText>
        </w:r>
        <w:r>
          <w:fldChar w:fldCharType="separate"/>
        </w:r>
        <w:r w:rsidR="00F82AC0">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1C5" w14:paraId="64A6D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2E61" w14:paraId="0681D474" w14:textId="77777777">
      <w:r>
        <w:separator/>
      </w:r>
    </w:p>
  </w:footnote>
  <w:footnote w:type="continuationSeparator" w:id="1">
    <w:p w:rsidR="00952E61" w:rsidP="00C721AC" w14:paraId="0F27A29D" w14:textId="77777777">
      <w:pPr>
        <w:spacing w:before="120"/>
        <w:rPr>
          <w:sz w:val="20"/>
        </w:rPr>
      </w:pPr>
      <w:r>
        <w:rPr>
          <w:sz w:val="20"/>
        </w:rPr>
        <w:t xml:space="preserve">(Continued from previous page)  </w:t>
      </w:r>
      <w:r>
        <w:rPr>
          <w:sz w:val="20"/>
        </w:rPr>
        <w:separator/>
      </w:r>
    </w:p>
  </w:footnote>
  <w:footnote w:type="continuationNotice" w:id="2">
    <w:p w:rsidR="00952E61" w:rsidP="00C721AC" w14:paraId="6169770F" w14:textId="77777777">
      <w:pPr>
        <w:jc w:val="right"/>
        <w:rPr>
          <w:sz w:val="20"/>
        </w:rPr>
      </w:pPr>
      <w:r>
        <w:rPr>
          <w:sz w:val="20"/>
        </w:rPr>
        <w:t>(continued….)</w:t>
      </w:r>
    </w:p>
  </w:footnote>
  <w:footnote w:id="3">
    <w:p w:rsidR="006A51F7" w:rsidRPr="00D84548" w:rsidP="006A51F7" w14:paraId="556FB3D7" w14:textId="77777777">
      <w:pPr>
        <w:pStyle w:val="FootnoteText"/>
        <w:tabs>
          <w:tab w:val="left" w:pos="2207"/>
        </w:tabs>
      </w:pPr>
      <w:r w:rsidRPr="00ED5746">
        <w:rPr>
          <w:rStyle w:val="FootnoteReference"/>
        </w:rPr>
        <w:footnoteRef/>
      </w:r>
      <w:r w:rsidRPr="00D84548">
        <w:t xml:space="preserve"> </w:t>
      </w:r>
      <w:r w:rsidRPr="00D84548">
        <w:rPr>
          <w:szCs w:val="22"/>
        </w:rPr>
        <w:t>47 U.S.C. § </w:t>
      </w:r>
      <w:r>
        <w:rPr>
          <w:szCs w:val="22"/>
        </w:rPr>
        <w:t>310(d)</w:t>
      </w:r>
      <w:r w:rsidRPr="00D84548">
        <w:rPr>
          <w:szCs w:val="22"/>
        </w:rPr>
        <w:t>.</w:t>
      </w:r>
    </w:p>
  </w:footnote>
  <w:footnote w:id="4">
    <w:p w:rsidR="006A51F7" w:rsidRPr="00D84548" w:rsidP="006A51F7" w14:paraId="395334AB" w14:textId="77777777">
      <w:pPr>
        <w:pStyle w:val="FootnoteText"/>
      </w:pPr>
      <w:r w:rsidRPr="00D84548">
        <w:rPr>
          <w:rStyle w:val="FootnoteReference"/>
        </w:rPr>
        <w:footnoteRef/>
      </w:r>
      <w:r w:rsidRPr="00D84548">
        <w:t xml:space="preserve"> </w:t>
      </w:r>
      <w:r>
        <w:rPr>
          <w:szCs w:val="22"/>
        </w:rPr>
        <w:t>47 CFR</w:t>
      </w:r>
      <w:r w:rsidRPr="00D84548">
        <w:rPr>
          <w:szCs w:val="22"/>
        </w:rPr>
        <w:t xml:space="preserve"> §</w:t>
      </w:r>
      <w:r>
        <w:rPr>
          <w:szCs w:val="22"/>
        </w:rPr>
        <w:t xml:space="preserve"> 1.948</w:t>
      </w:r>
      <w:r w:rsidRPr="00D84548">
        <w:rPr>
          <w:szCs w:val="22"/>
        </w:rPr>
        <w:t>.</w:t>
      </w:r>
    </w:p>
  </w:footnote>
  <w:footnote w:id="5">
    <w:p w:rsidR="006A51F7" w:rsidRPr="00F74D07" w:rsidP="006A51F7" w14:paraId="48185DBC" w14:textId="77777777">
      <w:pPr>
        <w:pStyle w:val="FootnoteText"/>
      </w:pPr>
      <w:r>
        <w:rPr>
          <w:rStyle w:val="FootnoteReference"/>
        </w:rPr>
        <w:footnoteRef/>
      </w:r>
      <w:r>
        <w:t xml:space="preserve"> </w:t>
      </w:r>
      <w:r>
        <w:rPr>
          <w:i/>
        </w:rPr>
        <w:t>See</w:t>
      </w:r>
      <w:r>
        <w:t xml:space="preserve"> </w:t>
      </w:r>
      <w:r>
        <w:rPr>
          <w:i/>
          <w:iCs/>
        </w:rPr>
        <w:t>id.</w:t>
      </w:r>
      <w:r>
        <w:t xml:space="preserve"> § 1.93(b). </w:t>
      </w:r>
    </w:p>
  </w:footnote>
  <w:footnote w:id="6">
    <w:p w:rsidR="006A51F7" w:rsidRPr="00D84548" w:rsidP="006A51F7" w14:paraId="69D0D86D" w14:textId="77777777">
      <w:pPr>
        <w:pStyle w:val="FootnoteText"/>
      </w:pPr>
      <w:r w:rsidRPr="00D84548">
        <w:rPr>
          <w:rStyle w:val="FootnoteReference"/>
        </w:rPr>
        <w:footnoteRef/>
      </w:r>
      <w:r w:rsidRPr="00D84548">
        <w:t xml:space="preserve"> </w:t>
      </w:r>
      <w:r w:rsidRPr="00D84548">
        <w:rPr>
          <w:szCs w:val="22"/>
        </w:rPr>
        <w:t>47 U.S.C. § 154(</w:t>
      </w:r>
      <w:r w:rsidRPr="00D84548">
        <w:rPr>
          <w:szCs w:val="22"/>
        </w:rPr>
        <w:t>i</w:t>
      </w:r>
      <w:r w:rsidRPr="00D84548">
        <w:rPr>
          <w:szCs w:val="22"/>
        </w:rPr>
        <w:t>)</w:t>
      </w:r>
      <w:r>
        <w:rPr>
          <w:szCs w:val="22"/>
        </w:rPr>
        <w:t>.</w:t>
      </w:r>
    </w:p>
  </w:footnote>
  <w:footnote w:id="7">
    <w:p w:rsidR="006A51F7" w:rsidP="006A51F7" w14:paraId="0C0BB35B"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8">
    <w:p w:rsidR="00843A5F" w14:paraId="17397354"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9">
    <w:p w:rsidR="00C37C15" w:rsidP="00C37C15" w14:paraId="4AB1442C" w14:textId="2AC38C43">
      <w:pPr>
        <w:pStyle w:val="FootnoteText"/>
      </w:pPr>
      <w:r>
        <w:rPr>
          <w:rStyle w:val="FootnoteReference"/>
        </w:rPr>
        <w:footnoteRef/>
      </w:r>
      <w:r>
        <w:t xml:space="preserve"> </w:t>
      </w:r>
      <w:bookmarkStart w:id="3" w:name="_Hlk71803620"/>
      <w:r>
        <w:t>47 U.S.C. § 3</w:t>
      </w:r>
      <w:r w:rsidR="008531F7">
        <w:t>10</w:t>
      </w:r>
      <w:r>
        <w:t>(d)</w:t>
      </w:r>
      <w:bookmarkEnd w:id="3"/>
      <w:r>
        <w:t>.</w:t>
      </w:r>
    </w:p>
  </w:footnote>
  <w:footnote w:id="10">
    <w:p w:rsidR="00C37C15" w:rsidP="00C37C15" w14:paraId="0D9117BE" w14:textId="77777777">
      <w:pPr>
        <w:pStyle w:val="FootnoteText"/>
      </w:pPr>
      <w:r>
        <w:rPr>
          <w:rStyle w:val="FootnoteReference"/>
        </w:rPr>
        <w:footnoteRef/>
      </w:r>
      <w:r>
        <w:t xml:space="preserve"> </w:t>
      </w:r>
      <w:bookmarkStart w:id="4" w:name="_Hlk71803652"/>
      <w:r>
        <w:t>47 CFR § 1.948.</w:t>
      </w:r>
      <w:bookmarkEnd w:id="4"/>
    </w:p>
  </w:footnote>
  <w:footnote w:id="11">
    <w:p w:rsidR="00F11E9C" w:rsidRPr="00F11E9C" w:rsidP="001B4A54" w14:paraId="40AF75B5" w14:textId="3EC51D9B">
      <w:pPr>
        <w:autoSpaceDE w:val="0"/>
        <w:autoSpaceDN w:val="0"/>
        <w:spacing w:after="120"/>
        <w:rPr>
          <w:sz w:val="20"/>
        </w:rPr>
      </w:pPr>
      <w:r w:rsidRPr="00AF72D2">
        <w:rPr>
          <w:rStyle w:val="FootnoteReference"/>
        </w:rPr>
        <w:footnoteRef/>
      </w:r>
      <w:r w:rsidRPr="00AF72D2">
        <w:rPr>
          <w:sz w:val="20"/>
        </w:rPr>
        <w:t xml:space="preserve"> </w:t>
      </w:r>
      <w:r w:rsidR="001E1D28">
        <w:rPr>
          <w:i/>
          <w:iCs/>
          <w:sz w:val="20"/>
        </w:rPr>
        <w:t>See</w:t>
      </w:r>
      <w:r w:rsidR="001E1D28">
        <w:rPr>
          <w:sz w:val="20"/>
        </w:rPr>
        <w:t xml:space="preserve"> </w:t>
      </w:r>
      <w:r w:rsidRPr="003F365A" w:rsidR="00C6102A">
        <w:rPr>
          <w:sz w:val="20"/>
        </w:rPr>
        <w:t>Surge Communications, LLC Assignment Application to Broadband VI, LLC, FCC ULS</w:t>
      </w:r>
      <w:r>
        <w:rPr>
          <w:snapToGrid/>
          <w:kern w:val="0"/>
          <w:sz w:val="20"/>
        </w:rPr>
        <w:t xml:space="preserve"> </w:t>
      </w:r>
      <w:r w:rsidRPr="003F365A" w:rsidR="00C6102A">
        <w:rPr>
          <w:sz w:val="20"/>
        </w:rPr>
        <w:t>File No. 0008988646, Exhibit 1, Waiver Request (filed Feb. 2</w:t>
      </w:r>
      <w:r w:rsidR="00BC3E85">
        <w:rPr>
          <w:sz w:val="20"/>
        </w:rPr>
        <w:t>8</w:t>
      </w:r>
      <w:r w:rsidRPr="003F365A" w:rsidR="00C6102A">
        <w:rPr>
          <w:sz w:val="20"/>
        </w:rPr>
        <w:t>, 2020).</w:t>
      </w:r>
    </w:p>
  </w:footnote>
  <w:footnote w:id="12">
    <w:p w:rsidR="00D923CD" w:rsidP="001B4A54" w14:paraId="032D41D2" w14:textId="77777777">
      <w:pPr>
        <w:pStyle w:val="FootnoteText"/>
      </w:pPr>
      <w:r>
        <w:rPr>
          <w:rStyle w:val="FootnoteReference"/>
        </w:rPr>
        <w:footnoteRef/>
      </w:r>
      <w:r>
        <w:t xml:space="preserve"> 47 U.S.C. § 310(d).</w:t>
      </w:r>
    </w:p>
  </w:footnote>
  <w:footnote w:id="13">
    <w:p w:rsidR="00D923CD" w:rsidP="00D923CD" w14:paraId="7A42C28B" w14:textId="77777777">
      <w:pPr>
        <w:pStyle w:val="FootnoteText"/>
      </w:pPr>
      <w:r>
        <w:rPr>
          <w:rStyle w:val="FootnoteReference"/>
        </w:rPr>
        <w:footnoteRef/>
      </w:r>
      <w:r>
        <w:t xml:space="preserve"> 47 CFR § 1.948.</w:t>
      </w:r>
    </w:p>
  </w:footnote>
  <w:footnote w:id="14">
    <w:p w:rsidR="006B3C40" w14:paraId="120A0CB9" w14:textId="77777777">
      <w:pPr>
        <w:pStyle w:val="FootnoteText"/>
      </w:pPr>
      <w:r>
        <w:rPr>
          <w:rStyle w:val="FootnoteReference"/>
        </w:rPr>
        <w:footnoteRef/>
      </w:r>
      <w:r>
        <w:t xml:space="preserve"> </w:t>
      </w:r>
      <w:r w:rsidRPr="00C566EC">
        <w:rPr>
          <w:i/>
        </w:rPr>
        <w:t>See</w:t>
      </w:r>
      <w:r>
        <w:t xml:space="preserve"> 47 CFR </w:t>
      </w:r>
      <w:r w:rsidRPr="001B63BB" w:rsidR="006A1D7C">
        <w:rPr>
          <w:szCs w:val="22"/>
        </w:rPr>
        <w:t>§</w:t>
      </w:r>
      <w:r w:rsidR="006A1D7C">
        <w:rPr>
          <w:szCs w:val="22"/>
        </w:rPr>
        <w:t xml:space="preserve"> </w:t>
      </w:r>
      <w:r>
        <w:t>1.93(b).</w:t>
      </w:r>
    </w:p>
  </w:footnote>
  <w:footnote w:id="15">
    <w:p w:rsidR="00E02214" w:rsidP="00E02214" w14:paraId="2696D952" w14:textId="77777777">
      <w:pPr>
        <w:pStyle w:val="FootnoteText"/>
      </w:pPr>
      <w:r w:rsidRPr="00A07FCB">
        <w:rPr>
          <w:rStyle w:val="FootnoteReference"/>
        </w:rPr>
        <w:footnoteRef/>
      </w:r>
      <w:r w:rsidRPr="00A07FCB">
        <w:t xml:space="preserve"> 47 CFR § 1.16.</w:t>
      </w:r>
    </w:p>
  </w:footnote>
  <w:footnote w:id="16">
    <w:p w:rsidR="00E02214" w:rsidP="00E02214" w14:paraId="041BD68A" w14:textId="77777777">
      <w:pPr>
        <w:pStyle w:val="FootnoteText"/>
        <w:tabs>
          <w:tab w:val="left" w:pos="810"/>
        </w:tabs>
      </w:pPr>
      <w:r w:rsidRPr="00A07FCB">
        <w:rPr>
          <w:rStyle w:val="FootnoteReference"/>
        </w:rPr>
        <w:footnoteRef/>
      </w:r>
      <w:r w:rsidRPr="003F6349">
        <w:t xml:space="preserve"> </w:t>
      </w:r>
      <w:r w:rsidRPr="00A07FCB">
        <w:t>47 U.S.C. § 208.</w:t>
      </w:r>
    </w:p>
  </w:footnote>
  <w:footnote w:id="17">
    <w:p w:rsidR="000F779D" w:rsidP="000F779D" w14:paraId="3B022501" w14:textId="77777777">
      <w:pPr>
        <w:pStyle w:val="FootnoteText"/>
      </w:pPr>
      <w:r>
        <w:rPr>
          <w:rStyle w:val="FootnoteReference"/>
        </w:rPr>
        <w:footnoteRef/>
      </w:r>
      <w:r>
        <w:t xml:space="preserve"> Debt Collection Improvement Act of 1996, Pub. L. No. 104-134, 110 Stat. 1321, 1358 (Apr. 26, 1996).</w:t>
      </w:r>
    </w:p>
  </w:footnote>
  <w:footnote w:id="18">
    <w:p w:rsidR="0088350A" w:rsidRPr="005476AB" w:rsidP="0088350A" w14:paraId="5C526C08"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19">
    <w:p w:rsidR="0088350A" w:rsidRPr="005476AB" w:rsidP="0088350A" w14:paraId="6107527C"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1" w:history="1">
        <w:r w:rsidRPr="005476AB">
          <w:rPr>
            <w:rStyle w:val="Hyperlink"/>
          </w:rPr>
          <w:t>ARINQUIRIES@fcc.gov</w:t>
        </w:r>
      </w:hyperlink>
      <w:r w:rsidRPr="005476AB">
        <w:t>.</w:t>
      </w:r>
    </w:p>
  </w:footnote>
  <w:footnote w:id="20">
    <w:p w:rsidR="0088350A" w:rsidP="0088350A" w14:paraId="70F4483E" w14:textId="77777777">
      <w:pPr>
        <w:pStyle w:val="FootnoteText"/>
      </w:pPr>
      <w:r w:rsidRPr="005476AB">
        <w:rPr>
          <w:rStyle w:val="FootnoteReference"/>
        </w:rPr>
        <w:footnoteRef/>
      </w:r>
      <w:r w:rsidRPr="005476AB">
        <w:t xml:space="preserve"> Instructions for completing the form may be obtained at </w:t>
      </w:r>
      <w:hyperlink r:id="rId2" w:history="1">
        <w:r w:rsidRPr="008A2184">
          <w:rPr>
            <w:rStyle w:val="Hyperlink"/>
          </w:rPr>
          <w:t>http://www.fcc.gov/Forms/Form159/159.pdf</w:t>
        </w:r>
      </w:hyperlink>
      <w:r w:rsidRPr="005476AB">
        <w:t>.</w:t>
      </w:r>
      <w:r>
        <w:t xml:space="preserve"> </w:t>
      </w:r>
    </w:p>
  </w:footnote>
  <w:footnote w:id="21">
    <w:p w:rsidR="00E02214" w:rsidP="00E02214" w14:paraId="6684739F" w14:textId="77777777">
      <w:pPr>
        <w:pStyle w:val="FootnoteText"/>
        <w:tabs>
          <w:tab w:val="left" w:pos="810"/>
        </w:tabs>
      </w:pPr>
      <w:r w:rsidRPr="003F6349">
        <w:rPr>
          <w:rStyle w:val="FootnoteReference"/>
        </w:rPr>
        <w:footnoteRef/>
      </w:r>
      <w:r w:rsidRPr="003F6349">
        <w:t xml:space="preserve"> </w:t>
      </w:r>
      <w:r w:rsidR="00936B23">
        <w:rPr>
          <w:i/>
        </w:rPr>
        <w:t xml:space="preserve">See </w:t>
      </w:r>
      <w:r w:rsidRPr="003F6349">
        <w:t>5 U.S.C. § 504; 47 CFR</w:t>
      </w:r>
      <w:r w:rsidR="003F5CF7">
        <w:t xml:space="preserve"> </w:t>
      </w:r>
      <w:r w:rsidR="008B628C">
        <w:t>§</w:t>
      </w:r>
      <w:r w:rsidR="00E43C74">
        <w:t>§</w:t>
      </w:r>
      <w:r w:rsidR="008B628C">
        <w:t xml:space="preserve"> </w:t>
      </w:r>
      <w:r w:rsidR="00E43C74">
        <w:t>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14:paraId="102E21E2" w14:textId="7EBA2107">
    <w:pPr>
      <w:pStyle w:val="Header"/>
      <w:rPr>
        <w:b w:val="0"/>
      </w:rP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sidR="009C7F78">
      <w:rPr>
        <w:spacing w:val="-2"/>
      </w:rPr>
      <w:t>21</w:t>
    </w:r>
    <w:r w:rsidRPr="002755D1" w:rsidR="00D66953">
      <w:rPr>
        <w:spacing w:val="-2"/>
      </w:rPr>
      <w:t>-</w:t>
    </w:r>
    <w:r w:rsidR="009C7F78">
      <w:rPr>
        <w:spacing w:val="-2"/>
      </w:rPr>
      <w:t>610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8E15FA" w14:paraId="1F33C396" w14:textId="1058A172">
    <w:pPr>
      <w:pStyle w:val="Header"/>
      <w:spacing w:after="120"/>
      <w:rPr>
        <w:b w:val="0"/>
      </w:rPr>
    </w:pPr>
    <w:r w:rsidRPr="00843A5F">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843A5F">
      <w:tab/>
      <w:t>Federal Communications Commission</w:t>
    </w:r>
    <w:r w:rsidRPr="00843A5F">
      <w:tab/>
    </w:r>
    <w:r w:rsidRPr="002755D1" w:rsidR="00D66953">
      <w:rPr>
        <w:spacing w:val="-2"/>
      </w:rPr>
      <w:t xml:space="preserve">DA </w:t>
    </w:r>
    <w:r w:rsidR="009C7F78">
      <w:rPr>
        <w:spacing w:val="-2"/>
      </w:rPr>
      <w:t>21</w:t>
    </w:r>
    <w:r w:rsidRPr="002755D1" w:rsidR="00D66953">
      <w:rPr>
        <w:spacing w:val="-2"/>
      </w:rPr>
      <w:t>-</w:t>
    </w:r>
    <w:r w:rsidR="009C7F78">
      <w:rPr>
        <w:spacing w:val="-2"/>
      </w:rPr>
      <w:t>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A6C3D"/>
    <w:multiLevelType w:val="hybridMultilevel"/>
    <w:tmpl w:val="621C52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3">
    <w:nsid w:val="0E480176"/>
    <w:multiLevelType w:val="hybridMultilevel"/>
    <w:tmpl w:val="9C7CB5FE"/>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4907F2C"/>
    <w:multiLevelType w:val="hybridMultilevel"/>
    <w:tmpl w:val="6C7E850A"/>
    <w:lvl w:ilvl="0">
      <w:start w:val="1"/>
      <w:numFmt w:val="lowerLetter"/>
      <w:lvlText w:val="(%1)"/>
      <w:lvlJc w:val="left"/>
      <w:pPr>
        <w:tabs>
          <w:tab w:val="num" w:pos="1224"/>
        </w:tabs>
        <w:ind w:left="1224" w:hanging="432"/>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4">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5">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12"/>
  </w:num>
  <w:num w:numId="2">
    <w:abstractNumId w:val="8"/>
  </w:num>
  <w:num w:numId="3">
    <w:abstractNumId w:val="14"/>
  </w:num>
  <w:num w:numId="4">
    <w:abstractNumId w:val="13"/>
  </w:num>
  <w:num w:numId="5">
    <w:abstractNumId w:val="3"/>
  </w:num>
  <w:num w:numId="6">
    <w:abstractNumId w:val="15"/>
  </w:num>
  <w:num w:numId="7">
    <w:abstractNumId w:val="2"/>
  </w:num>
  <w:num w:numId="8">
    <w:abstractNumId w:val="12"/>
    <w:lvlOverride w:ilvl="0">
      <w:startOverride w:val="1"/>
    </w:lvlOverride>
  </w:num>
  <w:num w:numId="9">
    <w:abstractNumId w:val="9"/>
  </w:num>
  <w:num w:numId="10">
    <w:abstractNumId w:val="6"/>
  </w:num>
  <w:num w:numId="11">
    <w:abstractNumId w:val="11"/>
  </w:num>
  <w:num w:numId="12">
    <w:abstractNumId w:val="7"/>
  </w:num>
  <w:num w:numId="13">
    <w:abstractNumId w:val="1"/>
  </w:num>
  <w:num w:numId="14">
    <w:abstractNumId w:val="4"/>
  </w:num>
  <w:num w:numId="15">
    <w:abstractNumId w:val="12"/>
    <w:lvlOverride w:ilvl="0">
      <w:startOverride w:val="4"/>
    </w:lvlOverride>
  </w:num>
  <w:num w:numId="16">
    <w:abstractNumId w:val="12"/>
    <w:lvlOverride w:ilvl="0">
      <w:startOverride w:val="22"/>
    </w:lvlOverride>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5"/>
  </w:num>
  <w:num w:numId="32">
    <w:abstractNumId w:val="0"/>
  </w:num>
  <w:num w:numId="33">
    <w:abstractNumId w:val="12"/>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40"/>
    <w:rsid w:val="00001CB4"/>
    <w:rsid w:val="00014484"/>
    <w:rsid w:val="000216AD"/>
    <w:rsid w:val="00024902"/>
    <w:rsid w:val="000251D3"/>
    <w:rsid w:val="000262C0"/>
    <w:rsid w:val="000269D6"/>
    <w:rsid w:val="00026D97"/>
    <w:rsid w:val="00036039"/>
    <w:rsid w:val="00036B37"/>
    <w:rsid w:val="00037F90"/>
    <w:rsid w:val="00040BB5"/>
    <w:rsid w:val="0004154A"/>
    <w:rsid w:val="0004267E"/>
    <w:rsid w:val="000514F1"/>
    <w:rsid w:val="00051558"/>
    <w:rsid w:val="00061A57"/>
    <w:rsid w:val="00064ADC"/>
    <w:rsid w:val="000668DA"/>
    <w:rsid w:val="0007059D"/>
    <w:rsid w:val="000728FF"/>
    <w:rsid w:val="00073450"/>
    <w:rsid w:val="00073561"/>
    <w:rsid w:val="00075906"/>
    <w:rsid w:val="00076C13"/>
    <w:rsid w:val="0008718F"/>
    <w:rsid w:val="000875BF"/>
    <w:rsid w:val="00090E63"/>
    <w:rsid w:val="0009284C"/>
    <w:rsid w:val="00096D8C"/>
    <w:rsid w:val="000971AC"/>
    <w:rsid w:val="000A053B"/>
    <w:rsid w:val="000A5F07"/>
    <w:rsid w:val="000B00E8"/>
    <w:rsid w:val="000B17A6"/>
    <w:rsid w:val="000B2885"/>
    <w:rsid w:val="000B622D"/>
    <w:rsid w:val="000C0B65"/>
    <w:rsid w:val="000C4C1D"/>
    <w:rsid w:val="000D5798"/>
    <w:rsid w:val="000D79FA"/>
    <w:rsid w:val="000E05FE"/>
    <w:rsid w:val="000E2437"/>
    <w:rsid w:val="000E32D5"/>
    <w:rsid w:val="000E3D42"/>
    <w:rsid w:val="000E655A"/>
    <w:rsid w:val="000E6874"/>
    <w:rsid w:val="000F28C5"/>
    <w:rsid w:val="000F73AA"/>
    <w:rsid w:val="000F779D"/>
    <w:rsid w:val="00104121"/>
    <w:rsid w:val="00111892"/>
    <w:rsid w:val="00111BA8"/>
    <w:rsid w:val="001137C6"/>
    <w:rsid w:val="0011427B"/>
    <w:rsid w:val="00122296"/>
    <w:rsid w:val="0012234C"/>
    <w:rsid w:val="00122BD5"/>
    <w:rsid w:val="00126CA2"/>
    <w:rsid w:val="001278CC"/>
    <w:rsid w:val="001314FC"/>
    <w:rsid w:val="0013249B"/>
    <w:rsid w:val="00133F79"/>
    <w:rsid w:val="0013503B"/>
    <w:rsid w:val="0013509F"/>
    <w:rsid w:val="00137CE3"/>
    <w:rsid w:val="00137FA5"/>
    <w:rsid w:val="001438DA"/>
    <w:rsid w:val="0015122B"/>
    <w:rsid w:val="0015224A"/>
    <w:rsid w:val="00153AAA"/>
    <w:rsid w:val="00154477"/>
    <w:rsid w:val="00155C0B"/>
    <w:rsid w:val="00161D89"/>
    <w:rsid w:val="001627E5"/>
    <w:rsid w:val="00176594"/>
    <w:rsid w:val="00182304"/>
    <w:rsid w:val="00186182"/>
    <w:rsid w:val="00190C82"/>
    <w:rsid w:val="0019214A"/>
    <w:rsid w:val="001933D7"/>
    <w:rsid w:val="00194A66"/>
    <w:rsid w:val="001A5288"/>
    <w:rsid w:val="001B1ED5"/>
    <w:rsid w:val="001B2424"/>
    <w:rsid w:val="001B4A54"/>
    <w:rsid w:val="001B63BB"/>
    <w:rsid w:val="001B6E76"/>
    <w:rsid w:val="001B74D4"/>
    <w:rsid w:val="001C1346"/>
    <w:rsid w:val="001C4926"/>
    <w:rsid w:val="001C71E0"/>
    <w:rsid w:val="001D37A4"/>
    <w:rsid w:val="001D41E6"/>
    <w:rsid w:val="001D4CD4"/>
    <w:rsid w:val="001D6BCF"/>
    <w:rsid w:val="001E01CA"/>
    <w:rsid w:val="001E1D28"/>
    <w:rsid w:val="001F25BC"/>
    <w:rsid w:val="0020423E"/>
    <w:rsid w:val="0020531C"/>
    <w:rsid w:val="00207E47"/>
    <w:rsid w:val="00220A10"/>
    <w:rsid w:val="00224FB6"/>
    <w:rsid w:val="002320EB"/>
    <w:rsid w:val="002436B5"/>
    <w:rsid w:val="00246786"/>
    <w:rsid w:val="00246A71"/>
    <w:rsid w:val="00250DA4"/>
    <w:rsid w:val="00262C95"/>
    <w:rsid w:val="00263706"/>
    <w:rsid w:val="002755D1"/>
    <w:rsid w:val="00275CF5"/>
    <w:rsid w:val="00276774"/>
    <w:rsid w:val="00276A71"/>
    <w:rsid w:val="0028301F"/>
    <w:rsid w:val="00285017"/>
    <w:rsid w:val="00286347"/>
    <w:rsid w:val="00291D68"/>
    <w:rsid w:val="002A2D2E"/>
    <w:rsid w:val="002B1765"/>
    <w:rsid w:val="002B5AA5"/>
    <w:rsid w:val="002C00E8"/>
    <w:rsid w:val="002C14B4"/>
    <w:rsid w:val="002C1AC5"/>
    <w:rsid w:val="002C1DDB"/>
    <w:rsid w:val="002C66C0"/>
    <w:rsid w:val="002E46B8"/>
    <w:rsid w:val="002E4E09"/>
    <w:rsid w:val="002E5A04"/>
    <w:rsid w:val="002F0A22"/>
    <w:rsid w:val="002F12E0"/>
    <w:rsid w:val="002F7012"/>
    <w:rsid w:val="003010FA"/>
    <w:rsid w:val="003027C5"/>
    <w:rsid w:val="00302835"/>
    <w:rsid w:val="00302AC4"/>
    <w:rsid w:val="00302C38"/>
    <w:rsid w:val="00327FAD"/>
    <w:rsid w:val="003329C5"/>
    <w:rsid w:val="00340066"/>
    <w:rsid w:val="00343749"/>
    <w:rsid w:val="00344C16"/>
    <w:rsid w:val="00346C3F"/>
    <w:rsid w:val="003533DC"/>
    <w:rsid w:val="003660ED"/>
    <w:rsid w:val="00375648"/>
    <w:rsid w:val="00375E8E"/>
    <w:rsid w:val="003870E3"/>
    <w:rsid w:val="003909A2"/>
    <w:rsid w:val="00394828"/>
    <w:rsid w:val="00397914"/>
    <w:rsid w:val="003B0550"/>
    <w:rsid w:val="003B11E6"/>
    <w:rsid w:val="003B4047"/>
    <w:rsid w:val="003B59AC"/>
    <w:rsid w:val="003B694F"/>
    <w:rsid w:val="003B7D86"/>
    <w:rsid w:val="003C4A20"/>
    <w:rsid w:val="003C4BCC"/>
    <w:rsid w:val="003D7A7D"/>
    <w:rsid w:val="003E1218"/>
    <w:rsid w:val="003E345F"/>
    <w:rsid w:val="003E746E"/>
    <w:rsid w:val="003F171C"/>
    <w:rsid w:val="003F365A"/>
    <w:rsid w:val="003F5CF7"/>
    <w:rsid w:val="003F6349"/>
    <w:rsid w:val="00412FC5"/>
    <w:rsid w:val="004169EB"/>
    <w:rsid w:val="00422276"/>
    <w:rsid w:val="004227E6"/>
    <w:rsid w:val="0042314D"/>
    <w:rsid w:val="004242F1"/>
    <w:rsid w:val="00426D94"/>
    <w:rsid w:val="004305E9"/>
    <w:rsid w:val="004338E7"/>
    <w:rsid w:val="00440A39"/>
    <w:rsid w:val="0044203A"/>
    <w:rsid w:val="00445A00"/>
    <w:rsid w:val="00451B0F"/>
    <w:rsid w:val="00453A9E"/>
    <w:rsid w:val="004566B2"/>
    <w:rsid w:val="004620CB"/>
    <w:rsid w:val="004676BE"/>
    <w:rsid w:val="00474905"/>
    <w:rsid w:val="00474A15"/>
    <w:rsid w:val="00485C9F"/>
    <w:rsid w:val="00486AAF"/>
    <w:rsid w:val="00487DA4"/>
    <w:rsid w:val="004A5FBA"/>
    <w:rsid w:val="004A7F18"/>
    <w:rsid w:val="004C10C0"/>
    <w:rsid w:val="004C2EE3"/>
    <w:rsid w:val="004C303F"/>
    <w:rsid w:val="004E39F2"/>
    <w:rsid w:val="004E4A22"/>
    <w:rsid w:val="004E4F32"/>
    <w:rsid w:val="004E5ED4"/>
    <w:rsid w:val="00506BBE"/>
    <w:rsid w:val="00511968"/>
    <w:rsid w:val="00511F0B"/>
    <w:rsid w:val="0051761D"/>
    <w:rsid w:val="0052112B"/>
    <w:rsid w:val="005219BC"/>
    <w:rsid w:val="00525C61"/>
    <w:rsid w:val="005476AB"/>
    <w:rsid w:val="0055035F"/>
    <w:rsid w:val="00552E46"/>
    <w:rsid w:val="005536A1"/>
    <w:rsid w:val="00554498"/>
    <w:rsid w:val="00555C8A"/>
    <w:rsid w:val="0055614C"/>
    <w:rsid w:val="00560DA5"/>
    <w:rsid w:val="00561DDC"/>
    <w:rsid w:val="00562DFF"/>
    <w:rsid w:val="00565042"/>
    <w:rsid w:val="00566E9B"/>
    <w:rsid w:val="005671E3"/>
    <w:rsid w:val="005675C2"/>
    <w:rsid w:val="00572F28"/>
    <w:rsid w:val="00576DB8"/>
    <w:rsid w:val="00582BA0"/>
    <w:rsid w:val="005902EF"/>
    <w:rsid w:val="00593EAD"/>
    <w:rsid w:val="005A41B5"/>
    <w:rsid w:val="005A5FC7"/>
    <w:rsid w:val="005B4F0E"/>
    <w:rsid w:val="005D2C62"/>
    <w:rsid w:val="005D5341"/>
    <w:rsid w:val="005E10F1"/>
    <w:rsid w:val="005E14C2"/>
    <w:rsid w:val="005E6193"/>
    <w:rsid w:val="00601EBF"/>
    <w:rsid w:val="00605853"/>
    <w:rsid w:val="00605F22"/>
    <w:rsid w:val="0060622A"/>
    <w:rsid w:val="00607BA5"/>
    <w:rsid w:val="00610208"/>
    <w:rsid w:val="0061180A"/>
    <w:rsid w:val="0062080D"/>
    <w:rsid w:val="00620F5E"/>
    <w:rsid w:val="00621855"/>
    <w:rsid w:val="00623967"/>
    <w:rsid w:val="00626EB6"/>
    <w:rsid w:val="006437FB"/>
    <w:rsid w:val="006459B1"/>
    <w:rsid w:val="006462D3"/>
    <w:rsid w:val="00646C36"/>
    <w:rsid w:val="00652649"/>
    <w:rsid w:val="0065270B"/>
    <w:rsid w:val="006534CA"/>
    <w:rsid w:val="00655D03"/>
    <w:rsid w:val="00665547"/>
    <w:rsid w:val="00666F11"/>
    <w:rsid w:val="00683388"/>
    <w:rsid w:val="00683B2D"/>
    <w:rsid w:val="00683F1F"/>
    <w:rsid w:val="00683F84"/>
    <w:rsid w:val="006918C5"/>
    <w:rsid w:val="00692BF7"/>
    <w:rsid w:val="0069341E"/>
    <w:rsid w:val="006A0CCD"/>
    <w:rsid w:val="006A16B3"/>
    <w:rsid w:val="006A1D7C"/>
    <w:rsid w:val="006A51F7"/>
    <w:rsid w:val="006A551D"/>
    <w:rsid w:val="006A5BB3"/>
    <w:rsid w:val="006A6A81"/>
    <w:rsid w:val="006B197F"/>
    <w:rsid w:val="006B3C40"/>
    <w:rsid w:val="006B7BE2"/>
    <w:rsid w:val="006C3459"/>
    <w:rsid w:val="006C5C0B"/>
    <w:rsid w:val="006D133D"/>
    <w:rsid w:val="006D2C6E"/>
    <w:rsid w:val="006E207C"/>
    <w:rsid w:val="006E4E12"/>
    <w:rsid w:val="006F66EF"/>
    <w:rsid w:val="006F7147"/>
    <w:rsid w:val="006F7393"/>
    <w:rsid w:val="0070112A"/>
    <w:rsid w:val="0070224F"/>
    <w:rsid w:val="00703BD1"/>
    <w:rsid w:val="00710CC1"/>
    <w:rsid w:val="007115F7"/>
    <w:rsid w:val="00712B39"/>
    <w:rsid w:val="00712FE9"/>
    <w:rsid w:val="00715591"/>
    <w:rsid w:val="007563C6"/>
    <w:rsid w:val="00770B53"/>
    <w:rsid w:val="0077779F"/>
    <w:rsid w:val="0078084A"/>
    <w:rsid w:val="00782F47"/>
    <w:rsid w:val="00783519"/>
    <w:rsid w:val="00785689"/>
    <w:rsid w:val="0078789C"/>
    <w:rsid w:val="0079754B"/>
    <w:rsid w:val="007A1E6D"/>
    <w:rsid w:val="007A541A"/>
    <w:rsid w:val="007B09F9"/>
    <w:rsid w:val="007B0D37"/>
    <w:rsid w:val="007B0E95"/>
    <w:rsid w:val="007B0EB2"/>
    <w:rsid w:val="007B5620"/>
    <w:rsid w:val="007C0B2B"/>
    <w:rsid w:val="007C0B39"/>
    <w:rsid w:val="007C4242"/>
    <w:rsid w:val="007C473D"/>
    <w:rsid w:val="007C652F"/>
    <w:rsid w:val="007D19A5"/>
    <w:rsid w:val="007D2615"/>
    <w:rsid w:val="007D7BED"/>
    <w:rsid w:val="007E2EBD"/>
    <w:rsid w:val="007E3D69"/>
    <w:rsid w:val="007E75EC"/>
    <w:rsid w:val="007F2132"/>
    <w:rsid w:val="007F766D"/>
    <w:rsid w:val="008048A6"/>
    <w:rsid w:val="00805BF5"/>
    <w:rsid w:val="00806024"/>
    <w:rsid w:val="008062B4"/>
    <w:rsid w:val="0080718C"/>
    <w:rsid w:val="00810B6F"/>
    <w:rsid w:val="008155A1"/>
    <w:rsid w:val="00815BE3"/>
    <w:rsid w:val="00822CE0"/>
    <w:rsid w:val="008257A7"/>
    <w:rsid w:val="00826538"/>
    <w:rsid w:val="00830A41"/>
    <w:rsid w:val="00832DE8"/>
    <w:rsid w:val="008335CC"/>
    <w:rsid w:val="0083587E"/>
    <w:rsid w:val="00841AB1"/>
    <w:rsid w:val="00842EF2"/>
    <w:rsid w:val="008434F4"/>
    <w:rsid w:val="00843A5F"/>
    <w:rsid w:val="00852593"/>
    <w:rsid w:val="008531F7"/>
    <w:rsid w:val="0088350A"/>
    <w:rsid w:val="00883524"/>
    <w:rsid w:val="0088797D"/>
    <w:rsid w:val="00887F97"/>
    <w:rsid w:val="00894D59"/>
    <w:rsid w:val="00897EDF"/>
    <w:rsid w:val="008A1C76"/>
    <w:rsid w:val="008A2184"/>
    <w:rsid w:val="008A2AD9"/>
    <w:rsid w:val="008A3BFE"/>
    <w:rsid w:val="008A7975"/>
    <w:rsid w:val="008A7AD7"/>
    <w:rsid w:val="008B628C"/>
    <w:rsid w:val="008C44D1"/>
    <w:rsid w:val="008C68F1"/>
    <w:rsid w:val="008D216B"/>
    <w:rsid w:val="008D3C3F"/>
    <w:rsid w:val="008D6611"/>
    <w:rsid w:val="008D79FA"/>
    <w:rsid w:val="008E15FA"/>
    <w:rsid w:val="008E3790"/>
    <w:rsid w:val="008E5261"/>
    <w:rsid w:val="008E5A04"/>
    <w:rsid w:val="008F2DBF"/>
    <w:rsid w:val="00901E3F"/>
    <w:rsid w:val="009068C2"/>
    <w:rsid w:val="00913231"/>
    <w:rsid w:val="009150AB"/>
    <w:rsid w:val="00921803"/>
    <w:rsid w:val="00926503"/>
    <w:rsid w:val="00926FC4"/>
    <w:rsid w:val="009279FD"/>
    <w:rsid w:val="00927B1B"/>
    <w:rsid w:val="00927DDF"/>
    <w:rsid w:val="0093006C"/>
    <w:rsid w:val="009341CC"/>
    <w:rsid w:val="00936B23"/>
    <w:rsid w:val="0094611A"/>
    <w:rsid w:val="009476B1"/>
    <w:rsid w:val="00952E61"/>
    <w:rsid w:val="009570D2"/>
    <w:rsid w:val="0096758E"/>
    <w:rsid w:val="00971733"/>
    <w:rsid w:val="009726D8"/>
    <w:rsid w:val="00974611"/>
    <w:rsid w:val="00980648"/>
    <w:rsid w:val="00980D21"/>
    <w:rsid w:val="00981F23"/>
    <w:rsid w:val="00982541"/>
    <w:rsid w:val="009850EA"/>
    <w:rsid w:val="00993743"/>
    <w:rsid w:val="009A17A5"/>
    <w:rsid w:val="009B31C8"/>
    <w:rsid w:val="009C4501"/>
    <w:rsid w:val="009C46DE"/>
    <w:rsid w:val="009C6343"/>
    <w:rsid w:val="009C7F78"/>
    <w:rsid w:val="009D0E7C"/>
    <w:rsid w:val="009D3294"/>
    <w:rsid w:val="009D5670"/>
    <w:rsid w:val="009D7FB5"/>
    <w:rsid w:val="009E1DE8"/>
    <w:rsid w:val="009E2673"/>
    <w:rsid w:val="009E51C5"/>
    <w:rsid w:val="009F5D38"/>
    <w:rsid w:val="009F76DB"/>
    <w:rsid w:val="00A07FCB"/>
    <w:rsid w:val="00A1300F"/>
    <w:rsid w:val="00A13790"/>
    <w:rsid w:val="00A13EEC"/>
    <w:rsid w:val="00A15CBD"/>
    <w:rsid w:val="00A17DF1"/>
    <w:rsid w:val="00A32C3B"/>
    <w:rsid w:val="00A34BAD"/>
    <w:rsid w:val="00A36585"/>
    <w:rsid w:val="00A45B71"/>
    <w:rsid w:val="00A45F4F"/>
    <w:rsid w:val="00A475EF"/>
    <w:rsid w:val="00A51F7B"/>
    <w:rsid w:val="00A52D17"/>
    <w:rsid w:val="00A5334C"/>
    <w:rsid w:val="00A53F10"/>
    <w:rsid w:val="00A547F8"/>
    <w:rsid w:val="00A5613E"/>
    <w:rsid w:val="00A600A9"/>
    <w:rsid w:val="00A66B78"/>
    <w:rsid w:val="00A8149F"/>
    <w:rsid w:val="00A90A66"/>
    <w:rsid w:val="00AA0C6B"/>
    <w:rsid w:val="00AA1A67"/>
    <w:rsid w:val="00AA55B7"/>
    <w:rsid w:val="00AA5B9E"/>
    <w:rsid w:val="00AB2407"/>
    <w:rsid w:val="00AB43B3"/>
    <w:rsid w:val="00AB53DF"/>
    <w:rsid w:val="00AB6ADC"/>
    <w:rsid w:val="00AC67DE"/>
    <w:rsid w:val="00AC7DEE"/>
    <w:rsid w:val="00AD0401"/>
    <w:rsid w:val="00AD0726"/>
    <w:rsid w:val="00AD552D"/>
    <w:rsid w:val="00AD6D76"/>
    <w:rsid w:val="00AE01C2"/>
    <w:rsid w:val="00AE24D5"/>
    <w:rsid w:val="00AE2B6E"/>
    <w:rsid w:val="00AF58BD"/>
    <w:rsid w:val="00AF72D2"/>
    <w:rsid w:val="00B0044E"/>
    <w:rsid w:val="00B023FF"/>
    <w:rsid w:val="00B02746"/>
    <w:rsid w:val="00B067FE"/>
    <w:rsid w:val="00B07974"/>
    <w:rsid w:val="00B07E5C"/>
    <w:rsid w:val="00B1444F"/>
    <w:rsid w:val="00B213CA"/>
    <w:rsid w:val="00B2646D"/>
    <w:rsid w:val="00B26748"/>
    <w:rsid w:val="00B43FC1"/>
    <w:rsid w:val="00B4634E"/>
    <w:rsid w:val="00B51B28"/>
    <w:rsid w:val="00B54B98"/>
    <w:rsid w:val="00B63AE1"/>
    <w:rsid w:val="00B64D45"/>
    <w:rsid w:val="00B709FD"/>
    <w:rsid w:val="00B7146B"/>
    <w:rsid w:val="00B73A30"/>
    <w:rsid w:val="00B76F47"/>
    <w:rsid w:val="00B8017C"/>
    <w:rsid w:val="00B810D1"/>
    <w:rsid w:val="00B811F7"/>
    <w:rsid w:val="00B812A6"/>
    <w:rsid w:val="00B8387C"/>
    <w:rsid w:val="00B905A7"/>
    <w:rsid w:val="00B94251"/>
    <w:rsid w:val="00BA18C0"/>
    <w:rsid w:val="00BA5DC6"/>
    <w:rsid w:val="00BA6196"/>
    <w:rsid w:val="00BB414C"/>
    <w:rsid w:val="00BB440F"/>
    <w:rsid w:val="00BB7380"/>
    <w:rsid w:val="00BC3E85"/>
    <w:rsid w:val="00BC67CB"/>
    <w:rsid w:val="00BC6D8C"/>
    <w:rsid w:val="00BC7821"/>
    <w:rsid w:val="00BD08D2"/>
    <w:rsid w:val="00BD4EBC"/>
    <w:rsid w:val="00BD5BEC"/>
    <w:rsid w:val="00BD779B"/>
    <w:rsid w:val="00BE103C"/>
    <w:rsid w:val="00BE7E75"/>
    <w:rsid w:val="00BF5002"/>
    <w:rsid w:val="00BF678D"/>
    <w:rsid w:val="00BF684A"/>
    <w:rsid w:val="00C014DA"/>
    <w:rsid w:val="00C01E1F"/>
    <w:rsid w:val="00C0337A"/>
    <w:rsid w:val="00C04651"/>
    <w:rsid w:val="00C236AC"/>
    <w:rsid w:val="00C277CC"/>
    <w:rsid w:val="00C27BF9"/>
    <w:rsid w:val="00C34006"/>
    <w:rsid w:val="00C353B8"/>
    <w:rsid w:val="00C3652C"/>
    <w:rsid w:val="00C372BF"/>
    <w:rsid w:val="00C37C15"/>
    <w:rsid w:val="00C426B1"/>
    <w:rsid w:val="00C43E4A"/>
    <w:rsid w:val="00C51324"/>
    <w:rsid w:val="00C566EC"/>
    <w:rsid w:val="00C575BD"/>
    <w:rsid w:val="00C6102A"/>
    <w:rsid w:val="00C6383F"/>
    <w:rsid w:val="00C66160"/>
    <w:rsid w:val="00C7140C"/>
    <w:rsid w:val="00C721AC"/>
    <w:rsid w:val="00C841D5"/>
    <w:rsid w:val="00C907ED"/>
    <w:rsid w:val="00C90D6A"/>
    <w:rsid w:val="00CA247E"/>
    <w:rsid w:val="00CC72B6"/>
    <w:rsid w:val="00CD3870"/>
    <w:rsid w:val="00CE104B"/>
    <w:rsid w:val="00CE2DE2"/>
    <w:rsid w:val="00CE68FE"/>
    <w:rsid w:val="00CE79A0"/>
    <w:rsid w:val="00CE7D37"/>
    <w:rsid w:val="00CF1B2D"/>
    <w:rsid w:val="00CF6886"/>
    <w:rsid w:val="00D00B52"/>
    <w:rsid w:val="00D01C65"/>
    <w:rsid w:val="00D0218D"/>
    <w:rsid w:val="00D10739"/>
    <w:rsid w:val="00D1456B"/>
    <w:rsid w:val="00D23E19"/>
    <w:rsid w:val="00D24CB0"/>
    <w:rsid w:val="00D25847"/>
    <w:rsid w:val="00D25FB5"/>
    <w:rsid w:val="00D26797"/>
    <w:rsid w:val="00D341FE"/>
    <w:rsid w:val="00D44223"/>
    <w:rsid w:val="00D4452F"/>
    <w:rsid w:val="00D45A54"/>
    <w:rsid w:val="00D503BA"/>
    <w:rsid w:val="00D560CD"/>
    <w:rsid w:val="00D56A4B"/>
    <w:rsid w:val="00D612FE"/>
    <w:rsid w:val="00D627A6"/>
    <w:rsid w:val="00D65117"/>
    <w:rsid w:val="00D66953"/>
    <w:rsid w:val="00D74D78"/>
    <w:rsid w:val="00D80103"/>
    <w:rsid w:val="00D83696"/>
    <w:rsid w:val="00D84548"/>
    <w:rsid w:val="00D84F78"/>
    <w:rsid w:val="00D9021A"/>
    <w:rsid w:val="00D923CD"/>
    <w:rsid w:val="00DA1426"/>
    <w:rsid w:val="00DA176A"/>
    <w:rsid w:val="00DA2529"/>
    <w:rsid w:val="00DB0955"/>
    <w:rsid w:val="00DB0C03"/>
    <w:rsid w:val="00DB0D35"/>
    <w:rsid w:val="00DB130A"/>
    <w:rsid w:val="00DB178E"/>
    <w:rsid w:val="00DB2EBB"/>
    <w:rsid w:val="00DC10A1"/>
    <w:rsid w:val="00DC2111"/>
    <w:rsid w:val="00DC655F"/>
    <w:rsid w:val="00DD0B59"/>
    <w:rsid w:val="00DD1F61"/>
    <w:rsid w:val="00DD4456"/>
    <w:rsid w:val="00DD7EBD"/>
    <w:rsid w:val="00DF2595"/>
    <w:rsid w:val="00DF4C61"/>
    <w:rsid w:val="00DF62B6"/>
    <w:rsid w:val="00DF72F1"/>
    <w:rsid w:val="00DF747E"/>
    <w:rsid w:val="00E0195B"/>
    <w:rsid w:val="00E01C6E"/>
    <w:rsid w:val="00E01E06"/>
    <w:rsid w:val="00E02214"/>
    <w:rsid w:val="00E02D1D"/>
    <w:rsid w:val="00E03587"/>
    <w:rsid w:val="00E067E9"/>
    <w:rsid w:val="00E07225"/>
    <w:rsid w:val="00E1090A"/>
    <w:rsid w:val="00E12821"/>
    <w:rsid w:val="00E1401A"/>
    <w:rsid w:val="00E1783B"/>
    <w:rsid w:val="00E22653"/>
    <w:rsid w:val="00E24E9F"/>
    <w:rsid w:val="00E3009C"/>
    <w:rsid w:val="00E32B72"/>
    <w:rsid w:val="00E40006"/>
    <w:rsid w:val="00E40F40"/>
    <w:rsid w:val="00E43C74"/>
    <w:rsid w:val="00E4501C"/>
    <w:rsid w:val="00E5409F"/>
    <w:rsid w:val="00E55D00"/>
    <w:rsid w:val="00E5745E"/>
    <w:rsid w:val="00E66F37"/>
    <w:rsid w:val="00E7091B"/>
    <w:rsid w:val="00E8027E"/>
    <w:rsid w:val="00E80C54"/>
    <w:rsid w:val="00E8133D"/>
    <w:rsid w:val="00E861B3"/>
    <w:rsid w:val="00E8630A"/>
    <w:rsid w:val="00EA12C6"/>
    <w:rsid w:val="00EB20A8"/>
    <w:rsid w:val="00EC4E56"/>
    <w:rsid w:val="00EC75CA"/>
    <w:rsid w:val="00ED3BA5"/>
    <w:rsid w:val="00ED3C07"/>
    <w:rsid w:val="00ED419F"/>
    <w:rsid w:val="00ED5746"/>
    <w:rsid w:val="00EE1291"/>
    <w:rsid w:val="00EE6488"/>
    <w:rsid w:val="00EF1B1B"/>
    <w:rsid w:val="00EF30D3"/>
    <w:rsid w:val="00EF505E"/>
    <w:rsid w:val="00EF5FE2"/>
    <w:rsid w:val="00F021FA"/>
    <w:rsid w:val="00F02B8E"/>
    <w:rsid w:val="00F071DB"/>
    <w:rsid w:val="00F1082C"/>
    <w:rsid w:val="00F11E9C"/>
    <w:rsid w:val="00F14CA6"/>
    <w:rsid w:val="00F15937"/>
    <w:rsid w:val="00F16CFE"/>
    <w:rsid w:val="00F21F87"/>
    <w:rsid w:val="00F22FBF"/>
    <w:rsid w:val="00F23171"/>
    <w:rsid w:val="00F23B6A"/>
    <w:rsid w:val="00F26C20"/>
    <w:rsid w:val="00F32845"/>
    <w:rsid w:val="00F365F4"/>
    <w:rsid w:val="00F56A65"/>
    <w:rsid w:val="00F60217"/>
    <w:rsid w:val="00F629DB"/>
    <w:rsid w:val="00F62E97"/>
    <w:rsid w:val="00F63691"/>
    <w:rsid w:val="00F64209"/>
    <w:rsid w:val="00F660CB"/>
    <w:rsid w:val="00F7063C"/>
    <w:rsid w:val="00F74D07"/>
    <w:rsid w:val="00F764C3"/>
    <w:rsid w:val="00F8143D"/>
    <w:rsid w:val="00F82AC0"/>
    <w:rsid w:val="00F8503B"/>
    <w:rsid w:val="00F8748A"/>
    <w:rsid w:val="00F93BF5"/>
    <w:rsid w:val="00FA5B59"/>
    <w:rsid w:val="00FB3458"/>
    <w:rsid w:val="00FB39CB"/>
    <w:rsid w:val="00FB4615"/>
    <w:rsid w:val="00FC1CB2"/>
    <w:rsid w:val="00FC498D"/>
    <w:rsid w:val="00FC7E4A"/>
    <w:rsid w:val="00FD0E89"/>
    <w:rsid w:val="00FD0F9C"/>
    <w:rsid w:val="00FD68B6"/>
    <w:rsid w:val="00FE482A"/>
    <w:rsid w:val="00FE5B2B"/>
    <w:rsid w:val="00FF3C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CF590"/>
  <w15:docId w15:val="{1BFB023A-3468-42D6-B87C-D7B61C81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98"/>
    <w:pPr>
      <w:widowControl w:val="0"/>
    </w:pPr>
    <w:rPr>
      <w:snapToGrid w:val="0"/>
      <w:kern w:val="28"/>
      <w:sz w:val="22"/>
    </w:rPr>
  </w:style>
  <w:style w:type="paragraph" w:styleId="Heading1">
    <w:name w:val="heading 1"/>
    <w:basedOn w:val="Normal"/>
    <w:next w:val="ParaNum"/>
    <w:link w:val="Heading1Char"/>
    <w:qFormat/>
    <w:rsid w:val="00B54B9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54B98"/>
    <w:pPr>
      <w:keepNext/>
      <w:numPr>
        <w:ilvl w:val="1"/>
        <w:numId w:val="2"/>
      </w:numPr>
      <w:spacing w:after="120"/>
      <w:outlineLvl w:val="1"/>
    </w:pPr>
    <w:rPr>
      <w:b/>
    </w:rPr>
  </w:style>
  <w:style w:type="paragraph" w:styleId="Heading3">
    <w:name w:val="heading 3"/>
    <w:basedOn w:val="Normal"/>
    <w:next w:val="ParaNum"/>
    <w:qFormat/>
    <w:rsid w:val="00B54B98"/>
    <w:pPr>
      <w:keepNext/>
      <w:numPr>
        <w:ilvl w:val="2"/>
        <w:numId w:val="2"/>
      </w:numPr>
      <w:tabs>
        <w:tab w:val="left" w:pos="2160"/>
      </w:tabs>
      <w:spacing w:after="120"/>
      <w:outlineLvl w:val="2"/>
    </w:pPr>
    <w:rPr>
      <w:b/>
    </w:rPr>
  </w:style>
  <w:style w:type="paragraph" w:styleId="Heading4">
    <w:name w:val="heading 4"/>
    <w:basedOn w:val="Normal"/>
    <w:next w:val="ParaNum"/>
    <w:qFormat/>
    <w:rsid w:val="00B54B98"/>
    <w:pPr>
      <w:keepNext/>
      <w:numPr>
        <w:ilvl w:val="3"/>
        <w:numId w:val="2"/>
      </w:numPr>
      <w:tabs>
        <w:tab w:val="left" w:pos="2880"/>
      </w:tabs>
      <w:spacing w:after="120"/>
      <w:outlineLvl w:val="3"/>
    </w:pPr>
    <w:rPr>
      <w:b/>
    </w:rPr>
  </w:style>
  <w:style w:type="paragraph" w:styleId="Heading5">
    <w:name w:val="heading 5"/>
    <w:basedOn w:val="Normal"/>
    <w:next w:val="ParaNum"/>
    <w:qFormat/>
    <w:rsid w:val="00B54B9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B54B98"/>
    <w:pPr>
      <w:numPr>
        <w:ilvl w:val="5"/>
        <w:numId w:val="2"/>
      </w:numPr>
      <w:tabs>
        <w:tab w:val="left" w:pos="4320"/>
      </w:tabs>
      <w:spacing w:after="120"/>
      <w:outlineLvl w:val="5"/>
    </w:pPr>
    <w:rPr>
      <w:b/>
    </w:rPr>
  </w:style>
  <w:style w:type="paragraph" w:styleId="Heading7">
    <w:name w:val="heading 7"/>
    <w:basedOn w:val="Normal"/>
    <w:next w:val="ParaNum"/>
    <w:qFormat/>
    <w:rsid w:val="00B54B9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B54B9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B54B9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54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B98"/>
  </w:style>
  <w:style w:type="paragraph" w:customStyle="1" w:styleId="ParaNum">
    <w:name w:val="ParaNum"/>
    <w:basedOn w:val="Normal"/>
    <w:link w:val="ParaNumChar0"/>
    <w:rsid w:val="00B54B98"/>
    <w:pPr>
      <w:numPr>
        <w:numId w:val="1"/>
      </w:numPr>
      <w:tabs>
        <w:tab w:val="clear" w:pos="1080"/>
        <w:tab w:val="num" w:pos="1440"/>
      </w:tabs>
      <w:spacing w:after="120"/>
    </w:pPr>
  </w:style>
  <w:style w:type="paragraph" w:styleId="EndnoteText">
    <w:name w:val="endnote text"/>
    <w:basedOn w:val="Normal"/>
    <w:semiHidden/>
    <w:rsid w:val="00B54B98"/>
    <w:rPr>
      <w:sz w:val="20"/>
    </w:rPr>
  </w:style>
  <w:style w:type="character" w:styleId="EndnoteReference">
    <w:name w:val="endnote reference"/>
    <w:semiHidden/>
    <w:rsid w:val="00B54B98"/>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B54B9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54B98"/>
    <w:rPr>
      <w:rFonts w:ascii="Times New Roman" w:hAnsi="Times New Roman"/>
      <w:dstrike w:val="0"/>
      <w:color w:val="auto"/>
      <w:sz w:val="20"/>
      <w:vertAlign w:val="superscript"/>
    </w:rPr>
  </w:style>
  <w:style w:type="paragraph" w:styleId="TOC1">
    <w:name w:val="toc 1"/>
    <w:basedOn w:val="Normal"/>
    <w:next w:val="Normal"/>
    <w:semiHidden/>
    <w:rsid w:val="00B54B9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54B98"/>
    <w:pPr>
      <w:tabs>
        <w:tab w:val="left" w:pos="720"/>
        <w:tab w:val="right" w:leader="dot" w:pos="9360"/>
      </w:tabs>
      <w:suppressAutoHyphens/>
      <w:ind w:left="720" w:right="720" w:hanging="360"/>
    </w:pPr>
    <w:rPr>
      <w:noProof/>
    </w:rPr>
  </w:style>
  <w:style w:type="paragraph" w:styleId="TOC3">
    <w:name w:val="toc 3"/>
    <w:basedOn w:val="Normal"/>
    <w:next w:val="Normal"/>
    <w:semiHidden/>
    <w:rsid w:val="00B54B9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4B9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4B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4B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4B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4B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4B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54B98"/>
    <w:pPr>
      <w:tabs>
        <w:tab w:val="right" w:pos="9360"/>
      </w:tabs>
      <w:suppressAutoHyphens/>
    </w:pPr>
  </w:style>
  <w:style w:type="character" w:customStyle="1" w:styleId="EquationCaption">
    <w:name w:val="_Equation Caption"/>
    <w:rsid w:val="00B54B98"/>
  </w:style>
  <w:style w:type="paragraph" w:styleId="Header">
    <w:name w:val="header"/>
    <w:basedOn w:val="Normal"/>
    <w:link w:val="HeaderChar"/>
    <w:autoRedefine/>
    <w:rsid w:val="00B54B98"/>
    <w:pPr>
      <w:tabs>
        <w:tab w:val="center" w:pos="4680"/>
        <w:tab w:val="right" w:pos="9360"/>
      </w:tabs>
    </w:pPr>
    <w:rPr>
      <w:b/>
    </w:rPr>
  </w:style>
  <w:style w:type="paragraph" w:styleId="Footer">
    <w:name w:val="footer"/>
    <w:basedOn w:val="Normal"/>
    <w:link w:val="FooterChar"/>
    <w:uiPriority w:val="99"/>
    <w:rsid w:val="00B54B98"/>
    <w:pPr>
      <w:tabs>
        <w:tab w:val="center" w:pos="4320"/>
        <w:tab w:val="right" w:pos="8640"/>
      </w:tabs>
    </w:pPr>
  </w:style>
  <w:style w:type="character" w:styleId="PageNumber">
    <w:name w:val="page number"/>
    <w:basedOn w:val="DefaultParagraphFont"/>
    <w:rsid w:val="00B54B98"/>
  </w:style>
  <w:style w:type="paragraph" w:styleId="BlockText">
    <w:name w:val="Block Text"/>
    <w:basedOn w:val="Normal"/>
    <w:rsid w:val="00B54B98"/>
    <w:pPr>
      <w:spacing w:after="240"/>
      <w:ind w:left="1440" w:right="1440"/>
    </w:pPr>
  </w:style>
  <w:style w:type="paragraph" w:customStyle="1" w:styleId="Paratitle">
    <w:name w:val="Para title"/>
    <w:basedOn w:val="Normal"/>
    <w:rsid w:val="00B54B98"/>
    <w:pPr>
      <w:tabs>
        <w:tab w:val="center" w:pos="9270"/>
      </w:tabs>
      <w:spacing w:after="240"/>
    </w:pPr>
    <w:rPr>
      <w:spacing w:val="-2"/>
    </w:rPr>
  </w:style>
  <w:style w:type="paragraph" w:customStyle="1" w:styleId="Bullet">
    <w:name w:val="Bullet"/>
    <w:basedOn w:val="Normal"/>
    <w:rsid w:val="00B54B98"/>
    <w:pPr>
      <w:tabs>
        <w:tab w:val="left" w:pos="2160"/>
      </w:tabs>
      <w:spacing w:after="220"/>
      <w:ind w:left="2160" w:hanging="720"/>
    </w:pPr>
  </w:style>
  <w:style w:type="paragraph" w:customStyle="1" w:styleId="TableFormat">
    <w:name w:val="TableFormat"/>
    <w:basedOn w:val="Bullet"/>
    <w:rsid w:val="00B54B98"/>
    <w:pPr>
      <w:tabs>
        <w:tab w:val="clear" w:pos="2160"/>
        <w:tab w:val="left" w:pos="5040"/>
      </w:tabs>
      <w:ind w:left="5040" w:hanging="3600"/>
    </w:pPr>
  </w:style>
  <w:style w:type="paragraph" w:customStyle="1" w:styleId="TOCTitle">
    <w:name w:val="TOC Title"/>
    <w:basedOn w:val="Normal"/>
    <w:rsid w:val="00B54B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54B98"/>
    <w:pPr>
      <w:jc w:val="center"/>
    </w:pPr>
    <w:rPr>
      <w:rFonts w:ascii="Times New Roman Bold" w:hAnsi="Times New Roman Bold"/>
      <w:b/>
      <w:bCs/>
      <w:caps/>
      <w:szCs w:val="22"/>
    </w:rPr>
  </w:style>
  <w:style w:type="character" w:styleId="Hyperlink">
    <w:name w:val="Hyperlink"/>
    <w:rsid w:val="00B54B98"/>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0">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link w:val="Footer"/>
    <w:uiPriority w:val="99"/>
    <w:rsid w:val="00B54B98"/>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F8748A"/>
    <w:rPr>
      <w:sz w:val="24"/>
      <w:lang w:val="en-US" w:eastAsia="en-US"/>
    </w:rPr>
  </w:style>
  <w:style w:type="character" w:customStyle="1" w:styleId="UnresolvedMention">
    <w:name w:val="Unresolved Mention"/>
    <w:basedOn w:val="DefaultParagraphFont"/>
    <w:uiPriority w:val="99"/>
    <w:semiHidden/>
    <w:unhideWhenUsed/>
    <w:rsid w:val="008D216B"/>
    <w:rPr>
      <w:color w:val="605E5C"/>
      <w:shd w:val="clear" w:color="auto" w:fill="E1DFDD"/>
    </w:rPr>
  </w:style>
  <w:style w:type="paragraph" w:styleId="PlainText">
    <w:name w:val="Plain Text"/>
    <w:basedOn w:val="Normal"/>
    <w:link w:val="PlainTextChar"/>
    <w:uiPriority w:val="99"/>
    <w:semiHidden/>
    <w:unhideWhenUsed/>
    <w:rsid w:val="00AF72D2"/>
    <w:pPr>
      <w:widowControl/>
    </w:pPr>
    <w:rPr>
      <w:rFonts w:ascii="Calibri" w:hAnsi="Calibri" w:eastAsiaTheme="minorHAnsi" w:cstheme="minorBidi"/>
      <w:snapToGrid/>
      <w:kern w:val="0"/>
      <w:szCs w:val="21"/>
    </w:rPr>
  </w:style>
  <w:style w:type="character" w:customStyle="1" w:styleId="PlainTextChar">
    <w:name w:val="Plain Text Char"/>
    <w:basedOn w:val="DefaultParagraphFont"/>
    <w:link w:val="PlainText"/>
    <w:uiPriority w:val="99"/>
    <w:semiHidden/>
    <w:rsid w:val="00AF72D2"/>
    <w:rPr>
      <w:rFonts w:ascii="Calibri" w:hAnsi="Calibri"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yperlink" Target="mailto:Victoria.Randazzo@fcc.gov" TargetMode="External" /><Relationship Id="rId12" Type="http://schemas.openxmlformats.org/officeDocument/2006/relationships/hyperlink" Target="https://www.fcc.gov/licensing-databases/fees/wire-transfer" TargetMode="External" /><Relationship Id="rId13" Type="http://schemas.openxmlformats.org/officeDocument/2006/relationships/hyperlink" Target="https://apps.fcc.gov/FeeFiler/login.cfm"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636D-AEA1-446A-9E2C-A47F9F9E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3</TotalTime>
  <Pages>9</Pages>
  <Words>3768</Words>
  <Characters>20804</Characters>
  <Application>Microsoft Office Word</Application>
  <DocSecurity>0</DocSecurity>
  <Lines>378</Lines>
  <Paragraphs>136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creator>Mindy Littell</dc:creator>
  <cp:lastModifiedBy>Raphael Sznajder</cp:lastModifiedBy>
  <cp:revision>2</cp:revision>
  <cp:lastPrinted>2014-03-14T15:48:00Z</cp:lastPrinted>
  <dcterms:created xsi:type="dcterms:W3CDTF">2021-06-03T13:46:00Z</dcterms:created>
  <dcterms:modified xsi:type="dcterms:W3CDTF">2021-06-03T13:46:00Z</dcterms:modified>
</cp:coreProperties>
</file>