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312A9" w:rsidRPr="00562859" w:rsidP="00D312A9" w14:paraId="10878D73" w14:textId="740C5465">
      <w:pPr>
        <w:jc w:val="right"/>
        <w:rPr>
          <w:b/>
          <w:szCs w:val="22"/>
        </w:rPr>
      </w:pPr>
      <w:r w:rsidRPr="00562859">
        <w:rPr>
          <w:b/>
          <w:bCs/>
          <w:szCs w:val="22"/>
        </w:rPr>
        <w:t xml:space="preserve">DA </w:t>
      </w:r>
      <w:r>
        <w:rPr>
          <w:b/>
          <w:bCs/>
          <w:szCs w:val="22"/>
        </w:rPr>
        <w:t>21</w:t>
      </w:r>
      <w:r w:rsidRPr="00562859">
        <w:rPr>
          <w:b/>
          <w:bCs/>
          <w:szCs w:val="22"/>
        </w:rPr>
        <w:t>-</w:t>
      </w:r>
      <w:r w:rsidR="00095EE2">
        <w:rPr>
          <w:b/>
          <w:bCs/>
          <w:szCs w:val="22"/>
        </w:rPr>
        <w:t>624</w:t>
      </w:r>
    </w:p>
    <w:p w:rsidR="00D312A9" w:rsidRPr="00271D29" w:rsidP="00D312A9" w14:paraId="3B4A312C" w14:textId="7632B115">
      <w:pPr>
        <w:spacing w:before="60"/>
        <w:jc w:val="right"/>
        <w:rPr>
          <w:b/>
          <w:szCs w:val="22"/>
        </w:rPr>
      </w:pPr>
      <w:r w:rsidRPr="00562859">
        <w:rPr>
          <w:b/>
          <w:szCs w:val="22"/>
        </w:rPr>
        <w:t xml:space="preserve">Released:  </w:t>
      </w:r>
      <w:r w:rsidR="0021560D">
        <w:rPr>
          <w:b/>
          <w:szCs w:val="22"/>
        </w:rPr>
        <w:t>May</w:t>
      </w:r>
      <w:r w:rsidR="00E96631">
        <w:rPr>
          <w:b/>
          <w:szCs w:val="22"/>
        </w:rPr>
        <w:t xml:space="preserve"> </w:t>
      </w:r>
      <w:r w:rsidR="00B67EF7">
        <w:rPr>
          <w:b/>
          <w:szCs w:val="22"/>
        </w:rPr>
        <w:t>2</w:t>
      </w:r>
      <w:r w:rsidR="00B72F7D">
        <w:rPr>
          <w:b/>
          <w:szCs w:val="22"/>
        </w:rPr>
        <w:t>8</w:t>
      </w:r>
      <w:r w:rsidRPr="00562859">
        <w:rPr>
          <w:b/>
          <w:bCs/>
          <w:szCs w:val="22"/>
        </w:rPr>
        <w:t>, 20</w:t>
      </w:r>
      <w:r>
        <w:rPr>
          <w:b/>
          <w:bCs/>
          <w:szCs w:val="22"/>
        </w:rPr>
        <w:t>2</w:t>
      </w:r>
      <w:r w:rsidRPr="00562859">
        <w:rPr>
          <w:b/>
          <w:bCs/>
          <w:szCs w:val="22"/>
        </w:rPr>
        <w:t>1</w:t>
      </w:r>
    </w:p>
    <w:p w:rsidR="00D312A9" w:rsidRPr="00271D29" w:rsidP="00D312A9" w14:paraId="284D27E6" w14:textId="77777777">
      <w:pPr>
        <w:jc w:val="right"/>
        <w:rPr>
          <w:szCs w:val="22"/>
        </w:rPr>
      </w:pPr>
    </w:p>
    <w:p w:rsidR="00D312A9" w:rsidP="00D312A9" w14:paraId="33005DE6" w14:textId="2E6A8B49">
      <w:pPr>
        <w:jc w:val="center"/>
        <w:rPr>
          <w:b/>
          <w:bCs/>
          <w:szCs w:val="22"/>
        </w:rPr>
      </w:pPr>
      <w:r>
        <w:t xml:space="preserve"> </w:t>
      </w:r>
      <w:r w:rsidRPr="00387440" w:rsidR="0047296F">
        <w:rPr>
          <w:b/>
          <w:bCs/>
        </w:rPr>
        <w:t>PROCEDURES AND OTHER</w:t>
      </w:r>
      <w:r>
        <w:t xml:space="preserve"> </w:t>
      </w:r>
      <w:r>
        <w:rPr>
          <w:b/>
          <w:bCs/>
          <w:szCs w:val="22"/>
        </w:rPr>
        <w:t xml:space="preserve">REQUIREMENTS REGARDING APPLICATION FOR REVIEW </w:t>
      </w:r>
      <w:r w:rsidR="00B27A2F">
        <w:rPr>
          <w:b/>
          <w:bCs/>
          <w:szCs w:val="22"/>
        </w:rPr>
        <w:t xml:space="preserve">FILED </w:t>
      </w:r>
      <w:r w:rsidR="00F17C9D">
        <w:rPr>
          <w:b/>
          <w:bCs/>
          <w:szCs w:val="22"/>
        </w:rPr>
        <w:t>BY VIASAT</w:t>
      </w:r>
      <w:r w:rsidR="002F6900">
        <w:rPr>
          <w:b/>
          <w:bCs/>
          <w:szCs w:val="22"/>
        </w:rPr>
        <w:t xml:space="preserve"> </w:t>
      </w:r>
      <w:r>
        <w:rPr>
          <w:b/>
          <w:bCs/>
          <w:szCs w:val="22"/>
        </w:rPr>
        <w:t xml:space="preserve">IN RURAL DIGITAL OPPORTUNITY FUND PHASE I </w:t>
      </w:r>
      <w:r w:rsidR="00047C8D">
        <w:rPr>
          <w:b/>
          <w:bCs/>
          <w:szCs w:val="22"/>
        </w:rPr>
        <w:t xml:space="preserve">(AUCTION 904) </w:t>
      </w:r>
    </w:p>
    <w:p w:rsidR="00D312A9" w:rsidP="00D312A9" w14:paraId="301F1500" w14:textId="496C57C5">
      <w:pPr>
        <w:jc w:val="center"/>
        <w:rPr>
          <w:b/>
          <w:bCs/>
          <w:szCs w:val="22"/>
        </w:rPr>
      </w:pPr>
    </w:p>
    <w:p w:rsidR="00D312A9" w:rsidP="00D312A9" w14:paraId="5C6FEA98" w14:textId="6E868A74">
      <w:pPr>
        <w:jc w:val="center"/>
        <w:rPr>
          <w:b/>
          <w:bCs/>
          <w:szCs w:val="22"/>
        </w:rPr>
      </w:pPr>
      <w:r>
        <w:rPr>
          <w:b/>
          <w:bCs/>
          <w:szCs w:val="22"/>
        </w:rPr>
        <w:t xml:space="preserve">GN </w:t>
      </w:r>
      <w:r>
        <w:rPr>
          <w:b/>
          <w:bCs/>
          <w:szCs w:val="22"/>
        </w:rPr>
        <w:t>Docket No. 21-</w:t>
      </w:r>
      <w:r w:rsidRPr="00782FBE" w:rsidR="00782FBE">
        <w:rPr>
          <w:b/>
          <w:bCs/>
          <w:szCs w:val="22"/>
        </w:rPr>
        <w:t>231</w:t>
      </w:r>
    </w:p>
    <w:p w:rsidR="00D312A9" w:rsidP="00D312A9" w14:paraId="32FBB77A" w14:textId="19E5F24C">
      <w:pPr>
        <w:jc w:val="center"/>
        <w:rPr>
          <w:b/>
          <w:bCs/>
          <w:szCs w:val="22"/>
        </w:rPr>
      </w:pPr>
      <w:r>
        <w:rPr>
          <w:b/>
          <w:bCs/>
          <w:szCs w:val="22"/>
        </w:rPr>
        <w:t>AU Docket No. 20-34</w:t>
      </w:r>
    </w:p>
    <w:p w:rsidR="00D312A9" w:rsidP="00D312A9" w14:paraId="089222AB" w14:textId="2F4F8511">
      <w:pPr>
        <w:jc w:val="center"/>
        <w:rPr>
          <w:b/>
          <w:bCs/>
          <w:szCs w:val="22"/>
        </w:rPr>
      </w:pPr>
      <w:r>
        <w:rPr>
          <w:b/>
          <w:bCs/>
          <w:szCs w:val="22"/>
        </w:rPr>
        <w:t>WC Docket No. 19-126</w:t>
      </w:r>
    </w:p>
    <w:p w:rsidR="00D312A9" w:rsidP="00D312A9" w14:paraId="2D11FA56" w14:textId="77777777">
      <w:pPr>
        <w:pStyle w:val="Default"/>
        <w:rPr>
          <w:b/>
          <w:sz w:val="22"/>
          <w:szCs w:val="22"/>
        </w:rPr>
      </w:pPr>
    </w:p>
    <w:p w:rsidR="00D312A9" w:rsidRPr="00562859" w:rsidP="00D312A9" w14:paraId="233018FA" w14:textId="11C06EF0">
      <w:pPr>
        <w:pStyle w:val="Default"/>
        <w:rPr>
          <w:b/>
          <w:sz w:val="22"/>
          <w:szCs w:val="22"/>
        </w:rPr>
      </w:pPr>
      <w:r>
        <w:rPr>
          <w:b/>
          <w:sz w:val="22"/>
          <w:szCs w:val="22"/>
        </w:rPr>
        <w:t xml:space="preserve">Oppositions Due:  </w:t>
      </w:r>
      <w:r w:rsidR="00B72F7D">
        <w:rPr>
          <w:b/>
          <w:sz w:val="22"/>
          <w:szCs w:val="22"/>
        </w:rPr>
        <w:t>June 28</w:t>
      </w:r>
      <w:r w:rsidRPr="00562859">
        <w:rPr>
          <w:b/>
          <w:sz w:val="22"/>
          <w:szCs w:val="22"/>
        </w:rPr>
        <w:t>, 20</w:t>
      </w:r>
      <w:r>
        <w:rPr>
          <w:b/>
          <w:sz w:val="22"/>
          <w:szCs w:val="22"/>
        </w:rPr>
        <w:t>2</w:t>
      </w:r>
      <w:r w:rsidRPr="00562859">
        <w:rPr>
          <w:b/>
          <w:sz w:val="22"/>
          <w:szCs w:val="22"/>
        </w:rPr>
        <w:t>1</w:t>
      </w:r>
      <w:r w:rsidR="00B67EF7">
        <w:rPr>
          <w:b/>
          <w:sz w:val="22"/>
          <w:szCs w:val="22"/>
        </w:rPr>
        <w:t xml:space="preserve"> </w:t>
      </w:r>
    </w:p>
    <w:p w:rsidR="00D312A9" w:rsidP="00D312A9" w14:paraId="073AEB97" w14:textId="2DCA157C">
      <w:pPr>
        <w:pStyle w:val="Default"/>
        <w:rPr>
          <w:b/>
          <w:sz w:val="22"/>
          <w:szCs w:val="22"/>
        </w:rPr>
      </w:pPr>
      <w:r w:rsidRPr="00562859">
        <w:rPr>
          <w:b/>
          <w:sz w:val="22"/>
          <w:szCs w:val="22"/>
        </w:rPr>
        <w:t xml:space="preserve">Replies to Oppositions Due:  </w:t>
      </w:r>
      <w:r w:rsidR="00B72F7D">
        <w:rPr>
          <w:b/>
          <w:sz w:val="22"/>
          <w:szCs w:val="22"/>
        </w:rPr>
        <w:t>July 19</w:t>
      </w:r>
      <w:r w:rsidRPr="00562859">
        <w:rPr>
          <w:b/>
          <w:sz w:val="22"/>
          <w:szCs w:val="22"/>
        </w:rPr>
        <w:t>, 20</w:t>
      </w:r>
      <w:r>
        <w:rPr>
          <w:b/>
          <w:sz w:val="22"/>
          <w:szCs w:val="22"/>
        </w:rPr>
        <w:t>2</w:t>
      </w:r>
      <w:r w:rsidRPr="00562859">
        <w:rPr>
          <w:b/>
          <w:sz w:val="22"/>
          <w:szCs w:val="22"/>
        </w:rPr>
        <w:t>1</w:t>
      </w:r>
    </w:p>
    <w:p w:rsidR="00D312A9" w:rsidP="00D312A9" w14:paraId="7A6CBF3E" w14:textId="77777777">
      <w:pPr>
        <w:pStyle w:val="Default"/>
        <w:rPr>
          <w:sz w:val="22"/>
          <w:szCs w:val="22"/>
        </w:rPr>
      </w:pPr>
    </w:p>
    <w:p w:rsidR="00D312A9" w:rsidP="00D312A9" w14:paraId="38F1A0FD" w14:textId="3B5C2E7E">
      <w:pPr>
        <w:pStyle w:val="Default"/>
        <w:ind w:firstLine="720"/>
        <w:rPr>
          <w:sz w:val="22"/>
          <w:szCs w:val="22"/>
        </w:rPr>
      </w:pPr>
      <w:r>
        <w:rPr>
          <w:sz w:val="22"/>
          <w:szCs w:val="22"/>
        </w:rPr>
        <w:t xml:space="preserve">By this Public Notice, </w:t>
      </w:r>
      <w:r w:rsidR="002E0868">
        <w:rPr>
          <w:sz w:val="22"/>
          <w:szCs w:val="22"/>
        </w:rPr>
        <w:t>the Office of Economics and Analytics</w:t>
      </w:r>
      <w:r w:rsidR="00BB743A">
        <w:rPr>
          <w:sz w:val="22"/>
          <w:szCs w:val="22"/>
        </w:rPr>
        <w:t xml:space="preserve"> (OEA)</w:t>
      </w:r>
      <w:r w:rsidR="002E0868">
        <w:rPr>
          <w:sz w:val="22"/>
          <w:szCs w:val="22"/>
        </w:rPr>
        <w:t>, in coordination with the Rural Broadband Auctions Task Force and the Wireline Competition Bureau</w:t>
      </w:r>
      <w:r w:rsidR="00054539">
        <w:rPr>
          <w:sz w:val="22"/>
          <w:szCs w:val="22"/>
        </w:rPr>
        <w:t xml:space="preserve"> (WCB)</w:t>
      </w:r>
      <w:r w:rsidR="002E0868">
        <w:rPr>
          <w:sz w:val="22"/>
          <w:szCs w:val="22"/>
        </w:rPr>
        <w:t xml:space="preserve">, </w:t>
      </w:r>
      <w:r w:rsidR="0009594D">
        <w:rPr>
          <w:sz w:val="22"/>
          <w:szCs w:val="22"/>
        </w:rPr>
        <w:t xml:space="preserve">announces the procedures and other requirements </w:t>
      </w:r>
      <w:r w:rsidR="005B7F77">
        <w:rPr>
          <w:sz w:val="22"/>
          <w:szCs w:val="22"/>
        </w:rPr>
        <w:t xml:space="preserve">governing </w:t>
      </w:r>
      <w:r w:rsidR="00132235">
        <w:rPr>
          <w:sz w:val="22"/>
          <w:szCs w:val="22"/>
        </w:rPr>
        <w:t>the</w:t>
      </w:r>
      <w:r>
        <w:rPr>
          <w:sz w:val="22"/>
          <w:szCs w:val="22"/>
        </w:rPr>
        <w:t xml:space="preserve"> application for review filed by Viasat, Inc. (Viasat) </w:t>
      </w:r>
      <w:r w:rsidR="00403D91">
        <w:rPr>
          <w:sz w:val="22"/>
          <w:szCs w:val="22"/>
        </w:rPr>
        <w:t xml:space="preserve">regarding its participation in </w:t>
      </w:r>
      <w:r w:rsidR="00B80D60">
        <w:rPr>
          <w:sz w:val="22"/>
          <w:szCs w:val="22"/>
        </w:rPr>
        <w:t xml:space="preserve">the Rural Digital Opportunity Fund Phase I </w:t>
      </w:r>
      <w:r w:rsidR="00BF186F">
        <w:rPr>
          <w:sz w:val="22"/>
          <w:szCs w:val="22"/>
        </w:rPr>
        <w:t xml:space="preserve">auction </w:t>
      </w:r>
      <w:r w:rsidR="00B80D60">
        <w:rPr>
          <w:sz w:val="22"/>
          <w:szCs w:val="22"/>
        </w:rPr>
        <w:t>(Auction 904)</w:t>
      </w:r>
      <w:r>
        <w:rPr>
          <w:sz w:val="22"/>
          <w:szCs w:val="22"/>
        </w:rPr>
        <w:t xml:space="preserve">.  </w:t>
      </w:r>
      <w:r w:rsidR="000D28B7">
        <w:rPr>
          <w:sz w:val="22"/>
          <w:szCs w:val="22"/>
        </w:rPr>
        <w:t xml:space="preserve">Among other things, </w:t>
      </w:r>
      <w:r w:rsidR="0045212B">
        <w:rPr>
          <w:sz w:val="22"/>
          <w:szCs w:val="22"/>
        </w:rPr>
        <w:t xml:space="preserve">we </w:t>
      </w:r>
      <w:r w:rsidR="006F3AF2">
        <w:rPr>
          <w:sz w:val="22"/>
          <w:szCs w:val="22"/>
        </w:rPr>
        <w:t>announce a new docket</w:t>
      </w:r>
      <w:r w:rsidR="00956F49">
        <w:rPr>
          <w:sz w:val="22"/>
          <w:szCs w:val="22"/>
        </w:rPr>
        <w:t xml:space="preserve"> </w:t>
      </w:r>
      <w:r w:rsidR="003C566B">
        <w:rPr>
          <w:sz w:val="22"/>
          <w:szCs w:val="22"/>
        </w:rPr>
        <w:t xml:space="preserve">for the application for review </w:t>
      </w:r>
      <w:r w:rsidR="00956F49">
        <w:rPr>
          <w:sz w:val="22"/>
          <w:szCs w:val="22"/>
        </w:rPr>
        <w:t xml:space="preserve">and </w:t>
      </w:r>
      <w:r w:rsidR="00BB5F2F">
        <w:rPr>
          <w:sz w:val="22"/>
          <w:szCs w:val="22"/>
        </w:rPr>
        <w:t xml:space="preserve">the </w:t>
      </w:r>
      <w:r w:rsidR="002541C2">
        <w:rPr>
          <w:sz w:val="22"/>
          <w:szCs w:val="22"/>
        </w:rPr>
        <w:t>adoption</w:t>
      </w:r>
      <w:r w:rsidR="001B371B">
        <w:rPr>
          <w:sz w:val="22"/>
          <w:szCs w:val="22"/>
        </w:rPr>
        <w:t xml:space="preserve"> and release</w:t>
      </w:r>
      <w:r w:rsidR="00BB5F2F">
        <w:rPr>
          <w:sz w:val="22"/>
          <w:szCs w:val="22"/>
        </w:rPr>
        <w:t xml:space="preserve"> of a protective order in that docket</w:t>
      </w:r>
      <w:r w:rsidR="002A5442">
        <w:rPr>
          <w:sz w:val="22"/>
          <w:szCs w:val="22"/>
        </w:rPr>
        <w:t>.  We also</w:t>
      </w:r>
      <w:r w:rsidR="00CB4793">
        <w:rPr>
          <w:sz w:val="22"/>
          <w:szCs w:val="22"/>
        </w:rPr>
        <w:t xml:space="preserve"> </w:t>
      </w:r>
      <w:r w:rsidR="005821ED">
        <w:rPr>
          <w:sz w:val="22"/>
          <w:szCs w:val="22"/>
        </w:rPr>
        <w:t xml:space="preserve">set </w:t>
      </w:r>
      <w:r w:rsidR="00B72F7D">
        <w:rPr>
          <w:b/>
          <w:bCs/>
          <w:sz w:val="22"/>
          <w:szCs w:val="22"/>
        </w:rPr>
        <w:t>June 28</w:t>
      </w:r>
      <w:r w:rsidRPr="005821ED" w:rsidR="005821ED">
        <w:rPr>
          <w:b/>
          <w:bCs/>
          <w:sz w:val="22"/>
          <w:szCs w:val="22"/>
        </w:rPr>
        <w:t>, 2021</w:t>
      </w:r>
      <w:r w:rsidR="005821ED">
        <w:rPr>
          <w:bCs/>
          <w:sz w:val="22"/>
          <w:szCs w:val="22"/>
        </w:rPr>
        <w:t xml:space="preserve"> as</w:t>
      </w:r>
      <w:r w:rsidR="008241C4">
        <w:rPr>
          <w:sz w:val="22"/>
          <w:szCs w:val="22"/>
        </w:rPr>
        <w:t xml:space="preserve"> </w:t>
      </w:r>
      <w:r w:rsidR="000D28B7">
        <w:rPr>
          <w:sz w:val="22"/>
          <w:szCs w:val="22"/>
        </w:rPr>
        <w:t xml:space="preserve">the </w:t>
      </w:r>
      <w:r w:rsidRPr="00562859" w:rsidR="00A0040D">
        <w:rPr>
          <w:sz w:val="22"/>
          <w:szCs w:val="22"/>
        </w:rPr>
        <w:t>d</w:t>
      </w:r>
      <w:r w:rsidR="00DA41E7">
        <w:rPr>
          <w:sz w:val="22"/>
          <w:szCs w:val="22"/>
        </w:rPr>
        <w:t>ue date</w:t>
      </w:r>
      <w:r w:rsidRPr="00562859" w:rsidR="00A0040D">
        <w:rPr>
          <w:sz w:val="22"/>
          <w:szCs w:val="22"/>
        </w:rPr>
        <w:t xml:space="preserve"> for oppositions and </w:t>
      </w:r>
      <w:r w:rsidR="00B72F7D">
        <w:rPr>
          <w:b/>
          <w:bCs/>
          <w:sz w:val="22"/>
          <w:szCs w:val="22"/>
        </w:rPr>
        <w:t>July 19</w:t>
      </w:r>
      <w:r w:rsidRPr="005821ED" w:rsidR="00A0040D">
        <w:rPr>
          <w:b/>
          <w:bCs/>
          <w:sz w:val="22"/>
          <w:szCs w:val="22"/>
        </w:rPr>
        <w:t>, 2021</w:t>
      </w:r>
      <w:r w:rsidRPr="00562859" w:rsidR="00A0040D">
        <w:rPr>
          <w:sz w:val="22"/>
          <w:szCs w:val="22"/>
        </w:rPr>
        <w:t xml:space="preserve"> </w:t>
      </w:r>
      <w:r w:rsidR="005821ED">
        <w:rPr>
          <w:sz w:val="22"/>
          <w:szCs w:val="22"/>
        </w:rPr>
        <w:t>as</w:t>
      </w:r>
      <w:r w:rsidRPr="00562859" w:rsidR="00A0040D">
        <w:rPr>
          <w:sz w:val="22"/>
          <w:szCs w:val="22"/>
        </w:rPr>
        <w:t xml:space="preserve"> the </w:t>
      </w:r>
      <w:r w:rsidR="00DA41E7">
        <w:rPr>
          <w:sz w:val="22"/>
          <w:szCs w:val="22"/>
        </w:rPr>
        <w:t>due date</w:t>
      </w:r>
      <w:r w:rsidRPr="00562859" w:rsidR="00A0040D">
        <w:rPr>
          <w:sz w:val="22"/>
          <w:szCs w:val="22"/>
        </w:rPr>
        <w:t xml:space="preserve"> for replies</w:t>
      </w:r>
      <w:r w:rsidRPr="00562859" w:rsidR="00A0040D">
        <w:rPr>
          <w:b/>
          <w:sz w:val="22"/>
          <w:szCs w:val="22"/>
        </w:rPr>
        <w:t>.</w:t>
      </w:r>
    </w:p>
    <w:p w:rsidR="00D312A9" w:rsidP="00D312A9" w14:paraId="28B9E04E" w14:textId="77777777">
      <w:pPr>
        <w:pStyle w:val="Default"/>
        <w:ind w:firstLine="720"/>
        <w:rPr>
          <w:sz w:val="22"/>
          <w:szCs w:val="22"/>
        </w:rPr>
      </w:pPr>
    </w:p>
    <w:p w:rsidR="00D312A9" w:rsidP="00D312A9" w14:paraId="6B298D2C" w14:textId="261CC735">
      <w:pPr>
        <w:pStyle w:val="Default"/>
        <w:ind w:firstLine="720"/>
        <w:rPr>
          <w:sz w:val="22"/>
          <w:szCs w:val="22"/>
        </w:rPr>
      </w:pPr>
      <w:r>
        <w:rPr>
          <w:sz w:val="22"/>
          <w:szCs w:val="22"/>
        </w:rPr>
        <w:t xml:space="preserve">On January 29, 2021, Viasat submitted </w:t>
      </w:r>
      <w:r w:rsidR="007E44C0">
        <w:rPr>
          <w:sz w:val="22"/>
          <w:szCs w:val="22"/>
        </w:rPr>
        <w:t xml:space="preserve">an application for review of an order </w:t>
      </w:r>
      <w:r w:rsidR="000F4EA0">
        <w:rPr>
          <w:sz w:val="22"/>
          <w:szCs w:val="22"/>
        </w:rPr>
        <w:t xml:space="preserve">on reconsideration </w:t>
      </w:r>
      <w:r w:rsidR="008A0699">
        <w:rPr>
          <w:sz w:val="22"/>
          <w:szCs w:val="22"/>
        </w:rPr>
        <w:t xml:space="preserve">adopted </w:t>
      </w:r>
      <w:r w:rsidR="007E44C0">
        <w:rPr>
          <w:sz w:val="22"/>
          <w:szCs w:val="22"/>
        </w:rPr>
        <w:t xml:space="preserve">by the Auctions Division of </w:t>
      </w:r>
      <w:r w:rsidR="00EB69A9">
        <w:rPr>
          <w:sz w:val="22"/>
          <w:szCs w:val="22"/>
        </w:rPr>
        <w:t>OEA</w:t>
      </w:r>
      <w:r w:rsidR="002F3BFC">
        <w:rPr>
          <w:sz w:val="22"/>
          <w:szCs w:val="22"/>
        </w:rPr>
        <w:t>,</w:t>
      </w:r>
      <w:r w:rsidR="00EB69A9">
        <w:rPr>
          <w:sz w:val="22"/>
          <w:szCs w:val="22"/>
        </w:rPr>
        <w:t xml:space="preserve"> </w:t>
      </w:r>
      <w:r w:rsidRPr="42C6822E" w:rsidR="72C78E05">
        <w:rPr>
          <w:sz w:val="22"/>
          <w:szCs w:val="22"/>
        </w:rPr>
        <w:t xml:space="preserve">in </w:t>
      </w:r>
      <w:r w:rsidR="009B64AE">
        <w:rPr>
          <w:sz w:val="22"/>
          <w:szCs w:val="22"/>
        </w:rPr>
        <w:t>which</w:t>
      </w:r>
      <w:r w:rsidR="007E44C0">
        <w:rPr>
          <w:sz w:val="22"/>
          <w:szCs w:val="22"/>
        </w:rPr>
        <w:t xml:space="preserve"> </w:t>
      </w:r>
      <w:r w:rsidRPr="42C6822E" w:rsidR="4488E5F0">
        <w:rPr>
          <w:sz w:val="22"/>
          <w:szCs w:val="22"/>
        </w:rPr>
        <w:t xml:space="preserve">OEA </w:t>
      </w:r>
      <w:r w:rsidR="000F4EA0">
        <w:rPr>
          <w:sz w:val="22"/>
          <w:szCs w:val="22"/>
        </w:rPr>
        <w:t>upheld t</w:t>
      </w:r>
      <w:r w:rsidR="007E44C0">
        <w:rPr>
          <w:sz w:val="22"/>
          <w:szCs w:val="22"/>
        </w:rPr>
        <w:t xml:space="preserve">he </w:t>
      </w:r>
      <w:r w:rsidR="000F4EA0">
        <w:rPr>
          <w:sz w:val="22"/>
          <w:szCs w:val="22"/>
        </w:rPr>
        <w:t xml:space="preserve">eligibility </w:t>
      </w:r>
      <w:r w:rsidR="007E44C0">
        <w:rPr>
          <w:sz w:val="22"/>
          <w:szCs w:val="22"/>
        </w:rPr>
        <w:t>determination</w:t>
      </w:r>
      <w:r w:rsidR="00E92FE8">
        <w:rPr>
          <w:sz w:val="22"/>
          <w:szCs w:val="22"/>
        </w:rPr>
        <w:t>s</w:t>
      </w:r>
      <w:r w:rsidR="007E44C0">
        <w:rPr>
          <w:sz w:val="22"/>
          <w:szCs w:val="22"/>
        </w:rPr>
        <w:t xml:space="preserve"> </w:t>
      </w:r>
      <w:r w:rsidR="000F4EA0">
        <w:rPr>
          <w:sz w:val="22"/>
          <w:szCs w:val="22"/>
        </w:rPr>
        <w:t xml:space="preserve">for the performance tier and latency combinations that Viasat selected </w:t>
      </w:r>
      <w:r w:rsidR="007E44C0">
        <w:rPr>
          <w:sz w:val="22"/>
          <w:szCs w:val="22"/>
        </w:rPr>
        <w:t xml:space="preserve">in </w:t>
      </w:r>
      <w:r w:rsidR="004C102D">
        <w:rPr>
          <w:sz w:val="22"/>
          <w:szCs w:val="22"/>
        </w:rPr>
        <w:t xml:space="preserve">its </w:t>
      </w:r>
      <w:r w:rsidR="007E44C0">
        <w:rPr>
          <w:sz w:val="22"/>
          <w:szCs w:val="22"/>
        </w:rPr>
        <w:t>Auction 904</w:t>
      </w:r>
      <w:r w:rsidR="004C102D">
        <w:rPr>
          <w:sz w:val="22"/>
          <w:szCs w:val="22"/>
        </w:rPr>
        <w:t xml:space="preserve"> short-form application</w:t>
      </w:r>
      <w:r w:rsidR="007E44C0">
        <w:rPr>
          <w:sz w:val="22"/>
          <w:szCs w:val="22"/>
        </w:rPr>
        <w:t>.</w:t>
      </w:r>
      <w:r>
        <w:rPr>
          <w:rStyle w:val="FootnoteReference"/>
        </w:rPr>
        <w:footnoteReference w:id="3"/>
      </w:r>
      <w:r w:rsidR="007E44C0">
        <w:rPr>
          <w:sz w:val="22"/>
          <w:szCs w:val="22"/>
        </w:rPr>
        <w:t xml:space="preserve">  </w:t>
      </w:r>
      <w:r w:rsidR="002A7240">
        <w:rPr>
          <w:sz w:val="22"/>
          <w:szCs w:val="22"/>
        </w:rPr>
        <w:t xml:space="preserve">The application </w:t>
      </w:r>
      <w:r w:rsidR="46789C5F">
        <w:rPr>
          <w:sz w:val="22"/>
          <w:szCs w:val="22"/>
        </w:rPr>
        <w:t xml:space="preserve">for review </w:t>
      </w:r>
      <w:r w:rsidR="002A7240">
        <w:rPr>
          <w:sz w:val="22"/>
          <w:szCs w:val="22"/>
        </w:rPr>
        <w:t xml:space="preserve">seeks to </w:t>
      </w:r>
      <w:r w:rsidR="00337EE8">
        <w:rPr>
          <w:sz w:val="22"/>
          <w:szCs w:val="22"/>
        </w:rPr>
        <w:t xml:space="preserve">have the Commission </w:t>
      </w:r>
      <w:r w:rsidR="002A7240">
        <w:rPr>
          <w:sz w:val="22"/>
          <w:szCs w:val="22"/>
        </w:rPr>
        <w:t>reauction certain census block groups</w:t>
      </w:r>
      <w:r w:rsidR="004A0EDE">
        <w:rPr>
          <w:sz w:val="22"/>
          <w:szCs w:val="22"/>
        </w:rPr>
        <w:t xml:space="preserve"> </w:t>
      </w:r>
      <w:r w:rsidR="0095348D">
        <w:rPr>
          <w:sz w:val="22"/>
          <w:szCs w:val="22"/>
        </w:rPr>
        <w:t xml:space="preserve">won in Auction 904 </w:t>
      </w:r>
      <w:r w:rsidR="004A0EDE">
        <w:rPr>
          <w:sz w:val="22"/>
          <w:szCs w:val="22"/>
        </w:rPr>
        <w:t xml:space="preserve">and </w:t>
      </w:r>
      <w:r w:rsidR="001C43FA">
        <w:rPr>
          <w:sz w:val="22"/>
          <w:szCs w:val="22"/>
        </w:rPr>
        <w:t>block</w:t>
      </w:r>
      <w:r w:rsidR="00824BE7">
        <w:rPr>
          <w:sz w:val="22"/>
          <w:szCs w:val="22"/>
        </w:rPr>
        <w:t xml:space="preserve"> the disbursement of </w:t>
      </w:r>
      <w:r w:rsidR="002636C1">
        <w:rPr>
          <w:sz w:val="22"/>
          <w:szCs w:val="22"/>
        </w:rPr>
        <w:t xml:space="preserve">support </w:t>
      </w:r>
      <w:r w:rsidR="003C7ED5">
        <w:rPr>
          <w:sz w:val="22"/>
          <w:szCs w:val="22"/>
        </w:rPr>
        <w:t>in those areas until Viasat exhausts</w:t>
      </w:r>
      <w:r w:rsidR="003F0DEF">
        <w:rPr>
          <w:sz w:val="22"/>
          <w:szCs w:val="22"/>
        </w:rPr>
        <w:t xml:space="preserve"> its </w:t>
      </w:r>
      <w:r w:rsidR="001337E7">
        <w:rPr>
          <w:sz w:val="22"/>
          <w:szCs w:val="22"/>
        </w:rPr>
        <w:t>administrative and judicial remedies.</w:t>
      </w:r>
      <w:r w:rsidR="002A7240">
        <w:rPr>
          <w:sz w:val="22"/>
          <w:szCs w:val="22"/>
        </w:rPr>
        <w:t xml:space="preserve"> </w:t>
      </w:r>
      <w:r w:rsidR="001337E7">
        <w:rPr>
          <w:sz w:val="22"/>
          <w:szCs w:val="22"/>
        </w:rPr>
        <w:t xml:space="preserve"> </w:t>
      </w:r>
      <w:r w:rsidR="000F4EA0">
        <w:rPr>
          <w:sz w:val="22"/>
          <w:szCs w:val="22"/>
        </w:rPr>
        <w:t xml:space="preserve">At the same time, </w:t>
      </w:r>
      <w:r w:rsidR="007E44C0">
        <w:rPr>
          <w:sz w:val="22"/>
          <w:szCs w:val="22"/>
        </w:rPr>
        <w:t>Viasat submitted a request for confidential treatment of its application for review</w:t>
      </w:r>
      <w:r w:rsidR="000F4EA0">
        <w:rPr>
          <w:sz w:val="22"/>
          <w:szCs w:val="22"/>
        </w:rPr>
        <w:t>, including all exhibits</w:t>
      </w:r>
      <w:r w:rsidR="004C102D">
        <w:rPr>
          <w:sz w:val="22"/>
          <w:szCs w:val="22"/>
        </w:rPr>
        <w:t xml:space="preserve"> thereto</w:t>
      </w:r>
      <w:r w:rsidR="000F4EA0">
        <w:rPr>
          <w:sz w:val="22"/>
          <w:szCs w:val="22"/>
        </w:rPr>
        <w:t xml:space="preserve">.  </w:t>
      </w:r>
      <w:r w:rsidR="007E44C0">
        <w:rPr>
          <w:sz w:val="22"/>
          <w:szCs w:val="22"/>
        </w:rPr>
        <w:t xml:space="preserve"> </w:t>
      </w:r>
      <w:r>
        <w:rPr>
          <w:sz w:val="22"/>
          <w:szCs w:val="22"/>
        </w:rPr>
        <w:t xml:space="preserve">  </w:t>
      </w:r>
    </w:p>
    <w:p w:rsidR="00D312A9" w:rsidP="00D312A9" w14:paraId="5972FE89" w14:textId="77777777">
      <w:pPr>
        <w:pStyle w:val="Default"/>
        <w:ind w:firstLine="720"/>
        <w:rPr>
          <w:sz w:val="22"/>
          <w:szCs w:val="22"/>
        </w:rPr>
      </w:pPr>
    </w:p>
    <w:p w:rsidR="00D312A9" w:rsidP="00D312A9" w14:paraId="7DDED45E" w14:textId="699CA33F">
      <w:pPr>
        <w:pStyle w:val="Default"/>
        <w:ind w:firstLine="720"/>
        <w:rPr>
          <w:sz w:val="22"/>
          <w:szCs w:val="22"/>
        </w:rPr>
      </w:pPr>
      <w:r>
        <w:rPr>
          <w:sz w:val="22"/>
          <w:szCs w:val="22"/>
        </w:rPr>
        <w:t xml:space="preserve">On </w:t>
      </w:r>
      <w:r w:rsidR="0021560D">
        <w:rPr>
          <w:sz w:val="22"/>
          <w:szCs w:val="22"/>
        </w:rPr>
        <w:t>May</w:t>
      </w:r>
      <w:r w:rsidR="6F7ACCDD">
        <w:rPr>
          <w:sz w:val="22"/>
          <w:szCs w:val="22"/>
        </w:rPr>
        <w:t xml:space="preserve"> </w:t>
      </w:r>
      <w:r w:rsidR="00782FBE">
        <w:rPr>
          <w:sz w:val="22"/>
          <w:szCs w:val="22"/>
        </w:rPr>
        <w:t>27</w:t>
      </w:r>
      <w:r>
        <w:rPr>
          <w:sz w:val="22"/>
          <w:szCs w:val="22"/>
        </w:rPr>
        <w:t>,</w:t>
      </w:r>
      <w:r w:rsidR="000F4EA0">
        <w:rPr>
          <w:sz w:val="22"/>
          <w:szCs w:val="22"/>
        </w:rPr>
        <w:t xml:space="preserve"> 2021,</w:t>
      </w:r>
      <w:r>
        <w:rPr>
          <w:sz w:val="22"/>
          <w:szCs w:val="22"/>
        </w:rPr>
        <w:t xml:space="preserve"> </w:t>
      </w:r>
      <w:r w:rsidR="00EB69A9">
        <w:rPr>
          <w:sz w:val="22"/>
          <w:szCs w:val="22"/>
        </w:rPr>
        <w:t xml:space="preserve">WCB and </w:t>
      </w:r>
      <w:r>
        <w:rPr>
          <w:sz w:val="22"/>
          <w:szCs w:val="22"/>
        </w:rPr>
        <w:t xml:space="preserve">OEA opened </w:t>
      </w:r>
      <w:r w:rsidR="000F4EA0">
        <w:rPr>
          <w:sz w:val="22"/>
          <w:szCs w:val="22"/>
        </w:rPr>
        <w:t xml:space="preserve">a new </w:t>
      </w:r>
      <w:r>
        <w:rPr>
          <w:sz w:val="22"/>
          <w:szCs w:val="22"/>
        </w:rPr>
        <w:t>docket</w:t>
      </w:r>
      <w:r w:rsidR="000F4EA0">
        <w:rPr>
          <w:sz w:val="22"/>
          <w:szCs w:val="22"/>
        </w:rPr>
        <w:t>–</w:t>
      </w:r>
      <w:r w:rsidR="00C300E1">
        <w:rPr>
          <w:sz w:val="22"/>
          <w:szCs w:val="22"/>
        </w:rPr>
        <w:t>GN</w:t>
      </w:r>
      <w:r w:rsidR="000F4EA0">
        <w:rPr>
          <w:sz w:val="22"/>
          <w:szCs w:val="22"/>
        </w:rPr>
        <w:t xml:space="preserve"> </w:t>
      </w:r>
      <w:r>
        <w:rPr>
          <w:sz w:val="22"/>
          <w:szCs w:val="22"/>
        </w:rPr>
        <w:t>Docket No. 21-</w:t>
      </w:r>
      <w:r w:rsidRPr="00782FBE" w:rsidR="00782FBE">
        <w:rPr>
          <w:sz w:val="22"/>
          <w:szCs w:val="22"/>
        </w:rPr>
        <w:t>231</w:t>
      </w:r>
      <w:r w:rsidR="000F4EA0">
        <w:rPr>
          <w:sz w:val="22"/>
          <w:szCs w:val="22"/>
        </w:rPr>
        <w:t>–</w:t>
      </w:r>
      <w:r>
        <w:rPr>
          <w:sz w:val="22"/>
          <w:szCs w:val="22"/>
        </w:rPr>
        <w:t>for</w:t>
      </w:r>
      <w:r w:rsidR="000F4EA0">
        <w:rPr>
          <w:sz w:val="22"/>
          <w:szCs w:val="22"/>
        </w:rPr>
        <w:t xml:space="preserve"> </w:t>
      </w:r>
      <w:r w:rsidR="00702194">
        <w:rPr>
          <w:sz w:val="22"/>
          <w:szCs w:val="22"/>
        </w:rPr>
        <w:t xml:space="preserve">Viasat’s application for review and </w:t>
      </w:r>
      <w:r w:rsidR="000F4EA0">
        <w:rPr>
          <w:sz w:val="22"/>
          <w:szCs w:val="22"/>
        </w:rPr>
        <w:t xml:space="preserve">all </w:t>
      </w:r>
      <w:r w:rsidR="00702194">
        <w:rPr>
          <w:sz w:val="22"/>
          <w:szCs w:val="22"/>
        </w:rPr>
        <w:t xml:space="preserve">related </w:t>
      </w:r>
      <w:r>
        <w:rPr>
          <w:sz w:val="22"/>
          <w:szCs w:val="22"/>
        </w:rPr>
        <w:t xml:space="preserve">filings.  </w:t>
      </w:r>
      <w:r w:rsidRPr="00095EE2">
        <w:rPr>
          <w:sz w:val="22"/>
          <w:szCs w:val="22"/>
        </w:rPr>
        <w:t>That same day</w:t>
      </w:r>
      <w:r>
        <w:rPr>
          <w:sz w:val="22"/>
          <w:szCs w:val="22"/>
        </w:rPr>
        <w:t xml:space="preserve">, </w:t>
      </w:r>
      <w:r w:rsidR="00EB69A9">
        <w:rPr>
          <w:sz w:val="22"/>
          <w:szCs w:val="22"/>
        </w:rPr>
        <w:t xml:space="preserve">WCB and </w:t>
      </w:r>
      <w:r>
        <w:rPr>
          <w:sz w:val="22"/>
          <w:szCs w:val="22"/>
        </w:rPr>
        <w:t xml:space="preserve">OEA </w:t>
      </w:r>
      <w:r w:rsidR="009D3927">
        <w:rPr>
          <w:sz w:val="22"/>
          <w:szCs w:val="22"/>
        </w:rPr>
        <w:t xml:space="preserve">adopted and </w:t>
      </w:r>
      <w:r>
        <w:rPr>
          <w:sz w:val="22"/>
          <w:szCs w:val="22"/>
        </w:rPr>
        <w:t>released a protective order</w:t>
      </w:r>
      <w:r w:rsidR="00702194">
        <w:rPr>
          <w:sz w:val="22"/>
          <w:szCs w:val="22"/>
        </w:rPr>
        <w:t xml:space="preserve"> to limit access to the </w:t>
      </w:r>
      <w:r w:rsidR="00FA53A2">
        <w:rPr>
          <w:sz w:val="22"/>
          <w:szCs w:val="22"/>
        </w:rPr>
        <w:t xml:space="preserve">confidential </w:t>
      </w:r>
      <w:r w:rsidR="00702194">
        <w:rPr>
          <w:sz w:val="22"/>
          <w:szCs w:val="22"/>
        </w:rPr>
        <w:t xml:space="preserve">commercial information </w:t>
      </w:r>
      <w:r w:rsidR="000F4EA0">
        <w:rPr>
          <w:sz w:val="22"/>
          <w:szCs w:val="22"/>
        </w:rPr>
        <w:t xml:space="preserve">contained </w:t>
      </w:r>
      <w:r w:rsidR="00702194">
        <w:rPr>
          <w:sz w:val="22"/>
          <w:szCs w:val="22"/>
        </w:rPr>
        <w:t>in Viasat’s application for review</w:t>
      </w:r>
      <w:r w:rsidR="0049240C">
        <w:rPr>
          <w:sz w:val="22"/>
          <w:szCs w:val="22"/>
        </w:rPr>
        <w:t xml:space="preserve"> and </w:t>
      </w:r>
      <w:r w:rsidR="00591E44">
        <w:rPr>
          <w:sz w:val="22"/>
          <w:szCs w:val="22"/>
        </w:rPr>
        <w:t>any future</w:t>
      </w:r>
      <w:r w:rsidR="0049240C">
        <w:rPr>
          <w:sz w:val="22"/>
          <w:szCs w:val="22"/>
        </w:rPr>
        <w:t xml:space="preserve"> filings in the docket</w:t>
      </w:r>
      <w:r w:rsidR="00702194">
        <w:rPr>
          <w:sz w:val="22"/>
          <w:szCs w:val="22"/>
        </w:rPr>
        <w:t>.</w:t>
      </w:r>
      <w:r>
        <w:rPr>
          <w:rStyle w:val="FootnoteReference"/>
        </w:rPr>
        <w:footnoteReference w:id="4"/>
      </w:r>
      <w:r w:rsidR="00702194">
        <w:rPr>
          <w:sz w:val="22"/>
          <w:szCs w:val="22"/>
        </w:rPr>
        <w:t xml:space="preserve">  Viasat </w:t>
      </w:r>
      <w:r w:rsidR="000F4EA0">
        <w:rPr>
          <w:sz w:val="22"/>
          <w:szCs w:val="22"/>
        </w:rPr>
        <w:t xml:space="preserve">has since </w:t>
      </w:r>
      <w:r w:rsidR="00702194">
        <w:rPr>
          <w:sz w:val="22"/>
          <w:szCs w:val="22"/>
        </w:rPr>
        <w:t xml:space="preserve">filed a </w:t>
      </w:r>
      <w:r w:rsidR="000F4EA0">
        <w:rPr>
          <w:sz w:val="22"/>
          <w:szCs w:val="22"/>
        </w:rPr>
        <w:t xml:space="preserve">public </w:t>
      </w:r>
      <w:r w:rsidR="00702194">
        <w:rPr>
          <w:sz w:val="22"/>
          <w:szCs w:val="22"/>
        </w:rPr>
        <w:t>version of its application for review in th</w:t>
      </w:r>
      <w:r w:rsidR="000F4EA0">
        <w:rPr>
          <w:sz w:val="22"/>
          <w:szCs w:val="22"/>
        </w:rPr>
        <w:t>at</w:t>
      </w:r>
      <w:r w:rsidR="00702194">
        <w:rPr>
          <w:sz w:val="22"/>
          <w:szCs w:val="22"/>
        </w:rPr>
        <w:t xml:space="preserve"> docket</w:t>
      </w:r>
      <w:r>
        <w:rPr>
          <w:sz w:val="22"/>
          <w:szCs w:val="22"/>
        </w:rPr>
        <w:t xml:space="preserve">.  </w:t>
      </w:r>
    </w:p>
    <w:p w:rsidR="00D312A9" w:rsidP="00D312A9" w14:paraId="688617A7" w14:textId="77777777">
      <w:pPr>
        <w:pStyle w:val="Default"/>
        <w:ind w:firstLine="720"/>
        <w:rPr>
          <w:sz w:val="22"/>
          <w:szCs w:val="22"/>
        </w:rPr>
      </w:pPr>
    </w:p>
    <w:p w:rsidR="00C82C3C" w:rsidP="00D312A9" w14:paraId="430138A1" w14:textId="77777777">
      <w:pPr>
        <w:pStyle w:val="Default"/>
        <w:ind w:firstLine="720"/>
        <w:rPr>
          <w:sz w:val="22"/>
          <w:szCs w:val="22"/>
        </w:rPr>
      </w:pPr>
      <w:r>
        <w:rPr>
          <w:sz w:val="22"/>
          <w:szCs w:val="22"/>
        </w:rPr>
        <w:t>V</w:t>
      </w:r>
      <w:r w:rsidR="002D6308">
        <w:rPr>
          <w:sz w:val="22"/>
          <w:szCs w:val="22"/>
        </w:rPr>
        <w:t>iasat</w:t>
      </w:r>
      <w:r>
        <w:rPr>
          <w:sz w:val="22"/>
          <w:szCs w:val="22"/>
        </w:rPr>
        <w:t xml:space="preserve"> timely filed its application for review</w:t>
      </w:r>
      <w:r w:rsidR="002D6308">
        <w:rPr>
          <w:sz w:val="22"/>
          <w:szCs w:val="22"/>
        </w:rPr>
        <w:t xml:space="preserve">, but </w:t>
      </w:r>
      <w:r w:rsidR="00324D52">
        <w:rPr>
          <w:sz w:val="22"/>
          <w:szCs w:val="22"/>
        </w:rPr>
        <w:t xml:space="preserve">Viasat’s application </w:t>
      </w:r>
      <w:r w:rsidR="002D6308">
        <w:rPr>
          <w:sz w:val="22"/>
          <w:szCs w:val="22"/>
        </w:rPr>
        <w:t xml:space="preserve">did not include a certificate </w:t>
      </w:r>
      <w:r w:rsidR="00786EC7">
        <w:rPr>
          <w:sz w:val="22"/>
          <w:szCs w:val="22"/>
        </w:rPr>
        <w:t>of</w:t>
      </w:r>
      <w:r w:rsidR="002D6308">
        <w:rPr>
          <w:sz w:val="22"/>
          <w:szCs w:val="22"/>
        </w:rPr>
        <w:t xml:space="preserve"> service indicating that </w:t>
      </w:r>
      <w:r w:rsidR="00324D52">
        <w:rPr>
          <w:sz w:val="22"/>
          <w:szCs w:val="22"/>
        </w:rPr>
        <w:t>Viasat</w:t>
      </w:r>
      <w:r w:rsidR="002D6308">
        <w:rPr>
          <w:sz w:val="22"/>
          <w:szCs w:val="22"/>
        </w:rPr>
        <w:t xml:space="preserve"> had </w:t>
      </w:r>
      <w:r>
        <w:rPr>
          <w:sz w:val="22"/>
          <w:szCs w:val="22"/>
        </w:rPr>
        <w:t xml:space="preserve">individually served its application </w:t>
      </w:r>
      <w:r w:rsidR="00FA53A2">
        <w:rPr>
          <w:sz w:val="22"/>
          <w:szCs w:val="22"/>
        </w:rPr>
        <w:t xml:space="preserve">on </w:t>
      </w:r>
      <w:r>
        <w:rPr>
          <w:sz w:val="22"/>
          <w:szCs w:val="22"/>
        </w:rPr>
        <w:t xml:space="preserve">all parties </w:t>
      </w:r>
      <w:r w:rsidR="002D6308">
        <w:rPr>
          <w:sz w:val="22"/>
          <w:szCs w:val="22"/>
        </w:rPr>
        <w:t xml:space="preserve">to the proceeding as </w:t>
      </w:r>
      <w:r w:rsidR="002D6308">
        <w:rPr>
          <w:sz w:val="22"/>
          <w:szCs w:val="22"/>
        </w:rPr>
        <w:t>required by s</w:t>
      </w:r>
      <w:r>
        <w:rPr>
          <w:sz w:val="22"/>
          <w:szCs w:val="22"/>
        </w:rPr>
        <w:t>ection 1.115(f) of the Commission’s rules.</w:t>
      </w:r>
      <w:r>
        <w:rPr>
          <w:rStyle w:val="FootnoteReference"/>
          <w:szCs w:val="22"/>
        </w:rPr>
        <w:footnoteReference w:id="5"/>
      </w:r>
      <w:r>
        <w:rPr>
          <w:sz w:val="22"/>
          <w:szCs w:val="22"/>
        </w:rPr>
        <w:t xml:space="preserve">  This requirement ensures that all interested parties are timely apprised of the application and the consequent deadline for filing an opposition.</w:t>
      </w:r>
    </w:p>
    <w:p w:rsidR="008B2876" w:rsidP="00D312A9" w14:paraId="34800BD8" w14:textId="51F51A5D">
      <w:pPr>
        <w:pStyle w:val="Default"/>
        <w:ind w:firstLine="720"/>
        <w:rPr>
          <w:sz w:val="22"/>
          <w:szCs w:val="22"/>
        </w:rPr>
      </w:pPr>
      <w:r>
        <w:rPr>
          <w:sz w:val="22"/>
          <w:szCs w:val="22"/>
        </w:rPr>
        <w:t xml:space="preserve"> </w:t>
      </w:r>
      <w:r w:rsidR="00267BA5">
        <w:rPr>
          <w:sz w:val="22"/>
          <w:szCs w:val="22"/>
        </w:rPr>
        <w:t xml:space="preserve"> </w:t>
      </w:r>
    </w:p>
    <w:p w:rsidR="00DB3B00" w:rsidP="00D312A9" w14:paraId="5D8022B8" w14:textId="20E63FF9">
      <w:pPr>
        <w:pStyle w:val="Default"/>
        <w:ind w:firstLine="720"/>
        <w:rPr>
          <w:sz w:val="22"/>
          <w:szCs w:val="22"/>
        </w:rPr>
      </w:pPr>
      <w:r>
        <w:rPr>
          <w:sz w:val="22"/>
          <w:szCs w:val="22"/>
        </w:rPr>
        <w:t>N</w:t>
      </w:r>
      <w:r w:rsidR="12039B21">
        <w:rPr>
          <w:sz w:val="22"/>
          <w:szCs w:val="22"/>
        </w:rPr>
        <w:t xml:space="preserve">otwithstanding the certificate of service issue, </w:t>
      </w:r>
      <w:r>
        <w:rPr>
          <w:sz w:val="22"/>
          <w:szCs w:val="22"/>
        </w:rPr>
        <w:t>we</w:t>
      </w:r>
      <w:r w:rsidR="002463F1">
        <w:rPr>
          <w:sz w:val="22"/>
          <w:szCs w:val="22"/>
        </w:rPr>
        <w:t xml:space="preserve"> </w:t>
      </w:r>
      <w:r>
        <w:rPr>
          <w:sz w:val="22"/>
          <w:szCs w:val="22"/>
        </w:rPr>
        <w:t>wa</w:t>
      </w:r>
      <w:r w:rsidR="002463F1">
        <w:rPr>
          <w:sz w:val="22"/>
          <w:szCs w:val="22"/>
        </w:rPr>
        <w:t>i</w:t>
      </w:r>
      <w:r>
        <w:rPr>
          <w:sz w:val="22"/>
          <w:szCs w:val="22"/>
        </w:rPr>
        <w:t xml:space="preserve">ve </w:t>
      </w:r>
      <w:r w:rsidRPr="42C6822E">
        <w:rPr>
          <w:i/>
          <w:iCs/>
          <w:sz w:val="22"/>
          <w:szCs w:val="22"/>
        </w:rPr>
        <w:t>sua sponte</w:t>
      </w:r>
      <w:r>
        <w:rPr>
          <w:sz w:val="22"/>
          <w:szCs w:val="22"/>
        </w:rPr>
        <w:t xml:space="preserve"> </w:t>
      </w:r>
      <w:r w:rsidRPr="00387440" w:rsidR="00D62A1B">
        <w:rPr>
          <w:rStyle w:val="CommentReference"/>
          <w:snapToGrid w:val="0"/>
          <w:color w:val="auto"/>
          <w:kern w:val="28"/>
          <w:sz w:val="22"/>
          <w:szCs w:val="22"/>
        </w:rPr>
        <w:t>the</w:t>
      </w:r>
      <w:r w:rsidR="000955F1">
        <w:rPr>
          <w:sz w:val="22"/>
          <w:szCs w:val="22"/>
        </w:rPr>
        <w:t xml:space="preserve"> </w:t>
      </w:r>
      <w:r w:rsidR="006B7915">
        <w:rPr>
          <w:sz w:val="22"/>
          <w:szCs w:val="22"/>
        </w:rPr>
        <w:t xml:space="preserve">service </w:t>
      </w:r>
      <w:r w:rsidR="00D14748">
        <w:rPr>
          <w:sz w:val="22"/>
          <w:szCs w:val="22"/>
        </w:rPr>
        <w:t xml:space="preserve">requirement for </w:t>
      </w:r>
      <w:r w:rsidR="00D62A1B">
        <w:rPr>
          <w:sz w:val="22"/>
          <w:szCs w:val="22"/>
        </w:rPr>
        <w:t>Viasat’s</w:t>
      </w:r>
      <w:r w:rsidR="00D14748">
        <w:rPr>
          <w:sz w:val="22"/>
          <w:szCs w:val="22"/>
        </w:rPr>
        <w:t xml:space="preserve"> application</w:t>
      </w:r>
      <w:r w:rsidR="00726D52">
        <w:rPr>
          <w:sz w:val="22"/>
          <w:szCs w:val="22"/>
        </w:rPr>
        <w:t xml:space="preserve"> for review</w:t>
      </w:r>
      <w:r w:rsidR="00D14748">
        <w:rPr>
          <w:sz w:val="22"/>
          <w:szCs w:val="22"/>
        </w:rPr>
        <w:t>.</w:t>
      </w:r>
      <w:r w:rsidR="00DB48F8">
        <w:rPr>
          <w:sz w:val="22"/>
          <w:szCs w:val="22"/>
        </w:rPr>
        <w:t xml:space="preserve">  </w:t>
      </w:r>
      <w:r w:rsidR="00E70FF2">
        <w:rPr>
          <w:sz w:val="22"/>
          <w:szCs w:val="22"/>
        </w:rPr>
        <w:t>Section 1.3 provides that th</w:t>
      </w:r>
      <w:r w:rsidRPr="00B4440F" w:rsidR="00E70FF2">
        <w:rPr>
          <w:sz w:val="22"/>
          <w:szCs w:val="22"/>
        </w:rPr>
        <w:t>e Commission may waive its rules and requirements where there is “good cause shown” to do so.</w:t>
      </w:r>
      <w:r>
        <w:rPr>
          <w:rStyle w:val="FootnoteReference"/>
        </w:rPr>
        <w:footnoteReference w:id="6"/>
      </w:r>
      <w:r w:rsidRPr="00B4440F" w:rsidR="00E70FF2">
        <w:rPr>
          <w:sz w:val="22"/>
          <w:szCs w:val="22"/>
        </w:rPr>
        <w:t xml:space="preserve">  Good cause, in turn, may be found “where particular facts would make strict compliance inconsistent with the public interest.”</w:t>
      </w:r>
      <w:r>
        <w:rPr>
          <w:rStyle w:val="FootnoteReference"/>
        </w:rPr>
        <w:footnoteReference w:id="7"/>
      </w:r>
      <w:r w:rsidRPr="00B4440F" w:rsidR="00E70FF2">
        <w:rPr>
          <w:sz w:val="22"/>
          <w:szCs w:val="22"/>
        </w:rPr>
        <w:t xml:space="preserve">  A waiver is therefore “appropriate only if special circumstances warrant a deviation from the general rule and such deviation will serve the public interest.”</w:t>
      </w:r>
      <w:r>
        <w:rPr>
          <w:rStyle w:val="FootnoteReference"/>
        </w:rPr>
        <w:footnoteReference w:id="8"/>
      </w:r>
    </w:p>
    <w:p w:rsidR="00DB3B00" w:rsidP="00D312A9" w14:paraId="5D0E1127" w14:textId="77777777">
      <w:pPr>
        <w:pStyle w:val="Default"/>
        <w:ind w:firstLine="720"/>
        <w:rPr>
          <w:sz w:val="22"/>
          <w:szCs w:val="22"/>
        </w:rPr>
      </w:pPr>
    </w:p>
    <w:p w:rsidR="00D312A9" w:rsidP="00D312A9" w14:paraId="7B464518" w14:textId="3CBBDD9D">
      <w:pPr>
        <w:pStyle w:val="Default"/>
        <w:ind w:firstLine="720"/>
        <w:rPr>
          <w:sz w:val="22"/>
          <w:szCs w:val="22"/>
        </w:rPr>
      </w:pPr>
      <w:r>
        <w:rPr>
          <w:sz w:val="22"/>
          <w:szCs w:val="22"/>
        </w:rPr>
        <w:t xml:space="preserve">While Viasat </w:t>
      </w:r>
      <w:r w:rsidR="00294B55">
        <w:rPr>
          <w:sz w:val="22"/>
          <w:szCs w:val="22"/>
        </w:rPr>
        <w:t xml:space="preserve">may have the </w:t>
      </w:r>
      <w:r w:rsidR="007A4A85">
        <w:rPr>
          <w:sz w:val="22"/>
          <w:szCs w:val="22"/>
        </w:rPr>
        <w:t xml:space="preserve">ability </w:t>
      </w:r>
      <w:r w:rsidR="00294B55">
        <w:rPr>
          <w:sz w:val="22"/>
          <w:szCs w:val="22"/>
        </w:rPr>
        <w:t>and</w:t>
      </w:r>
      <w:r w:rsidR="007A4A85">
        <w:rPr>
          <w:sz w:val="22"/>
          <w:szCs w:val="22"/>
        </w:rPr>
        <w:t xml:space="preserve"> </w:t>
      </w:r>
      <w:r w:rsidR="00DC5B48">
        <w:rPr>
          <w:sz w:val="22"/>
          <w:szCs w:val="22"/>
        </w:rPr>
        <w:t xml:space="preserve">the </w:t>
      </w:r>
      <w:r w:rsidR="007A4A85">
        <w:rPr>
          <w:sz w:val="22"/>
          <w:szCs w:val="22"/>
        </w:rPr>
        <w:t xml:space="preserve">means to </w:t>
      </w:r>
      <w:r w:rsidR="00F05F42">
        <w:rPr>
          <w:sz w:val="22"/>
          <w:szCs w:val="22"/>
        </w:rPr>
        <w:t xml:space="preserve">serve its application </w:t>
      </w:r>
      <w:r w:rsidR="783B891E">
        <w:rPr>
          <w:sz w:val="22"/>
          <w:szCs w:val="22"/>
        </w:rPr>
        <w:t xml:space="preserve">for review </w:t>
      </w:r>
      <w:r w:rsidR="00F05F42">
        <w:rPr>
          <w:sz w:val="22"/>
          <w:szCs w:val="22"/>
        </w:rPr>
        <w:t xml:space="preserve">on </w:t>
      </w:r>
      <w:r w:rsidR="00D2516A">
        <w:rPr>
          <w:sz w:val="22"/>
          <w:szCs w:val="22"/>
        </w:rPr>
        <w:t xml:space="preserve">all </w:t>
      </w:r>
      <w:r w:rsidR="00EA3C39">
        <w:rPr>
          <w:sz w:val="22"/>
          <w:szCs w:val="22"/>
        </w:rPr>
        <w:t xml:space="preserve">required parties, we acknowledge that </w:t>
      </w:r>
      <w:r w:rsidR="007F605F">
        <w:rPr>
          <w:sz w:val="22"/>
          <w:szCs w:val="22"/>
        </w:rPr>
        <w:t>more than</w:t>
      </w:r>
      <w:r w:rsidR="00E71C42">
        <w:rPr>
          <w:sz w:val="22"/>
          <w:szCs w:val="22"/>
        </w:rPr>
        <w:t xml:space="preserve"> 500 entities filed short-form applications to bid in the auction, and </w:t>
      </w:r>
      <w:r w:rsidR="007F605F">
        <w:rPr>
          <w:sz w:val="22"/>
          <w:szCs w:val="22"/>
        </w:rPr>
        <w:t>more than</w:t>
      </w:r>
      <w:r w:rsidR="00E71C42">
        <w:rPr>
          <w:sz w:val="22"/>
          <w:szCs w:val="22"/>
        </w:rPr>
        <w:t xml:space="preserve"> 400 parties filed post-auction long-form applications for universal service support.</w:t>
      </w:r>
      <w:r>
        <w:rPr>
          <w:rStyle w:val="FootnoteReference"/>
        </w:rPr>
        <w:footnoteReference w:id="9"/>
      </w:r>
      <w:r w:rsidR="00B077F9">
        <w:rPr>
          <w:sz w:val="22"/>
          <w:szCs w:val="22"/>
        </w:rPr>
        <w:t xml:space="preserve">  </w:t>
      </w:r>
      <w:r w:rsidR="00402997">
        <w:rPr>
          <w:sz w:val="22"/>
          <w:szCs w:val="22"/>
        </w:rPr>
        <w:t>E</w:t>
      </w:r>
      <w:r w:rsidR="00877430">
        <w:rPr>
          <w:sz w:val="22"/>
          <w:szCs w:val="22"/>
        </w:rPr>
        <w:t>ach</w:t>
      </w:r>
      <w:r w:rsidR="00095112">
        <w:rPr>
          <w:sz w:val="22"/>
          <w:szCs w:val="22"/>
        </w:rPr>
        <w:t xml:space="preserve"> such </w:t>
      </w:r>
      <w:r w:rsidR="00D94659">
        <w:rPr>
          <w:sz w:val="22"/>
          <w:szCs w:val="22"/>
        </w:rPr>
        <w:t>party</w:t>
      </w:r>
      <w:r w:rsidR="00095112">
        <w:rPr>
          <w:sz w:val="22"/>
          <w:szCs w:val="22"/>
        </w:rPr>
        <w:t xml:space="preserve"> </w:t>
      </w:r>
      <w:r w:rsidR="00402997">
        <w:rPr>
          <w:sz w:val="22"/>
          <w:szCs w:val="22"/>
        </w:rPr>
        <w:t xml:space="preserve">may be interested in </w:t>
      </w:r>
      <w:r w:rsidR="00E86FBC">
        <w:rPr>
          <w:sz w:val="22"/>
          <w:szCs w:val="22"/>
        </w:rPr>
        <w:t xml:space="preserve">an application for review seeking a re-auction of </w:t>
      </w:r>
      <w:r w:rsidR="001E3560">
        <w:rPr>
          <w:sz w:val="22"/>
          <w:szCs w:val="22"/>
        </w:rPr>
        <w:t xml:space="preserve">census block groups.  </w:t>
      </w:r>
      <w:r w:rsidRPr="00D57F2E" w:rsidR="00D57F2E">
        <w:rPr>
          <w:sz w:val="22"/>
          <w:szCs w:val="22"/>
        </w:rPr>
        <w:t>In a similar context where a proceeding involves twenty or more parties, the Commission allows a public notice to take the place of individualized service by the Commission.</w:t>
      </w:r>
      <w:r>
        <w:rPr>
          <w:rStyle w:val="FootnoteReference"/>
        </w:rPr>
        <w:footnoteReference w:id="10"/>
      </w:r>
      <w:r w:rsidR="00812EC7">
        <w:rPr>
          <w:sz w:val="22"/>
          <w:szCs w:val="22"/>
        </w:rPr>
        <w:t xml:space="preserve"> </w:t>
      </w:r>
      <w:r w:rsidR="00B077F9">
        <w:rPr>
          <w:sz w:val="22"/>
          <w:szCs w:val="22"/>
        </w:rPr>
        <w:t xml:space="preserve"> </w:t>
      </w:r>
      <w:r w:rsidR="000D0BB5">
        <w:rPr>
          <w:sz w:val="22"/>
          <w:szCs w:val="22"/>
        </w:rPr>
        <w:t>Accordingly, w</w:t>
      </w:r>
      <w:r w:rsidR="00CB7A5E">
        <w:rPr>
          <w:sz w:val="22"/>
          <w:szCs w:val="22"/>
        </w:rPr>
        <w:t xml:space="preserve">e find </w:t>
      </w:r>
      <w:r w:rsidR="00853C97">
        <w:rPr>
          <w:sz w:val="22"/>
          <w:szCs w:val="22"/>
        </w:rPr>
        <w:t xml:space="preserve">that </w:t>
      </w:r>
      <w:r w:rsidR="007007F7">
        <w:rPr>
          <w:sz w:val="22"/>
          <w:szCs w:val="22"/>
        </w:rPr>
        <w:t xml:space="preserve">it is in the public interest </w:t>
      </w:r>
      <w:r w:rsidR="007B5DCD">
        <w:rPr>
          <w:sz w:val="22"/>
          <w:szCs w:val="22"/>
        </w:rPr>
        <w:t>to relieve Via</w:t>
      </w:r>
      <w:r w:rsidR="00075E99">
        <w:rPr>
          <w:sz w:val="22"/>
          <w:szCs w:val="22"/>
        </w:rPr>
        <w:t>s</w:t>
      </w:r>
      <w:r w:rsidR="007B5DCD">
        <w:rPr>
          <w:sz w:val="22"/>
          <w:szCs w:val="22"/>
        </w:rPr>
        <w:t xml:space="preserve">at of this </w:t>
      </w:r>
      <w:r w:rsidR="00ED2E7E">
        <w:rPr>
          <w:sz w:val="22"/>
          <w:szCs w:val="22"/>
        </w:rPr>
        <w:t xml:space="preserve">service </w:t>
      </w:r>
      <w:r w:rsidR="007B5DCD">
        <w:rPr>
          <w:sz w:val="22"/>
          <w:szCs w:val="22"/>
        </w:rPr>
        <w:t>obligation</w:t>
      </w:r>
      <w:r w:rsidR="00A14F93">
        <w:rPr>
          <w:sz w:val="22"/>
          <w:szCs w:val="22"/>
        </w:rPr>
        <w:t>,</w:t>
      </w:r>
      <w:r w:rsidR="007B5DCD">
        <w:rPr>
          <w:sz w:val="22"/>
          <w:szCs w:val="22"/>
        </w:rPr>
        <w:t xml:space="preserve"> and </w:t>
      </w:r>
      <w:r w:rsidR="009254E4">
        <w:rPr>
          <w:sz w:val="22"/>
          <w:szCs w:val="22"/>
        </w:rPr>
        <w:t xml:space="preserve">we provide notice to </w:t>
      </w:r>
      <w:r w:rsidR="007007F7">
        <w:rPr>
          <w:sz w:val="22"/>
          <w:szCs w:val="22"/>
        </w:rPr>
        <w:t>all</w:t>
      </w:r>
      <w:r w:rsidR="009254E4">
        <w:rPr>
          <w:sz w:val="22"/>
          <w:szCs w:val="22"/>
        </w:rPr>
        <w:t xml:space="preserve"> interested</w:t>
      </w:r>
      <w:r w:rsidR="007007F7">
        <w:rPr>
          <w:sz w:val="22"/>
          <w:szCs w:val="22"/>
        </w:rPr>
        <w:t xml:space="preserve"> parties</w:t>
      </w:r>
      <w:r w:rsidR="00C06B21">
        <w:rPr>
          <w:sz w:val="22"/>
          <w:szCs w:val="22"/>
        </w:rPr>
        <w:t xml:space="preserve"> via this </w:t>
      </w:r>
      <w:r w:rsidR="07A5FDAE">
        <w:rPr>
          <w:sz w:val="22"/>
          <w:szCs w:val="22"/>
        </w:rPr>
        <w:t>P</w:t>
      </w:r>
      <w:r w:rsidR="00C06B21">
        <w:rPr>
          <w:sz w:val="22"/>
          <w:szCs w:val="22"/>
        </w:rPr>
        <w:t xml:space="preserve">ublic </w:t>
      </w:r>
      <w:r w:rsidR="46ED6A72">
        <w:rPr>
          <w:sz w:val="22"/>
          <w:szCs w:val="22"/>
        </w:rPr>
        <w:t>N</w:t>
      </w:r>
      <w:r w:rsidR="00C06B21">
        <w:rPr>
          <w:sz w:val="22"/>
          <w:szCs w:val="22"/>
        </w:rPr>
        <w:t>otice.</w:t>
      </w:r>
      <w:r w:rsidR="00CB7A5E">
        <w:rPr>
          <w:sz w:val="22"/>
          <w:szCs w:val="22"/>
        </w:rPr>
        <w:t xml:space="preserve"> </w:t>
      </w:r>
    </w:p>
    <w:p w:rsidR="00D312A9" w:rsidP="00D312A9" w14:paraId="51D5AB58" w14:textId="77777777">
      <w:pPr>
        <w:pStyle w:val="Default"/>
        <w:ind w:firstLine="720"/>
        <w:rPr>
          <w:sz w:val="22"/>
          <w:szCs w:val="22"/>
        </w:rPr>
      </w:pPr>
    </w:p>
    <w:p w:rsidR="00D312A9" w:rsidP="00D312A9" w14:paraId="0D1B321A" w14:textId="3B324681">
      <w:pPr>
        <w:pStyle w:val="Default"/>
        <w:ind w:firstLine="720"/>
        <w:rPr>
          <w:sz w:val="22"/>
          <w:szCs w:val="22"/>
        </w:rPr>
      </w:pPr>
      <w:r>
        <w:rPr>
          <w:sz w:val="22"/>
          <w:szCs w:val="22"/>
        </w:rPr>
        <w:t>Under the Commission’s rules, oppositions to an application for review must be filed within 15 days after the application for review is filed,</w:t>
      </w:r>
      <w:r>
        <w:rPr>
          <w:rStyle w:val="FootnoteReference"/>
          <w:szCs w:val="22"/>
        </w:rPr>
        <w:footnoteReference w:id="11"/>
      </w:r>
      <w:r>
        <w:rPr>
          <w:sz w:val="22"/>
          <w:szCs w:val="22"/>
        </w:rPr>
        <w:t xml:space="preserve"> and replies to oppositions shall be submitted within 10 days of the filing of the opposition,</w:t>
      </w:r>
      <w:r>
        <w:rPr>
          <w:rStyle w:val="FootnoteReference"/>
          <w:szCs w:val="22"/>
        </w:rPr>
        <w:footnoteReference w:id="12"/>
      </w:r>
      <w:r>
        <w:rPr>
          <w:sz w:val="22"/>
          <w:szCs w:val="22"/>
        </w:rPr>
        <w:t xml:space="preserve"> in this case </w:t>
      </w:r>
      <w:r w:rsidRPr="00B72F7D" w:rsidR="00B72F7D">
        <w:rPr>
          <w:sz w:val="22"/>
          <w:szCs w:val="22"/>
        </w:rPr>
        <w:t>June 14</w:t>
      </w:r>
      <w:r w:rsidRPr="00B72F7D">
        <w:rPr>
          <w:sz w:val="22"/>
          <w:szCs w:val="22"/>
        </w:rPr>
        <w:t>, 20</w:t>
      </w:r>
      <w:r w:rsidRPr="00B72F7D" w:rsidR="002D6308">
        <w:rPr>
          <w:sz w:val="22"/>
          <w:szCs w:val="22"/>
        </w:rPr>
        <w:t>2</w:t>
      </w:r>
      <w:r w:rsidRPr="00B72F7D">
        <w:rPr>
          <w:sz w:val="22"/>
          <w:szCs w:val="22"/>
        </w:rPr>
        <w:t xml:space="preserve">1, and </w:t>
      </w:r>
      <w:r w:rsidR="00B72F7D">
        <w:rPr>
          <w:sz w:val="22"/>
          <w:szCs w:val="22"/>
        </w:rPr>
        <w:t>June 24</w:t>
      </w:r>
      <w:r w:rsidRPr="00B72F7D">
        <w:rPr>
          <w:sz w:val="22"/>
          <w:szCs w:val="22"/>
        </w:rPr>
        <w:t>, 20</w:t>
      </w:r>
      <w:r w:rsidRPr="00B72F7D" w:rsidR="002D6308">
        <w:rPr>
          <w:sz w:val="22"/>
          <w:szCs w:val="22"/>
        </w:rPr>
        <w:t>21</w:t>
      </w:r>
      <w:r w:rsidRPr="00B72F7D">
        <w:rPr>
          <w:sz w:val="22"/>
          <w:szCs w:val="22"/>
        </w:rPr>
        <w:t>,</w:t>
      </w:r>
      <w:r>
        <w:rPr>
          <w:sz w:val="22"/>
          <w:szCs w:val="22"/>
        </w:rPr>
        <w:t xml:space="preserve"> respectively.  </w:t>
      </w:r>
    </w:p>
    <w:p w:rsidR="00D312A9" w:rsidP="00D312A9" w14:paraId="675DCED5" w14:textId="77777777">
      <w:pPr>
        <w:pStyle w:val="Default"/>
        <w:ind w:firstLine="720"/>
        <w:rPr>
          <w:sz w:val="22"/>
          <w:szCs w:val="22"/>
        </w:rPr>
      </w:pPr>
    </w:p>
    <w:p w:rsidR="00D312A9" w:rsidP="00D312A9" w14:paraId="14D4B4D9" w14:textId="11EE0874">
      <w:pPr>
        <w:pStyle w:val="Default"/>
        <w:ind w:firstLine="720"/>
        <w:rPr>
          <w:sz w:val="22"/>
          <w:szCs w:val="22"/>
        </w:rPr>
      </w:pPr>
      <w:r w:rsidRPr="00562859">
        <w:rPr>
          <w:sz w:val="22"/>
          <w:szCs w:val="22"/>
        </w:rPr>
        <w:t>We extend</w:t>
      </w:r>
      <w:r>
        <w:rPr>
          <w:sz w:val="22"/>
          <w:szCs w:val="22"/>
        </w:rPr>
        <w:t xml:space="preserve">, however, </w:t>
      </w:r>
      <w:r w:rsidRPr="00562859">
        <w:rPr>
          <w:sz w:val="22"/>
          <w:szCs w:val="22"/>
        </w:rPr>
        <w:t xml:space="preserve">the deadline for filing oppositions to </w:t>
      </w:r>
      <w:r>
        <w:rPr>
          <w:sz w:val="22"/>
          <w:szCs w:val="22"/>
        </w:rPr>
        <w:t>V</w:t>
      </w:r>
      <w:r w:rsidR="002D6308">
        <w:rPr>
          <w:sz w:val="22"/>
          <w:szCs w:val="22"/>
        </w:rPr>
        <w:t>iasat</w:t>
      </w:r>
      <w:r>
        <w:rPr>
          <w:sz w:val="22"/>
          <w:szCs w:val="22"/>
        </w:rPr>
        <w:t xml:space="preserve">’s </w:t>
      </w:r>
      <w:r w:rsidRPr="00562859">
        <w:rPr>
          <w:sz w:val="22"/>
          <w:szCs w:val="22"/>
        </w:rPr>
        <w:t xml:space="preserve">application for review </w:t>
      </w:r>
      <w:r w:rsidRPr="00171B07">
        <w:rPr>
          <w:sz w:val="22"/>
          <w:szCs w:val="22"/>
        </w:rPr>
        <w:t xml:space="preserve">to </w:t>
      </w:r>
      <w:r w:rsidRPr="00B72F7D" w:rsidR="00B72F7D">
        <w:rPr>
          <w:b/>
          <w:bCs/>
          <w:sz w:val="22"/>
          <w:szCs w:val="22"/>
        </w:rPr>
        <w:t>June 28</w:t>
      </w:r>
      <w:r w:rsidRPr="00B72F7D">
        <w:rPr>
          <w:b/>
          <w:bCs/>
          <w:sz w:val="22"/>
          <w:szCs w:val="22"/>
        </w:rPr>
        <w:t>,</w:t>
      </w:r>
      <w:r w:rsidRPr="00B72F7D">
        <w:rPr>
          <w:b/>
          <w:sz w:val="22"/>
          <w:szCs w:val="22"/>
        </w:rPr>
        <w:t xml:space="preserve"> 20</w:t>
      </w:r>
      <w:r w:rsidRPr="00B72F7D" w:rsidR="002D6308">
        <w:rPr>
          <w:b/>
          <w:sz w:val="22"/>
          <w:szCs w:val="22"/>
        </w:rPr>
        <w:t>2</w:t>
      </w:r>
      <w:r w:rsidRPr="00B72F7D">
        <w:rPr>
          <w:b/>
          <w:sz w:val="22"/>
          <w:szCs w:val="22"/>
        </w:rPr>
        <w:t>1</w:t>
      </w:r>
      <w:r w:rsidRPr="00B72F7D">
        <w:rPr>
          <w:sz w:val="22"/>
          <w:szCs w:val="22"/>
        </w:rPr>
        <w:t xml:space="preserve">, and the deadline for filing replies to those oppositions to </w:t>
      </w:r>
      <w:r w:rsidRPr="00B72F7D" w:rsidR="00B72F7D">
        <w:rPr>
          <w:b/>
          <w:bCs/>
          <w:sz w:val="22"/>
          <w:szCs w:val="22"/>
        </w:rPr>
        <w:t>July 19</w:t>
      </w:r>
      <w:r w:rsidRPr="00B72F7D">
        <w:rPr>
          <w:b/>
          <w:bCs/>
          <w:sz w:val="22"/>
          <w:szCs w:val="22"/>
        </w:rPr>
        <w:t>,</w:t>
      </w:r>
      <w:r w:rsidRPr="00B72F7D">
        <w:rPr>
          <w:b/>
          <w:sz w:val="22"/>
          <w:szCs w:val="22"/>
        </w:rPr>
        <w:t xml:space="preserve"> 20</w:t>
      </w:r>
      <w:r w:rsidRPr="00B72F7D" w:rsidR="002D6308">
        <w:rPr>
          <w:b/>
          <w:sz w:val="22"/>
          <w:szCs w:val="22"/>
        </w:rPr>
        <w:t>2</w:t>
      </w:r>
      <w:r w:rsidRPr="00B72F7D">
        <w:rPr>
          <w:b/>
          <w:sz w:val="22"/>
          <w:szCs w:val="22"/>
        </w:rPr>
        <w:t>1.</w:t>
      </w:r>
      <w:r w:rsidRPr="00562859">
        <w:rPr>
          <w:sz w:val="22"/>
          <w:szCs w:val="22"/>
        </w:rPr>
        <w:t xml:space="preserve">  Although the Commission does not routinely grant extensions of time,</w:t>
      </w:r>
      <w:r>
        <w:rPr>
          <w:rStyle w:val="FootnoteReference"/>
          <w:szCs w:val="22"/>
        </w:rPr>
        <w:footnoteReference w:id="13"/>
      </w:r>
      <w:r w:rsidRPr="00562859">
        <w:rPr>
          <w:sz w:val="22"/>
          <w:szCs w:val="22"/>
        </w:rPr>
        <w:t xml:space="preserve"> we find that an extension</w:t>
      </w:r>
      <w:r>
        <w:rPr>
          <w:sz w:val="22"/>
          <w:szCs w:val="22"/>
        </w:rPr>
        <w:t xml:space="preserve"> is warranted in this </w:t>
      </w:r>
      <w:r>
        <w:rPr>
          <w:sz w:val="22"/>
          <w:szCs w:val="22"/>
        </w:rPr>
        <w:t xml:space="preserve">instance because parties to this proceeding </w:t>
      </w:r>
      <w:r w:rsidR="001104EC">
        <w:rPr>
          <w:sz w:val="22"/>
          <w:szCs w:val="22"/>
        </w:rPr>
        <w:t>were not served by Viasat</w:t>
      </w:r>
      <w:r>
        <w:rPr>
          <w:sz w:val="22"/>
          <w:szCs w:val="22"/>
        </w:rPr>
        <w:t>.</w:t>
      </w:r>
      <w:r>
        <w:rPr>
          <w:rStyle w:val="FootnoteReference"/>
          <w:szCs w:val="22"/>
        </w:rPr>
        <w:footnoteReference w:id="14"/>
      </w:r>
      <w:r>
        <w:rPr>
          <w:sz w:val="22"/>
          <w:szCs w:val="22"/>
        </w:rPr>
        <w:t xml:space="preserve">  In addition, we find that an extension of time </w:t>
      </w:r>
      <w:r w:rsidR="00B81FCC">
        <w:rPr>
          <w:sz w:val="22"/>
          <w:szCs w:val="22"/>
        </w:rPr>
        <w:t xml:space="preserve">will </w:t>
      </w:r>
      <w:r>
        <w:rPr>
          <w:sz w:val="22"/>
          <w:szCs w:val="22"/>
        </w:rPr>
        <w:t xml:space="preserve">provide parties with sufficient time to </w:t>
      </w:r>
      <w:r w:rsidR="001069CE">
        <w:rPr>
          <w:sz w:val="22"/>
          <w:szCs w:val="22"/>
        </w:rPr>
        <w:t xml:space="preserve">comply with the procedures in the protective order </w:t>
      </w:r>
      <w:r w:rsidR="00400D8B">
        <w:rPr>
          <w:sz w:val="22"/>
          <w:szCs w:val="22"/>
        </w:rPr>
        <w:t xml:space="preserve">that apply to </w:t>
      </w:r>
      <w:r w:rsidR="00324D52">
        <w:rPr>
          <w:sz w:val="22"/>
          <w:szCs w:val="22"/>
        </w:rPr>
        <w:t xml:space="preserve">the confidential information </w:t>
      </w:r>
      <w:r w:rsidR="004C102D">
        <w:rPr>
          <w:sz w:val="22"/>
          <w:szCs w:val="22"/>
        </w:rPr>
        <w:t>in Viasat’s application</w:t>
      </w:r>
      <w:r w:rsidR="00FA53A2">
        <w:rPr>
          <w:sz w:val="22"/>
          <w:szCs w:val="22"/>
        </w:rPr>
        <w:t>,</w:t>
      </w:r>
      <w:r w:rsidR="00324D52">
        <w:rPr>
          <w:sz w:val="22"/>
          <w:szCs w:val="22"/>
        </w:rPr>
        <w:t xml:space="preserve"> if they choose</w:t>
      </w:r>
      <w:r w:rsidR="00E37682">
        <w:rPr>
          <w:sz w:val="22"/>
          <w:szCs w:val="22"/>
        </w:rPr>
        <w:t xml:space="preserve"> to access such information</w:t>
      </w:r>
      <w:r w:rsidR="00FA53A2">
        <w:rPr>
          <w:sz w:val="22"/>
          <w:szCs w:val="22"/>
        </w:rPr>
        <w:t>,</w:t>
      </w:r>
      <w:r w:rsidR="00324D52">
        <w:rPr>
          <w:sz w:val="22"/>
          <w:szCs w:val="22"/>
        </w:rPr>
        <w:t xml:space="preserve"> and </w:t>
      </w:r>
      <w:r w:rsidR="00FA53A2">
        <w:rPr>
          <w:sz w:val="22"/>
          <w:szCs w:val="22"/>
        </w:rPr>
        <w:t xml:space="preserve">to </w:t>
      </w:r>
      <w:r>
        <w:rPr>
          <w:sz w:val="22"/>
          <w:szCs w:val="22"/>
        </w:rPr>
        <w:t xml:space="preserve">review </w:t>
      </w:r>
      <w:r>
        <w:rPr>
          <w:sz w:val="22"/>
          <w:szCs w:val="22"/>
        </w:rPr>
        <w:t xml:space="preserve">the issues raised </w:t>
      </w:r>
      <w:r w:rsidR="004C102D">
        <w:rPr>
          <w:sz w:val="22"/>
          <w:szCs w:val="22"/>
        </w:rPr>
        <w:t>there</w:t>
      </w:r>
      <w:r>
        <w:rPr>
          <w:sz w:val="22"/>
          <w:szCs w:val="22"/>
        </w:rPr>
        <w:t>in</w:t>
      </w:r>
      <w:r w:rsidR="00324D52">
        <w:rPr>
          <w:sz w:val="22"/>
          <w:szCs w:val="22"/>
        </w:rPr>
        <w:t>.  Furthermore</w:t>
      </w:r>
      <w:r>
        <w:rPr>
          <w:sz w:val="22"/>
          <w:szCs w:val="22"/>
        </w:rPr>
        <w:t xml:space="preserve">, </w:t>
      </w:r>
      <w:r w:rsidR="004C102D">
        <w:rPr>
          <w:sz w:val="22"/>
          <w:szCs w:val="22"/>
        </w:rPr>
        <w:t xml:space="preserve">such </w:t>
      </w:r>
      <w:r w:rsidR="00324D52">
        <w:rPr>
          <w:sz w:val="22"/>
          <w:szCs w:val="22"/>
        </w:rPr>
        <w:t xml:space="preserve">an extension </w:t>
      </w:r>
      <w:r>
        <w:rPr>
          <w:sz w:val="22"/>
          <w:szCs w:val="22"/>
        </w:rPr>
        <w:t>would allow for the development of a more complete record and would otherwise serve the public interest.</w:t>
      </w:r>
      <w:r>
        <w:rPr>
          <w:rStyle w:val="FootnoteReference"/>
          <w:szCs w:val="22"/>
        </w:rPr>
        <w:footnoteReference w:id="15"/>
      </w:r>
    </w:p>
    <w:p w:rsidR="00D312A9" w:rsidP="00D312A9" w14:paraId="3F2A98C9" w14:textId="77777777">
      <w:pPr>
        <w:pStyle w:val="Default"/>
        <w:ind w:firstLine="720"/>
        <w:rPr>
          <w:sz w:val="22"/>
          <w:szCs w:val="22"/>
        </w:rPr>
      </w:pPr>
    </w:p>
    <w:p w:rsidR="00D312A9" w:rsidP="005A3533" w14:paraId="4A3A479D" w14:textId="6AF98C5D">
      <w:pPr>
        <w:pStyle w:val="Default"/>
        <w:ind w:firstLine="720"/>
        <w:rPr>
          <w:sz w:val="22"/>
          <w:szCs w:val="22"/>
        </w:rPr>
      </w:pPr>
      <w:r>
        <w:rPr>
          <w:sz w:val="22"/>
          <w:szCs w:val="22"/>
        </w:rPr>
        <w:t xml:space="preserve">We also </w:t>
      </w:r>
      <w:r w:rsidR="003A0E76">
        <w:rPr>
          <w:sz w:val="22"/>
          <w:szCs w:val="22"/>
        </w:rPr>
        <w:t>find good cause to</w:t>
      </w:r>
      <w:r>
        <w:rPr>
          <w:sz w:val="22"/>
          <w:szCs w:val="22"/>
        </w:rPr>
        <w:t xml:space="preserve"> waive the service requirements in section 1.115(f) of the Commission’s rules</w:t>
      </w:r>
      <w:r>
        <w:rPr>
          <w:rStyle w:val="FootnoteReference"/>
          <w:szCs w:val="22"/>
        </w:rPr>
        <w:footnoteReference w:id="16"/>
      </w:r>
      <w:r>
        <w:rPr>
          <w:sz w:val="22"/>
          <w:szCs w:val="22"/>
        </w:rPr>
        <w:t xml:space="preserve"> </w:t>
      </w:r>
      <w:r w:rsidR="00C67B99">
        <w:rPr>
          <w:sz w:val="22"/>
          <w:szCs w:val="22"/>
        </w:rPr>
        <w:t xml:space="preserve">for </w:t>
      </w:r>
      <w:r w:rsidR="00F32FAE">
        <w:rPr>
          <w:sz w:val="22"/>
          <w:szCs w:val="22"/>
        </w:rPr>
        <w:t>oppositions and replies to the application for review</w:t>
      </w:r>
      <w:r w:rsidR="00645459">
        <w:rPr>
          <w:sz w:val="22"/>
          <w:szCs w:val="22"/>
        </w:rPr>
        <w:t>, and</w:t>
      </w:r>
      <w:r w:rsidR="00F32FAE">
        <w:rPr>
          <w:sz w:val="22"/>
          <w:szCs w:val="22"/>
        </w:rPr>
        <w:t xml:space="preserve"> </w:t>
      </w:r>
      <w:r>
        <w:rPr>
          <w:sz w:val="22"/>
          <w:szCs w:val="22"/>
        </w:rPr>
        <w:t xml:space="preserve">instead allow parties to file </w:t>
      </w:r>
      <w:r w:rsidR="00F32FAE">
        <w:rPr>
          <w:sz w:val="22"/>
          <w:szCs w:val="22"/>
        </w:rPr>
        <w:t>such documents</w:t>
      </w:r>
      <w:r>
        <w:rPr>
          <w:sz w:val="22"/>
          <w:szCs w:val="22"/>
        </w:rPr>
        <w:t xml:space="preserve"> in the Electronic Comment Filing System (ECFS).</w:t>
      </w:r>
      <w:r>
        <w:rPr>
          <w:rStyle w:val="FootnoteReference"/>
          <w:szCs w:val="22"/>
        </w:rPr>
        <w:footnoteReference w:id="17"/>
      </w:r>
      <w:r>
        <w:rPr>
          <w:sz w:val="22"/>
          <w:szCs w:val="22"/>
        </w:rPr>
        <w:t xml:space="preserve">  </w:t>
      </w:r>
      <w:r w:rsidR="00324D52">
        <w:rPr>
          <w:iCs/>
          <w:sz w:val="22"/>
          <w:szCs w:val="22"/>
        </w:rPr>
        <w:t>Viasat’s application for review</w:t>
      </w:r>
      <w:r>
        <w:rPr>
          <w:sz w:val="22"/>
          <w:szCs w:val="22"/>
        </w:rPr>
        <w:t xml:space="preserve"> presents special circumstances that warrant a deviation from </w:t>
      </w:r>
      <w:r w:rsidR="00CF4FC4">
        <w:rPr>
          <w:sz w:val="22"/>
          <w:szCs w:val="22"/>
        </w:rPr>
        <w:t xml:space="preserve">the </w:t>
      </w:r>
      <w:r>
        <w:rPr>
          <w:sz w:val="22"/>
          <w:szCs w:val="22"/>
        </w:rPr>
        <w:t xml:space="preserve">general service rule because the rule would unduly burden filers by requiring them to individually serve each party </w:t>
      </w:r>
      <w:r w:rsidR="00B05B23">
        <w:rPr>
          <w:sz w:val="22"/>
          <w:szCs w:val="22"/>
        </w:rPr>
        <w:t xml:space="preserve">that </w:t>
      </w:r>
      <w:r w:rsidR="00C205CE">
        <w:rPr>
          <w:sz w:val="22"/>
          <w:szCs w:val="22"/>
        </w:rPr>
        <w:t xml:space="preserve">has </w:t>
      </w:r>
      <w:r w:rsidR="00B05B23">
        <w:rPr>
          <w:sz w:val="22"/>
          <w:szCs w:val="22"/>
        </w:rPr>
        <w:t>participate</w:t>
      </w:r>
      <w:r w:rsidR="00D37496">
        <w:rPr>
          <w:sz w:val="22"/>
          <w:szCs w:val="22"/>
        </w:rPr>
        <w:t>d</w:t>
      </w:r>
      <w:r w:rsidR="00B05B23">
        <w:rPr>
          <w:sz w:val="22"/>
          <w:szCs w:val="22"/>
        </w:rPr>
        <w:t xml:space="preserve"> </w:t>
      </w:r>
      <w:r>
        <w:rPr>
          <w:sz w:val="22"/>
          <w:szCs w:val="22"/>
        </w:rPr>
        <w:t xml:space="preserve">in the </w:t>
      </w:r>
      <w:r w:rsidR="00324D52">
        <w:rPr>
          <w:sz w:val="22"/>
          <w:szCs w:val="22"/>
        </w:rPr>
        <w:t xml:space="preserve">Rural Digital Opportunity Fund </w:t>
      </w:r>
      <w:r w:rsidR="00FA53A2">
        <w:rPr>
          <w:sz w:val="22"/>
          <w:szCs w:val="22"/>
        </w:rPr>
        <w:t>Phase I (Auction 904)</w:t>
      </w:r>
      <w:r>
        <w:rPr>
          <w:sz w:val="22"/>
          <w:szCs w:val="22"/>
        </w:rPr>
        <w:t xml:space="preserve">.  A waiver of the service rule also </w:t>
      </w:r>
      <w:r w:rsidR="004C7EEC">
        <w:rPr>
          <w:sz w:val="22"/>
          <w:szCs w:val="22"/>
        </w:rPr>
        <w:t xml:space="preserve">will </w:t>
      </w:r>
      <w:r>
        <w:rPr>
          <w:sz w:val="22"/>
          <w:szCs w:val="22"/>
        </w:rPr>
        <w:t xml:space="preserve">serve the public interest by reducing the burden of filing oppositions or replies, thereby encouraging participation by interested parties.  In this limited circumstance, </w:t>
      </w:r>
      <w:r w:rsidR="00C449DC">
        <w:rPr>
          <w:sz w:val="22"/>
          <w:szCs w:val="22"/>
        </w:rPr>
        <w:t>we find that</w:t>
      </w:r>
      <w:r>
        <w:rPr>
          <w:sz w:val="22"/>
          <w:szCs w:val="22"/>
        </w:rPr>
        <w:t xml:space="preserve"> the filing of oppositions and replies in ECFS </w:t>
      </w:r>
      <w:r w:rsidR="00C449DC">
        <w:rPr>
          <w:sz w:val="22"/>
          <w:szCs w:val="22"/>
        </w:rPr>
        <w:t xml:space="preserve">will </w:t>
      </w:r>
      <w:r>
        <w:rPr>
          <w:sz w:val="22"/>
          <w:szCs w:val="22"/>
        </w:rPr>
        <w:t xml:space="preserve">provide a suitable alternative to individualized service.    </w:t>
      </w:r>
    </w:p>
    <w:p w:rsidR="00D312A9" w:rsidP="00D312A9" w14:paraId="38DA29DA" w14:textId="77777777">
      <w:pPr>
        <w:pStyle w:val="Default"/>
        <w:ind w:firstLine="720"/>
        <w:rPr>
          <w:sz w:val="22"/>
          <w:szCs w:val="22"/>
        </w:rPr>
      </w:pPr>
    </w:p>
    <w:p w:rsidR="00264FAD" w:rsidP="00264FAD" w14:paraId="5714F2A0" w14:textId="0966482E">
      <w:pPr>
        <w:pStyle w:val="Default"/>
        <w:ind w:firstLine="720"/>
        <w:rPr>
          <w:sz w:val="22"/>
          <w:szCs w:val="22"/>
        </w:rPr>
      </w:pPr>
      <w:r>
        <w:rPr>
          <w:sz w:val="22"/>
          <w:szCs w:val="22"/>
        </w:rPr>
        <w:t>Thus, pursuant to sections 4(i) and 4(j) of the Communications Act of 1934, as amended,</w:t>
      </w:r>
      <w:r>
        <w:rPr>
          <w:rStyle w:val="FootnoteReference"/>
          <w:szCs w:val="22"/>
        </w:rPr>
        <w:footnoteReference w:id="18"/>
      </w:r>
      <w:r>
        <w:rPr>
          <w:sz w:val="22"/>
          <w:szCs w:val="22"/>
        </w:rPr>
        <w:t xml:space="preserve"> and sections</w:t>
      </w:r>
      <w:r w:rsidR="007B05A9">
        <w:rPr>
          <w:sz w:val="22"/>
          <w:szCs w:val="22"/>
        </w:rPr>
        <w:t xml:space="preserve"> 0.21(</w:t>
      </w:r>
      <w:r w:rsidRPr="007B05A9" w:rsidR="007B05A9">
        <w:rPr>
          <w:sz w:val="22"/>
          <w:szCs w:val="22"/>
        </w:rPr>
        <w:t>m),</w:t>
      </w:r>
      <w:r w:rsidRPr="007B05A9">
        <w:rPr>
          <w:sz w:val="22"/>
          <w:szCs w:val="22"/>
        </w:rPr>
        <w:t xml:space="preserve"> 0.91(b), </w:t>
      </w:r>
      <w:r w:rsidRPr="007B05A9" w:rsidR="007B05A9">
        <w:rPr>
          <w:sz w:val="22"/>
          <w:szCs w:val="22"/>
        </w:rPr>
        <w:t xml:space="preserve">0.271, </w:t>
      </w:r>
      <w:r w:rsidRPr="007B05A9">
        <w:rPr>
          <w:sz w:val="22"/>
          <w:szCs w:val="22"/>
        </w:rPr>
        <w:t>0.291, 1.3, and 1.46 of the</w:t>
      </w:r>
      <w:r>
        <w:rPr>
          <w:sz w:val="22"/>
          <w:szCs w:val="22"/>
        </w:rPr>
        <w:t xml:space="preserve"> Commission’s rules,</w:t>
      </w:r>
      <w:r>
        <w:rPr>
          <w:rStyle w:val="FootnoteReference"/>
          <w:szCs w:val="22"/>
        </w:rPr>
        <w:footnoteReference w:id="19"/>
      </w:r>
      <w:r>
        <w:rPr>
          <w:sz w:val="22"/>
          <w:szCs w:val="22"/>
        </w:rPr>
        <w:t xml:space="preserve"> we </w:t>
      </w:r>
      <w:r w:rsidR="001C4E72">
        <w:rPr>
          <w:sz w:val="22"/>
          <w:szCs w:val="22"/>
        </w:rPr>
        <w:t>waive the service requirement for Viasat’s application for review,</w:t>
      </w:r>
      <w:r>
        <w:rPr>
          <w:sz w:val="22"/>
          <w:szCs w:val="22"/>
        </w:rPr>
        <w:t xml:space="preserve"> extend the deadline for filing oppositions and replies regarding V</w:t>
      </w:r>
      <w:r w:rsidR="00FA53A2">
        <w:rPr>
          <w:sz w:val="22"/>
          <w:szCs w:val="22"/>
        </w:rPr>
        <w:t>iasat</w:t>
      </w:r>
      <w:r>
        <w:rPr>
          <w:sz w:val="22"/>
          <w:szCs w:val="22"/>
        </w:rPr>
        <w:t>’s application for review</w:t>
      </w:r>
      <w:r w:rsidR="001C4E72">
        <w:rPr>
          <w:sz w:val="22"/>
          <w:szCs w:val="22"/>
        </w:rPr>
        <w:t>,</w:t>
      </w:r>
      <w:r>
        <w:rPr>
          <w:sz w:val="22"/>
          <w:szCs w:val="22"/>
        </w:rPr>
        <w:t xml:space="preserve"> and waive the service rules for oppositions and replies in section 1.115(f) as set forth herein.</w:t>
      </w:r>
    </w:p>
    <w:p w:rsidR="00D312A9" w:rsidP="00D312A9" w14:paraId="063834B4" w14:textId="77777777">
      <w:pPr>
        <w:pStyle w:val="Default"/>
        <w:ind w:firstLine="720"/>
        <w:rPr>
          <w:sz w:val="22"/>
          <w:szCs w:val="22"/>
        </w:rPr>
      </w:pPr>
    </w:p>
    <w:p w:rsidR="00D312A9" w:rsidRPr="00D52983" w:rsidP="00D312A9" w14:paraId="354AA180" w14:textId="77777777">
      <w:pPr>
        <w:keepNext/>
        <w:keepLines/>
        <w:widowControl/>
        <w:spacing w:after="220"/>
        <w:ind w:firstLine="720"/>
        <w:outlineLvl w:val="1"/>
        <w:rPr>
          <w:b/>
        </w:rPr>
      </w:pPr>
      <w:r w:rsidRPr="00D52983">
        <w:rPr>
          <w:b/>
          <w:i/>
        </w:rPr>
        <w:t>Ex Parte</w:t>
      </w:r>
      <w:r w:rsidRPr="00D52983">
        <w:rPr>
          <w:b/>
        </w:rPr>
        <w:t xml:space="preserve"> Presentations</w:t>
      </w:r>
    </w:p>
    <w:p w:rsidR="00D312A9" w:rsidRPr="00D52983" w:rsidP="00D312A9" w14:paraId="0B22899D" w14:textId="6BDACE1A">
      <w:pPr>
        <w:widowControl/>
        <w:tabs>
          <w:tab w:val="num" w:pos="1440"/>
        </w:tabs>
        <w:spacing w:after="120"/>
        <w:ind w:firstLine="720"/>
      </w:pPr>
      <w:bookmarkStart w:id="0" w:name="_Hlk511238461"/>
      <w:r w:rsidRPr="00D52983">
        <w:t xml:space="preserve">This proceeding </w:t>
      </w:r>
      <w:r w:rsidR="00FA53A2">
        <w:t>is</w:t>
      </w:r>
      <w:r w:rsidRPr="00D52983">
        <w:t xml:space="preserve"> designated as a “permit-but-disclose” proceeding in accordance with the Commission’s </w:t>
      </w:r>
      <w:r w:rsidRPr="00D52983">
        <w:rPr>
          <w:i/>
          <w:iCs/>
        </w:rPr>
        <w:t>ex parte</w:t>
      </w:r>
      <w:r w:rsidRPr="00D52983">
        <w:t xml:space="preserve"> rules.</w:t>
      </w:r>
      <w:r>
        <w:rPr>
          <w:sz w:val="20"/>
          <w:vertAlign w:val="superscript"/>
        </w:rPr>
        <w:footnoteReference w:id="20"/>
      </w:r>
      <w:r w:rsidRPr="00D52983">
        <w:t xml:space="preserve">  Persons making oral </w:t>
      </w:r>
      <w:r w:rsidRPr="00D52983">
        <w:rPr>
          <w:i/>
          <w:iCs/>
        </w:rPr>
        <w:t>ex parte</w:t>
      </w:r>
      <w:r w:rsidRPr="00D52983">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is generally required.  Other provisions pertaining to oral and written </w:t>
      </w:r>
      <w:r w:rsidRPr="00D52983">
        <w:rPr>
          <w:i/>
          <w:iCs/>
        </w:rPr>
        <w:t>ex parte</w:t>
      </w:r>
      <w:r w:rsidRPr="00D52983">
        <w:t xml:space="preserve"> </w:t>
      </w:r>
      <w:r w:rsidRPr="00D52983">
        <w:t>presentations in permit-but-disclose proceedings are set forth in section 1.1206(b) of the Commission’s rules.</w:t>
      </w:r>
      <w:bookmarkEnd w:id="0"/>
    </w:p>
    <w:p w:rsidR="00D312A9" w:rsidRPr="00E96631" w:rsidP="00D312A9" w14:paraId="470604E8" w14:textId="77777777">
      <w:pPr>
        <w:keepNext/>
        <w:keepLines/>
        <w:widowControl/>
        <w:spacing w:after="220"/>
        <w:ind w:firstLine="720"/>
        <w:jc w:val="both"/>
        <w:outlineLvl w:val="1"/>
        <w:rPr>
          <w:b/>
        </w:rPr>
      </w:pPr>
      <w:r w:rsidRPr="00E96631">
        <w:rPr>
          <w:b/>
        </w:rPr>
        <w:t>Filing Procedures</w:t>
      </w:r>
    </w:p>
    <w:p w:rsidR="00D312A9" w:rsidRPr="00D52983" w:rsidP="00D312A9" w14:paraId="4CF70CF3" w14:textId="4A2A8CD3">
      <w:pPr>
        <w:widowControl/>
        <w:tabs>
          <w:tab w:val="num" w:pos="1440"/>
        </w:tabs>
        <w:spacing w:after="120"/>
        <w:ind w:firstLine="720"/>
      </w:pPr>
      <w:r w:rsidRPr="00D52983">
        <w:t xml:space="preserve">Under the Commission’s current procedures for the submission of filings and other documents, </w:t>
      </w:r>
      <w:r>
        <w:t>interested parties may file oppositions and replies on or before the dates indicated on the first page of this document.  Submissions</w:t>
      </w:r>
      <w:r w:rsidRPr="00D52983">
        <w:t xml:space="preserve"> may be filed electronically through the Commission’s ECFS or by filing paper copies.  We strongly encourage interested parties to file electronically.</w:t>
      </w:r>
      <w:r w:rsidR="0012601F">
        <w:t xml:space="preserve">  </w:t>
      </w:r>
      <w:r w:rsidRPr="0012601F" w:rsidR="0012601F">
        <w:rPr>
          <w:b/>
          <w:bCs/>
        </w:rPr>
        <w:t xml:space="preserve">All filings regarding this </w:t>
      </w:r>
      <w:r w:rsidR="009F28C2">
        <w:rPr>
          <w:b/>
          <w:bCs/>
        </w:rPr>
        <w:t>application for review</w:t>
      </w:r>
      <w:r w:rsidRPr="0012601F" w:rsidR="0012601F">
        <w:rPr>
          <w:b/>
          <w:bCs/>
        </w:rPr>
        <w:t xml:space="preserve"> should include the docket number established for this purpose:  GN 21-</w:t>
      </w:r>
      <w:r w:rsidR="00B67EF7">
        <w:rPr>
          <w:b/>
          <w:bCs/>
        </w:rPr>
        <w:t>231</w:t>
      </w:r>
      <w:r w:rsidRPr="0012601F" w:rsidR="0012601F">
        <w:rPr>
          <w:b/>
          <w:bCs/>
        </w:rPr>
        <w:t>.</w:t>
      </w:r>
    </w:p>
    <w:p w:rsidR="00D312A9" w:rsidRPr="00D52983" w:rsidP="00D312A9" w14:paraId="3CB8A9DC" w14:textId="0DF4CF60">
      <w:pPr>
        <w:tabs>
          <w:tab w:val="num" w:pos="1440"/>
        </w:tabs>
        <w:spacing w:after="120"/>
        <w:ind w:firstLine="720"/>
      </w:pPr>
      <w:r w:rsidRPr="00D52983">
        <w:rPr>
          <w:i/>
          <w:iCs/>
        </w:rPr>
        <w:t>Electronic Filers</w:t>
      </w:r>
      <w:r w:rsidRPr="00D52983">
        <w:t xml:space="preserve">:  </w:t>
      </w:r>
      <w:r>
        <w:t>Documents</w:t>
      </w:r>
      <w:r w:rsidRPr="00D52983">
        <w:t xml:space="preserve"> may be filed electronically using the Internet by accessing the ECFS at </w:t>
      </w:r>
      <w:r>
        <w:t>http://apps.fcc.gov/ecfs</w:t>
      </w:r>
      <w:r w:rsidRPr="00D52983">
        <w:t xml:space="preserve">.  Filers should follow the instructions provided on the website for submitting </w:t>
      </w:r>
      <w:r>
        <w:t>documents</w:t>
      </w:r>
      <w:r w:rsidRPr="00D52983">
        <w:t xml:space="preserve">.  In completing the transmittal screen, filers should include their full name, U.S. Postal Service mailing address, and the applicable docket number, </w:t>
      </w:r>
      <w:r w:rsidR="006B4321">
        <w:t>GN</w:t>
      </w:r>
      <w:r w:rsidRPr="00D52983" w:rsidR="006B4321">
        <w:t xml:space="preserve"> </w:t>
      </w:r>
      <w:r w:rsidRPr="00D52983">
        <w:t xml:space="preserve">Docket No. </w:t>
      </w:r>
      <w:r w:rsidR="00324D52">
        <w:t>2</w:t>
      </w:r>
      <w:r w:rsidRPr="00D52983">
        <w:t>1-</w:t>
      </w:r>
      <w:r w:rsidR="00B67EF7">
        <w:t>231</w:t>
      </w:r>
      <w:r w:rsidRPr="00D52983">
        <w:t xml:space="preserve">.  To get filing instructions, filers should send an e-mail to </w:t>
      </w:r>
      <w:r w:rsidRPr="008D0044">
        <w:t>ecfs@fcc.gov</w:t>
      </w:r>
      <w:r w:rsidRPr="00D52983">
        <w:t>, and include the following wo</w:t>
      </w:r>
      <w:r>
        <w:t>rds in the body of the message:</w:t>
      </w:r>
      <w:r w:rsidRPr="00D52983">
        <w:t xml:space="preserve"> “get form.”  A sample form and directions will be sent in response.</w:t>
      </w:r>
    </w:p>
    <w:p w:rsidR="00D312A9" w:rsidRPr="00D52983" w:rsidP="007B05A9" w14:paraId="6030329D" w14:textId="2D4F4CDB">
      <w:pPr>
        <w:keepNext/>
        <w:keepLines/>
        <w:widowControl/>
        <w:tabs>
          <w:tab w:val="num" w:pos="1440"/>
        </w:tabs>
        <w:spacing w:after="120"/>
        <w:ind w:firstLine="720"/>
      </w:pPr>
      <w:r w:rsidRPr="00D52983">
        <w:rPr>
          <w:i/>
          <w:iCs/>
        </w:rPr>
        <w:t>Paper Filers</w:t>
      </w:r>
      <w:r w:rsidRPr="00D52983">
        <w:t xml:space="preserve">:  </w:t>
      </w:r>
      <w:r w:rsidRPr="007943E6" w:rsidR="007B05A9">
        <w:rPr>
          <w:szCs w:val="22"/>
        </w:rPr>
        <w:t xml:space="preserve">Parties </w:t>
      </w:r>
      <w:r w:rsidR="00047C8D">
        <w:rPr>
          <w:szCs w:val="22"/>
        </w:rPr>
        <w:t>that</w:t>
      </w:r>
      <w:r w:rsidRPr="007943E6" w:rsidR="007B05A9">
        <w:rPr>
          <w:szCs w:val="22"/>
        </w:rPr>
        <w:t xml:space="preserve"> choose to file by paper must file an original and one copy of each filing.  Filings can be sent by commercial overnight courier or by first-class or overnight U.S. Postal Service mail.</w:t>
      </w:r>
      <w:r>
        <w:rPr>
          <w:rStyle w:val="FootnoteReference"/>
          <w:szCs w:val="22"/>
        </w:rPr>
        <w:footnoteReference w:id="21"/>
      </w:r>
      <w:r w:rsidRPr="007943E6" w:rsidR="007B05A9">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312A9" w:rsidRPr="00D52983" w:rsidP="00D312A9" w14:paraId="34129F41" w14:textId="77777777">
      <w:pPr>
        <w:tabs>
          <w:tab w:val="num" w:pos="1440"/>
        </w:tabs>
        <w:spacing w:after="120"/>
        <w:ind w:firstLine="720"/>
      </w:pPr>
      <w:r w:rsidRPr="00D52983">
        <w:rPr>
          <w:i/>
        </w:rPr>
        <w:t>Persons with Disabilities</w:t>
      </w:r>
      <w:r w:rsidRPr="00D52983">
        <w:t>:  To request materials in accessible formats (Braille, large print, electronic files, audio format) for people with disabilities, send an e-mail to fcc504@fcc.gov or call the Consumer and Government Affairs Bureau at (202) 418-0530 or (202) 418-0432 (TTY).</w:t>
      </w:r>
    </w:p>
    <w:p w:rsidR="00D312A9" w:rsidP="00D312A9" w14:paraId="497461DF" w14:textId="5A54D8D7">
      <w:pPr>
        <w:pStyle w:val="Default"/>
        <w:ind w:firstLine="720"/>
        <w:rPr>
          <w:sz w:val="22"/>
          <w:szCs w:val="22"/>
        </w:rPr>
      </w:pPr>
      <w:r>
        <w:rPr>
          <w:sz w:val="22"/>
          <w:szCs w:val="22"/>
        </w:rPr>
        <w:t xml:space="preserve">For further information, please contact </w:t>
      </w:r>
      <w:r w:rsidR="00FA53A2">
        <w:rPr>
          <w:sz w:val="22"/>
          <w:szCs w:val="22"/>
        </w:rPr>
        <w:t>Mark Montano</w:t>
      </w:r>
      <w:r>
        <w:rPr>
          <w:sz w:val="22"/>
          <w:szCs w:val="22"/>
        </w:rPr>
        <w:t xml:space="preserve"> of the </w:t>
      </w:r>
      <w:r w:rsidR="00FA53A2">
        <w:rPr>
          <w:sz w:val="22"/>
          <w:szCs w:val="22"/>
        </w:rPr>
        <w:t xml:space="preserve">Office of Economics and Analytics, </w:t>
      </w:r>
      <w:r>
        <w:rPr>
          <w:sz w:val="22"/>
          <w:szCs w:val="22"/>
        </w:rPr>
        <w:t>Auctions Division, at (202) 418-0</w:t>
      </w:r>
      <w:r w:rsidR="00FA53A2">
        <w:rPr>
          <w:sz w:val="22"/>
          <w:szCs w:val="22"/>
        </w:rPr>
        <w:t>660</w:t>
      </w:r>
      <w:r>
        <w:rPr>
          <w:sz w:val="22"/>
          <w:szCs w:val="22"/>
        </w:rPr>
        <w:t xml:space="preserve"> or </w:t>
      </w:r>
      <w:r w:rsidR="00FA53A2">
        <w:rPr>
          <w:sz w:val="22"/>
          <w:szCs w:val="22"/>
        </w:rPr>
        <w:t>Mark.Montano</w:t>
      </w:r>
      <w:r w:rsidRPr="00D52983">
        <w:rPr>
          <w:sz w:val="22"/>
          <w:szCs w:val="22"/>
        </w:rPr>
        <w:t>@fcc.gov</w:t>
      </w:r>
      <w:r>
        <w:rPr>
          <w:sz w:val="22"/>
          <w:szCs w:val="22"/>
        </w:rPr>
        <w:t>.</w:t>
      </w:r>
    </w:p>
    <w:p w:rsidR="00D312A9" w:rsidP="00D312A9" w14:paraId="10DB7903" w14:textId="77777777">
      <w:pPr>
        <w:pStyle w:val="Default"/>
        <w:ind w:firstLine="720"/>
        <w:rPr>
          <w:sz w:val="22"/>
          <w:szCs w:val="22"/>
        </w:rPr>
      </w:pPr>
    </w:p>
    <w:p w:rsidR="00D312A9" w:rsidRPr="0002680B" w:rsidP="00D312A9" w14:paraId="4EBE2921" w14:textId="2E55C6A9">
      <w:pPr>
        <w:pStyle w:val="Default"/>
        <w:ind w:firstLine="720"/>
        <w:rPr>
          <w:sz w:val="22"/>
          <w:szCs w:val="22"/>
        </w:rPr>
      </w:pPr>
      <w:r w:rsidRPr="00104733">
        <w:rPr>
          <w:sz w:val="22"/>
          <w:szCs w:val="22"/>
        </w:rPr>
        <w:t xml:space="preserve">Action by the Chief, </w:t>
      </w:r>
      <w:r>
        <w:rPr>
          <w:sz w:val="22"/>
          <w:szCs w:val="22"/>
        </w:rPr>
        <w:t>Auctions Division</w:t>
      </w:r>
      <w:r w:rsidRPr="00104733">
        <w:rPr>
          <w:sz w:val="22"/>
          <w:szCs w:val="22"/>
        </w:rPr>
        <w:t xml:space="preserve">, </w:t>
      </w:r>
      <w:r w:rsidR="00FA53A2">
        <w:rPr>
          <w:sz w:val="22"/>
          <w:szCs w:val="22"/>
        </w:rPr>
        <w:t>Office of Economics and Analytics</w:t>
      </w:r>
      <w:r w:rsidRPr="00104733">
        <w:rPr>
          <w:sz w:val="22"/>
          <w:szCs w:val="22"/>
        </w:rPr>
        <w:t>.</w:t>
      </w:r>
    </w:p>
    <w:p w:rsidR="00D312A9" w:rsidP="00D312A9" w14:paraId="703CA3F0" w14:textId="77777777">
      <w:pPr>
        <w:pStyle w:val="Default"/>
      </w:pPr>
    </w:p>
    <w:p w:rsidR="00D312A9" w:rsidP="00D312A9" w14:paraId="616A1CEE" w14:textId="77777777">
      <w:pPr>
        <w:jc w:val="center"/>
        <w:rPr>
          <w:b/>
          <w:bCs/>
          <w:caps/>
          <w:szCs w:val="22"/>
        </w:rPr>
      </w:pPr>
      <w:r>
        <w:rPr>
          <w:b/>
          <w:bCs/>
          <w:szCs w:val="22"/>
        </w:rPr>
        <w:t>– FCC –</w:t>
      </w:r>
    </w:p>
    <w:p w:rsidR="00D312A9" w:rsidP="00D312A9" w14:paraId="3EE4C248" w14:textId="77777777">
      <w:pPr>
        <w:jc w:val="center"/>
        <w:rPr>
          <w:b/>
          <w:bCs/>
          <w:caps/>
          <w:szCs w:val="22"/>
        </w:rPr>
      </w:pPr>
    </w:p>
    <w:p w:rsidR="00D312A9" w:rsidP="00D312A9" w14:paraId="68FE2C9B" w14:textId="77777777">
      <w:pPr>
        <w:jc w:val="center"/>
        <w:rPr>
          <w:b/>
          <w:bCs/>
          <w:caps/>
          <w:szCs w:val="22"/>
        </w:rPr>
      </w:pPr>
    </w:p>
    <w:p w:rsidR="00D312A9" w:rsidRPr="00271D29" w:rsidP="00D312A9" w14:paraId="7A021816" w14:textId="77777777">
      <w:pPr>
        <w:spacing w:before="240" w:after="240"/>
        <w:jc w:val="center"/>
        <w:rPr>
          <w:b/>
          <w:szCs w:val="22"/>
        </w:rPr>
      </w:pPr>
      <w:bookmarkStart w:id="1" w:name="start_here"/>
      <w:bookmarkStart w:id="2" w:name="_Toc391040673"/>
      <w:bookmarkStart w:id="3" w:name="_Toc391048953"/>
      <w:bookmarkStart w:id="4" w:name="_Toc391054634"/>
      <w:bookmarkStart w:id="5" w:name="_Toc391059516"/>
      <w:bookmarkStart w:id="6" w:name="_Toc391062443"/>
      <w:bookmarkStart w:id="7" w:name="_Toc392687739"/>
      <w:bookmarkStart w:id="8" w:name="_Toc392754790"/>
      <w:bookmarkStart w:id="9" w:name="_Toc392756003"/>
      <w:bookmarkStart w:id="10" w:name="_Toc393452178"/>
      <w:bookmarkStart w:id="11" w:name="_Toc393712344"/>
      <w:bookmarkStart w:id="12" w:name="_Toc393719781"/>
      <w:bookmarkStart w:id="13" w:name="_Toc393885677"/>
      <w:bookmarkStart w:id="14" w:name="_Toc420597621"/>
      <w:bookmarkStart w:id="15" w:name="_Toc420597847"/>
      <w:bookmarkStart w:id="16" w:name="_Toc421630405"/>
      <w:bookmarkStart w:id="17" w:name="_Toc421800524"/>
      <w:bookmarkStart w:id="18" w:name="_Toc422324897"/>
      <w:bookmarkStart w:id="19" w:name="_Toc422331148"/>
      <w:bookmarkStart w:id="20" w:name="_Toc422332088"/>
      <w:bookmarkStart w:id="21" w:name="_Toc422336927"/>
      <w:bookmarkStart w:id="22" w:name="_Toc422381184"/>
      <w:bookmarkStart w:id="23" w:name="_Toc440991956"/>
      <w:bookmarkStart w:id="24" w:name="_Toc440993522"/>
      <w:bookmarkStart w:id="25" w:name="_Toc441043943"/>
      <w:bookmarkStart w:id="26" w:name="_Toc442801825"/>
      <w:bookmarkStart w:id="27" w:name="_Toc442888080"/>
      <w:bookmarkStart w:id="28" w:name="_Toc444868888"/>
      <w:bookmarkStart w:id="29" w:name="_Toc446424648"/>
      <w:bookmarkStart w:id="30" w:name="_Toc447036357"/>
      <w:bookmarkStart w:id="31" w:name="_Toc451942542"/>
      <w:bookmarkStart w:id="32" w:name="_Toc475450061"/>
      <w:bookmarkStart w:id="33" w:name="comebackher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E5884" w:rsidP="00C82B6B" w14:paraId="6ABCEDEB" w14:textId="77777777">
      <w:pPr>
        <w:jc w:val="right"/>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FBBA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3338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98759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B8F4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BB8" w14:paraId="27ADC770" w14:textId="77777777">
      <w:r>
        <w:separator/>
      </w:r>
    </w:p>
  </w:footnote>
  <w:footnote w:type="continuationSeparator" w:id="1">
    <w:p w:rsidR="00F31BB8" w14:paraId="46E88A3E" w14:textId="77777777">
      <w:pPr>
        <w:rPr>
          <w:sz w:val="20"/>
        </w:rPr>
      </w:pPr>
      <w:r>
        <w:rPr>
          <w:sz w:val="20"/>
        </w:rPr>
        <w:t xml:space="preserve">(Continued from previous page)  </w:t>
      </w:r>
      <w:r>
        <w:rPr>
          <w:sz w:val="20"/>
        </w:rPr>
        <w:separator/>
      </w:r>
    </w:p>
  </w:footnote>
  <w:footnote w:type="continuationNotice" w:id="2">
    <w:p w:rsidR="00F31BB8" w:rsidP="00910F12" w14:paraId="0A816025" w14:textId="77777777">
      <w:pPr>
        <w:jc w:val="right"/>
        <w:rPr>
          <w:sz w:val="20"/>
        </w:rPr>
      </w:pPr>
      <w:r>
        <w:rPr>
          <w:sz w:val="20"/>
        </w:rPr>
        <w:t>(continued….)</w:t>
      </w:r>
    </w:p>
  </w:footnote>
  <w:footnote w:id="3">
    <w:p w:rsidR="000F4EA0" w14:paraId="3F091DDE" w14:textId="50748EEC">
      <w:pPr>
        <w:pStyle w:val="FootnoteText"/>
      </w:pPr>
      <w:r>
        <w:rPr>
          <w:rStyle w:val="FootnoteReference"/>
        </w:rPr>
        <w:footnoteRef/>
      </w:r>
      <w:r>
        <w:t xml:space="preserve"> </w:t>
      </w:r>
      <w:r w:rsidR="00351893">
        <w:t xml:space="preserve">Application for Review of Viasat, Inc. </w:t>
      </w:r>
      <w:r w:rsidR="002D6308">
        <w:t>(</w:t>
      </w:r>
      <w:r w:rsidR="00721EF8">
        <w:t xml:space="preserve">confidential version </w:t>
      </w:r>
      <w:r w:rsidR="00351893">
        <w:t>filed Jan. 29, 2021</w:t>
      </w:r>
      <w:r w:rsidR="006B4321">
        <w:t>;</w:t>
      </w:r>
      <w:r w:rsidR="00351893">
        <w:t xml:space="preserve"> </w:t>
      </w:r>
      <w:r w:rsidR="003B65C5">
        <w:t>public version filed</w:t>
      </w:r>
      <w:r w:rsidR="00AE7A25">
        <w:t xml:space="preserve"> May</w:t>
      </w:r>
      <w:r w:rsidR="00047C8D">
        <w:t xml:space="preserve"> </w:t>
      </w:r>
      <w:r w:rsidR="00B72F7D">
        <w:t>28</w:t>
      </w:r>
      <w:r w:rsidR="003B65C5">
        <w:t>, 2021</w:t>
      </w:r>
      <w:r w:rsidR="00351893">
        <w:t>)</w:t>
      </w:r>
      <w:r w:rsidR="002D6308">
        <w:t>.</w:t>
      </w:r>
    </w:p>
  </w:footnote>
  <w:footnote w:id="4">
    <w:p w:rsidR="000F4EA0" w:rsidP="001E32A0" w14:paraId="728418D1" w14:textId="6FB93DC3">
      <w:pPr>
        <w:pStyle w:val="FootnoteText"/>
      </w:pPr>
      <w:r>
        <w:rPr>
          <w:rStyle w:val="FootnoteReference"/>
        </w:rPr>
        <w:footnoteRef/>
      </w:r>
      <w:r>
        <w:t xml:space="preserve"> </w:t>
      </w:r>
      <w:r w:rsidRPr="001E32A0" w:rsidR="001E32A0">
        <w:rPr>
          <w:i/>
          <w:iCs/>
        </w:rPr>
        <w:t>Viasat, Inc. Application for Review of Auction 904 Eligibility Determination</w:t>
      </w:r>
      <w:r w:rsidR="001E32A0">
        <w:t>, Protective Order, DA 21-</w:t>
      </w:r>
      <w:r w:rsidR="005D2F37">
        <w:t>623</w:t>
      </w:r>
      <w:r w:rsidR="001E32A0">
        <w:t xml:space="preserve"> (OEA</w:t>
      </w:r>
      <w:r w:rsidR="00A7515F">
        <w:t xml:space="preserve"> May</w:t>
      </w:r>
      <w:r w:rsidR="001E32A0">
        <w:t xml:space="preserve"> </w:t>
      </w:r>
      <w:r w:rsidR="00B67EF7">
        <w:t>27</w:t>
      </w:r>
      <w:r w:rsidR="001E32A0">
        <w:t>, 2021).</w:t>
      </w:r>
    </w:p>
  </w:footnote>
  <w:footnote w:id="5">
    <w:p w:rsidR="00D312A9" w:rsidP="00D312A9" w14:paraId="657B0C54" w14:textId="77777777">
      <w:pPr>
        <w:pStyle w:val="FootnoteText"/>
      </w:pPr>
      <w:r>
        <w:rPr>
          <w:rStyle w:val="FootnoteReference"/>
        </w:rPr>
        <w:footnoteRef/>
      </w:r>
      <w:r>
        <w:t xml:space="preserve"> 47 CFR § 1.115(f).</w:t>
      </w:r>
    </w:p>
  </w:footnote>
  <w:footnote w:id="6">
    <w:p w:rsidR="00E70FF2" w:rsidP="00E70FF2" w14:paraId="51476205" w14:textId="77777777">
      <w:pPr>
        <w:pStyle w:val="FootnoteText"/>
      </w:pPr>
      <w:r>
        <w:rPr>
          <w:rStyle w:val="FootnoteReference"/>
        </w:rPr>
        <w:footnoteRef/>
      </w:r>
      <w:r>
        <w:t xml:space="preserve"> </w:t>
      </w:r>
      <w:r w:rsidRPr="001A753B">
        <w:rPr>
          <w:i/>
        </w:rPr>
        <w:t>Id.</w:t>
      </w:r>
      <w:r>
        <w:t xml:space="preserve"> § 1.3 (“</w:t>
      </w:r>
      <w:r w:rsidRPr="004E68B3">
        <w:rPr>
          <w:snapToGrid w:val="0"/>
          <w:kern w:val="28"/>
        </w:rPr>
        <w:t xml:space="preserve">Any provision of the rules may be waived by the </w:t>
      </w:r>
      <w:r>
        <w:rPr>
          <w:snapToGrid w:val="0"/>
          <w:kern w:val="28"/>
        </w:rPr>
        <w:t xml:space="preserve">Commission </w:t>
      </w:r>
      <w:r w:rsidRPr="004E68B3">
        <w:rPr>
          <w:snapToGrid w:val="0"/>
          <w:kern w:val="28"/>
        </w:rPr>
        <w:t>on its own motion or on petition if good cause therefor is shown.</w:t>
      </w:r>
      <w:r>
        <w:rPr>
          <w:snapToGrid w:val="0"/>
          <w:kern w:val="28"/>
        </w:rPr>
        <w:t>”).</w:t>
      </w:r>
    </w:p>
  </w:footnote>
  <w:footnote w:id="7">
    <w:p w:rsidR="00E70FF2" w:rsidP="00E70FF2" w14:paraId="3A8832E8" w14:textId="77777777">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8">
    <w:p w:rsidR="00E70FF2" w:rsidP="00E70FF2" w14:paraId="1615C700" w14:textId="77777777">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9">
    <w:p w:rsidR="00E71C42" w:rsidP="00E71C42" w14:paraId="7BB07127" w14:textId="73521165">
      <w:pPr>
        <w:pStyle w:val="FootnoteText"/>
      </w:pPr>
      <w:r>
        <w:rPr>
          <w:rStyle w:val="FootnoteReference"/>
        </w:rPr>
        <w:footnoteRef/>
      </w:r>
      <w:r>
        <w:t xml:space="preserve"> </w:t>
      </w:r>
      <w:r>
        <w:rPr>
          <w:i/>
          <w:iCs/>
        </w:rPr>
        <w:t xml:space="preserve">See </w:t>
      </w:r>
      <w:r w:rsidRPr="004C102D">
        <w:rPr>
          <w:i/>
          <w:iCs/>
        </w:rPr>
        <w:t>Rural Digital Opportunity Fund Phase I Auction; Status of Short-Form Applications to Participate in Auction 904; Corrections Due September 23, 2020</w:t>
      </w:r>
      <w:r>
        <w:t xml:space="preserve">, Public Notice, 35 FCC Rcd 9875 (OEA/WCB 2020); </w:t>
      </w:r>
      <w:r w:rsidRPr="008D41F5">
        <w:rPr>
          <w:i/>
          <w:iCs/>
        </w:rPr>
        <w:t>417 Long-Form Applicants In The Rural Digital Opportunity Fund Phase I Auction (Auction 904)</w:t>
      </w:r>
      <w:r>
        <w:t xml:space="preserve">, Public Notice, DA 21-170 (OEA/WCB 2021).  The winning bidders in the auction that submitted long-form applications did not necessarily file short-form applications themselves.  That is, a significant number of long-form applicants were members of consortia, which each filed a single short-form application on behalf of all its members.  </w:t>
      </w:r>
    </w:p>
  </w:footnote>
  <w:footnote w:id="10">
    <w:p w:rsidR="00BD622A" w14:paraId="0776DCC5" w14:textId="2E724854">
      <w:pPr>
        <w:pStyle w:val="FootnoteText"/>
      </w:pPr>
      <w:r>
        <w:rPr>
          <w:rStyle w:val="FootnoteReference"/>
        </w:rPr>
        <w:footnoteRef/>
      </w:r>
      <w:r>
        <w:t xml:space="preserve"> </w:t>
      </w:r>
      <w:r w:rsidRPr="007B05A9" w:rsidR="00D57F2E">
        <w:rPr>
          <w:iCs/>
        </w:rPr>
        <w:t>47 CFR</w:t>
      </w:r>
      <w:r w:rsidR="00D57F2E">
        <w:t xml:space="preserve"> § 1.47(a) (“In proceedings involving a large number of parties, and unless otherwise provided by statute, the Commission may satisfy its service obligation by issuing a public notice that identifies the documents required to be served and that explains how parties can obtain copies of the documents.”); </w:t>
      </w:r>
      <w:r w:rsidR="00D57F2E">
        <w:rPr>
          <w:i/>
        </w:rPr>
        <w:t>i</w:t>
      </w:r>
      <w:r w:rsidRPr="00A020DE" w:rsidR="00D57F2E">
        <w:rPr>
          <w:i/>
        </w:rPr>
        <w:t>d.</w:t>
      </w:r>
      <w:r w:rsidR="00D57F2E">
        <w:t xml:space="preserve"> § 1.47(a), note to paragraph (a) (“The Commission expects that service by public notice will be used only in proceedings with 20 or more parties.”).</w:t>
      </w:r>
    </w:p>
  </w:footnote>
  <w:footnote w:id="11">
    <w:p w:rsidR="00D312A9" w:rsidP="00D312A9" w14:paraId="3C94D473" w14:textId="77777777">
      <w:pPr>
        <w:pStyle w:val="FootnoteText"/>
      </w:pPr>
      <w:r>
        <w:rPr>
          <w:rStyle w:val="FootnoteReference"/>
        </w:rPr>
        <w:footnoteRef/>
      </w:r>
      <w:r>
        <w:t xml:space="preserve"> </w:t>
      </w:r>
      <w:r w:rsidRPr="00E4753F">
        <w:rPr>
          <w:i/>
        </w:rPr>
        <w:t>Id.</w:t>
      </w:r>
      <w:r>
        <w:t xml:space="preserve"> § 1.115(d).</w:t>
      </w:r>
    </w:p>
  </w:footnote>
  <w:footnote w:id="12">
    <w:p w:rsidR="00D312A9" w:rsidP="00D312A9" w14:paraId="34A702C4" w14:textId="77777777">
      <w:pPr>
        <w:pStyle w:val="FootnoteText"/>
      </w:pPr>
      <w:r>
        <w:rPr>
          <w:rStyle w:val="FootnoteReference"/>
        </w:rPr>
        <w:footnoteRef/>
      </w:r>
      <w:r>
        <w:t xml:space="preserve"> </w:t>
      </w:r>
      <w:r w:rsidRPr="000F7822">
        <w:rPr>
          <w:i/>
        </w:rPr>
        <w:t>Id</w:t>
      </w:r>
      <w:r>
        <w:t>.</w:t>
      </w:r>
    </w:p>
  </w:footnote>
  <w:footnote w:id="13">
    <w:p w:rsidR="00D312A9" w:rsidP="00D312A9" w14:paraId="0621DB85" w14:textId="77777777">
      <w:pPr>
        <w:pStyle w:val="FootnoteText"/>
      </w:pPr>
      <w:r>
        <w:rPr>
          <w:rStyle w:val="FootnoteReference"/>
        </w:rPr>
        <w:footnoteRef/>
      </w:r>
      <w:r>
        <w:t xml:space="preserve"> </w:t>
      </w:r>
      <w:r w:rsidRPr="000853FC">
        <w:rPr>
          <w:i/>
        </w:rPr>
        <w:t>Id.</w:t>
      </w:r>
      <w:r>
        <w:t xml:space="preserve"> § 1.46(a).</w:t>
      </w:r>
    </w:p>
  </w:footnote>
  <w:footnote w:id="14">
    <w:p w:rsidR="00D312A9" w:rsidP="00D312A9" w14:paraId="5BEF2746" w14:textId="77777777">
      <w:pPr>
        <w:pStyle w:val="FootnoteText"/>
      </w:pPr>
      <w:r>
        <w:rPr>
          <w:rStyle w:val="FootnoteReference"/>
        </w:rPr>
        <w:footnoteRef/>
      </w:r>
      <w:r>
        <w:t xml:space="preserve"> </w:t>
      </w:r>
      <w:r w:rsidRPr="00016699">
        <w:rPr>
          <w:i/>
        </w:rPr>
        <w:t>See</w:t>
      </w:r>
      <w:r>
        <w:t xml:space="preserve"> </w:t>
      </w:r>
      <w:r w:rsidRPr="00C751F4">
        <w:rPr>
          <w:i/>
        </w:rPr>
        <w:t>Applications of Fred R. Morton, Jr.</w:t>
      </w:r>
      <w:r>
        <w:t xml:space="preserve">, Memorandum Opinion and Order, 5 FCC Rcd 606, 606, para. 1 n.1 (1990); </w:t>
      </w:r>
      <w:r w:rsidRPr="00016699">
        <w:rPr>
          <w:i/>
        </w:rPr>
        <w:t>Comcast Cable Communications, LLC</w:t>
      </w:r>
      <w:r>
        <w:t>, Order, 24 FCC Rcd 4902, 4902, para. 3 (MB 2009).</w:t>
      </w:r>
    </w:p>
  </w:footnote>
  <w:footnote w:id="15">
    <w:p w:rsidR="00D312A9" w:rsidP="00D312A9" w14:paraId="00C29DD9" w14:textId="5C91CFC5">
      <w:pPr>
        <w:pStyle w:val="FootnoteText"/>
      </w:pPr>
      <w:r>
        <w:rPr>
          <w:rStyle w:val="FootnoteReference"/>
        </w:rPr>
        <w:footnoteRef/>
      </w:r>
      <w:r>
        <w:t xml:space="preserve"> </w:t>
      </w:r>
      <w:r w:rsidRPr="00381B79">
        <w:rPr>
          <w:i/>
        </w:rPr>
        <w:t>See</w:t>
      </w:r>
      <w:r>
        <w:t xml:space="preserve"> </w:t>
      </w:r>
      <w:r w:rsidRPr="00351893" w:rsidR="00351893">
        <w:rPr>
          <w:i/>
          <w:iCs/>
        </w:rPr>
        <w:t>Requirements for Oppositions and Replies Regarding Application for Review in Mobility Fund Phase II Proceeding</w:t>
      </w:r>
      <w:r w:rsidR="00351893">
        <w:t>, Public Notice, 33 FCC Rcd 6263, 6264 (ASAD/WTB 2018)</w:t>
      </w:r>
      <w:r w:rsidR="00324D52">
        <w:t xml:space="preserve">; </w:t>
      </w:r>
      <w:r>
        <w:rPr>
          <w:i/>
        </w:rPr>
        <w:t xml:space="preserve">Requirements for Oppositions and Replies Regarding Application for Review in Mobility Fund Phase II Proceeding, </w:t>
      </w:r>
      <w:r>
        <w:t xml:space="preserve">Public Notice, </w:t>
      </w:r>
      <w:r w:rsidR="008C6777">
        <w:t>3</w:t>
      </w:r>
      <w:r w:rsidR="00336EA8">
        <w:t>3 FCC Rcd 3588</w:t>
      </w:r>
      <w:r>
        <w:t xml:space="preserve"> (WCB/WTB 2018); </w:t>
      </w:r>
      <w:r w:rsidRPr="00EC391C">
        <w:rPr>
          <w:i/>
        </w:rPr>
        <w:t>Wireless Telecommunications Bureau Establishes Filing Deadline for Oppositions to Applications for Review and Replies in Data Roaming Proceeding</w:t>
      </w:r>
      <w:r>
        <w:t xml:space="preserve">, Public Notice, 30 FCC Rcd 596, 596-97 (WTB 2015); </w:t>
      </w:r>
      <w:r w:rsidRPr="00381B79">
        <w:rPr>
          <w:i/>
        </w:rPr>
        <w:t>Petition of GCB Communications, Inc.</w:t>
      </w:r>
      <w:r>
        <w:t xml:space="preserve">, Order, 27 FCC Rcd 10951, 10951, para. 3 (WCB 2012); </w:t>
      </w:r>
      <w:r w:rsidRPr="00381B79">
        <w:rPr>
          <w:i/>
        </w:rPr>
        <w:t>The Spectrum and Competition Policy Division of the Wireless Telecommunications Bureau Grants the Motion for Extension of Time Filed by the National Park Service to File an Opposition to the Application for Review Filed by Wireless Network Properties, LLC Regarding a Proposed Tower in Chattanooga, Tennessee</w:t>
      </w:r>
      <w:r>
        <w:t>, Public Notice, 22 FCC Rcd 11960, 11960 (WTB 2007).</w:t>
      </w:r>
    </w:p>
  </w:footnote>
  <w:footnote w:id="16">
    <w:p w:rsidR="00D312A9" w:rsidP="00D312A9" w14:paraId="452E3325" w14:textId="77777777">
      <w:pPr>
        <w:pStyle w:val="FootnoteText"/>
      </w:pPr>
      <w:r>
        <w:rPr>
          <w:rStyle w:val="FootnoteReference"/>
        </w:rPr>
        <w:footnoteRef/>
      </w:r>
      <w:r>
        <w:t xml:space="preserve"> 47 CFR § 1.115(f).</w:t>
      </w:r>
    </w:p>
  </w:footnote>
  <w:footnote w:id="17">
    <w:p w:rsidR="00077A2E" w14:paraId="5F434B4C" w14:textId="391AD0BB">
      <w:pPr>
        <w:pStyle w:val="FootnoteText"/>
      </w:pPr>
      <w:r>
        <w:rPr>
          <w:rStyle w:val="FootnoteReference"/>
        </w:rPr>
        <w:footnoteRef/>
      </w:r>
      <w:r>
        <w:t xml:space="preserve"> To the extent </w:t>
      </w:r>
      <w:r w:rsidR="00F97388">
        <w:t xml:space="preserve">an </w:t>
      </w:r>
      <w:r w:rsidR="001C6BC0">
        <w:t>opposition or repl</w:t>
      </w:r>
      <w:r w:rsidR="00F97388">
        <w:t>y</w:t>
      </w:r>
      <w:r w:rsidR="001C6BC0">
        <w:t xml:space="preserve"> contain</w:t>
      </w:r>
      <w:r w:rsidR="00F97388">
        <w:t>s</w:t>
      </w:r>
      <w:r w:rsidR="001C6BC0">
        <w:t xml:space="preserve"> </w:t>
      </w:r>
      <w:r w:rsidR="00C40A41">
        <w:t xml:space="preserve">confidential or highly confidential </w:t>
      </w:r>
      <w:r w:rsidR="001C6BC0">
        <w:t>information</w:t>
      </w:r>
      <w:r w:rsidR="00E901DF">
        <w:t xml:space="preserve">, paragraph </w:t>
      </w:r>
      <w:r w:rsidR="008909C0">
        <w:t xml:space="preserve">5 of </w:t>
      </w:r>
      <w:r w:rsidR="001C6BC0">
        <w:t>the protective order</w:t>
      </w:r>
      <w:r w:rsidR="008909C0">
        <w:t xml:space="preserve"> </w:t>
      </w:r>
      <w:r w:rsidR="001E155A">
        <w:t xml:space="preserve">sets forth </w:t>
      </w:r>
      <w:r w:rsidR="00590FBE">
        <w:t xml:space="preserve">specific procedures for the submission of </w:t>
      </w:r>
      <w:r w:rsidR="001E155A">
        <w:t xml:space="preserve">the </w:t>
      </w:r>
      <w:r w:rsidR="00467480">
        <w:t xml:space="preserve">document </w:t>
      </w:r>
      <w:r w:rsidR="00587E5A">
        <w:t>t</w:t>
      </w:r>
      <w:r w:rsidR="00467480">
        <w:t xml:space="preserve">o the Commission.  </w:t>
      </w:r>
      <w:r w:rsidR="005D0961">
        <w:t xml:space="preserve"> </w:t>
      </w:r>
      <w:r w:rsidR="001C6BC0">
        <w:t xml:space="preserve"> </w:t>
      </w:r>
    </w:p>
  </w:footnote>
  <w:footnote w:id="18">
    <w:p w:rsidR="00D312A9" w:rsidP="00D312A9" w14:paraId="7C44532B" w14:textId="77777777">
      <w:pPr>
        <w:pStyle w:val="FootnoteText"/>
      </w:pPr>
      <w:r>
        <w:rPr>
          <w:rStyle w:val="FootnoteReference"/>
        </w:rPr>
        <w:footnoteRef/>
      </w:r>
      <w:r>
        <w:t xml:space="preserve"> 47 U.S.C. § 154(i), (j).</w:t>
      </w:r>
    </w:p>
  </w:footnote>
  <w:footnote w:id="19">
    <w:p w:rsidR="00D312A9" w:rsidP="00D312A9" w14:paraId="643785DD" w14:textId="1EC0FD1D">
      <w:pPr>
        <w:pStyle w:val="FootnoteText"/>
      </w:pPr>
      <w:r>
        <w:rPr>
          <w:rStyle w:val="FootnoteReference"/>
        </w:rPr>
        <w:footnoteRef/>
      </w:r>
      <w:r>
        <w:t xml:space="preserve"> 47 CFR §§ </w:t>
      </w:r>
      <w:r w:rsidR="00652524">
        <w:t xml:space="preserve">0.21(m), </w:t>
      </w:r>
      <w:r>
        <w:t>0.91(b), 0.</w:t>
      </w:r>
      <w:r w:rsidR="00652524">
        <w:t>271</w:t>
      </w:r>
      <w:r>
        <w:t>, 0.291, 1.3, 1.46.</w:t>
      </w:r>
    </w:p>
  </w:footnote>
  <w:footnote w:id="20">
    <w:p w:rsidR="00D312A9" w:rsidRPr="00982D25" w:rsidP="00D312A9" w14:paraId="41176932" w14:textId="1CE0AE1B">
      <w:pPr>
        <w:autoSpaceDE w:val="0"/>
        <w:autoSpaceDN w:val="0"/>
        <w:adjustRightInd w:val="0"/>
        <w:spacing w:after="120"/>
        <w:rPr>
          <w:sz w:val="20"/>
        </w:rPr>
      </w:pPr>
      <w:r w:rsidRPr="00982D25">
        <w:rPr>
          <w:rStyle w:val="FootnoteReference"/>
        </w:rPr>
        <w:footnoteRef/>
      </w:r>
      <w:r w:rsidRPr="00982D25">
        <w:rPr>
          <w:sz w:val="20"/>
        </w:rPr>
        <w:t xml:space="preserve"> 47 CFR §§ 1.1200(a), 1.1206.</w:t>
      </w:r>
    </w:p>
  </w:footnote>
  <w:footnote w:id="21">
    <w:p w:rsidR="007B05A9" w:rsidRPr="00085964" w:rsidP="007B05A9" w14:paraId="740C3911" w14:textId="77777777">
      <w:pPr>
        <w:pStyle w:val="FootnoteText"/>
      </w:pPr>
      <w:r w:rsidRPr="00085964">
        <w:rPr>
          <w:rStyle w:val="FootnoteReference"/>
        </w:rPr>
        <w:footnoteRef/>
      </w:r>
      <w:r w:rsidRPr="00085964">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85964">
        <w:rPr>
          <w:i/>
          <w:iCs/>
        </w:rPr>
        <w:t>See FCC Announces Closure of FCC Headquarters Open Window and Change in Hand-Delivery Filing</w:t>
      </w:r>
      <w:r w:rsidRPr="00085964">
        <w:t xml:space="preserve">, Public Notice, DA 20-304 (rel. Mar. 19, 2020), </w:t>
      </w:r>
      <w:hyperlink r:id="rId1" w:history="1">
        <w:r w:rsidRPr="00085964">
          <w:rPr>
            <w:rStyle w:val="Hyperlink"/>
          </w:rPr>
          <w:t>https://www.fcc.gov/document/fcc-closes-headquarters-open-window-and-changes-hand-delivery-policy</w:t>
        </w:r>
      </w:hyperlink>
      <w:r w:rsidRPr="000859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3EDA52" w14:textId="57599489">
    <w:pPr>
      <w:tabs>
        <w:tab w:val="center" w:pos="4680"/>
        <w:tab w:val="right" w:pos="9360"/>
      </w:tabs>
    </w:pPr>
    <w:r w:rsidRPr="009838BC">
      <w:rPr>
        <w:b/>
      </w:rPr>
      <w:tab/>
      <w:t>Federal Communications Commission</w:t>
    </w:r>
    <w:r w:rsidRPr="009838BC">
      <w:rPr>
        <w:b/>
      </w:rPr>
      <w:tab/>
    </w:r>
    <w:r w:rsidR="002D6308">
      <w:rPr>
        <w:b/>
      </w:rPr>
      <w:t>DA 21-</w:t>
    </w:r>
    <w:r w:rsidR="00095EE2">
      <w:rPr>
        <w:b/>
      </w:rPr>
      <w:t>624</w:t>
    </w:r>
  </w:p>
  <w:p w:rsidR="009838BC" w:rsidRPr="009838BC" w:rsidP="009838BC" w14:paraId="714A6B6E" w14:textId="16DA755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F084D8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9FDBE34" w14:textId="76AA856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11D7DFD" w14:textId="77777777">
                    <w:pPr>
                      <w:rPr>
                        <w:rFonts w:ascii="Arial" w:hAnsi="Arial"/>
                        <w:b/>
                        <w:snapToGrid/>
                      </w:rPr>
                    </w:pPr>
                    <w:r>
                      <w:rPr>
                        <w:rFonts w:ascii="Arial" w:hAnsi="Arial"/>
                        <w:b/>
                      </w:rPr>
                      <w:t>Federal Communications Commission</w:t>
                    </w:r>
                  </w:p>
                  <w:p w:rsidR="00DE0AB8" w:rsidP="00DE0AB8" w14:paraId="23771B98" w14:textId="77777777">
                    <w:pPr>
                      <w:rPr>
                        <w:rFonts w:ascii="Arial" w:hAnsi="Arial"/>
                        <w:b/>
                      </w:rPr>
                    </w:pPr>
                    <w:r>
                      <w:rPr>
                        <w:rFonts w:ascii="Arial" w:hAnsi="Arial"/>
                        <w:b/>
                      </w:rPr>
                      <w:t>45 L Street NE</w:t>
                    </w:r>
                  </w:p>
                  <w:p w:rsidR="009838BC" w:rsidP="00DE0AB8" w14:paraId="2B6A510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1DD8822" w:rsidR="01DD8822">
      <w:rPr>
        <w:rFonts w:ascii="Arial" w:hAnsi="Arial" w:cs="Arial"/>
        <w:b/>
        <w:bCs/>
        <w:sz w:val="96"/>
        <w:szCs w:val="96"/>
      </w:rPr>
      <w:t>PUBLIC NOTICE</w:t>
    </w:r>
  </w:p>
  <w:p w:rsidR="009838BC" w:rsidRPr="00357D50" w:rsidP="009838BC" w14:paraId="7676AEEC" w14:textId="0D9E7622">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4" w:name="_Hlt233824"/>
                          <w:hyperlink r:id="rId2" w:history="1">
                            <w:r w:rsidRPr="00D216CD">
                              <w:rPr>
                                <w:rStyle w:val="Hyperlink"/>
                                <w:rFonts w:ascii="Arial" w:hAnsi="Arial"/>
                                <w:b/>
                                <w:sz w:val="16"/>
                              </w:rPr>
                              <w:t>h</w:t>
                            </w:r>
                            <w:bookmarkEnd w:id="3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1735CEB" w14:textId="77777777">
                    <w:pPr>
                      <w:spacing w:before="40"/>
                      <w:jc w:val="right"/>
                      <w:rPr>
                        <w:rFonts w:ascii="Arial" w:hAnsi="Arial"/>
                        <w:b/>
                        <w:sz w:val="16"/>
                      </w:rPr>
                    </w:pPr>
                    <w:r>
                      <w:rPr>
                        <w:rFonts w:ascii="Arial" w:hAnsi="Arial"/>
                        <w:b/>
                        <w:sz w:val="16"/>
                      </w:rPr>
                      <w:t>News Media Information 202 / 418-0500</w:t>
                    </w:r>
                  </w:p>
                  <w:p w:rsidR="009838BC" w:rsidP="009838BC" w14:paraId="11C06FF3" w14:textId="77777777">
                    <w:pPr>
                      <w:jc w:val="right"/>
                      <w:rPr>
                        <w:rFonts w:ascii="Arial" w:hAnsi="Arial"/>
                        <w:b/>
                        <w:sz w:val="16"/>
                      </w:rPr>
                    </w:pPr>
                    <w:r>
                      <w:rPr>
                        <w:rFonts w:ascii="Arial" w:hAnsi="Arial"/>
                        <w:b/>
                        <w:sz w:val="16"/>
                      </w:rPr>
                      <w:t xml:space="preserve">Internet: </w:t>
                    </w:r>
                    <w:bookmarkStart w:id="34" w:name="_Hlt233824"/>
                    <w:hyperlink r:id="rId2" w:history="1">
                      <w:r w:rsidRPr="00D216CD">
                        <w:rPr>
                          <w:rStyle w:val="Hyperlink"/>
                          <w:rFonts w:ascii="Arial" w:hAnsi="Arial"/>
                          <w:b/>
                          <w:sz w:val="16"/>
                        </w:rPr>
                        <w:t>h</w:t>
                      </w:r>
                      <w:bookmarkEnd w:id="34"/>
                      <w:r w:rsidRPr="00D216CD">
                        <w:rPr>
                          <w:rStyle w:val="Hyperlink"/>
                          <w:rFonts w:ascii="Arial" w:hAnsi="Arial"/>
                          <w:b/>
                          <w:sz w:val="16"/>
                        </w:rPr>
                        <w:t>ttps://www.fcc.gov</w:t>
                      </w:r>
                    </w:hyperlink>
                  </w:p>
                  <w:p w:rsidR="009838BC" w:rsidP="009838BC" w14:paraId="1E93892F" w14:textId="77777777">
                    <w:pPr>
                      <w:jc w:val="right"/>
                    </w:pPr>
                    <w:r>
                      <w:rPr>
                        <w:rFonts w:ascii="Arial" w:hAnsi="Arial"/>
                        <w:b/>
                        <w:sz w:val="16"/>
                      </w:rPr>
                      <w:t>TTY: 1-888-835-5322</w:t>
                    </w:r>
                  </w:p>
                </w:txbxContent>
              </v:textbox>
            </v:shape>
          </w:pict>
        </mc:Fallback>
      </mc:AlternateContent>
    </w:r>
  </w:p>
  <w:p w:rsidR="006F7393" w:rsidRPr="009838BC" w:rsidP="009838BC" w14:paraId="4221925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2B375E"/>
    <w:multiLevelType w:val="hybridMultilevel"/>
    <w:tmpl w:val="A140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AC"/>
    <w:rsid w:val="000072CE"/>
    <w:rsid w:val="00013A8B"/>
    <w:rsid w:val="00014D65"/>
    <w:rsid w:val="00016699"/>
    <w:rsid w:val="0002011A"/>
    <w:rsid w:val="00021445"/>
    <w:rsid w:val="0002680B"/>
    <w:rsid w:val="000320D5"/>
    <w:rsid w:val="00036039"/>
    <w:rsid w:val="00036824"/>
    <w:rsid w:val="00037F90"/>
    <w:rsid w:val="0004279F"/>
    <w:rsid w:val="00044EEC"/>
    <w:rsid w:val="00047C8D"/>
    <w:rsid w:val="000500E1"/>
    <w:rsid w:val="00054539"/>
    <w:rsid w:val="0005536F"/>
    <w:rsid w:val="00062C79"/>
    <w:rsid w:val="00066E10"/>
    <w:rsid w:val="00075E99"/>
    <w:rsid w:val="00077A2E"/>
    <w:rsid w:val="000853FC"/>
    <w:rsid w:val="00085964"/>
    <w:rsid w:val="000875BF"/>
    <w:rsid w:val="000901AE"/>
    <w:rsid w:val="00091ED7"/>
    <w:rsid w:val="00095112"/>
    <w:rsid w:val="000955F1"/>
    <w:rsid w:val="0009594D"/>
    <w:rsid w:val="00095EE2"/>
    <w:rsid w:val="00096D8C"/>
    <w:rsid w:val="00096E52"/>
    <w:rsid w:val="000B0DA2"/>
    <w:rsid w:val="000B632C"/>
    <w:rsid w:val="000C0B65"/>
    <w:rsid w:val="000C13D9"/>
    <w:rsid w:val="000C1D0F"/>
    <w:rsid w:val="000C2633"/>
    <w:rsid w:val="000C680D"/>
    <w:rsid w:val="000D0BB5"/>
    <w:rsid w:val="000D103A"/>
    <w:rsid w:val="000D111F"/>
    <w:rsid w:val="000D28B7"/>
    <w:rsid w:val="000D3873"/>
    <w:rsid w:val="000D46F2"/>
    <w:rsid w:val="000E1260"/>
    <w:rsid w:val="000E22CD"/>
    <w:rsid w:val="000E2A28"/>
    <w:rsid w:val="000E3D42"/>
    <w:rsid w:val="000E5884"/>
    <w:rsid w:val="000F0615"/>
    <w:rsid w:val="000F0897"/>
    <w:rsid w:val="000F11A1"/>
    <w:rsid w:val="000F169B"/>
    <w:rsid w:val="000F4A63"/>
    <w:rsid w:val="000F4EA0"/>
    <w:rsid w:val="000F549F"/>
    <w:rsid w:val="000F7822"/>
    <w:rsid w:val="001039FF"/>
    <w:rsid w:val="00104733"/>
    <w:rsid w:val="00105FC3"/>
    <w:rsid w:val="001069CE"/>
    <w:rsid w:val="0010732F"/>
    <w:rsid w:val="001104EC"/>
    <w:rsid w:val="001200C5"/>
    <w:rsid w:val="001212E2"/>
    <w:rsid w:val="001212F4"/>
    <w:rsid w:val="001214F4"/>
    <w:rsid w:val="00122BD5"/>
    <w:rsid w:val="001237DE"/>
    <w:rsid w:val="00123CA0"/>
    <w:rsid w:val="00124D97"/>
    <w:rsid w:val="0012601F"/>
    <w:rsid w:val="0012777A"/>
    <w:rsid w:val="00127A8E"/>
    <w:rsid w:val="00127E43"/>
    <w:rsid w:val="0013142C"/>
    <w:rsid w:val="00132235"/>
    <w:rsid w:val="001337E7"/>
    <w:rsid w:val="00141E9B"/>
    <w:rsid w:val="001469FA"/>
    <w:rsid w:val="001524DB"/>
    <w:rsid w:val="00153B05"/>
    <w:rsid w:val="001556C8"/>
    <w:rsid w:val="00164EE0"/>
    <w:rsid w:val="00171B07"/>
    <w:rsid w:val="00172C71"/>
    <w:rsid w:val="0017512C"/>
    <w:rsid w:val="00187EEC"/>
    <w:rsid w:val="001979D9"/>
    <w:rsid w:val="001A12B3"/>
    <w:rsid w:val="001A753B"/>
    <w:rsid w:val="001B0395"/>
    <w:rsid w:val="001B1904"/>
    <w:rsid w:val="001B22A1"/>
    <w:rsid w:val="001B371B"/>
    <w:rsid w:val="001B71BE"/>
    <w:rsid w:val="001C3CE5"/>
    <w:rsid w:val="001C43FA"/>
    <w:rsid w:val="001C49EE"/>
    <w:rsid w:val="001C4E72"/>
    <w:rsid w:val="001C6BC0"/>
    <w:rsid w:val="001C707E"/>
    <w:rsid w:val="001D2193"/>
    <w:rsid w:val="001D2F42"/>
    <w:rsid w:val="001D32A4"/>
    <w:rsid w:val="001D6BCF"/>
    <w:rsid w:val="001E01CA"/>
    <w:rsid w:val="001E155A"/>
    <w:rsid w:val="001E32A0"/>
    <w:rsid w:val="001E3560"/>
    <w:rsid w:val="001F53F6"/>
    <w:rsid w:val="001F62A1"/>
    <w:rsid w:val="001F69C9"/>
    <w:rsid w:val="00200141"/>
    <w:rsid w:val="002022D8"/>
    <w:rsid w:val="002060D9"/>
    <w:rsid w:val="002074BA"/>
    <w:rsid w:val="0021560D"/>
    <w:rsid w:val="002206BA"/>
    <w:rsid w:val="00221030"/>
    <w:rsid w:val="00226822"/>
    <w:rsid w:val="00226B60"/>
    <w:rsid w:val="00233EAF"/>
    <w:rsid w:val="002463F1"/>
    <w:rsid w:val="00247BB4"/>
    <w:rsid w:val="00247C39"/>
    <w:rsid w:val="00251733"/>
    <w:rsid w:val="00251EAE"/>
    <w:rsid w:val="002541C2"/>
    <w:rsid w:val="002563CB"/>
    <w:rsid w:val="00257681"/>
    <w:rsid w:val="00260594"/>
    <w:rsid w:val="002636C1"/>
    <w:rsid w:val="00264FAD"/>
    <w:rsid w:val="002667F6"/>
    <w:rsid w:val="00267BA5"/>
    <w:rsid w:val="002707CD"/>
    <w:rsid w:val="00271D29"/>
    <w:rsid w:val="002760D8"/>
    <w:rsid w:val="00285017"/>
    <w:rsid w:val="00290512"/>
    <w:rsid w:val="00294B55"/>
    <w:rsid w:val="00295F02"/>
    <w:rsid w:val="002A1B33"/>
    <w:rsid w:val="002A247B"/>
    <w:rsid w:val="002A2D2E"/>
    <w:rsid w:val="002A5442"/>
    <w:rsid w:val="002A7240"/>
    <w:rsid w:val="002C47E4"/>
    <w:rsid w:val="002D6308"/>
    <w:rsid w:val="002E0868"/>
    <w:rsid w:val="002E37AA"/>
    <w:rsid w:val="002E460D"/>
    <w:rsid w:val="002F1130"/>
    <w:rsid w:val="002F3BFC"/>
    <w:rsid w:val="002F645C"/>
    <w:rsid w:val="002F6900"/>
    <w:rsid w:val="00300F42"/>
    <w:rsid w:val="0031096A"/>
    <w:rsid w:val="00310C9E"/>
    <w:rsid w:val="00316313"/>
    <w:rsid w:val="00323C7A"/>
    <w:rsid w:val="00324D52"/>
    <w:rsid w:val="003301FB"/>
    <w:rsid w:val="0033125D"/>
    <w:rsid w:val="00336AEF"/>
    <w:rsid w:val="00336EA8"/>
    <w:rsid w:val="00337535"/>
    <w:rsid w:val="00337EE8"/>
    <w:rsid w:val="00340679"/>
    <w:rsid w:val="003416E4"/>
    <w:rsid w:val="003427CF"/>
    <w:rsid w:val="00342BB7"/>
    <w:rsid w:val="00343749"/>
    <w:rsid w:val="00343E1D"/>
    <w:rsid w:val="00344C63"/>
    <w:rsid w:val="00351893"/>
    <w:rsid w:val="00357D50"/>
    <w:rsid w:val="003600E3"/>
    <w:rsid w:val="00371C83"/>
    <w:rsid w:val="00374BC2"/>
    <w:rsid w:val="00374E3A"/>
    <w:rsid w:val="00381B79"/>
    <w:rsid w:val="00385F59"/>
    <w:rsid w:val="00387440"/>
    <w:rsid w:val="003915CD"/>
    <w:rsid w:val="003925DC"/>
    <w:rsid w:val="00395271"/>
    <w:rsid w:val="003969E6"/>
    <w:rsid w:val="00396C94"/>
    <w:rsid w:val="003A00A4"/>
    <w:rsid w:val="003A0529"/>
    <w:rsid w:val="003A0E76"/>
    <w:rsid w:val="003A2909"/>
    <w:rsid w:val="003B0550"/>
    <w:rsid w:val="003B1237"/>
    <w:rsid w:val="003B1338"/>
    <w:rsid w:val="003B65C5"/>
    <w:rsid w:val="003B694F"/>
    <w:rsid w:val="003C566B"/>
    <w:rsid w:val="003C5D96"/>
    <w:rsid w:val="003C7ED5"/>
    <w:rsid w:val="003D227B"/>
    <w:rsid w:val="003D75C3"/>
    <w:rsid w:val="003E5712"/>
    <w:rsid w:val="003F0DEF"/>
    <w:rsid w:val="003F171C"/>
    <w:rsid w:val="003F7A08"/>
    <w:rsid w:val="00400D8B"/>
    <w:rsid w:val="004022D4"/>
    <w:rsid w:val="00402997"/>
    <w:rsid w:val="00403D91"/>
    <w:rsid w:val="00405239"/>
    <w:rsid w:val="00406350"/>
    <w:rsid w:val="0041054E"/>
    <w:rsid w:val="00412FC5"/>
    <w:rsid w:val="004200FC"/>
    <w:rsid w:val="00421DAC"/>
    <w:rsid w:val="00422276"/>
    <w:rsid w:val="004242F1"/>
    <w:rsid w:val="00433066"/>
    <w:rsid w:val="0043576D"/>
    <w:rsid w:val="00445A00"/>
    <w:rsid w:val="00451B0F"/>
    <w:rsid w:val="0045212B"/>
    <w:rsid w:val="00452F86"/>
    <w:rsid w:val="0046125F"/>
    <w:rsid w:val="00463C50"/>
    <w:rsid w:val="0046403C"/>
    <w:rsid w:val="004657CB"/>
    <w:rsid w:val="00467480"/>
    <w:rsid w:val="004719D4"/>
    <w:rsid w:val="0047296F"/>
    <w:rsid w:val="00475A94"/>
    <w:rsid w:val="0048588B"/>
    <w:rsid w:val="00487524"/>
    <w:rsid w:val="004902FF"/>
    <w:rsid w:val="0049240C"/>
    <w:rsid w:val="00492FB4"/>
    <w:rsid w:val="00496106"/>
    <w:rsid w:val="004A09A3"/>
    <w:rsid w:val="004A0EDE"/>
    <w:rsid w:val="004A20F4"/>
    <w:rsid w:val="004A6DB4"/>
    <w:rsid w:val="004B190D"/>
    <w:rsid w:val="004B33F1"/>
    <w:rsid w:val="004B7BC2"/>
    <w:rsid w:val="004C09C9"/>
    <w:rsid w:val="004C102D"/>
    <w:rsid w:val="004C12D0"/>
    <w:rsid w:val="004C2EE3"/>
    <w:rsid w:val="004C60B4"/>
    <w:rsid w:val="004C7A41"/>
    <w:rsid w:val="004C7EEC"/>
    <w:rsid w:val="004D0AF4"/>
    <w:rsid w:val="004D21F5"/>
    <w:rsid w:val="004D387B"/>
    <w:rsid w:val="004D62E9"/>
    <w:rsid w:val="004D6846"/>
    <w:rsid w:val="004D7DB9"/>
    <w:rsid w:val="004E0469"/>
    <w:rsid w:val="004E10B6"/>
    <w:rsid w:val="004E302C"/>
    <w:rsid w:val="004E4A22"/>
    <w:rsid w:val="004E68B3"/>
    <w:rsid w:val="00501D12"/>
    <w:rsid w:val="005025ED"/>
    <w:rsid w:val="00504B9F"/>
    <w:rsid w:val="00506817"/>
    <w:rsid w:val="00511968"/>
    <w:rsid w:val="0052148A"/>
    <w:rsid w:val="00523E1D"/>
    <w:rsid w:val="00526362"/>
    <w:rsid w:val="00530202"/>
    <w:rsid w:val="00531C8F"/>
    <w:rsid w:val="00532356"/>
    <w:rsid w:val="00545490"/>
    <w:rsid w:val="00546740"/>
    <w:rsid w:val="00553650"/>
    <w:rsid w:val="0055614C"/>
    <w:rsid w:val="00561BD6"/>
    <w:rsid w:val="00562859"/>
    <w:rsid w:val="005651E4"/>
    <w:rsid w:val="00566033"/>
    <w:rsid w:val="00566830"/>
    <w:rsid w:val="00567F99"/>
    <w:rsid w:val="00573718"/>
    <w:rsid w:val="00574610"/>
    <w:rsid w:val="00576943"/>
    <w:rsid w:val="005821ED"/>
    <w:rsid w:val="0058659C"/>
    <w:rsid w:val="00586AD7"/>
    <w:rsid w:val="00587E5A"/>
    <w:rsid w:val="00590FBE"/>
    <w:rsid w:val="00591E44"/>
    <w:rsid w:val="005966FC"/>
    <w:rsid w:val="005967EA"/>
    <w:rsid w:val="005A043C"/>
    <w:rsid w:val="005A11A1"/>
    <w:rsid w:val="005A3533"/>
    <w:rsid w:val="005A35FA"/>
    <w:rsid w:val="005B1188"/>
    <w:rsid w:val="005B27A2"/>
    <w:rsid w:val="005B28BE"/>
    <w:rsid w:val="005B34C3"/>
    <w:rsid w:val="005B6616"/>
    <w:rsid w:val="005B6E38"/>
    <w:rsid w:val="005B7F77"/>
    <w:rsid w:val="005C36E8"/>
    <w:rsid w:val="005C3FF9"/>
    <w:rsid w:val="005C4064"/>
    <w:rsid w:val="005D0961"/>
    <w:rsid w:val="005D2F37"/>
    <w:rsid w:val="005D5141"/>
    <w:rsid w:val="005F0673"/>
    <w:rsid w:val="005F14FF"/>
    <w:rsid w:val="005F5E62"/>
    <w:rsid w:val="005F6497"/>
    <w:rsid w:val="00600EEC"/>
    <w:rsid w:val="006031A8"/>
    <w:rsid w:val="0060688F"/>
    <w:rsid w:val="00607BA5"/>
    <w:rsid w:val="00614227"/>
    <w:rsid w:val="00615537"/>
    <w:rsid w:val="006244CF"/>
    <w:rsid w:val="00625B8D"/>
    <w:rsid w:val="00626EB6"/>
    <w:rsid w:val="0063050A"/>
    <w:rsid w:val="006353A3"/>
    <w:rsid w:val="0064031D"/>
    <w:rsid w:val="00642E2C"/>
    <w:rsid w:val="0064533A"/>
    <w:rsid w:val="00645459"/>
    <w:rsid w:val="00645860"/>
    <w:rsid w:val="00645946"/>
    <w:rsid w:val="00652524"/>
    <w:rsid w:val="00655C77"/>
    <w:rsid w:val="00655D03"/>
    <w:rsid w:val="0066146D"/>
    <w:rsid w:val="00666C9E"/>
    <w:rsid w:val="0067198F"/>
    <w:rsid w:val="00675ED4"/>
    <w:rsid w:val="00683F84"/>
    <w:rsid w:val="006842AA"/>
    <w:rsid w:val="00693557"/>
    <w:rsid w:val="006A2B9A"/>
    <w:rsid w:val="006A6A81"/>
    <w:rsid w:val="006B2EB6"/>
    <w:rsid w:val="006B4321"/>
    <w:rsid w:val="006B450C"/>
    <w:rsid w:val="006B785D"/>
    <w:rsid w:val="006B7915"/>
    <w:rsid w:val="006C5FE3"/>
    <w:rsid w:val="006D0611"/>
    <w:rsid w:val="006D1656"/>
    <w:rsid w:val="006E002A"/>
    <w:rsid w:val="006E26AF"/>
    <w:rsid w:val="006E30B5"/>
    <w:rsid w:val="006F3AF2"/>
    <w:rsid w:val="006F647E"/>
    <w:rsid w:val="006F7393"/>
    <w:rsid w:val="007007F7"/>
    <w:rsid w:val="00702194"/>
    <w:rsid w:val="0070224F"/>
    <w:rsid w:val="007076D8"/>
    <w:rsid w:val="007115F7"/>
    <w:rsid w:val="00716C8D"/>
    <w:rsid w:val="007212C4"/>
    <w:rsid w:val="007217FD"/>
    <w:rsid w:val="00721EF8"/>
    <w:rsid w:val="0072296B"/>
    <w:rsid w:val="00726D52"/>
    <w:rsid w:val="00732029"/>
    <w:rsid w:val="00733937"/>
    <w:rsid w:val="007371AB"/>
    <w:rsid w:val="007404C7"/>
    <w:rsid w:val="00747E68"/>
    <w:rsid w:val="0075161B"/>
    <w:rsid w:val="00751CA9"/>
    <w:rsid w:val="00773225"/>
    <w:rsid w:val="007758B8"/>
    <w:rsid w:val="007778D5"/>
    <w:rsid w:val="00782F70"/>
    <w:rsid w:val="00782FBE"/>
    <w:rsid w:val="00785689"/>
    <w:rsid w:val="00786EC7"/>
    <w:rsid w:val="00792D51"/>
    <w:rsid w:val="0079307D"/>
    <w:rsid w:val="00793529"/>
    <w:rsid w:val="007943E6"/>
    <w:rsid w:val="00797531"/>
    <w:rsid w:val="0079754B"/>
    <w:rsid w:val="00797820"/>
    <w:rsid w:val="007A0862"/>
    <w:rsid w:val="007A1E6D"/>
    <w:rsid w:val="007A23B5"/>
    <w:rsid w:val="007A4A85"/>
    <w:rsid w:val="007B05A9"/>
    <w:rsid w:val="007B222B"/>
    <w:rsid w:val="007B5DCD"/>
    <w:rsid w:val="007C36F0"/>
    <w:rsid w:val="007C6CEF"/>
    <w:rsid w:val="007C788B"/>
    <w:rsid w:val="007D0CDE"/>
    <w:rsid w:val="007E44C0"/>
    <w:rsid w:val="007F596C"/>
    <w:rsid w:val="007F605F"/>
    <w:rsid w:val="007F75C6"/>
    <w:rsid w:val="00800BDA"/>
    <w:rsid w:val="00807166"/>
    <w:rsid w:val="00812EC7"/>
    <w:rsid w:val="00814EFD"/>
    <w:rsid w:val="00822CE0"/>
    <w:rsid w:val="00823A80"/>
    <w:rsid w:val="008241C4"/>
    <w:rsid w:val="00824BE7"/>
    <w:rsid w:val="00831A1D"/>
    <w:rsid w:val="00834428"/>
    <w:rsid w:val="00835478"/>
    <w:rsid w:val="00837C62"/>
    <w:rsid w:val="00841AB1"/>
    <w:rsid w:val="008432CC"/>
    <w:rsid w:val="00853000"/>
    <w:rsid w:val="00853440"/>
    <w:rsid w:val="00853C97"/>
    <w:rsid w:val="008731E9"/>
    <w:rsid w:val="00876C67"/>
    <w:rsid w:val="00877430"/>
    <w:rsid w:val="008804A1"/>
    <w:rsid w:val="008909C0"/>
    <w:rsid w:val="008A0086"/>
    <w:rsid w:val="008A0699"/>
    <w:rsid w:val="008B277E"/>
    <w:rsid w:val="008B2876"/>
    <w:rsid w:val="008B4269"/>
    <w:rsid w:val="008B640B"/>
    <w:rsid w:val="008B74A1"/>
    <w:rsid w:val="008B7737"/>
    <w:rsid w:val="008C22FD"/>
    <w:rsid w:val="008C3AB0"/>
    <w:rsid w:val="008C4754"/>
    <w:rsid w:val="008C6777"/>
    <w:rsid w:val="008C7BB0"/>
    <w:rsid w:val="008D0044"/>
    <w:rsid w:val="008D28E3"/>
    <w:rsid w:val="008D41F5"/>
    <w:rsid w:val="008D4A65"/>
    <w:rsid w:val="008E1A7F"/>
    <w:rsid w:val="008E2620"/>
    <w:rsid w:val="008E35B9"/>
    <w:rsid w:val="008E4A1A"/>
    <w:rsid w:val="008E51F1"/>
    <w:rsid w:val="008E5AFA"/>
    <w:rsid w:val="008E6551"/>
    <w:rsid w:val="008F59F2"/>
    <w:rsid w:val="00907C6F"/>
    <w:rsid w:val="00910F12"/>
    <w:rsid w:val="00912D5C"/>
    <w:rsid w:val="009167F6"/>
    <w:rsid w:val="0092028F"/>
    <w:rsid w:val="009254E4"/>
    <w:rsid w:val="00926503"/>
    <w:rsid w:val="00926702"/>
    <w:rsid w:val="00926BD6"/>
    <w:rsid w:val="00930ECF"/>
    <w:rsid w:val="009348F8"/>
    <w:rsid w:val="00934A22"/>
    <w:rsid w:val="00952970"/>
    <w:rsid w:val="0095348D"/>
    <w:rsid w:val="00955D78"/>
    <w:rsid w:val="00956F49"/>
    <w:rsid w:val="00961265"/>
    <w:rsid w:val="00974465"/>
    <w:rsid w:val="009816D9"/>
    <w:rsid w:val="00982D25"/>
    <w:rsid w:val="009838BC"/>
    <w:rsid w:val="00983DF3"/>
    <w:rsid w:val="00985295"/>
    <w:rsid w:val="00994C5A"/>
    <w:rsid w:val="009950D7"/>
    <w:rsid w:val="009A72CA"/>
    <w:rsid w:val="009B64AE"/>
    <w:rsid w:val="009B660D"/>
    <w:rsid w:val="009C093A"/>
    <w:rsid w:val="009C1681"/>
    <w:rsid w:val="009C28E0"/>
    <w:rsid w:val="009C6361"/>
    <w:rsid w:val="009C6753"/>
    <w:rsid w:val="009D3927"/>
    <w:rsid w:val="009D64D2"/>
    <w:rsid w:val="009D72BF"/>
    <w:rsid w:val="009E20C5"/>
    <w:rsid w:val="009E376F"/>
    <w:rsid w:val="009F28C2"/>
    <w:rsid w:val="009F4F8C"/>
    <w:rsid w:val="009F509B"/>
    <w:rsid w:val="009F71A2"/>
    <w:rsid w:val="009F7326"/>
    <w:rsid w:val="00A0040D"/>
    <w:rsid w:val="00A020DE"/>
    <w:rsid w:val="00A04BB2"/>
    <w:rsid w:val="00A05A25"/>
    <w:rsid w:val="00A05E68"/>
    <w:rsid w:val="00A11650"/>
    <w:rsid w:val="00A116F2"/>
    <w:rsid w:val="00A12592"/>
    <w:rsid w:val="00A1491A"/>
    <w:rsid w:val="00A14F93"/>
    <w:rsid w:val="00A15D1A"/>
    <w:rsid w:val="00A17766"/>
    <w:rsid w:val="00A213C2"/>
    <w:rsid w:val="00A23B84"/>
    <w:rsid w:val="00A23D28"/>
    <w:rsid w:val="00A2473F"/>
    <w:rsid w:val="00A3226C"/>
    <w:rsid w:val="00A4360F"/>
    <w:rsid w:val="00A45F4F"/>
    <w:rsid w:val="00A52769"/>
    <w:rsid w:val="00A600A9"/>
    <w:rsid w:val="00A617B1"/>
    <w:rsid w:val="00A621CB"/>
    <w:rsid w:val="00A67ED9"/>
    <w:rsid w:val="00A7515F"/>
    <w:rsid w:val="00A80419"/>
    <w:rsid w:val="00A8086E"/>
    <w:rsid w:val="00A80BD6"/>
    <w:rsid w:val="00A83508"/>
    <w:rsid w:val="00A866AC"/>
    <w:rsid w:val="00A95C40"/>
    <w:rsid w:val="00AA55B7"/>
    <w:rsid w:val="00AA5B9E"/>
    <w:rsid w:val="00AB2407"/>
    <w:rsid w:val="00AB4FDD"/>
    <w:rsid w:val="00AB53DF"/>
    <w:rsid w:val="00AC1EE9"/>
    <w:rsid w:val="00AC438C"/>
    <w:rsid w:val="00AD50C6"/>
    <w:rsid w:val="00AE325E"/>
    <w:rsid w:val="00AE6073"/>
    <w:rsid w:val="00AE7A25"/>
    <w:rsid w:val="00AF1AD5"/>
    <w:rsid w:val="00AF6105"/>
    <w:rsid w:val="00B05B23"/>
    <w:rsid w:val="00B077F9"/>
    <w:rsid w:val="00B07E5C"/>
    <w:rsid w:val="00B12136"/>
    <w:rsid w:val="00B127E4"/>
    <w:rsid w:val="00B1338C"/>
    <w:rsid w:val="00B139F7"/>
    <w:rsid w:val="00B13A02"/>
    <w:rsid w:val="00B1691B"/>
    <w:rsid w:val="00B206A9"/>
    <w:rsid w:val="00B23E6D"/>
    <w:rsid w:val="00B27A2F"/>
    <w:rsid w:val="00B30389"/>
    <w:rsid w:val="00B326E3"/>
    <w:rsid w:val="00B34E8C"/>
    <w:rsid w:val="00B4327C"/>
    <w:rsid w:val="00B437F3"/>
    <w:rsid w:val="00B4424C"/>
    <w:rsid w:val="00B4440F"/>
    <w:rsid w:val="00B447A8"/>
    <w:rsid w:val="00B44CC8"/>
    <w:rsid w:val="00B65E4B"/>
    <w:rsid w:val="00B67EF7"/>
    <w:rsid w:val="00B72F7D"/>
    <w:rsid w:val="00B778E4"/>
    <w:rsid w:val="00B80D60"/>
    <w:rsid w:val="00B811F7"/>
    <w:rsid w:val="00B81FCC"/>
    <w:rsid w:val="00B843FA"/>
    <w:rsid w:val="00B8603F"/>
    <w:rsid w:val="00B91AD0"/>
    <w:rsid w:val="00BA5DC6"/>
    <w:rsid w:val="00BA6196"/>
    <w:rsid w:val="00BB1447"/>
    <w:rsid w:val="00BB59CC"/>
    <w:rsid w:val="00BB5F2F"/>
    <w:rsid w:val="00BB743A"/>
    <w:rsid w:val="00BC0F5D"/>
    <w:rsid w:val="00BC59AF"/>
    <w:rsid w:val="00BC6D8C"/>
    <w:rsid w:val="00BD0CB8"/>
    <w:rsid w:val="00BD622A"/>
    <w:rsid w:val="00BE3190"/>
    <w:rsid w:val="00BF186F"/>
    <w:rsid w:val="00BF276B"/>
    <w:rsid w:val="00BF6C1C"/>
    <w:rsid w:val="00BF7FA6"/>
    <w:rsid w:val="00C00835"/>
    <w:rsid w:val="00C06B21"/>
    <w:rsid w:val="00C07214"/>
    <w:rsid w:val="00C10E2B"/>
    <w:rsid w:val="00C1149D"/>
    <w:rsid w:val="00C134E0"/>
    <w:rsid w:val="00C14E42"/>
    <w:rsid w:val="00C16AF2"/>
    <w:rsid w:val="00C16C71"/>
    <w:rsid w:val="00C205CE"/>
    <w:rsid w:val="00C300E1"/>
    <w:rsid w:val="00C34006"/>
    <w:rsid w:val="00C37FB0"/>
    <w:rsid w:val="00C40A41"/>
    <w:rsid w:val="00C40C6D"/>
    <w:rsid w:val="00C4168E"/>
    <w:rsid w:val="00C426B1"/>
    <w:rsid w:val="00C43DFB"/>
    <w:rsid w:val="00C449DC"/>
    <w:rsid w:val="00C53D3D"/>
    <w:rsid w:val="00C561AC"/>
    <w:rsid w:val="00C6217F"/>
    <w:rsid w:val="00C62F18"/>
    <w:rsid w:val="00C63689"/>
    <w:rsid w:val="00C67B99"/>
    <w:rsid w:val="00C67C30"/>
    <w:rsid w:val="00C751F4"/>
    <w:rsid w:val="00C756CD"/>
    <w:rsid w:val="00C77F3B"/>
    <w:rsid w:val="00C81E51"/>
    <w:rsid w:val="00C82B6B"/>
    <w:rsid w:val="00C82C3C"/>
    <w:rsid w:val="00C83725"/>
    <w:rsid w:val="00C85F4F"/>
    <w:rsid w:val="00C90D6A"/>
    <w:rsid w:val="00C9333F"/>
    <w:rsid w:val="00C93340"/>
    <w:rsid w:val="00CA0D7B"/>
    <w:rsid w:val="00CA5F65"/>
    <w:rsid w:val="00CA7D75"/>
    <w:rsid w:val="00CB4793"/>
    <w:rsid w:val="00CB5884"/>
    <w:rsid w:val="00CB7A5E"/>
    <w:rsid w:val="00CC5510"/>
    <w:rsid w:val="00CC72B6"/>
    <w:rsid w:val="00CD0AFE"/>
    <w:rsid w:val="00CD1E0C"/>
    <w:rsid w:val="00CE3415"/>
    <w:rsid w:val="00CE4CE7"/>
    <w:rsid w:val="00CF282E"/>
    <w:rsid w:val="00CF4FC4"/>
    <w:rsid w:val="00D0218D"/>
    <w:rsid w:val="00D04284"/>
    <w:rsid w:val="00D0610C"/>
    <w:rsid w:val="00D06E82"/>
    <w:rsid w:val="00D14748"/>
    <w:rsid w:val="00D2095D"/>
    <w:rsid w:val="00D216CD"/>
    <w:rsid w:val="00D21DD9"/>
    <w:rsid w:val="00D2516A"/>
    <w:rsid w:val="00D312A9"/>
    <w:rsid w:val="00D37496"/>
    <w:rsid w:val="00D4239F"/>
    <w:rsid w:val="00D52983"/>
    <w:rsid w:val="00D55552"/>
    <w:rsid w:val="00D57F2E"/>
    <w:rsid w:val="00D62A1B"/>
    <w:rsid w:val="00D64BEC"/>
    <w:rsid w:val="00D67DFD"/>
    <w:rsid w:val="00D703A9"/>
    <w:rsid w:val="00D72501"/>
    <w:rsid w:val="00D7275B"/>
    <w:rsid w:val="00D73F0E"/>
    <w:rsid w:val="00D92DEC"/>
    <w:rsid w:val="00D94659"/>
    <w:rsid w:val="00DA0921"/>
    <w:rsid w:val="00DA2529"/>
    <w:rsid w:val="00DA38EA"/>
    <w:rsid w:val="00DA41E7"/>
    <w:rsid w:val="00DA484F"/>
    <w:rsid w:val="00DB0828"/>
    <w:rsid w:val="00DB130A"/>
    <w:rsid w:val="00DB3B00"/>
    <w:rsid w:val="00DB3E37"/>
    <w:rsid w:val="00DB48F8"/>
    <w:rsid w:val="00DB5516"/>
    <w:rsid w:val="00DC10A1"/>
    <w:rsid w:val="00DC2B25"/>
    <w:rsid w:val="00DC5B48"/>
    <w:rsid w:val="00DC655F"/>
    <w:rsid w:val="00DD2E77"/>
    <w:rsid w:val="00DD7EBD"/>
    <w:rsid w:val="00DE0AB8"/>
    <w:rsid w:val="00DE3BD8"/>
    <w:rsid w:val="00DE51AF"/>
    <w:rsid w:val="00DE6805"/>
    <w:rsid w:val="00DF4E71"/>
    <w:rsid w:val="00DF62B6"/>
    <w:rsid w:val="00E01122"/>
    <w:rsid w:val="00E01DD6"/>
    <w:rsid w:val="00E03CDE"/>
    <w:rsid w:val="00E07225"/>
    <w:rsid w:val="00E155B7"/>
    <w:rsid w:val="00E15785"/>
    <w:rsid w:val="00E15D61"/>
    <w:rsid w:val="00E2298D"/>
    <w:rsid w:val="00E22E30"/>
    <w:rsid w:val="00E23D04"/>
    <w:rsid w:val="00E25168"/>
    <w:rsid w:val="00E32386"/>
    <w:rsid w:val="00E37682"/>
    <w:rsid w:val="00E43C57"/>
    <w:rsid w:val="00E44EE3"/>
    <w:rsid w:val="00E455A2"/>
    <w:rsid w:val="00E4731A"/>
    <w:rsid w:val="00E4753F"/>
    <w:rsid w:val="00E52CDB"/>
    <w:rsid w:val="00E52EA9"/>
    <w:rsid w:val="00E5409F"/>
    <w:rsid w:val="00E54484"/>
    <w:rsid w:val="00E70D1C"/>
    <w:rsid w:val="00E70FF2"/>
    <w:rsid w:val="00E71C42"/>
    <w:rsid w:val="00E74665"/>
    <w:rsid w:val="00E83D84"/>
    <w:rsid w:val="00E86FBC"/>
    <w:rsid w:val="00E87845"/>
    <w:rsid w:val="00E901DF"/>
    <w:rsid w:val="00E90A37"/>
    <w:rsid w:val="00E9290E"/>
    <w:rsid w:val="00E92FE8"/>
    <w:rsid w:val="00E96631"/>
    <w:rsid w:val="00EA14CE"/>
    <w:rsid w:val="00EA37B9"/>
    <w:rsid w:val="00EA3C39"/>
    <w:rsid w:val="00EB141E"/>
    <w:rsid w:val="00EB69A9"/>
    <w:rsid w:val="00EC0185"/>
    <w:rsid w:val="00EC1AD3"/>
    <w:rsid w:val="00EC391C"/>
    <w:rsid w:val="00ED1512"/>
    <w:rsid w:val="00ED1C88"/>
    <w:rsid w:val="00ED2E7E"/>
    <w:rsid w:val="00EE0873"/>
    <w:rsid w:val="00EE3722"/>
    <w:rsid w:val="00EE7A07"/>
    <w:rsid w:val="00F021FA"/>
    <w:rsid w:val="00F05F42"/>
    <w:rsid w:val="00F17C9D"/>
    <w:rsid w:val="00F2120E"/>
    <w:rsid w:val="00F245FE"/>
    <w:rsid w:val="00F24729"/>
    <w:rsid w:val="00F31BB8"/>
    <w:rsid w:val="00F31E0F"/>
    <w:rsid w:val="00F32FAE"/>
    <w:rsid w:val="00F339A2"/>
    <w:rsid w:val="00F35547"/>
    <w:rsid w:val="00F46983"/>
    <w:rsid w:val="00F57ACA"/>
    <w:rsid w:val="00F62E97"/>
    <w:rsid w:val="00F64209"/>
    <w:rsid w:val="00F86E0D"/>
    <w:rsid w:val="00F879FE"/>
    <w:rsid w:val="00F92C81"/>
    <w:rsid w:val="00F93BF5"/>
    <w:rsid w:val="00F96F63"/>
    <w:rsid w:val="00F97388"/>
    <w:rsid w:val="00FA27FD"/>
    <w:rsid w:val="00FA507F"/>
    <w:rsid w:val="00FA53A2"/>
    <w:rsid w:val="00FA79C7"/>
    <w:rsid w:val="00FA7A7D"/>
    <w:rsid w:val="00FB2293"/>
    <w:rsid w:val="00FB2936"/>
    <w:rsid w:val="00FB4D55"/>
    <w:rsid w:val="00FB715C"/>
    <w:rsid w:val="00FC771A"/>
    <w:rsid w:val="00FE6BF3"/>
    <w:rsid w:val="00FF0D92"/>
    <w:rsid w:val="01DD8822"/>
    <w:rsid w:val="01F273DB"/>
    <w:rsid w:val="07A5FDAE"/>
    <w:rsid w:val="0D67E580"/>
    <w:rsid w:val="12039B21"/>
    <w:rsid w:val="15E4545E"/>
    <w:rsid w:val="22A54F4E"/>
    <w:rsid w:val="2B3E4A25"/>
    <w:rsid w:val="32D8C95A"/>
    <w:rsid w:val="3878C16A"/>
    <w:rsid w:val="42C6822E"/>
    <w:rsid w:val="4488E5F0"/>
    <w:rsid w:val="46789C5F"/>
    <w:rsid w:val="46ED6A72"/>
    <w:rsid w:val="47848A95"/>
    <w:rsid w:val="4EDEA567"/>
    <w:rsid w:val="61A80BBB"/>
    <w:rsid w:val="64848289"/>
    <w:rsid w:val="6E43F6D1"/>
    <w:rsid w:val="6F7ACCDD"/>
    <w:rsid w:val="72C78E05"/>
    <w:rsid w:val="783B891E"/>
    <w:rsid w:val="7A57F4A5"/>
    <w:rsid w:val="7D346B7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A83458E"/>
  <w15:chartTrackingRefBased/>
  <w15:docId w15:val="{E2373B59-D7A4-4E36-9D52-BFC32AAD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D312A9"/>
  </w:style>
  <w:style w:type="paragraph" w:customStyle="1" w:styleId="Default">
    <w:name w:val="Default"/>
    <w:rsid w:val="00D312A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64FAD"/>
    <w:rPr>
      <w:rFonts w:ascii="Segoe UI" w:hAnsi="Segoe UI" w:cs="Segoe UI"/>
      <w:sz w:val="18"/>
      <w:szCs w:val="18"/>
    </w:rPr>
  </w:style>
  <w:style w:type="character" w:customStyle="1" w:styleId="BalloonTextChar">
    <w:name w:val="Balloon Text Char"/>
    <w:link w:val="BalloonText"/>
    <w:uiPriority w:val="99"/>
    <w:semiHidden/>
    <w:rsid w:val="00264FAD"/>
    <w:rPr>
      <w:rFonts w:ascii="Segoe UI" w:hAnsi="Segoe UI" w:cs="Segoe UI"/>
      <w:snapToGrid w:val="0"/>
      <w:kern w:val="28"/>
      <w:sz w:val="18"/>
      <w:szCs w:val="18"/>
    </w:rPr>
  </w:style>
  <w:style w:type="character" w:styleId="CommentReference">
    <w:name w:val="annotation reference"/>
    <w:uiPriority w:val="99"/>
    <w:semiHidden/>
    <w:unhideWhenUsed/>
    <w:rsid w:val="007F75C6"/>
    <w:rPr>
      <w:sz w:val="16"/>
      <w:szCs w:val="16"/>
    </w:rPr>
  </w:style>
  <w:style w:type="paragraph" w:styleId="CommentText">
    <w:name w:val="annotation text"/>
    <w:basedOn w:val="Normal"/>
    <w:link w:val="CommentTextChar"/>
    <w:uiPriority w:val="99"/>
    <w:semiHidden/>
    <w:unhideWhenUsed/>
    <w:rsid w:val="007F75C6"/>
    <w:rPr>
      <w:sz w:val="20"/>
    </w:rPr>
  </w:style>
  <w:style w:type="character" w:customStyle="1" w:styleId="CommentTextChar">
    <w:name w:val="Comment Text Char"/>
    <w:link w:val="CommentText"/>
    <w:uiPriority w:val="99"/>
    <w:semiHidden/>
    <w:rsid w:val="007F75C6"/>
    <w:rPr>
      <w:snapToGrid w:val="0"/>
      <w:kern w:val="28"/>
    </w:rPr>
  </w:style>
  <w:style w:type="paragraph" w:styleId="CommentSubject">
    <w:name w:val="annotation subject"/>
    <w:basedOn w:val="CommentText"/>
    <w:next w:val="CommentText"/>
    <w:link w:val="CommentSubjectChar"/>
    <w:uiPriority w:val="99"/>
    <w:semiHidden/>
    <w:unhideWhenUsed/>
    <w:rsid w:val="007F75C6"/>
    <w:rPr>
      <w:b/>
      <w:bCs/>
    </w:rPr>
  </w:style>
  <w:style w:type="character" w:customStyle="1" w:styleId="CommentSubjectChar">
    <w:name w:val="Comment Subject Char"/>
    <w:link w:val="CommentSubject"/>
    <w:uiPriority w:val="99"/>
    <w:semiHidden/>
    <w:rsid w:val="007F75C6"/>
    <w:rPr>
      <w:b/>
      <w:bCs/>
      <w:snapToGrid w:val="0"/>
      <w:kern w:val="28"/>
    </w:rPr>
  </w:style>
  <w:style w:type="paragraph" w:styleId="Revision">
    <w:name w:val="Revision"/>
    <w:hidden/>
    <w:uiPriority w:val="99"/>
    <w:semiHidden/>
    <w:rsid w:val="007F75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