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7E757AC3" w14:textId="77777777">
      <w:pPr>
        <w:jc w:val="right"/>
        <w:rPr>
          <w:sz w:val="24"/>
        </w:rPr>
      </w:pPr>
      <w:r>
        <w:rPr>
          <w:sz w:val="24"/>
        </w:rPr>
        <w:t xml:space="preserve"> </w:t>
      </w:r>
      <w:r w:rsidR="007258A9">
        <w:rPr>
          <w:sz w:val="24"/>
        </w:rPr>
        <w:t xml:space="preserve"> </w:t>
      </w:r>
      <w:r w:rsidR="00BF6399">
        <w:rPr>
          <w:sz w:val="24"/>
        </w:rPr>
        <w:t xml:space="preserve"> </w:t>
      </w:r>
    </w:p>
    <w:p w:rsidR="00013A8B" w:rsidRPr="00920840" w:rsidP="00013A8B" w14:paraId="7BF37F20" w14:textId="5DF67B29">
      <w:pPr>
        <w:jc w:val="right"/>
        <w:rPr>
          <w:b/>
          <w:szCs w:val="22"/>
        </w:rPr>
      </w:pPr>
      <w:r w:rsidRPr="00920840">
        <w:rPr>
          <w:b/>
          <w:szCs w:val="22"/>
        </w:rPr>
        <w:t>DA 2</w:t>
      </w:r>
      <w:r w:rsidRPr="00920840" w:rsidR="008E4DA4">
        <w:rPr>
          <w:b/>
          <w:szCs w:val="22"/>
        </w:rPr>
        <w:t>1</w:t>
      </w:r>
      <w:r w:rsidRPr="00920840">
        <w:rPr>
          <w:b/>
          <w:szCs w:val="22"/>
        </w:rPr>
        <w:t>-</w:t>
      </w:r>
      <w:r w:rsidR="00DF079D">
        <w:rPr>
          <w:b/>
          <w:szCs w:val="22"/>
        </w:rPr>
        <w:t>634</w:t>
      </w:r>
    </w:p>
    <w:p w:rsidR="00013A8B" w:rsidRPr="00920840" w:rsidP="00013A8B" w14:paraId="4760EB3B" w14:textId="12884908">
      <w:pPr>
        <w:spacing w:before="60"/>
        <w:jc w:val="right"/>
        <w:rPr>
          <w:b/>
          <w:szCs w:val="22"/>
        </w:rPr>
      </w:pPr>
      <w:r w:rsidRPr="00920840">
        <w:rPr>
          <w:b/>
          <w:szCs w:val="22"/>
        </w:rPr>
        <w:t xml:space="preserve">Released:  </w:t>
      </w:r>
      <w:r w:rsidRPr="00920840" w:rsidR="00BE64E9">
        <w:rPr>
          <w:b/>
          <w:szCs w:val="22"/>
        </w:rPr>
        <w:t>Ma</w:t>
      </w:r>
      <w:r w:rsidRPr="00920840" w:rsidR="00114997">
        <w:rPr>
          <w:b/>
          <w:szCs w:val="22"/>
        </w:rPr>
        <w:t>y</w:t>
      </w:r>
      <w:r w:rsidRPr="00920840" w:rsidR="00BE64E9">
        <w:rPr>
          <w:b/>
          <w:szCs w:val="22"/>
        </w:rPr>
        <w:t xml:space="preserve"> </w:t>
      </w:r>
      <w:r w:rsidRPr="00920840" w:rsidR="00F95D07">
        <w:rPr>
          <w:b/>
          <w:szCs w:val="22"/>
        </w:rPr>
        <w:t>28</w:t>
      </w:r>
      <w:r w:rsidRPr="00920840" w:rsidR="00410007">
        <w:rPr>
          <w:b/>
          <w:szCs w:val="22"/>
        </w:rPr>
        <w:t>, 202</w:t>
      </w:r>
      <w:r w:rsidRPr="00920840" w:rsidR="008E4DA4">
        <w:rPr>
          <w:b/>
          <w:szCs w:val="22"/>
        </w:rPr>
        <w:t>1</w:t>
      </w:r>
    </w:p>
    <w:p w:rsidR="004643B2" w:rsidRPr="00920840" w:rsidP="00013A8B" w14:paraId="6C2D12F8" w14:textId="77777777">
      <w:pPr>
        <w:jc w:val="right"/>
        <w:rPr>
          <w:szCs w:val="22"/>
        </w:rPr>
      </w:pPr>
    </w:p>
    <w:p w:rsidR="00467F1D" w:rsidRPr="00920840" w:rsidP="00467F1D" w14:paraId="78EE5A30" w14:textId="6CDE054D">
      <w:pPr>
        <w:autoSpaceDE w:val="0"/>
        <w:autoSpaceDN w:val="0"/>
        <w:adjustRightInd w:val="0"/>
        <w:jc w:val="center"/>
        <w:rPr>
          <w:b/>
          <w:szCs w:val="22"/>
        </w:rPr>
      </w:pPr>
      <w:r w:rsidRPr="00920840">
        <w:rPr>
          <w:b/>
          <w:szCs w:val="22"/>
        </w:rPr>
        <w:t>APPLICATION</w:t>
      </w:r>
      <w:r w:rsidRPr="00920840" w:rsidR="00D94383">
        <w:rPr>
          <w:b/>
          <w:szCs w:val="22"/>
        </w:rPr>
        <w:t>S</w:t>
      </w:r>
      <w:r w:rsidRPr="00920840">
        <w:rPr>
          <w:b/>
          <w:szCs w:val="22"/>
        </w:rPr>
        <w:t xml:space="preserve"> GRANTED FOR THE TRANSFER OF CONTROL OF </w:t>
      </w:r>
      <w:r w:rsidRPr="00920840">
        <w:rPr>
          <w:b/>
          <w:bCs/>
          <w:szCs w:val="22"/>
        </w:rPr>
        <w:t>SUBSIDIARIES OF RADIATE HOLDINGS, L.P. TO STONEPEAK ASSOCIATES IV LLC</w:t>
      </w:r>
    </w:p>
    <w:p w:rsidR="00037E1A" w:rsidRPr="00920840" w:rsidP="00752E51" w14:paraId="351E921B" w14:textId="77777777">
      <w:pPr>
        <w:jc w:val="center"/>
        <w:rPr>
          <w:bCs/>
          <w:szCs w:val="22"/>
        </w:rPr>
      </w:pPr>
    </w:p>
    <w:p w:rsidR="00752E51" w:rsidRPr="00920840" w:rsidP="00752E51" w14:paraId="0E5AE60D" w14:textId="525229E8">
      <w:pPr>
        <w:jc w:val="center"/>
        <w:rPr>
          <w:bCs/>
          <w:szCs w:val="22"/>
        </w:rPr>
      </w:pPr>
      <w:r w:rsidRPr="00920840">
        <w:rPr>
          <w:bCs/>
          <w:szCs w:val="22"/>
        </w:rPr>
        <w:t>WC Docket</w:t>
      </w:r>
      <w:r w:rsidRPr="00920840" w:rsidR="00A94AB3">
        <w:rPr>
          <w:bCs/>
          <w:szCs w:val="22"/>
        </w:rPr>
        <w:t xml:space="preserve"> </w:t>
      </w:r>
      <w:r w:rsidRPr="00920840">
        <w:rPr>
          <w:bCs/>
          <w:szCs w:val="22"/>
        </w:rPr>
        <w:t>No</w:t>
      </w:r>
      <w:r w:rsidRPr="00920840" w:rsidR="00A108D1">
        <w:rPr>
          <w:bCs/>
          <w:szCs w:val="22"/>
        </w:rPr>
        <w:t>s</w:t>
      </w:r>
      <w:r w:rsidRPr="00920840">
        <w:rPr>
          <w:bCs/>
          <w:szCs w:val="22"/>
        </w:rPr>
        <w:t xml:space="preserve">. </w:t>
      </w:r>
      <w:r w:rsidRPr="00920840" w:rsidR="00A94AB3">
        <w:rPr>
          <w:bCs/>
          <w:szCs w:val="22"/>
        </w:rPr>
        <w:t>20-</w:t>
      </w:r>
      <w:r w:rsidRPr="00920840" w:rsidR="00975B7A">
        <w:rPr>
          <w:bCs/>
          <w:szCs w:val="22"/>
        </w:rPr>
        <w:t>4</w:t>
      </w:r>
      <w:r w:rsidRPr="00920840" w:rsidR="00A94AB3">
        <w:rPr>
          <w:bCs/>
          <w:szCs w:val="22"/>
        </w:rPr>
        <w:t>07</w:t>
      </w:r>
      <w:r w:rsidRPr="00920840" w:rsidR="00D96096">
        <w:rPr>
          <w:bCs/>
          <w:szCs w:val="22"/>
        </w:rPr>
        <w:t>,</w:t>
      </w:r>
      <w:r w:rsidRPr="00920840" w:rsidR="00A108D1">
        <w:rPr>
          <w:bCs/>
          <w:szCs w:val="22"/>
        </w:rPr>
        <w:t xml:space="preserve"> 21-122</w:t>
      </w:r>
    </w:p>
    <w:p w:rsidR="00752E51" w:rsidRPr="00920840" w:rsidP="00752E51" w14:paraId="50384402" w14:textId="77777777">
      <w:pPr>
        <w:jc w:val="center"/>
        <w:rPr>
          <w:b/>
          <w:szCs w:val="22"/>
        </w:rPr>
      </w:pPr>
    </w:p>
    <w:p w:rsidR="00037E1A" w:rsidRPr="00920840" w:rsidP="00037E1A" w14:paraId="26FF4CC4" w14:textId="77777777">
      <w:pPr>
        <w:autoSpaceDE w:val="0"/>
        <w:autoSpaceDN w:val="0"/>
        <w:adjustRightInd w:val="0"/>
        <w:ind w:firstLine="720"/>
        <w:rPr>
          <w:snapToGrid/>
          <w:kern w:val="0"/>
          <w:szCs w:val="22"/>
        </w:rPr>
      </w:pPr>
      <w:r w:rsidRPr="00920840">
        <w:rPr>
          <w:snapToGrid/>
          <w:kern w:val="0"/>
          <w:szCs w:val="22"/>
        </w:rPr>
        <w:t>By this Public Notice, the Wireline Competition Bureau and</w:t>
      </w:r>
      <w:r w:rsidRPr="00920840" w:rsidR="001A7626">
        <w:rPr>
          <w:snapToGrid/>
          <w:kern w:val="0"/>
          <w:szCs w:val="22"/>
        </w:rPr>
        <w:t xml:space="preserve"> the</w:t>
      </w:r>
      <w:r w:rsidRPr="00920840">
        <w:rPr>
          <w:snapToGrid/>
          <w:kern w:val="0"/>
          <w:szCs w:val="22"/>
        </w:rPr>
        <w:t xml:space="preserve"> International Bureau (together, Bureaus) </w:t>
      </w:r>
      <w:r w:rsidRPr="00920840" w:rsidR="003A02C8">
        <w:rPr>
          <w:snapToGrid/>
          <w:kern w:val="0"/>
          <w:szCs w:val="22"/>
        </w:rPr>
        <w:t xml:space="preserve">grant </w:t>
      </w:r>
      <w:r w:rsidRPr="00920840">
        <w:rPr>
          <w:snapToGrid/>
          <w:kern w:val="0"/>
          <w:szCs w:val="22"/>
        </w:rPr>
        <w:t>application</w:t>
      </w:r>
      <w:r w:rsidRPr="00920840" w:rsidR="0044306B">
        <w:rPr>
          <w:snapToGrid/>
          <w:kern w:val="0"/>
          <w:szCs w:val="22"/>
        </w:rPr>
        <w:t>s</w:t>
      </w:r>
      <w:r w:rsidRPr="00920840">
        <w:rPr>
          <w:snapToGrid/>
          <w:kern w:val="0"/>
          <w:szCs w:val="22"/>
        </w:rPr>
        <w:t xml:space="preserve"> filed by Radiate Holdings, L.P. (Radiate</w:t>
      </w:r>
      <w:r w:rsidRPr="00920840" w:rsidR="00485DB5">
        <w:rPr>
          <w:snapToGrid/>
          <w:kern w:val="0"/>
          <w:szCs w:val="22"/>
        </w:rPr>
        <w:t xml:space="preserve"> Holdings</w:t>
      </w:r>
      <w:r w:rsidRPr="00920840">
        <w:rPr>
          <w:snapToGrid/>
          <w:kern w:val="0"/>
          <w:szCs w:val="22"/>
        </w:rPr>
        <w:t xml:space="preserve">); RCN Telecom Services (Lehigh) LLC (RCN Lehigh); RCN Telecom Services of Philadelphia, LLC (RCN Philadelphia); RCN Telecom Services of New York, LP (RCN New York); RCN Telecom Services of Massachusetts, LLC (RCN Massachusetts); RCN Telecom Services of Illinois, LLC (RCN Illinois); Starpower Communications, LLC (Starpower, together with RCN Lehigh, RCN Philadelphia, RCN New York, RCN Massachusetts, and RCN Illinois, RCN); Grande Communications Networks, LLC (Grande); Astound Broadband LLC; Astound Phone Service, LLC (together with Astound Broadband LLC, Astound); ETS Telephone Company, Inc.; ETS Cablevision, Inc. (together, with ETS Telephone Company, Inc., En-Touch); </w:t>
      </w:r>
      <w:r w:rsidRPr="00920840" w:rsidR="00C666D3">
        <w:rPr>
          <w:szCs w:val="22"/>
        </w:rPr>
        <w:t xml:space="preserve">Digital West Networks, Inc. (Digital West), Norcast Communications Corporation (Norcast), and Blue Rooster Telecom, Inc. (Blue Rooster) (Digital West, Norcast, and Blue Rooster, together, the Digital West Companies) </w:t>
      </w:r>
      <w:r w:rsidRPr="00920840" w:rsidR="0044306B">
        <w:rPr>
          <w:snapToGrid/>
          <w:kern w:val="0"/>
          <w:szCs w:val="22"/>
        </w:rPr>
        <w:t>(all together, Authori</w:t>
      </w:r>
      <w:r w:rsidRPr="00920840" w:rsidR="00EE799A">
        <w:rPr>
          <w:snapToGrid/>
          <w:kern w:val="0"/>
          <w:szCs w:val="22"/>
        </w:rPr>
        <w:t xml:space="preserve">zation </w:t>
      </w:r>
      <w:r w:rsidRPr="00920840" w:rsidR="0044306B">
        <w:rPr>
          <w:snapToGrid/>
          <w:kern w:val="0"/>
          <w:szCs w:val="22"/>
        </w:rPr>
        <w:t xml:space="preserve">Holders) </w:t>
      </w:r>
      <w:r w:rsidRPr="00920840">
        <w:rPr>
          <w:snapToGrid/>
          <w:kern w:val="0"/>
          <w:szCs w:val="22"/>
        </w:rPr>
        <w:t>and Stonepeak Associates IV LLC (Stonepeak</w:t>
      </w:r>
      <w:r w:rsidRPr="00920840" w:rsidR="00307192">
        <w:rPr>
          <w:snapToGrid/>
          <w:kern w:val="0"/>
          <w:szCs w:val="22"/>
        </w:rPr>
        <w:t xml:space="preserve"> or Transferee</w:t>
      </w:r>
      <w:r w:rsidRPr="00920840">
        <w:rPr>
          <w:snapToGrid/>
          <w:kern w:val="0"/>
          <w:szCs w:val="22"/>
        </w:rPr>
        <w:t>) (collectively, Applicants), pursuant to section 214 of the Communications Act of 1934, as amended</w:t>
      </w:r>
      <w:r w:rsidRPr="00920840" w:rsidR="00307470">
        <w:rPr>
          <w:snapToGrid/>
          <w:kern w:val="0"/>
          <w:szCs w:val="22"/>
        </w:rPr>
        <w:t xml:space="preserve"> (Act)</w:t>
      </w:r>
      <w:r w:rsidRPr="00920840">
        <w:rPr>
          <w:snapToGrid/>
          <w:kern w:val="0"/>
          <w:szCs w:val="22"/>
        </w:rPr>
        <w:t>, and sections 63.03-04, 63.18, and 63.24 of the Commission’s rules</w:t>
      </w:r>
      <w:r>
        <w:rPr>
          <w:rStyle w:val="FootnoteReference"/>
          <w:snapToGrid/>
          <w:kern w:val="0"/>
          <w:szCs w:val="22"/>
        </w:rPr>
        <w:footnoteReference w:id="3"/>
      </w:r>
      <w:r w:rsidRPr="00920840" w:rsidR="004A68E9">
        <w:rPr>
          <w:snapToGrid/>
          <w:kern w:val="0"/>
          <w:szCs w:val="22"/>
        </w:rPr>
        <w:t xml:space="preserve"> to transfer control of the </w:t>
      </w:r>
      <w:r w:rsidRPr="00920840" w:rsidR="00EE799A">
        <w:rPr>
          <w:snapToGrid/>
          <w:kern w:val="0"/>
          <w:szCs w:val="22"/>
        </w:rPr>
        <w:t>Authorization Holders</w:t>
      </w:r>
      <w:r w:rsidRPr="00920840" w:rsidR="004A68E9">
        <w:rPr>
          <w:snapToGrid/>
          <w:kern w:val="0"/>
          <w:szCs w:val="22"/>
        </w:rPr>
        <w:t xml:space="preserve"> from Radiate </w:t>
      </w:r>
      <w:r w:rsidRPr="00920840" w:rsidR="00485DB5">
        <w:rPr>
          <w:snapToGrid/>
          <w:kern w:val="0"/>
          <w:szCs w:val="22"/>
        </w:rPr>
        <w:t xml:space="preserve">Holdings </w:t>
      </w:r>
      <w:r w:rsidRPr="00920840" w:rsidR="004A68E9">
        <w:rPr>
          <w:snapToGrid/>
          <w:kern w:val="0"/>
          <w:szCs w:val="22"/>
        </w:rPr>
        <w:t>to Stonepeak</w:t>
      </w:r>
      <w:r w:rsidRPr="00920840" w:rsidR="007331C4">
        <w:rPr>
          <w:snapToGrid/>
          <w:kern w:val="0"/>
          <w:szCs w:val="22"/>
        </w:rPr>
        <w:t xml:space="preserve"> (the Transaction)</w:t>
      </w:r>
      <w:r w:rsidRPr="00920840" w:rsidR="00FF0B01">
        <w:rPr>
          <w:snapToGrid/>
          <w:kern w:val="0"/>
          <w:szCs w:val="22"/>
        </w:rPr>
        <w:t>.</w:t>
      </w:r>
      <w:r>
        <w:rPr>
          <w:snapToGrid/>
          <w:kern w:val="0"/>
          <w:szCs w:val="22"/>
          <w:vertAlign w:val="superscript"/>
        </w:rPr>
        <w:footnoteReference w:id="4"/>
      </w:r>
    </w:p>
    <w:p w:rsidR="00755559" w:rsidRPr="00920840" w:rsidP="00037E1A" w14:paraId="71FD3361" w14:textId="45A35BA3">
      <w:pPr>
        <w:autoSpaceDE w:val="0"/>
        <w:autoSpaceDN w:val="0"/>
        <w:adjustRightInd w:val="0"/>
        <w:ind w:firstLine="720"/>
        <w:rPr>
          <w:snapToGrid/>
          <w:kern w:val="0"/>
          <w:szCs w:val="22"/>
        </w:rPr>
      </w:pPr>
      <w:r w:rsidRPr="00920840">
        <w:rPr>
          <w:snapToGrid/>
          <w:kern w:val="0"/>
          <w:szCs w:val="22"/>
        </w:rPr>
        <w:t xml:space="preserve">Radiate Holdings, a Delaware limited partnership, serves as the common parent entity for the </w:t>
      </w:r>
      <w:r w:rsidRPr="00920840" w:rsidR="00EE799A">
        <w:rPr>
          <w:snapToGrid/>
          <w:kern w:val="0"/>
          <w:szCs w:val="22"/>
        </w:rPr>
        <w:t>Authorization Holders</w:t>
      </w:r>
      <w:r w:rsidRPr="00920840">
        <w:rPr>
          <w:snapToGrid/>
          <w:kern w:val="0"/>
          <w:szCs w:val="22"/>
        </w:rPr>
        <w:t>.</w:t>
      </w:r>
      <w:r>
        <w:rPr>
          <w:snapToGrid/>
          <w:kern w:val="0"/>
          <w:szCs w:val="22"/>
          <w:vertAlign w:val="superscript"/>
        </w:rPr>
        <w:footnoteReference w:id="5"/>
      </w:r>
      <w:r w:rsidRPr="00920840">
        <w:rPr>
          <w:snapToGrid/>
          <w:kern w:val="0"/>
          <w:szCs w:val="22"/>
        </w:rPr>
        <w:t xml:space="preserve">  The </w:t>
      </w:r>
      <w:r w:rsidRPr="00920840" w:rsidR="00EE799A">
        <w:rPr>
          <w:snapToGrid/>
          <w:kern w:val="0"/>
          <w:szCs w:val="22"/>
        </w:rPr>
        <w:t>Authorization Holders</w:t>
      </w:r>
      <w:r w:rsidRPr="00920840">
        <w:rPr>
          <w:snapToGrid/>
          <w:kern w:val="0"/>
          <w:szCs w:val="22"/>
        </w:rPr>
        <w:t xml:space="preserve"> provide cable, competitive telecommunications, and broadband services to over one million customers in multiple states and the District of Columbia.</w:t>
      </w:r>
      <w:r>
        <w:rPr>
          <w:snapToGrid/>
          <w:kern w:val="0"/>
          <w:szCs w:val="22"/>
          <w:vertAlign w:val="superscript"/>
        </w:rPr>
        <w:footnoteReference w:id="6"/>
      </w:r>
      <w:r w:rsidRPr="00920840">
        <w:rPr>
          <w:snapToGrid/>
          <w:kern w:val="0"/>
          <w:szCs w:val="22"/>
        </w:rPr>
        <w:t xml:space="preserve">  Specifically, RCN Lehigh and RCN Philadelphia provide services in Pennsylvania; RCN New York provides services in New York and New Jersey; RCN Massachusetts provides services in Massachusetts; RCN Illinois provides services in Illinois; Starpower, which operates under the RCN name, provides services in the District of Columbia, Maryland, and Virginia; Grande and En-Touch provide services in Texas; and Astound provides services in California, Oregon, and Washington.</w:t>
      </w:r>
      <w:r>
        <w:rPr>
          <w:snapToGrid/>
          <w:kern w:val="0"/>
          <w:szCs w:val="22"/>
          <w:vertAlign w:val="superscript"/>
        </w:rPr>
        <w:footnoteReference w:id="7"/>
      </w:r>
      <w:r w:rsidRPr="00920840">
        <w:rPr>
          <w:snapToGrid/>
          <w:kern w:val="0"/>
          <w:szCs w:val="22"/>
        </w:rPr>
        <w:t xml:space="preserve">  </w:t>
      </w:r>
      <w:r w:rsidRPr="00920840">
        <w:rPr>
          <w:snapToGrid/>
          <w:kern w:val="0"/>
          <w:szCs w:val="22"/>
        </w:rPr>
        <w:t>On January 22, 2021, Radiate Holdings acquired the Digital West Companies, which provide telecommunications services and other services in California.</w:t>
      </w:r>
      <w:r>
        <w:rPr>
          <w:rStyle w:val="FootnoteReference"/>
          <w:snapToGrid/>
          <w:kern w:val="0"/>
          <w:szCs w:val="22"/>
        </w:rPr>
        <w:footnoteReference w:id="8"/>
      </w:r>
      <w:r w:rsidRPr="00920840">
        <w:rPr>
          <w:snapToGrid/>
          <w:kern w:val="0"/>
          <w:szCs w:val="22"/>
        </w:rPr>
        <w:t xml:space="preserve">  </w:t>
      </w:r>
    </w:p>
    <w:p w:rsidR="00755559" w:rsidRPr="00920840" w:rsidP="00A142EE" w14:paraId="19A8F432" w14:textId="77777777">
      <w:pPr>
        <w:autoSpaceDE w:val="0"/>
        <w:autoSpaceDN w:val="0"/>
        <w:adjustRightInd w:val="0"/>
        <w:ind w:firstLine="720"/>
        <w:rPr>
          <w:snapToGrid/>
          <w:kern w:val="0"/>
          <w:szCs w:val="22"/>
        </w:rPr>
      </w:pPr>
    </w:p>
    <w:p w:rsidR="00A142EE" w:rsidRPr="00920840" w:rsidP="00A142EE" w14:paraId="01ACE1A2" w14:textId="77777777">
      <w:pPr>
        <w:autoSpaceDE w:val="0"/>
        <w:autoSpaceDN w:val="0"/>
        <w:adjustRightInd w:val="0"/>
        <w:ind w:firstLine="720"/>
        <w:rPr>
          <w:snapToGrid/>
          <w:kern w:val="0"/>
          <w:szCs w:val="22"/>
        </w:rPr>
      </w:pPr>
      <w:r w:rsidRPr="00920840">
        <w:rPr>
          <w:snapToGrid/>
          <w:kern w:val="0"/>
          <w:szCs w:val="22"/>
        </w:rPr>
        <w:t>Radiate Holdings GP, LLC (Radiate GP), a Delaware partnership, is the general partner of Radiate</w:t>
      </w:r>
      <w:r w:rsidRPr="00920840" w:rsidR="00125DDD">
        <w:rPr>
          <w:snapToGrid/>
          <w:kern w:val="0"/>
          <w:szCs w:val="22"/>
        </w:rPr>
        <w:t xml:space="preserve"> Holdings</w:t>
      </w:r>
      <w:r w:rsidRPr="00920840">
        <w:rPr>
          <w:snapToGrid/>
          <w:kern w:val="0"/>
          <w:szCs w:val="22"/>
        </w:rPr>
        <w:t>.</w:t>
      </w:r>
      <w:r>
        <w:rPr>
          <w:rStyle w:val="FootnoteReference"/>
          <w:snapToGrid/>
          <w:kern w:val="0"/>
          <w:szCs w:val="22"/>
        </w:rPr>
        <w:footnoteReference w:id="9"/>
      </w:r>
      <w:r w:rsidRPr="00920840">
        <w:rPr>
          <w:snapToGrid/>
          <w:kern w:val="0"/>
          <w:szCs w:val="22"/>
        </w:rPr>
        <w:t xml:space="preserve">  The sole member of Radiate GP is TPG Advisors VII, Inc. (TPG Advisors), a Delaware investment fund owned and controlled by the principals of TPG Global, LLC (TPG), David Bonderman and James G. Coulter, both U.S. citizens.</w:t>
      </w:r>
      <w:r>
        <w:rPr>
          <w:rStyle w:val="FootnoteReference"/>
          <w:snapToGrid/>
          <w:kern w:val="0"/>
          <w:szCs w:val="22"/>
        </w:rPr>
        <w:footnoteReference w:id="10"/>
      </w:r>
    </w:p>
    <w:p w:rsidR="00CA6E78" w:rsidRPr="00920840" w:rsidP="00A142EE" w14:paraId="6058B18E" w14:textId="77777777">
      <w:pPr>
        <w:autoSpaceDE w:val="0"/>
        <w:autoSpaceDN w:val="0"/>
        <w:adjustRightInd w:val="0"/>
        <w:ind w:firstLine="720"/>
        <w:rPr>
          <w:szCs w:val="22"/>
        </w:rPr>
      </w:pPr>
      <w:r w:rsidRPr="00920840">
        <w:rPr>
          <w:snapToGrid/>
          <w:kern w:val="0"/>
          <w:szCs w:val="22"/>
        </w:rPr>
        <w:t xml:space="preserve">   </w:t>
      </w:r>
    </w:p>
    <w:p w:rsidR="00CA6E78" w:rsidRPr="00920840" w:rsidP="00CA6E78" w14:paraId="45A08D26" w14:textId="54BE7B68">
      <w:pPr>
        <w:widowControl/>
        <w:autoSpaceDE w:val="0"/>
        <w:autoSpaceDN w:val="0"/>
        <w:adjustRightInd w:val="0"/>
        <w:ind w:firstLine="720"/>
        <w:rPr>
          <w:snapToGrid/>
          <w:kern w:val="0"/>
          <w:szCs w:val="22"/>
        </w:rPr>
      </w:pPr>
      <w:r w:rsidRPr="00920840">
        <w:rPr>
          <w:snapToGrid/>
          <w:kern w:val="0"/>
          <w:szCs w:val="22"/>
        </w:rPr>
        <w:t>Stonepeak, a Delaware limited liability company, is affiliated with U.S.-based private equity funds managed by Stonepeak Infrastructure Partners (Stonepeak Partners), which owns ExteNet Systems, Inc. (ESI).</w:t>
      </w:r>
      <w:r>
        <w:rPr>
          <w:snapToGrid/>
          <w:kern w:val="0"/>
          <w:szCs w:val="22"/>
          <w:vertAlign w:val="superscript"/>
        </w:rPr>
        <w:footnoteReference w:id="11"/>
      </w:r>
      <w:r w:rsidRPr="00920840">
        <w:rPr>
          <w:snapToGrid/>
          <w:kern w:val="0"/>
          <w:szCs w:val="22"/>
        </w:rPr>
        <w:t xml:space="preserve">  ESI and its subsidiaries (ExteNet) own and operate networks used by wireless service providers in North America</w:t>
      </w:r>
      <w:r w:rsidRPr="00920840" w:rsidR="009A5698">
        <w:rPr>
          <w:snapToGrid/>
          <w:kern w:val="0"/>
          <w:szCs w:val="22"/>
        </w:rPr>
        <w:t xml:space="preserve"> and primarily provide wholesale telecommunications services</w:t>
      </w:r>
      <w:r w:rsidRPr="00920840">
        <w:rPr>
          <w:snapToGrid/>
          <w:kern w:val="0"/>
          <w:szCs w:val="22"/>
        </w:rPr>
        <w:t>.</w:t>
      </w:r>
      <w:r>
        <w:rPr>
          <w:snapToGrid/>
          <w:kern w:val="0"/>
          <w:szCs w:val="22"/>
          <w:vertAlign w:val="superscript"/>
        </w:rPr>
        <w:footnoteReference w:id="12"/>
      </w:r>
      <w:r w:rsidRPr="00920840">
        <w:rPr>
          <w:snapToGrid/>
          <w:kern w:val="0"/>
          <w:szCs w:val="22"/>
        </w:rPr>
        <w:t xml:space="preserve">  ExteNet </w:t>
      </w:r>
      <w:r w:rsidRPr="00920840">
        <w:rPr>
          <w:snapToGrid/>
          <w:kern w:val="0"/>
          <w:szCs w:val="22"/>
        </w:rPr>
        <w:t xml:space="preserve">holds authorizations to provide </w:t>
      </w:r>
      <w:r w:rsidRPr="00920840" w:rsidR="00EE799A">
        <w:rPr>
          <w:snapToGrid/>
          <w:kern w:val="0"/>
          <w:szCs w:val="22"/>
        </w:rPr>
        <w:t>telecommunications s</w:t>
      </w:r>
      <w:r w:rsidRPr="00920840">
        <w:rPr>
          <w:snapToGrid/>
          <w:kern w:val="0"/>
          <w:szCs w:val="22"/>
        </w:rPr>
        <w:t>ervices in the District of Columbia and every state except Alaska, Maine, North Dakota, Vermont, West Virginia, and Wyoming.</w:t>
      </w:r>
      <w:r>
        <w:rPr>
          <w:snapToGrid/>
          <w:kern w:val="0"/>
          <w:szCs w:val="22"/>
          <w:vertAlign w:val="superscript"/>
        </w:rPr>
        <w:footnoteReference w:id="13"/>
      </w:r>
      <w:r w:rsidRPr="00920840">
        <w:rPr>
          <w:snapToGrid/>
          <w:kern w:val="0"/>
          <w:szCs w:val="22"/>
        </w:rPr>
        <w:t xml:space="preserve">  Stonepeak is indirectly held and controlled by Michael Dorrell, a </w:t>
      </w:r>
      <w:r w:rsidRPr="00920840" w:rsidR="00BB1465">
        <w:rPr>
          <w:snapToGrid/>
          <w:kern w:val="0"/>
          <w:szCs w:val="22"/>
        </w:rPr>
        <w:t xml:space="preserve">dual </w:t>
      </w:r>
      <w:r w:rsidRPr="00920840">
        <w:rPr>
          <w:snapToGrid/>
          <w:kern w:val="0"/>
          <w:szCs w:val="22"/>
        </w:rPr>
        <w:t>citizen</w:t>
      </w:r>
      <w:r w:rsidRPr="00920840" w:rsidR="00BB1465">
        <w:rPr>
          <w:snapToGrid/>
          <w:kern w:val="0"/>
          <w:szCs w:val="22"/>
        </w:rPr>
        <w:t xml:space="preserve"> of the United States and Australia</w:t>
      </w:r>
      <w:r w:rsidRPr="00920840">
        <w:rPr>
          <w:snapToGrid/>
          <w:kern w:val="0"/>
          <w:szCs w:val="22"/>
        </w:rPr>
        <w:t>.</w:t>
      </w:r>
      <w:r>
        <w:rPr>
          <w:snapToGrid/>
          <w:kern w:val="0"/>
          <w:szCs w:val="22"/>
          <w:vertAlign w:val="superscript"/>
        </w:rPr>
        <w:footnoteReference w:id="14"/>
      </w:r>
      <w:r w:rsidRPr="00920840">
        <w:rPr>
          <w:snapToGrid/>
          <w:kern w:val="0"/>
          <w:szCs w:val="22"/>
        </w:rPr>
        <w:t xml:space="preserve">     </w:t>
      </w:r>
    </w:p>
    <w:p w:rsidR="00CA6E78" w:rsidRPr="00920840" w:rsidP="00CA6E78" w14:paraId="3B53BF40" w14:textId="77777777">
      <w:pPr>
        <w:widowControl/>
        <w:autoSpaceDE w:val="0"/>
        <w:autoSpaceDN w:val="0"/>
        <w:adjustRightInd w:val="0"/>
        <w:ind w:firstLine="720"/>
        <w:rPr>
          <w:snapToGrid/>
          <w:kern w:val="0"/>
          <w:szCs w:val="22"/>
        </w:rPr>
      </w:pPr>
    </w:p>
    <w:p w:rsidR="00CA6E78" w:rsidRPr="00920840" w:rsidP="00CA6E78" w14:paraId="16DCC8ED" w14:textId="539237A5">
      <w:pPr>
        <w:widowControl/>
        <w:autoSpaceDE w:val="0"/>
        <w:autoSpaceDN w:val="0"/>
        <w:adjustRightInd w:val="0"/>
        <w:ind w:firstLine="720"/>
        <w:rPr>
          <w:snapToGrid/>
          <w:kern w:val="0"/>
          <w:szCs w:val="22"/>
        </w:rPr>
      </w:pPr>
      <w:r w:rsidRPr="00920840">
        <w:rPr>
          <w:snapToGrid/>
          <w:kern w:val="0"/>
          <w:szCs w:val="22"/>
        </w:rPr>
        <w:t>According to the Applicants, p</w:t>
      </w:r>
      <w:r w:rsidRPr="00920840">
        <w:rPr>
          <w:snapToGrid/>
          <w:kern w:val="0"/>
          <w:szCs w:val="22"/>
        </w:rPr>
        <w:t xml:space="preserve">ursuant to the terms of the Agreement and Plan of Merger (Agreement), Applicants will undertake the proposed transaction through a set of substantially simultaneous mergers.  First, control of the </w:t>
      </w:r>
      <w:r w:rsidRPr="00920840" w:rsidR="00EE799A">
        <w:rPr>
          <w:snapToGrid/>
          <w:kern w:val="0"/>
          <w:szCs w:val="22"/>
        </w:rPr>
        <w:t>Authorization Holders</w:t>
      </w:r>
      <w:r w:rsidRPr="00920840">
        <w:rPr>
          <w:snapToGrid/>
          <w:kern w:val="0"/>
          <w:szCs w:val="22"/>
        </w:rPr>
        <w:t xml:space="preserve"> will continue to be exercised indirectly through Radiate GP, however, upon consummation of the proposed transaction, the sole member of Radiate GP will change from TPG Advisors to Stonepeak.</w:t>
      </w:r>
      <w:r>
        <w:rPr>
          <w:snapToGrid/>
          <w:kern w:val="0"/>
          <w:szCs w:val="22"/>
          <w:vertAlign w:val="superscript"/>
        </w:rPr>
        <w:footnoteReference w:id="15"/>
      </w:r>
      <w:r w:rsidRPr="00920840">
        <w:rPr>
          <w:snapToGrid/>
          <w:kern w:val="0"/>
          <w:szCs w:val="22"/>
        </w:rPr>
        <w:t xml:space="preserve">  Stonepeak will have the right to appoint a majority of the directors of the Radiate GP Board and will control Radiate GP and, in turn, the </w:t>
      </w:r>
      <w:r w:rsidRPr="00920840" w:rsidR="00EE799A">
        <w:rPr>
          <w:snapToGrid/>
          <w:kern w:val="0"/>
          <w:szCs w:val="22"/>
        </w:rPr>
        <w:t>Authorization Holders</w:t>
      </w:r>
      <w:r w:rsidRPr="00920840">
        <w:rPr>
          <w:snapToGrid/>
          <w:kern w:val="0"/>
          <w:szCs w:val="22"/>
        </w:rPr>
        <w:t>.</w:t>
      </w:r>
      <w:r>
        <w:rPr>
          <w:snapToGrid/>
          <w:kern w:val="0"/>
          <w:szCs w:val="22"/>
          <w:vertAlign w:val="superscript"/>
        </w:rPr>
        <w:footnoteReference w:id="16"/>
      </w:r>
      <w:r w:rsidRPr="00920840">
        <w:rPr>
          <w:snapToGrid/>
          <w:kern w:val="0"/>
          <w:szCs w:val="22"/>
        </w:rPr>
        <w:t xml:space="preserve">  Second, the current and indirect equity holders of Radiate Holdings will transfer their indirect interests in the </w:t>
      </w:r>
      <w:r w:rsidRPr="00920840" w:rsidR="00EE799A">
        <w:rPr>
          <w:snapToGrid/>
          <w:kern w:val="0"/>
          <w:szCs w:val="22"/>
        </w:rPr>
        <w:t>Authorization Holders</w:t>
      </w:r>
      <w:r w:rsidRPr="00920840">
        <w:rPr>
          <w:snapToGrid/>
          <w:kern w:val="0"/>
          <w:szCs w:val="22"/>
        </w:rPr>
        <w:t>, specifically, their limited partnership interests in Radiate Holdings, to two Stonepeak-affiliated entities:  Stonepeak Tiger Holdings I LLC, a Delaware limited liability company (Tiger Holdings I), and Stonepeak Tiger Holdings II Sub LLC, a Delaware limited liability company (Tiger Holdings II), which, together with Stonepeak, will be under the common indirect control of Michael Dorrell.</w:t>
      </w:r>
      <w:r>
        <w:rPr>
          <w:snapToGrid/>
          <w:kern w:val="0"/>
          <w:szCs w:val="22"/>
          <w:vertAlign w:val="superscript"/>
        </w:rPr>
        <w:footnoteReference w:id="17"/>
      </w:r>
      <w:r w:rsidRPr="00920840">
        <w:rPr>
          <w:snapToGrid/>
          <w:kern w:val="0"/>
          <w:szCs w:val="22"/>
        </w:rPr>
        <w:t xml:space="preserve">  </w:t>
      </w:r>
    </w:p>
    <w:p w:rsidR="00495DD2" w:rsidRPr="00920840" w:rsidP="00CA6E78" w14:paraId="2F14FB4C" w14:textId="77777777">
      <w:pPr>
        <w:widowControl/>
        <w:autoSpaceDE w:val="0"/>
        <w:autoSpaceDN w:val="0"/>
        <w:adjustRightInd w:val="0"/>
        <w:ind w:firstLine="720"/>
        <w:rPr>
          <w:snapToGrid/>
          <w:kern w:val="0"/>
          <w:szCs w:val="22"/>
        </w:rPr>
      </w:pPr>
    </w:p>
    <w:p w:rsidR="00495DD2" w:rsidRPr="00920840" w:rsidP="00495DD2" w14:paraId="52F96C39" w14:textId="283E9B79">
      <w:pPr>
        <w:widowControl/>
        <w:autoSpaceDE w:val="0"/>
        <w:autoSpaceDN w:val="0"/>
        <w:adjustRightInd w:val="0"/>
        <w:ind w:firstLine="720"/>
        <w:rPr>
          <w:snapToGrid/>
          <w:kern w:val="0"/>
          <w:szCs w:val="22"/>
        </w:rPr>
      </w:pPr>
      <w:r w:rsidRPr="00920840">
        <w:rPr>
          <w:bCs/>
          <w:szCs w:val="22"/>
        </w:rPr>
        <w:t xml:space="preserve">Applicants assert that a grant of the </w:t>
      </w:r>
      <w:r w:rsidRPr="00920840" w:rsidR="005D7116">
        <w:rPr>
          <w:bCs/>
          <w:szCs w:val="22"/>
        </w:rPr>
        <w:t>A</w:t>
      </w:r>
      <w:r w:rsidRPr="00920840">
        <w:rPr>
          <w:bCs/>
          <w:szCs w:val="22"/>
        </w:rPr>
        <w:t>pplication</w:t>
      </w:r>
      <w:r w:rsidRPr="00920840" w:rsidR="005D7116">
        <w:rPr>
          <w:bCs/>
          <w:szCs w:val="22"/>
        </w:rPr>
        <w:t>s</w:t>
      </w:r>
      <w:r w:rsidRPr="00920840">
        <w:rPr>
          <w:bCs/>
          <w:szCs w:val="22"/>
        </w:rPr>
        <w:t xml:space="preserve"> would serve the public interest, convenience, and necessity.</w:t>
      </w:r>
      <w:r>
        <w:rPr>
          <w:bCs/>
          <w:szCs w:val="22"/>
          <w:vertAlign w:val="superscript"/>
        </w:rPr>
        <w:footnoteReference w:id="18"/>
      </w:r>
      <w:r w:rsidRPr="00920840">
        <w:rPr>
          <w:bCs/>
          <w:szCs w:val="22"/>
        </w:rPr>
        <w:t xml:space="preserve">  They state that Stonepeak’s investment will allow the </w:t>
      </w:r>
      <w:r w:rsidRPr="00920840" w:rsidR="00EE799A">
        <w:rPr>
          <w:bCs/>
          <w:szCs w:val="22"/>
        </w:rPr>
        <w:t>Authorization Holders</w:t>
      </w:r>
      <w:r w:rsidRPr="00920840">
        <w:rPr>
          <w:bCs/>
          <w:szCs w:val="22"/>
        </w:rPr>
        <w:t xml:space="preserve"> to expand their network</w:t>
      </w:r>
      <w:r w:rsidRPr="00920840" w:rsidR="00156668">
        <w:rPr>
          <w:bCs/>
          <w:szCs w:val="22"/>
        </w:rPr>
        <w:t>s</w:t>
      </w:r>
      <w:r w:rsidRPr="00920840">
        <w:rPr>
          <w:bCs/>
          <w:szCs w:val="22"/>
        </w:rPr>
        <w:t xml:space="preserve"> and services while continuing to serve existing customers under the same rates, terms, and conditions.</w:t>
      </w:r>
      <w:r>
        <w:rPr>
          <w:bCs/>
          <w:szCs w:val="22"/>
          <w:vertAlign w:val="superscript"/>
        </w:rPr>
        <w:footnoteReference w:id="19"/>
      </w:r>
      <w:r w:rsidRPr="00920840">
        <w:rPr>
          <w:bCs/>
          <w:szCs w:val="22"/>
        </w:rPr>
        <w:t xml:space="preserve">  According to Applicants, the proposed transaction will not adversely affect telecommunications competition in any domestic or U.S. international market.</w:t>
      </w:r>
      <w:r>
        <w:rPr>
          <w:bCs/>
          <w:szCs w:val="22"/>
          <w:vertAlign w:val="superscript"/>
        </w:rPr>
        <w:footnoteReference w:id="20"/>
      </w:r>
    </w:p>
    <w:p w:rsidR="00CA6E78" w:rsidRPr="00920840" w:rsidP="0070463E" w14:paraId="45B9A9D6" w14:textId="77777777">
      <w:pPr>
        <w:autoSpaceDE w:val="0"/>
        <w:autoSpaceDN w:val="0"/>
        <w:adjustRightInd w:val="0"/>
        <w:rPr>
          <w:szCs w:val="22"/>
        </w:rPr>
      </w:pPr>
    </w:p>
    <w:p w:rsidR="0070463E" w:rsidRPr="00920840" w:rsidP="0070463E" w14:paraId="7EB55C7E" w14:textId="77777777">
      <w:pPr>
        <w:widowControl/>
        <w:spacing w:after="120"/>
        <w:rPr>
          <w:b/>
          <w:szCs w:val="22"/>
          <w:u w:val="single"/>
        </w:rPr>
      </w:pPr>
      <w:r w:rsidRPr="00920840">
        <w:rPr>
          <w:b/>
          <w:szCs w:val="22"/>
          <w:u w:val="single"/>
        </w:rPr>
        <w:t>Discussion</w:t>
      </w:r>
    </w:p>
    <w:p w:rsidR="00511EFB" w:rsidRPr="00920840" w:rsidP="0050046E" w14:paraId="0EAA413E" w14:textId="3D1522E8">
      <w:pPr>
        <w:widowControl/>
        <w:ind w:firstLine="720"/>
        <w:rPr>
          <w:szCs w:val="22"/>
        </w:rPr>
      </w:pPr>
      <w:r w:rsidRPr="00920840">
        <w:rPr>
          <w:szCs w:val="22"/>
        </w:rPr>
        <w:t xml:space="preserve">The Bureaus’ </w:t>
      </w:r>
      <w:r w:rsidRPr="00920840" w:rsidR="007B7F92">
        <w:rPr>
          <w:szCs w:val="22"/>
        </w:rPr>
        <w:t xml:space="preserve">received one comment from </w:t>
      </w:r>
      <w:r w:rsidRPr="00920840" w:rsidR="004E57BF">
        <w:rPr>
          <w:szCs w:val="22"/>
        </w:rPr>
        <w:t>Newsmax</w:t>
      </w:r>
      <w:r w:rsidRPr="00920840" w:rsidR="0030689A">
        <w:rPr>
          <w:szCs w:val="22"/>
        </w:rPr>
        <w:t xml:space="preserve"> Media</w:t>
      </w:r>
      <w:r w:rsidRPr="00920840" w:rsidR="00DC6798">
        <w:rPr>
          <w:szCs w:val="22"/>
        </w:rPr>
        <w:t xml:space="preserve">, </w:t>
      </w:r>
      <w:r w:rsidRPr="00920840" w:rsidR="0030689A">
        <w:rPr>
          <w:szCs w:val="22"/>
        </w:rPr>
        <w:t>Inc. (Newsmax), a cable news organization</w:t>
      </w:r>
      <w:r w:rsidRPr="00920840" w:rsidR="00764B6F">
        <w:rPr>
          <w:szCs w:val="22"/>
        </w:rPr>
        <w:t>, on the Radiate-Stonepeak Application</w:t>
      </w:r>
      <w:r w:rsidRPr="00920840">
        <w:rPr>
          <w:szCs w:val="22"/>
        </w:rPr>
        <w:t>.</w:t>
      </w:r>
      <w:r w:rsidRPr="00920840" w:rsidR="00764B6F">
        <w:rPr>
          <w:szCs w:val="22"/>
        </w:rPr>
        <w:t xml:space="preserve"> </w:t>
      </w:r>
      <w:r w:rsidRPr="00920840" w:rsidR="00C81BEA">
        <w:rPr>
          <w:szCs w:val="22"/>
        </w:rPr>
        <w:t xml:space="preserve"> </w:t>
      </w:r>
      <w:r w:rsidRPr="00920840">
        <w:rPr>
          <w:szCs w:val="22"/>
        </w:rPr>
        <w:t>N</w:t>
      </w:r>
      <w:r w:rsidRPr="00920840" w:rsidR="00764B6F">
        <w:rPr>
          <w:szCs w:val="22"/>
        </w:rPr>
        <w:t xml:space="preserve">o comments or oppositions </w:t>
      </w:r>
      <w:r w:rsidRPr="00920840">
        <w:rPr>
          <w:szCs w:val="22"/>
        </w:rPr>
        <w:t xml:space="preserve">were filed </w:t>
      </w:r>
      <w:r w:rsidRPr="00920840" w:rsidR="001461C1">
        <w:rPr>
          <w:szCs w:val="22"/>
        </w:rPr>
        <w:t>on</w:t>
      </w:r>
      <w:r w:rsidRPr="00920840" w:rsidR="00764B6F">
        <w:rPr>
          <w:szCs w:val="22"/>
        </w:rPr>
        <w:t xml:space="preserve"> the Digital West-Stonepeak Application</w:t>
      </w:r>
      <w:r w:rsidRPr="00920840" w:rsidR="0030689A">
        <w:rPr>
          <w:szCs w:val="22"/>
        </w:rPr>
        <w:t>.</w:t>
      </w:r>
      <w:r>
        <w:rPr>
          <w:rStyle w:val="FootnoteReference"/>
          <w:szCs w:val="22"/>
        </w:rPr>
        <w:footnoteReference w:id="21"/>
      </w:r>
      <w:r w:rsidRPr="00920840" w:rsidR="0030689A">
        <w:rPr>
          <w:szCs w:val="22"/>
        </w:rPr>
        <w:t xml:space="preserve">  Newsmax does not oppose </w:t>
      </w:r>
      <w:r w:rsidRPr="00920840" w:rsidR="00755559">
        <w:rPr>
          <w:szCs w:val="22"/>
        </w:rPr>
        <w:t xml:space="preserve">Stonepeak’s acquisition of the </w:t>
      </w:r>
      <w:r w:rsidRPr="00920840" w:rsidR="00EE799A">
        <w:rPr>
          <w:szCs w:val="22"/>
        </w:rPr>
        <w:t>Authorization Holders</w:t>
      </w:r>
      <w:r w:rsidRPr="00920840" w:rsidR="0030689A">
        <w:rPr>
          <w:szCs w:val="22"/>
        </w:rPr>
        <w:t xml:space="preserve"> but asserts that Applicants have provided incomplete information and urges </w:t>
      </w:r>
      <w:r w:rsidRPr="00920840" w:rsidR="00982411">
        <w:rPr>
          <w:szCs w:val="22"/>
        </w:rPr>
        <w:t xml:space="preserve">that </w:t>
      </w:r>
      <w:r w:rsidRPr="00920840" w:rsidR="0030689A">
        <w:rPr>
          <w:szCs w:val="22"/>
        </w:rPr>
        <w:t xml:space="preserve">the Commission “defer action on this </w:t>
      </w:r>
      <w:r w:rsidRPr="00920840" w:rsidR="007331C4">
        <w:rPr>
          <w:szCs w:val="22"/>
        </w:rPr>
        <w:t>[</w:t>
      </w:r>
      <w:bookmarkStart w:id="7" w:name="_Hlk71042699"/>
      <w:r w:rsidRPr="00920840" w:rsidR="007331C4">
        <w:rPr>
          <w:szCs w:val="22"/>
        </w:rPr>
        <w:t>Radiate-Stonepeak</w:t>
      </w:r>
      <w:bookmarkEnd w:id="7"/>
      <w:r w:rsidRPr="00920840" w:rsidR="007331C4">
        <w:rPr>
          <w:szCs w:val="22"/>
        </w:rPr>
        <w:t xml:space="preserve">] </w:t>
      </w:r>
      <w:r w:rsidRPr="00920840" w:rsidR="0030689A">
        <w:rPr>
          <w:szCs w:val="22"/>
        </w:rPr>
        <w:t>Application until the comment periods have expired for all of the relevant applications</w:t>
      </w:r>
      <w:r w:rsidRPr="00920840">
        <w:rPr>
          <w:szCs w:val="22"/>
        </w:rPr>
        <w:t>”</w:t>
      </w:r>
      <w:r w:rsidRPr="00920840" w:rsidR="0030689A">
        <w:rPr>
          <w:szCs w:val="22"/>
        </w:rPr>
        <w:t xml:space="preserve"> and </w:t>
      </w:r>
      <w:r w:rsidRPr="00920840">
        <w:rPr>
          <w:szCs w:val="22"/>
        </w:rPr>
        <w:t>“</w:t>
      </w:r>
      <w:r w:rsidRPr="00920840" w:rsidR="0030689A">
        <w:rPr>
          <w:szCs w:val="22"/>
        </w:rPr>
        <w:t>request further ownership information from the Applicants in the interim.”</w:t>
      </w:r>
      <w:r>
        <w:rPr>
          <w:rStyle w:val="FootnoteReference"/>
          <w:szCs w:val="22"/>
        </w:rPr>
        <w:footnoteReference w:id="22"/>
      </w:r>
      <w:r w:rsidRPr="00920840" w:rsidR="007B7F92">
        <w:rPr>
          <w:szCs w:val="22"/>
        </w:rPr>
        <w:t xml:space="preserve"> </w:t>
      </w:r>
      <w:r w:rsidRPr="00920840" w:rsidR="00E73B2D">
        <w:rPr>
          <w:szCs w:val="22"/>
        </w:rPr>
        <w:t xml:space="preserve"> </w:t>
      </w:r>
      <w:r w:rsidRPr="00920840" w:rsidR="005A09B4">
        <w:rPr>
          <w:szCs w:val="22"/>
        </w:rPr>
        <w:t xml:space="preserve">Newsmax </w:t>
      </w:r>
      <w:r w:rsidRPr="00920840" w:rsidR="00982411">
        <w:rPr>
          <w:szCs w:val="22"/>
        </w:rPr>
        <w:t xml:space="preserve">primarily </w:t>
      </w:r>
      <w:r w:rsidRPr="00920840" w:rsidR="005A09B4">
        <w:rPr>
          <w:szCs w:val="22"/>
        </w:rPr>
        <w:t xml:space="preserve">contends that the Applicants </w:t>
      </w:r>
      <w:r w:rsidRPr="00920840" w:rsidR="0030689A">
        <w:rPr>
          <w:szCs w:val="22"/>
        </w:rPr>
        <w:t xml:space="preserve">(1) did not identify </w:t>
      </w:r>
      <w:r w:rsidRPr="00920840" w:rsidR="00BB2971">
        <w:rPr>
          <w:szCs w:val="22"/>
        </w:rPr>
        <w:t>ExteNet</w:t>
      </w:r>
      <w:r w:rsidRPr="00920840" w:rsidR="00A055B3">
        <w:rPr>
          <w:szCs w:val="22"/>
        </w:rPr>
        <w:t>, an affiliate of Stonepeak,</w:t>
      </w:r>
      <w:r w:rsidRPr="00920840" w:rsidR="0030689A">
        <w:rPr>
          <w:szCs w:val="22"/>
        </w:rPr>
        <w:t xml:space="preserve"> as a provider of telecommunications services</w:t>
      </w:r>
      <w:r w:rsidRPr="00920840" w:rsidR="00A055B3">
        <w:rPr>
          <w:szCs w:val="22"/>
        </w:rPr>
        <w:t xml:space="preserve">, thereby making the </w:t>
      </w:r>
      <w:r w:rsidRPr="00920840" w:rsidR="007331C4">
        <w:rPr>
          <w:szCs w:val="22"/>
        </w:rPr>
        <w:t xml:space="preserve">Radiate-Stonepeak </w:t>
      </w:r>
      <w:r w:rsidRPr="00920840" w:rsidR="00A055B3">
        <w:rPr>
          <w:szCs w:val="22"/>
        </w:rPr>
        <w:t>Application ineligible for streamlined processing</w:t>
      </w:r>
      <w:r w:rsidRPr="00920840" w:rsidR="00934A3B">
        <w:rPr>
          <w:szCs w:val="22"/>
        </w:rPr>
        <w:t xml:space="preserve"> under the Commission rules</w:t>
      </w:r>
      <w:r w:rsidRPr="00920840" w:rsidR="00A055B3">
        <w:rPr>
          <w:szCs w:val="22"/>
        </w:rPr>
        <w:t>;</w:t>
      </w:r>
      <w:r>
        <w:rPr>
          <w:rStyle w:val="FootnoteReference"/>
          <w:szCs w:val="22"/>
        </w:rPr>
        <w:footnoteReference w:id="23"/>
      </w:r>
      <w:r w:rsidRPr="00920840" w:rsidR="00F43327">
        <w:rPr>
          <w:szCs w:val="22"/>
        </w:rPr>
        <w:t xml:space="preserve"> </w:t>
      </w:r>
      <w:r w:rsidRPr="00920840" w:rsidR="00745E71">
        <w:rPr>
          <w:szCs w:val="22"/>
        </w:rPr>
        <w:t xml:space="preserve">and </w:t>
      </w:r>
      <w:r w:rsidRPr="00920840" w:rsidR="00A055B3">
        <w:rPr>
          <w:szCs w:val="22"/>
        </w:rPr>
        <w:t xml:space="preserve">(2) </w:t>
      </w:r>
      <w:r w:rsidRPr="00920840" w:rsidR="00865DC3">
        <w:rPr>
          <w:szCs w:val="22"/>
        </w:rPr>
        <w:t xml:space="preserve">failed to identify the post-consummation final equity interests or new </w:t>
      </w:r>
      <w:r w:rsidRPr="00920840" w:rsidR="00745E71">
        <w:rPr>
          <w:szCs w:val="22"/>
        </w:rPr>
        <w:t xml:space="preserve">co-investors </w:t>
      </w:r>
      <w:r w:rsidRPr="00920840" w:rsidR="00865DC3">
        <w:rPr>
          <w:szCs w:val="22"/>
        </w:rPr>
        <w:t xml:space="preserve">that </w:t>
      </w:r>
      <w:r w:rsidRPr="00920840" w:rsidR="00745E71">
        <w:rPr>
          <w:szCs w:val="22"/>
        </w:rPr>
        <w:t xml:space="preserve">could potentially hold a 10% or greater equity interest in Radiate Holdings </w:t>
      </w:r>
      <w:r w:rsidRPr="00920840" w:rsidR="00865DC3">
        <w:rPr>
          <w:szCs w:val="22"/>
        </w:rPr>
        <w:t xml:space="preserve">and the </w:t>
      </w:r>
      <w:r w:rsidRPr="00920840" w:rsidR="00EE799A">
        <w:rPr>
          <w:szCs w:val="22"/>
        </w:rPr>
        <w:t>Authorization Holders</w:t>
      </w:r>
      <w:r w:rsidRPr="00920840" w:rsidR="0032140E">
        <w:rPr>
          <w:szCs w:val="22"/>
        </w:rPr>
        <w:t>.</w:t>
      </w:r>
      <w:r>
        <w:rPr>
          <w:rStyle w:val="FootnoteReference"/>
          <w:szCs w:val="22"/>
        </w:rPr>
        <w:footnoteReference w:id="24"/>
      </w:r>
      <w:r w:rsidRPr="00920840">
        <w:rPr>
          <w:szCs w:val="22"/>
        </w:rPr>
        <w:t xml:space="preserve">  </w:t>
      </w:r>
    </w:p>
    <w:p w:rsidR="007B413E" w:rsidRPr="00920840" w:rsidP="00922583" w14:paraId="3495978E" w14:textId="77777777">
      <w:pPr>
        <w:widowControl/>
        <w:rPr>
          <w:szCs w:val="22"/>
        </w:rPr>
      </w:pPr>
    </w:p>
    <w:p w:rsidR="00DD3C8C" w:rsidRPr="00920840" w:rsidP="00333D7A" w14:paraId="69E3E69E" w14:textId="59EECC7E">
      <w:pPr>
        <w:widowControl/>
        <w:ind w:firstLine="720"/>
        <w:rPr>
          <w:szCs w:val="22"/>
        </w:rPr>
      </w:pPr>
      <w:r w:rsidRPr="00920840">
        <w:rPr>
          <w:szCs w:val="22"/>
        </w:rPr>
        <w:t xml:space="preserve">We </w:t>
      </w:r>
      <w:r w:rsidRPr="00920840" w:rsidR="00170C57">
        <w:rPr>
          <w:szCs w:val="22"/>
        </w:rPr>
        <w:t xml:space="preserve">are not persuaded by </w:t>
      </w:r>
      <w:r w:rsidRPr="00920840" w:rsidR="00AE71ED">
        <w:rPr>
          <w:szCs w:val="22"/>
        </w:rPr>
        <w:t>Newsmax’s comments</w:t>
      </w:r>
      <w:r w:rsidRPr="00920840" w:rsidR="00170C57">
        <w:rPr>
          <w:szCs w:val="22"/>
        </w:rPr>
        <w:t xml:space="preserve"> </w:t>
      </w:r>
      <w:r w:rsidRPr="00920840" w:rsidR="001860F3">
        <w:rPr>
          <w:szCs w:val="22"/>
        </w:rPr>
        <w:t xml:space="preserve">that we should </w:t>
      </w:r>
      <w:r w:rsidRPr="00920840" w:rsidR="00170C57">
        <w:rPr>
          <w:szCs w:val="22"/>
        </w:rPr>
        <w:t>delay our public interest review</w:t>
      </w:r>
      <w:r w:rsidRPr="00920840" w:rsidR="00934A3B">
        <w:rPr>
          <w:szCs w:val="22"/>
        </w:rPr>
        <w:t xml:space="preserve"> </w:t>
      </w:r>
      <w:r w:rsidRPr="00920840" w:rsidR="001860F3">
        <w:rPr>
          <w:szCs w:val="22"/>
        </w:rPr>
        <w:t>and action on the Application</w:t>
      </w:r>
      <w:r w:rsidRPr="00920840" w:rsidR="0072227B">
        <w:rPr>
          <w:szCs w:val="22"/>
        </w:rPr>
        <w:t>s</w:t>
      </w:r>
      <w:r w:rsidRPr="00920840" w:rsidR="00AE71ED">
        <w:rPr>
          <w:szCs w:val="22"/>
        </w:rPr>
        <w:t xml:space="preserve">.  </w:t>
      </w:r>
      <w:r w:rsidRPr="00920840" w:rsidR="00922583">
        <w:rPr>
          <w:szCs w:val="22"/>
        </w:rPr>
        <w:t xml:space="preserve">First, </w:t>
      </w:r>
      <w:r w:rsidRPr="00920840" w:rsidR="00B454E3">
        <w:rPr>
          <w:szCs w:val="22"/>
        </w:rPr>
        <w:t xml:space="preserve">Applicants </w:t>
      </w:r>
      <w:r w:rsidRPr="00920840" w:rsidR="00A27D84">
        <w:rPr>
          <w:szCs w:val="22"/>
        </w:rPr>
        <w:t xml:space="preserve">clearly </w:t>
      </w:r>
      <w:r w:rsidRPr="00920840" w:rsidR="00934A3B">
        <w:rPr>
          <w:szCs w:val="22"/>
        </w:rPr>
        <w:t xml:space="preserve">identified </w:t>
      </w:r>
      <w:r w:rsidRPr="00920840" w:rsidR="00BB2971">
        <w:rPr>
          <w:szCs w:val="22"/>
        </w:rPr>
        <w:t>ExteNet</w:t>
      </w:r>
      <w:r w:rsidRPr="00920840" w:rsidR="00934A3B">
        <w:rPr>
          <w:szCs w:val="22"/>
        </w:rPr>
        <w:t xml:space="preserve"> </w:t>
      </w:r>
      <w:r w:rsidRPr="00920840" w:rsidR="00295850">
        <w:rPr>
          <w:szCs w:val="22"/>
        </w:rPr>
        <w:t xml:space="preserve">in their </w:t>
      </w:r>
      <w:r w:rsidRPr="00920840" w:rsidR="0072227B">
        <w:rPr>
          <w:szCs w:val="22"/>
        </w:rPr>
        <w:t xml:space="preserve">Radiate-Stonepeak Application </w:t>
      </w:r>
      <w:r w:rsidRPr="00920840" w:rsidR="00934A3B">
        <w:rPr>
          <w:szCs w:val="22"/>
        </w:rPr>
        <w:t xml:space="preserve">as a telecommunications provider </w:t>
      </w:r>
      <w:r w:rsidRPr="00920840" w:rsidR="00295850">
        <w:rPr>
          <w:szCs w:val="22"/>
        </w:rPr>
        <w:t>affiliated with Stonepeak</w:t>
      </w:r>
      <w:r w:rsidRPr="00920840" w:rsidR="002F20CA">
        <w:rPr>
          <w:szCs w:val="22"/>
        </w:rPr>
        <w:t>.</w:t>
      </w:r>
      <w:r>
        <w:rPr>
          <w:rStyle w:val="FootnoteReference"/>
          <w:szCs w:val="22"/>
        </w:rPr>
        <w:footnoteReference w:id="25"/>
      </w:r>
      <w:r w:rsidRPr="00920840" w:rsidR="00934A3B">
        <w:rPr>
          <w:szCs w:val="22"/>
        </w:rPr>
        <w:t xml:space="preserve"> </w:t>
      </w:r>
      <w:r w:rsidRPr="00920840" w:rsidR="008643A4">
        <w:rPr>
          <w:szCs w:val="22"/>
        </w:rPr>
        <w:t xml:space="preserve"> </w:t>
      </w:r>
      <w:r w:rsidRPr="00920840" w:rsidR="00295850">
        <w:rPr>
          <w:szCs w:val="22"/>
        </w:rPr>
        <w:t xml:space="preserve">After reviewing the </w:t>
      </w:r>
      <w:r w:rsidRPr="00920840" w:rsidR="005E520C">
        <w:rPr>
          <w:szCs w:val="22"/>
        </w:rPr>
        <w:t xml:space="preserve">Radiate-Stonepeak </w:t>
      </w:r>
      <w:r w:rsidRPr="00920840" w:rsidR="00295850">
        <w:rPr>
          <w:szCs w:val="22"/>
        </w:rPr>
        <w:t xml:space="preserve">Application, the Bureaus accepted </w:t>
      </w:r>
      <w:r w:rsidRPr="00920840" w:rsidR="007331C4">
        <w:rPr>
          <w:szCs w:val="22"/>
        </w:rPr>
        <w:t>it</w:t>
      </w:r>
      <w:r w:rsidRPr="00920840" w:rsidR="00295850">
        <w:rPr>
          <w:szCs w:val="22"/>
        </w:rPr>
        <w:t xml:space="preserve"> for non-streamlined filing</w:t>
      </w:r>
      <w:r w:rsidRPr="00920840" w:rsidR="00B454E3">
        <w:rPr>
          <w:szCs w:val="22"/>
        </w:rPr>
        <w:t>.</w:t>
      </w:r>
      <w:r>
        <w:rPr>
          <w:rStyle w:val="FootnoteReference"/>
          <w:szCs w:val="22"/>
        </w:rPr>
        <w:footnoteReference w:id="26"/>
      </w:r>
      <w:r w:rsidRPr="00920840" w:rsidR="00B454E3">
        <w:rPr>
          <w:szCs w:val="22"/>
        </w:rPr>
        <w:t xml:space="preserve">  We agree with Applicants that </w:t>
      </w:r>
      <w:r w:rsidRPr="00920840" w:rsidR="00295850">
        <w:rPr>
          <w:szCs w:val="22"/>
        </w:rPr>
        <w:t xml:space="preserve">Newsmax’s argument that </w:t>
      </w:r>
      <w:r w:rsidRPr="00920840" w:rsidR="00B454E3">
        <w:rPr>
          <w:szCs w:val="22"/>
        </w:rPr>
        <w:t xml:space="preserve">the </w:t>
      </w:r>
      <w:r w:rsidRPr="00920840" w:rsidR="005E520C">
        <w:rPr>
          <w:szCs w:val="22"/>
        </w:rPr>
        <w:t xml:space="preserve">Radiate-Stonepeak Application </w:t>
      </w:r>
      <w:r w:rsidRPr="00920840" w:rsidR="00B454E3">
        <w:rPr>
          <w:szCs w:val="22"/>
        </w:rPr>
        <w:t>d</w:t>
      </w:r>
      <w:r w:rsidRPr="00920840" w:rsidR="00295850">
        <w:rPr>
          <w:szCs w:val="22"/>
        </w:rPr>
        <w:t>oes not qualify for streamlined processing is therefore moot.</w:t>
      </w:r>
      <w:r>
        <w:rPr>
          <w:rStyle w:val="FootnoteReference"/>
          <w:szCs w:val="22"/>
        </w:rPr>
        <w:footnoteReference w:id="27"/>
      </w:r>
      <w:r w:rsidRPr="00920840" w:rsidR="00934A3B">
        <w:rPr>
          <w:szCs w:val="22"/>
        </w:rPr>
        <w:t xml:space="preserve">  </w:t>
      </w:r>
      <w:r w:rsidRPr="00920840" w:rsidR="00922583">
        <w:rPr>
          <w:szCs w:val="22"/>
        </w:rPr>
        <w:t>Second, w</w:t>
      </w:r>
      <w:r w:rsidRPr="00920840" w:rsidR="00EE2B2C">
        <w:rPr>
          <w:szCs w:val="22"/>
        </w:rPr>
        <w:t xml:space="preserve">ith respect to Newsmax’s concerns </w:t>
      </w:r>
      <w:r w:rsidRPr="00920840" w:rsidR="00BF57D7">
        <w:rPr>
          <w:szCs w:val="22"/>
        </w:rPr>
        <w:t>about</w:t>
      </w:r>
      <w:r w:rsidRPr="00920840" w:rsidR="00EE2B2C">
        <w:rPr>
          <w:szCs w:val="22"/>
        </w:rPr>
        <w:t xml:space="preserve"> incomplete information and changes in ownership</w:t>
      </w:r>
      <w:r w:rsidRPr="00920840" w:rsidR="007D1599">
        <w:rPr>
          <w:szCs w:val="22"/>
        </w:rPr>
        <w:t>,</w:t>
      </w:r>
      <w:r w:rsidRPr="00920840" w:rsidR="00EE2B2C">
        <w:rPr>
          <w:szCs w:val="22"/>
        </w:rPr>
        <w:t xml:space="preserve"> </w:t>
      </w:r>
      <w:r w:rsidRPr="00920840" w:rsidR="00DF4A4D">
        <w:rPr>
          <w:szCs w:val="22"/>
        </w:rPr>
        <w:t xml:space="preserve">Applicants </w:t>
      </w:r>
      <w:r w:rsidRPr="00920840" w:rsidR="008643A4">
        <w:rPr>
          <w:szCs w:val="22"/>
        </w:rPr>
        <w:t xml:space="preserve">have affirmed, as stated in the </w:t>
      </w:r>
      <w:r w:rsidRPr="00920840" w:rsidR="005E520C">
        <w:rPr>
          <w:szCs w:val="22"/>
        </w:rPr>
        <w:t>Radiate-Stonepeak Application</w:t>
      </w:r>
      <w:r w:rsidRPr="00920840" w:rsidR="008643A4">
        <w:rPr>
          <w:szCs w:val="22"/>
        </w:rPr>
        <w:t xml:space="preserve">, </w:t>
      </w:r>
      <w:r w:rsidRPr="00920840" w:rsidR="00DF4A4D">
        <w:rPr>
          <w:szCs w:val="22"/>
        </w:rPr>
        <w:t xml:space="preserve">that </w:t>
      </w:r>
      <w:r w:rsidRPr="00920840" w:rsidR="001359EF">
        <w:rPr>
          <w:szCs w:val="22"/>
        </w:rPr>
        <w:t>no</w:t>
      </w:r>
      <w:r w:rsidRPr="00920840" w:rsidR="008643A4">
        <w:rPr>
          <w:szCs w:val="22"/>
        </w:rPr>
        <w:t xml:space="preserve"> further potential investment right or co-investment “will change </w:t>
      </w:r>
      <w:r w:rsidRPr="00920840" w:rsidR="00DF4A4D">
        <w:rPr>
          <w:szCs w:val="22"/>
        </w:rPr>
        <w:t xml:space="preserve">the ultimate controlling ownership of the </w:t>
      </w:r>
      <w:r w:rsidRPr="00920840" w:rsidR="00EE799A">
        <w:rPr>
          <w:szCs w:val="22"/>
        </w:rPr>
        <w:t>Authorization Holders</w:t>
      </w:r>
      <w:r w:rsidRPr="00920840" w:rsidR="00DF4A4D">
        <w:rPr>
          <w:szCs w:val="22"/>
        </w:rPr>
        <w:t>, the controlling entity of the general partner of Radiate Holdings, or the ownership structure of the Transferee</w:t>
      </w:r>
      <w:r w:rsidRPr="00920840" w:rsidR="00A27D84">
        <w:rPr>
          <w:szCs w:val="22"/>
        </w:rPr>
        <w:t xml:space="preserve">.  </w:t>
      </w:r>
      <w:r w:rsidRPr="00920840" w:rsidR="008643A4">
        <w:rPr>
          <w:szCs w:val="22"/>
        </w:rPr>
        <w:t>Rather</w:t>
      </w:r>
      <w:r w:rsidRPr="00920840" w:rsidR="001359EF">
        <w:rPr>
          <w:szCs w:val="22"/>
        </w:rPr>
        <w:t>,</w:t>
      </w:r>
      <w:r w:rsidRPr="00920840" w:rsidR="008643A4">
        <w:rPr>
          <w:szCs w:val="22"/>
        </w:rPr>
        <w:t xml:space="preserve"> such investment may change the percentages held by certain existing reportable interest holders or result in new reportable, but non-controlling interest holders.”</w:t>
      </w:r>
      <w:r>
        <w:rPr>
          <w:rStyle w:val="FootnoteReference"/>
          <w:szCs w:val="22"/>
        </w:rPr>
        <w:footnoteReference w:id="28"/>
      </w:r>
      <w:r w:rsidRPr="00920840" w:rsidR="00DF4A4D">
        <w:rPr>
          <w:szCs w:val="22"/>
        </w:rPr>
        <w:t xml:space="preserve">  </w:t>
      </w:r>
      <w:r w:rsidRPr="00920840" w:rsidR="006B54CC">
        <w:rPr>
          <w:szCs w:val="22"/>
        </w:rPr>
        <w:t xml:space="preserve">As the Bureaus </w:t>
      </w:r>
      <w:r w:rsidRPr="00920840" w:rsidR="005F01CA">
        <w:rPr>
          <w:szCs w:val="22"/>
        </w:rPr>
        <w:t>noted</w:t>
      </w:r>
      <w:r w:rsidRPr="00920840" w:rsidR="006B54CC">
        <w:rPr>
          <w:szCs w:val="22"/>
        </w:rPr>
        <w:t xml:space="preserve"> in the </w:t>
      </w:r>
      <w:r w:rsidRPr="00920840" w:rsidR="006B54CC">
        <w:rPr>
          <w:i/>
          <w:iCs/>
          <w:szCs w:val="22"/>
        </w:rPr>
        <w:t>Radiate</w:t>
      </w:r>
      <w:r w:rsidRPr="00920840" w:rsidR="006E05D4">
        <w:rPr>
          <w:i/>
          <w:iCs/>
          <w:szCs w:val="22"/>
        </w:rPr>
        <w:t>/Stonepeak</w:t>
      </w:r>
      <w:r w:rsidRPr="00920840" w:rsidR="006B54CC">
        <w:rPr>
          <w:i/>
          <w:iCs/>
          <w:szCs w:val="22"/>
        </w:rPr>
        <w:t xml:space="preserve"> </w:t>
      </w:r>
      <w:r w:rsidRPr="00920840" w:rsidR="005F01CA">
        <w:rPr>
          <w:i/>
          <w:iCs/>
          <w:szCs w:val="22"/>
        </w:rPr>
        <w:t>Accepted-for-F</w:t>
      </w:r>
      <w:r w:rsidRPr="00920840" w:rsidR="004C04EC">
        <w:rPr>
          <w:i/>
          <w:iCs/>
          <w:szCs w:val="22"/>
        </w:rPr>
        <w:t>i</w:t>
      </w:r>
      <w:r w:rsidRPr="00920840" w:rsidR="005F01CA">
        <w:rPr>
          <w:i/>
          <w:iCs/>
          <w:szCs w:val="22"/>
        </w:rPr>
        <w:t xml:space="preserve">ling </w:t>
      </w:r>
      <w:r w:rsidRPr="00920840" w:rsidR="006B54CC">
        <w:rPr>
          <w:i/>
          <w:iCs/>
          <w:szCs w:val="22"/>
        </w:rPr>
        <w:t>Public Notice</w:t>
      </w:r>
      <w:r w:rsidRPr="00920840" w:rsidR="006B54CC">
        <w:rPr>
          <w:szCs w:val="22"/>
        </w:rPr>
        <w:t xml:space="preserve">, Applicants disclosed in the verified </w:t>
      </w:r>
      <w:r w:rsidRPr="00920840" w:rsidR="007331C4">
        <w:rPr>
          <w:szCs w:val="22"/>
        </w:rPr>
        <w:t xml:space="preserve">Radiate-Stonepeak </w:t>
      </w:r>
      <w:r w:rsidRPr="00920840" w:rsidR="006B54CC">
        <w:rPr>
          <w:szCs w:val="22"/>
        </w:rPr>
        <w:t>Application</w:t>
      </w:r>
      <w:r w:rsidRPr="00920840" w:rsidR="00A27D84">
        <w:rPr>
          <w:szCs w:val="22"/>
        </w:rPr>
        <w:t>, in accordance with Commission rules,</w:t>
      </w:r>
      <w:r w:rsidRPr="00920840" w:rsidR="006B54CC">
        <w:rPr>
          <w:szCs w:val="22"/>
        </w:rPr>
        <w:t xml:space="preserve"> the entities and individuals</w:t>
      </w:r>
      <w:r w:rsidRPr="00920840" w:rsidR="00A27D84">
        <w:rPr>
          <w:szCs w:val="22"/>
        </w:rPr>
        <w:t>, all with U.S. citizenship,</w:t>
      </w:r>
      <w:r w:rsidRPr="00920840" w:rsidR="006B54CC">
        <w:rPr>
          <w:szCs w:val="22"/>
        </w:rPr>
        <w:t xml:space="preserve"> </w:t>
      </w:r>
      <w:r w:rsidRPr="00920840" w:rsidR="003142A0">
        <w:rPr>
          <w:szCs w:val="22"/>
        </w:rPr>
        <w:t>that are</w:t>
      </w:r>
      <w:r w:rsidRPr="00920840" w:rsidR="006B54CC">
        <w:rPr>
          <w:szCs w:val="22"/>
        </w:rPr>
        <w:t xml:space="preserve"> expected to hold, directly or indirectly, a 10% or greater equity or </w:t>
      </w:r>
      <w:r w:rsidRPr="00920840" w:rsidR="00295850">
        <w:rPr>
          <w:szCs w:val="22"/>
        </w:rPr>
        <w:t xml:space="preserve">voting </w:t>
      </w:r>
      <w:r w:rsidRPr="00920840" w:rsidR="006B54CC">
        <w:rPr>
          <w:szCs w:val="22"/>
        </w:rPr>
        <w:t xml:space="preserve">interest in the </w:t>
      </w:r>
      <w:r w:rsidRPr="00920840" w:rsidR="00EE799A">
        <w:rPr>
          <w:szCs w:val="22"/>
        </w:rPr>
        <w:t>Authorization Holders</w:t>
      </w:r>
      <w:r w:rsidRPr="00920840" w:rsidR="003F4036">
        <w:rPr>
          <w:szCs w:val="22"/>
        </w:rPr>
        <w:t xml:space="preserve"> and disclosed the controlling interest holders</w:t>
      </w:r>
      <w:r w:rsidRPr="00920840" w:rsidR="003142A0">
        <w:rPr>
          <w:szCs w:val="22"/>
        </w:rPr>
        <w:t>.</w:t>
      </w:r>
      <w:r>
        <w:rPr>
          <w:rStyle w:val="FootnoteReference"/>
          <w:szCs w:val="22"/>
        </w:rPr>
        <w:footnoteReference w:id="29"/>
      </w:r>
      <w:r w:rsidRPr="00920840" w:rsidR="003142A0">
        <w:rPr>
          <w:szCs w:val="22"/>
        </w:rPr>
        <w:t xml:space="preserve">  </w:t>
      </w:r>
    </w:p>
    <w:p w:rsidR="00DD3C8C" w:rsidRPr="00920840" w:rsidP="00333D7A" w14:paraId="671338E7" w14:textId="77777777">
      <w:pPr>
        <w:widowControl/>
        <w:ind w:firstLine="720"/>
        <w:rPr>
          <w:szCs w:val="22"/>
        </w:rPr>
      </w:pPr>
    </w:p>
    <w:p w:rsidR="00A14DA7" w:rsidRPr="00920840" w:rsidP="00333D7A" w14:paraId="677AD945" w14:textId="75E0BD30">
      <w:pPr>
        <w:widowControl/>
        <w:ind w:firstLine="720"/>
        <w:rPr>
          <w:szCs w:val="22"/>
        </w:rPr>
      </w:pPr>
      <w:r w:rsidRPr="00920840">
        <w:rPr>
          <w:szCs w:val="22"/>
        </w:rPr>
        <w:t xml:space="preserve">Applicants remain obligated to disclose any updated changes to </w:t>
      </w:r>
      <w:r w:rsidRPr="00920840" w:rsidR="006F0C02">
        <w:rPr>
          <w:szCs w:val="22"/>
        </w:rPr>
        <w:t>the proposed post-</w:t>
      </w:r>
      <w:r w:rsidRPr="00920840" w:rsidR="005F01CA">
        <w:rPr>
          <w:szCs w:val="22"/>
        </w:rPr>
        <w:t>consummation</w:t>
      </w:r>
      <w:r w:rsidRPr="00920840" w:rsidR="006F0C02">
        <w:rPr>
          <w:szCs w:val="22"/>
        </w:rPr>
        <w:t xml:space="preserve"> ownership holders or structure of </w:t>
      </w:r>
      <w:r w:rsidRPr="00920840">
        <w:rPr>
          <w:szCs w:val="22"/>
        </w:rPr>
        <w:t>Stonepeak</w:t>
      </w:r>
      <w:r w:rsidRPr="00920840" w:rsidR="005F01CA">
        <w:rPr>
          <w:szCs w:val="22"/>
        </w:rPr>
        <w:t>.</w:t>
      </w:r>
      <w:r>
        <w:rPr>
          <w:rStyle w:val="FootnoteReference"/>
          <w:szCs w:val="22"/>
        </w:rPr>
        <w:footnoteReference w:id="30"/>
      </w:r>
      <w:r w:rsidRPr="00920840" w:rsidR="005F01CA">
        <w:rPr>
          <w:szCs w:val="22"/>
        </w:rPr>
        <w:t xml:space="preserve">  Applicants a</w:t>
      </w:r>
      <w:r w:rsidRPr="00920840">
        <w:rPr>
          <w:szCs w:val="22"/>
        </w:rPr>
        <w:t>ffirmed that they will do</w:t>
      </w:r>
      <w:r w:rsidRPr="00920840" w:rsidR="00295850">
        <w:rPr>
          <w:szCs w:val="22"/>
        </w:rPr>
        <w:t xml:space="preserve"> so</w:t>
      </w:r>
      <w:r w:rsidRPr="00920840">
        <w:rPr>
          <w:szCs w:val="22"/>
        </w:rPr>
        <w:t>.</w:t>
      </w:r>
      <w:r>
        <w:rPr>
          <w:rStyle w:val="FootnoteReference"/>
          <w:szCs w:val="22"/>
        </w:rPr>
        <w:footnoteReference w:id="31"/>
      </w:r>
      <w:r w:rsidRPr="00920840">
        <w:rPr>
          <w:szCs w:val="22"/>
        </w:rPr>
        <w:t xml:space="preserve">  </w:t>
      </w:r>
      <w:r w:rsidRPr="00920840" w:rsidR="00620FD7">
        <w:rPr>
          <w:szCs w:val="22"/>
        </w:rPr>
        <w:t xml:space="preserve">On March 11, </w:t>
      </w:r>
      <w:r w:rsidRPr="00920840" w:rsidR="00620FD7">
        <w:rPr>
          <w:szCs w:val="22"/>
        </w:rPr>
        <w:t>2021</w:t>
      </w:r>
      <w:r w:rsidRPr="00920840" w:rsidR="00177347">
        <w:rPr>
          <w:szCs w:val="22"/>
        </w:rPr>
        <w:t>,</w:t>
      </w:r>
      <w:r>
        <w:rPr>
          <w:rStyle w:val="FootnoteReference"/>
          <w:szCs w:val="22"/>
        </w:rPr>
        <w:footnoteReference w:id="32"/>
      </w:r>
      <w:r w:rsidRPr="00920840" w:rsidR="00177347">
        <w:rPr>
          <w:szCs w:val="22"/>
        </w:rPr>
        <w:t xml:space="preserve"> </w:t>
      </w:r>
      <w:r w:rsidRPr="00920840" w:rsidR="00C3752D">
        <w:rPr>
          <w:szCs w:val="22"/>
        </w:rPr>
        <w:t xml:space="preserve">in compliance with their commitment, </w:t>
      </w:r>
      <w:r w:rsidRPr="00920840" w:rsidR="00177347">
        <w:rPr>
          <w:szCs w:val="22"/>
        </w:rPr>
        <w:t>the Applicants filed an additional supplement to their Application</w:t>
      </w:r>
      <w:r w:rsidRPr="00920840" w:rsidR="00A27D84">
        <w:rPr>
          <w:szCs w:val="22"/>
        </w:rPr>
        <w:t xml:space="preserve"> statin</w:t>
      </w:r>
      <w:r w:rsidRPr="00920840" w:rsidR="00982411">
        <w:rPr>
          <w:szCs w:val="22"/>
        </w:rPr>
        <w:t>g</w:t>
      </w:r>
      <w:r w:rsidRPr="00920840" w:rsidR="00A27D84">
        <w:rPr>
          <w:szCs w:val="22"/>
        </w:rPr>
        <w:t xml:space="preserve"> that</w:t>
      </w:r>
      <w:r w:rsidRPr="00920840" w:rsidR="00394617">
        <w:rPr>
          <w:szCs w:val="22"/>
        </w:rPr>
        <w:t xml:space="preserve"> </w:t>
      </w:r>
      <w:r w:rsidRPr="00920840" w:rsidR="00922EDA">
        <w:rPr>
          <w:szCs w:val="22"/>
        </w:rPr>
        <w:t>while the co-investment contemplated by Stonepeak</w:t>
      </w:r>
      <w:r w:rsidRPr="00920840" w:rsidR="008C311D">
        <w:rPr>
          <w:szCs w:val="22"/>
        </w:rPr>
        <w:t xml:space="preserve"> Partners</w:t>
      </w:r>
      <w:r w:rsidRPr="00920840" w:rsidR="00922EDA">
        <w:rPr>
          <w:szCs w:val="22"/>
        </w:rPr>
        <w:t xml:space="preserve"> has yet to be finalized, </w:t>
      </w:r>
      <w:r w:rsidRPr="00920840" w:rsidR="008C311D">
        <w:rPr>
          <w:szCs w:val="22"/>
        </w:rPr>
        <w:t>Stonepeak and Stonepeak Partners</w:t>
      </w:r>
      <w:r w:rsidRPr="00920840" w:rsidR="00922EDA">
        <w:rPr>
          <w:szCs w:val="22"/>
        </w:rPr>
        <w:t xml:space="preserve"> continue to expect that regardless of any such co-investment, no other party will hold a 10% or greater equity interest in Radiate Holdings at closing</w:t>
      </w:r>
      <w:r w:rsidRPr="00920840" w:rsidR="00177347">
        <w:rPr>
          <w:szCs w:val="22"/>
        </w:rPr>
        <w:t>.</w:t>
      </w:r>
      <w:r>
        <w:rPr>
          <w:rStyle w:val="FootnoteReference"/>
          <w:szCs w:val="22"/>
        </w:rPr>
        <w:footnoteReference w:id="33"/>
      </w:r>
      <w:r w:rsidRPr="00920840" w:rsidR="000E32BC">
        <w:rPr>
          <w:szCs w:val="22"/>
        </w:rPr>
        <w:t xml:space="preserve">  In </w:t>
      </w:r>
      <w:r w:rsidRPr="00920840" w:rsidR="008C311D">
        <w:rPr>
          <w:szCs w:val="22"/>
        </w:rPr>
        <w:t>th</w:t>
      </w:r>
      <w:r w:rsidRPr="00920840" w:rsidR="009D5CCF">
        <w:rPr>
          <w:szCs w:val="22"/>
        </w:rPr>
        <w:t>e March 11 Supplemental L</w:t>
      </w:r>
      <w:r w:rsidRPr="00920840" w:rsidR="000E32BC">
        <w:rPr>
          <w:szCs w:val="22"/>
        </w:rPr>
        <w:t xml:space="preserve">etter, </w:t>
      </w:r>
      <w:r w:rsidRPr="00920840" w:rsidR="008C311D">
        <w:rPr>
          <w:szCs w:val="22"/>
        </w:rPr>
        <w:t>Stonepeak again committed to promptly notify the Commission of any change to the aforementioned expectations and to also notify the Commission of final ownership percentages once they are finalized prior to closing.</w:t>
      </w:r>
      <w:r>
        <w:rPr>
          <w:rStyle w:val="FootnoteReference"/>
          <w:szCs w:val="22"/>
        </w:rPr>
        <w:footnoteReference w:id="34"/>
      </w:r>
      <w:r w:rsidRPr="00920840" w:rsidR="008C311D">
        <w:rPr>
          <w:szCs w:val="22"/>
        </w:rPr>
        <w:t xml:space="preserve"> </w:t>
      </w:r>
      <w:r w:rsidRPr="00920840" w:rsidR="006759DD">
        <w:rPr>
          <w:szCs w:val="22"/>
        </w:rPr>
        <w:t xml:space="preserve"> Additionally, </w:t>
      </w:r>
      <w:r w:rsidRPr="00920840" w:rsidR="00951FAD">
        <w:rPr>
          <w:szCs w:val="22"/>
        </w:rPr>
        <w:t>Radiate Holdings</w:t>
      </w:r>
      <w:r w:rsidRPr="00920840" w:rsidR="006759DD">
        <w:rPr>
          <w:szCs w:val="22"/>
        </w:rPr>
        <w:t xml:space="preserve"> infor</w:t>
      </w:r>
      <w:r w:rsidRPr="00920840" w:rsidR="00A01F90">
        <w:rPr>
          <w:szCs w:val="22"/>
        </w:rPr>
        <w:t>m</w:t>
      </w:r>
      <w:r w:rsidRPr="00920840" w:rsidR="00951FAD">
        <w:rPr>
          <w:szCs w:val="22"/>
        </w:rPr>
        <w:t>ed</w:t>
      </w:r>
      <w:r w:rsidRPr="00920840" w:rsidR="006759DD">
        <w:rPr>
          <w:szCs w:val="22"/>
        </w:rPr>
        <w:t xml:space="preserve"> the Commission </w:t>
      </w:r>
      <w:r w:rsidRPr="00920840" w:rsidR="00A01F90">
        <w:rPr>
          <w:szCs w:val="22"/>
        </w:rPr>
        <w:t>that TPG</w:t>
      </w:r>
      <w:r w:rsidRPr="00920840" w:rsidR="006759DD">
        <w:rPr>
          <w:szCs w:val="22"/>
        </w:rPr>
        <w:t xml:space="preserve"> </w:t>
      </w:r>
      <w:r w:rsidRPr="00920840" w:rsidR="00A01F90">
        <w:rPr>
          <w:szCs w:val="22"/>
        </w:rPr>
        <w:t xml:space="preserve">had exercised the TPG Investment Right </w:t>
      </w:r>
      <w:r w:rsidRPr="00920840" w:rsidR="002C3E49">
        <w:rPr>
          <w:szCs w:val="22"/>
        </w:rPr>
        <w:t>in the amount of $207 million</w:t>
      </w:r>
      <w:r w:rsidRPr="00920840" w:rsidR="0083219B">
        <w:rPr>
          <w:szCs w:val="22"/>
        </w:rPr>
        <w:t>, and despite this investment, no new party will hold a 10% or greater equity interest in Radiate Holdings post-closing.</w:t>
      </w:r>
      <w:r>
        <w:rPr>
          <w:rStyle w:val="FootnoteReference"/>
          <w:szCs w:val="22"/>
        </w:rPr>
        <w:footnoteReference w:id="35"/>
      </w:r>
      <w:r w:rsidRPr="00920840" w:rsidR="0083219B">
        <w:rPr>
          <w:szCs w:val="22"/>
        </w:rPr>
        <w:t xml:space="preserve">  </w:t>
      </w:r>
      <w:r w:rsidRPr="00920840" w:rsidR="0020017A">
        <w:rPr>
          <w:szCs w:val="22"/>
        </w:rPr>
        <w:t>W</w:t>
      </w:r>
      <w:r w:rsidRPr="00920840" w:rsidR="00A27D84">
        <w:rPr>
          <w:szCs w:val="22"/>
        </w:rPr>
        <w:t xml:space="preserve">e </w:t>
      </w:r>
      <w:r w:rsidRPr="00920840" w:rsidR="00DE6C8C">
        <w:rPr>
          <w:szCs w:val="22"/>
        </w:rPr>
        <w:t>further</w:t>
      </w:r>
      <w:r w:rsidRPr="00920840" w:rsidR="0083219B">
        <w:rPr>
          <w:szCs w:val="22"/>
        </w:rPr>
        <w:t xml:space="preserve"> </w:t>
      </w:r>
      <w:r w:rsidRPr="00920840" w:rsidR="00A27D84">
        <w:rPr>
          <w:szCs w:val="22"/>
        </w:rPr>
        <w:t>agree with Applicants that th</w:t>
      </w:r>
      <w:r w:rsidRPr="00920840" w:rsidR="00884634">
        <w:rPr>
          <w:szCs w:val="22"/>
        </w:rPr>
        <w:t xml:space="preserve">e record in this proceeding </w:t>
      </w:r>
      <w:r w:rsidRPr="00920840" w:rsidR="00177347">
        <w:rPr>
          <w:szCs w:val="22"/>
        </w:rPr>
        <w:t xml:space="preserve">is </w:t>
      </w:r>
      <w:r w:rsidRPr="00920840" w:rsidR="00C60404">
        <w:rPr>
          <w:szCs w:val="22"/>
        </w:rPr>
        <w:t>consistent with</w:t>
      </w:r>
      <w:r w:rsidRPr="00920840" w:rsidR="00177347">
        <w:rPr>
          <w:szCs w:val="22"/>
        </w:rPr>
        <w:t xml:space="preserve"> Commission precedent</w:t>
      </w:r>
      <w:r w:rsidRPr="00920840" w:rsidR="00A27D84">
        <w:rPr>
          <w:szCs w:val="22"/>
        </w:rPr>
        <w:t xml:space="preserve"> regarding the clear disclosure of </w:t>
      </w:r>
      <w:r w:rsidRPr="00920840" w:rsidR="00874B4B">
        <w:rPr>
          <w:szCs w:val="22"/>
        </w:rPr>
        <w:t>reportable</w:t>
      </w:r>
      <w:r w:rsidRPr="00920840" w:rsidR="00A27D84">
        <w:rPr>
          <w:szCs w:val="22"/>
        </w:rPr>
        <w:t xml:space="preserve"> interest holders in the Application</w:t>
      </w:r>
      <w:r w:rsidRPr="00920840" w:rsidR="00461F4F">
        <w:rPr>
          <w:szCs w:val="22"/>
        </w:rPr>
        <w:t>s</w:t>
      </w:r>
      <w:r w:rsidRPr="00920840" w:rsidR="00177347">
        <w:rPr>
          <w:szCs w:val="22"/>
        </w:rPr>
        <w:t>.</w:t>
      </w:r>
      <w:r>
        <w:rPr>
          <w:rStyle w:val="FootnoteReference"/>
          <w:szCs w:val="22"/>
        </w:rPr>
        <w:footnoteReference w:id="36"/>
      </w:r>
      <w:r w:rsidRPr="00920840" w:rsidR="00177347">
        <w:rPr>
          <w:szCs w:val="22"/>
        </w:rPr>
        <w:t xml:space="preserve">  </w:t>
      </w:r>
      <w:r w:rsidRPr="00920840" w:rsidR="00982411">
        <w:rPr>
          <w:szCs w:val="22"/>
        </w:rPr>
        <w:t xml:space="preserve">Finally, the comment periods have expired for all related applications for the </w:t>
      </w:r>
      <w:r w:rsidRPr="00920840" w:rsidR="002332B4">
        <w:rPr>
          <w:szCs w:val="22"/>
        </w:rPr>
        <w:t>Transaction</w:t>
      </w:r>
      <w:r w:rsidRPr="00920840" w:rsidR="00982411">
        <w:rPr>
          <w:szCs w:val="22"/>
        </w:rPr>
        <w:t>.</w:t>
      </w:r>
    </w:p>
    <w:p w:rsidR="003F1215" w:rsidRPr="00920840" w:rsidP="009912B3" w14:paraId="6EEE26B9" w14:textId="77777777">
      <w:pPr>
        <w:widowControl/>
        <w:rPr>
          <w:szCs w:val="22"/>
        </w:rPr>
      </w:pPr>
    </w:p>
    <w:p w:rsidR="0001432C" w:rsidRPr="00920840" w:rsidP="00CD4793" w14:paraId="41506E4F" w14:textId="56C6151C">
      <w:pPr>
        <w:widowControl/>
        <w:ind w:firstLine="720"/>
        <w:rPr>
          <w:szCs w:val="22"/>
        </w:rPr>
      </w:pPr>
      <w:r w:rsidRPr="00920840">
        <w:rPr>
          <w:szCs w:val="22"/>
        </w:rPr>
        <w:t xml:space="preserve">We find, upon consideration of the record, that the </w:t>
      </w:r>
      <w:r w:rsidRPr="00920840" w:rsidR="002332B4">
        <w:rPr>
          <w:szCs w:val="22"/>
        </w:rPr>
        <w:t>Transaction</w:t>
      </w:r>
      <w:r w:rsidRPr="00920840">
        <w:rPr>
          <w:szCs w:val="22"/>
        </w:rPr>
        <w:t xml:space="preserve"> will serve the public interest, convenience, and necessity</w:t>
      </w:r>
      <w:r w:rsidRPr="00920840" w:rsidR="00DE4BC5">
        <w:rPr>
          <w:szCs w:val="22"/>
        </w:rPr>
        <w:t xml:space="preserve"> and therefore grant the Applications</w:t>
      </w:r>
      <w:r w:rsidRPr="00920840">
        <w:rPr>
          <w:szCs w:val="22"/>
        </w:rPr>
        <w:t>.</w:t>
      </w:r>
      <w:r>
        <w:rPr>
          <w:rStyle w:val="FootnoteReference"/>
          <w:szCs w:val="22"/>
        </w:rPr>
        <w:footnoteReference w:id="37"/>
      </w:r>
      <w:r w:rsidRPr="00920840">
        <w:rPr>
          <w:szCs w:val="22"/>
        </w:rPr>
        <w:t xml:space="preserve">  </w:t>
      </w:r>
      <w:r w:rsidRPr="00920840" w:rsidR="000E03AA">
        <w:rPr>
          <w:szCs w:val="22"/>
        </w:rPr>
        <w:t xml:space="preserve">Accordingly, pursuant to sections </w:t>
      </w:r>
      <w:r w:rsidRPr="00920840" w:rsidR="000E03AA">
        <w:rPr>
          <w:szCs w:val="22"/>
        </w:rPr>
        <w:t xml:space="preserve">214(a) and 214(c) of the Communications Act of 1934, as amended, 47 U.S.C. §§ 214(a), 214(c), and sections 63.03-04, 63.18 and 63.24 of the Commission’s rules, 47 CFR §§ 63.03-04, 63.18 </w:t>
      </w:r>
      <w:r w:rsidRPr="00920840" w:rsidR="00117280">
        <w:rPr>
          <w:szCs w:val="22"/>
        </w:rPr>
        <w:t xml:space="preserve">and </w:t>
      </w:r>
      <w:r w:rsidRPr="00920840" w:rsidR="000E03AA">
        <w:rPr>
          <w:szCs w:val="22"/>
        </w:rPr>
        <w:t xml:space="preserve">63.24, and pursuant to the authority delegated under sections 0.51, 0.91, 0.261 and 0.291 of the Commission’s rules, 47 CFR §§ 0.51, 0.91, 0.261 and 0.291, we grant the </w:t>
      </w:r>
      <w:r w:rsidRPr="00920840" w:rsidR="006D7664">
        <w:rPr>
          <w:szCs w:val="22"/>
        </w:rPr>
        <w:t>Application</w:t>
      </w:r>
      <w:r w:rsidRPr="00920840" w:rsidR="00BD4554">
        <w:rPr>
          <w:szCs w:val="22"/>
        </w:rPr>
        <w:t>s</w:t>
      </w:r>
      <w:r w:rsidRPr="00920840" w:rsidR="000E03AA">
        <w:rPr>
          <w:szCs w:val="22"/>
        </w:rPr>
        <w:t xml:space="preserve"> listed in </w:t>
      </w:r>
      <w:r w:rsidRPr="00920840" w:rsidR="00117280">
        <w:rPr>
          <w:szCs w:val="22"/>
        </w:rPr>
        <w:t xml:space="preserve">Attachment A to </w:t>
      </w:r>
      <w:r w:rsidRPr="00920840" w:rsidR="000E03AA">
        <w:rPr>
          <w:szCs w:val="22"/>
        </w:rPr>
        <w:t>this Public Notice.</w:t>
      </w:r>
    </w:p>
    <w:p w:rsidR="00192C5C" w:rsidRPr="00920840" w:rsidP="0001432C" w14:paraId="45A4A424" w14:textId="77777777">
      <w:pPr>
        <w:widowControl/>
        <w:autoSpaceDE w:val="0"/>
        <w:autoSpaceDN w:val="0"/>
        <w:adjustRightInd w:val="0"/>
        <w:ind w:firstLine="720"/>
        <w:rPr>
          <w:szCs w:val="22"/>
        </w:rPr>
      </w:pPr>
      <w:r w:rsidRPr="00920840">
        <w:rPr>
          <w:szCs w:val="22"/>
        </w:rPr>
        <w:t xml:space="preserve"> </w:t>
      </w:r>
    </w:p>
    <w:p w:rsidR="00192C5C" w:rsidRPr="00920840" w:rsidP="0001432C" w14:paraId="5839D1F1" w14:textId="77777777">
      <w:pPr>
        <w:widowControl/>
        <w:ind w:firstLine="720"/>
        <w:rPr>
          <w:color w:val="000000"/>
          <w:szCs w:val="22"/>
        </w:rPr>
      </w:pPr>
      <w:r w:rsidRPr="00920840">
        <w:rPr>
          <w:color w:val="000000"/>
          <w:szCs w:val="22"/>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01432C" w:rsidRPr="00920840" w:rsidP="0001432C" w14:paraId="3D37F4BA" w14:textId="77777777">
      <w:pPr>
        <w:widowControl/>
        <w:ind w:firstLine="720"/>
        <w:rPr>
          <w:color w:val="000000"/>
          <w:szCs w:val="22"/>
        </w:rPr>
      </w:pPr>
    </w:p>
    <w:p w:rsidR="00A111CC" w:rsidRPr="00920840" w:rsidP="00EF1543" w14:paraId="26B445CF" w14:textId="64CB31FB">
      <w:pPr>
        <w:widowControl/>
        <w:autoSpaceDE w:val="0"/>
        <w:autoSpaceDN w:val="0"/>
        <w:adjustRightInd w:val="0"/>
        <w:spacing w:after="120"/>
        <w:ind w:firstLine="720"/>
        <w:rPr>
          <w:snapToGrid/>
          <w:kern w:val="0"/>
          <w:szCs w:val="2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r w:rsidRPr="00920840">
        <w:rPr>
          <w:snapToGrid/>
          <w:kern w:val="0"/>
          <w:szCs w:val="22"/>
        </w:rPr>
        <w:t xml:space="preserve">For further information, please contact </w:t>
      </w:r>
      <w:r w:rsidRPr="00920840" w:rsidR="00C55498">
        <w:rPr>
          <w:snapToGrid/>
          <w:kern w:val="0"/>
          <w:szCs w:val="22"/>
        </w:rPr>
        <w:t>Dennis Johnson</w:t>
      </w:r>
      <w:r w:rsidRPr="00920840">
        <w:rPr>
          <w:snapToGrid/>
          <w:kern w:val="0"/>
          <w:szCs w:val="22"/>
        </w:rPr>
        <w:t>,</w:t>
      </w:r>
      <w:r w:rsidRPr="00920840">
        <w:rPr>
          <w:szCs w:val="22"/>
        </w:rPr>
        <w:t xml:space="preserve"> Wireline Competition Bureau</w:t>
      </w:r>
      <w:r w:rsidRPr="00920840" w:rsidR="00650D14">
        <w:rPr>
          <w:szCs w:val="22"/>
        </w:rPr>
        <w:t>,</w:t>
      </w:r>
      <w:r w:rsidRPr="00920840" w:rsidR="00037E1A">
        <w:rPr>
          <w:szCs w:val="22"/>
        </w:rPr>
        <w:t xml:space="preserve"> </w:t>
      </w:r>
      <w:hyperlink r:id="rId10" w:history="1">
        <w:r w:rsidRPr="00920840" w:rsidR="00037E1A">
          <w:rPr>
            <w:rStyle w:val="Hyperlink"/>
            <w:szCs w:val="22"/>
          </w:rPr>
          <w:t>dennis.johnson@fcc.gov</w:t>
        </w:r>
      </w:hyperlink>
      <w:r w:rsidRPr="00920840" w:rsidR="00037E1A">
        <w:rPr>
          <w:szCs w:val="22"/>
        </w:rPr>
        <w:t>, or at</w:t>
      </w:r>
      <w:r w:rsidRPr="00920840">
        <w:rPr>
          <w:szCs w:val="22"/>
        </w:rPr>
        <w:t xml:space="preserve"> (202) 418-0</w:t>
      </w:r>
      <w:r w:rsidRPr="00920840" w:rsidR="00FF14CE">
        <w:rPr>
          <w:szCs w:val="22"/>
        </w:rPr>
        <w:t>809</w:t>
      </w:r>
      <w:r w:rsidRPr="00920840" w:rsidR="00F17F28">
        <w:rPr>
          <w:szCs w:val="22"/>
        </w:rPr>
        <w:t xml:space="preserve"> </w:t>
      </w:r>
      <w:r w:rsidRPr="00920840" w:rsidR="009006AB">
        <w:rPr>
          <w:szCs w:val="22"/>
        </w:rPr>
        <w:t xml:space="preserve">or </w:t>
      </w:r>
      <w:r w:rsidRPr="00920840" w:rsidR="00C55498">
        <w:rPr>
          <w:szCs w:val="22"/>
        </w:rPr>
        <w:t>David</w:t>
      </w:r>
      <w:r w:rsidRPr="00920840" w:rsidR="00CB79B7">
        <w:rPr>
          <w:szCs w:val="22"/>
        </w:rPr>
        <w:t xml:space="preserve"> Krech</w:t>
      </w:r>
      <w:r w:rsidRPr="00920840" w:rsidR="00F17F28">
        <w:rPr>
          <w:szCs w:val="22"/>
        </w:rPr>
        <w:t>, International Bureau</w:t>
      </w:r>
      <w:r w:rsidRPr="00920840" w:rsidR="00650D14">
        <w:rPr>
          <w:szCs w:val="22"/>
        </w:rPr>
        <w:t>,</w:t>
      </w:r>
      <w:r w:rsidRPr="00920840" w:rsidR="00F17F28">
        <w:rPr>
          <w:szCs w:val="22"/>
        </w:rPr>
        <w:t xml:space="preserve"> </w:t>
      </w:r>
      <w:hyperlink r:id="rId11" w:history="1">
        <w:r w:rsidRPr="00920840" w:rsidR="00037E1A">
          <w:rPr>
            <w:rStyle w:val="Hyperlink"/>
            <w:szCs w:val="22"/>
          </w:rPr>
          <w:t>david.krech@fcc.gov</w:t>
        </w:r>
      </w:hyperlink>
      <w:r w:rsidRPr="00920840" w:rsidR="00037E1A">
        <w:rPr>
          <w:szCs w:val="22"/>
        </w:rPr>
        <w:t xml:space="preserve">, or at </w:t>
      </w:r>
      <w:r w:rsidRPr="00920840" w:rsidR="00F17F28">
        <w:rPr>
          <w:szCs w:val="22"/>
        </w:rPr>
        <w:t>(202) 418-7</w:t>
      </w:r>
      <w:r w:rsidRPr="00920840" w:rsidR="00530867">
        <w:rPr>
          <w:szCs w:val="22"/>
        </w:rPr>
        <w:t>443</w:t>
      </w:r>
      <w:r w:rsidR="006567E8">
        <w:rPr>
          <w:szCs w:val="22"/>
        </w:rPr>
        <w:t>.</w:t>
      </w:r>
    </w:p>
    <w:p w:rsidR="00930ECF" w:rsidRPr="00920840" w:rsidP="00037E1A" w14:paraId="6CE6DF8D" w14:textId="77777777">
      <w:pPr>
        <w:jc w:val="center"/>
        <w:rPr>
          <w:b/>
          <w:bCs/>
          <w:szCs w:val="22"/>
          <w:u w:val="single"/>
        </w:rPr>
      </w:pPr>
      <w:r w:rsidRPr="00920840">
        <w:rPr>
          <w:b/>
          <w:bCs/>
          <w:szCs w:val="22"/>
          <w:u w:val="single"/>
        </w:rPr>
        <w:t>Attachment A</w:t>
      </w:r>
    </w:p>
    <w:p w:rsidR="00E25C7E" w:rsidRPr="00920840" w:rsidP="00A111CC" w14:paraId="701B1DC1" w14:textId="77777777">
      <w:pPr>
        <w:jc w:val="center"/>
        <w:rPr>
          <w:b/>
          <w:bCs/>
          <w:szCs w:val="22"/>
          <w:u w:val="single"/>
        </w:rPr>
      </w:pPr>
    </w:p>
    <w:p w:rsidR="00E25C7E" w:rsidRPr="00920840" w:rsidP="00E25C7E" w14:paraId="5B5166EE" w14:textId="77777777">
      <w:pPr>
        <w:rPr>
          <w:b/>
          <w:bCs/>
          <w:szCs w:val="22"/>
        </w:rPr>
      </w:pPr>
      <w:r w:rsidRPr="00920840">
        <w:rPr>
          <w:b/>
          <w:bCs/>
          <w:szCs w:val="22"/>
        </w:rPr>
        <w:t>SECTION 214 AUTHORIZATIONS</w:t>
      </w:r>
    </w:p>
    <w:p w:rsidR="00E25C7E" w:rsidRPr="00920840" w:rsidP="00E25C7E" w14:paraId="5CE68F00" w14:textId="77777777">
      <w:pPr>
        <w:rPr>
          <w:b/>
          <w:bCs/>
          <w:szCs w:val="22"/>
        </w:rPr>
      </w:pPr>
    </w:p>
    <w:p w:rsidR="00E25C7E" w:rsidRPr="00920840" w:rsidP="00E25C7E" w14:paraId="1408EB56" w14:textId="6B2D61D7">
      <w:pPr>
        <w:ind w:firstLine="720"/>
        <w:rPr>
          <w:b/>
          <w:bCs/>
          <w:szCs w:val="22"/>
        </w:rPr>
      </w:pPr>
      <w:r w:rsidRPr="00920840">
        <w:rPr>
          <w:b/>
          <w:bCs/>
          <w:szCs w:val="22"/>
        </w:rPr>
        <w:t>A.</w:t>
      </w:r>
      <w:r w:rsidRPr="00920840">
        <w:rPr>
          <w:b/>
          <w:bCs/>
          <w:szCs w:val="22"/>
        </w:rPr>
        <w:tab/>
        <w:t>International</w:t>
      </w:r>
    </w:p>
    <w:p w:rsidR="00FC1BBE" w:rsidRPr="00920840" w:rsidP="00E25C7E" w14:paraId="470F657F" w14:textId="34B5A4A9">
      <w:pPr>
        <w:ind w:firstLine="720"/>
        <w:rPr>
          <w:b/>
          <w:bCs/>
          <w:szCs w:val="22"/>
        </w:rPr>
      </w:pPr>
    </w:p>
    <w:p w:rsidR="00FC1BBE" w:rsidRPr="00920840" w:rsidP="00E25C7E" w14:paraId="377AB3F9" w14:textId="1EC5C12E">
      <w:pPr>
        <w:ind w:firstLine="720"/>
        <w:rPr>
          <w:b/>
          <w:bCs/>
          <w:szCs w:val="22"/>
        </w:rPr>
      </w:pPr>
      <w:r w:rsidRPr="00920840">
        <w:rPr>
          <w:szCs w:val="22"/>
        </w:rPr>
        <w:t>The International Bureau grants the following Applications to transfer control of international section 214 authority:</w:t>
      </w:r>
    </w:p>
    <w:p w:rsidR="00E25C7E" w:rsidRPr="00920840" w:rsidP="00E25C7E" w14:paraId="35391125" w14:textId="77777777">
      <w:pPr>
        <w:rPr>
          <w:b/>
          <w:bCs/>
          <w:szCs w:val="22"/>
        </w:rPr>
      </w:pPr>
    </w:p>
    <w:tbl>
      <w:tblPr>
        <w:tblW w:w="9738" w:type="dxa"/>
        <w:tblLook w:val="01E0"/>
      </w:tblPr>
      <w:tblGrid>
        <w:gridCol w:w="2880"/>
        <w:gridCol w:w="3888"/>
        <w:gridCol w:w="2970"/>
      </w:tblGrid>
      <w:tr w14:paraId="34CE381B" w14:textId="77777777" w:rsidTr="00947CEA">
        <w:tblPrEx>
          <w:tblW w:w="9738" w:type="dxa"/>
          <w:tblLook w:val="01E0"/>
        </w:tblPrEx>
        <w:tc>
          <w:tcPr>
            <w:tcW w:w="2880" w:type="dxa"/>
          </w:tcPr>
          <w:p w:rsidR="00E25C7E" w:rsidRPr="00920840" w:rsidP="00947CEA" w14:paraId="6953762E" w14:textId="77777777">
            <w:pPr>
              <w:rPr>
                <w:b/>
                <w:color w:val="000000"/>
                <w:szCs w:val="22"/>
              </w:rPr>
            </w:pPr>
            <w:r w:rsidRPr="00920840">
              <w:rPr>
                <w:b/>
                <w:color w:val="000000"/>
                <w:szCs w:val="22"/>
                <w:u w:val="single"/>
              </w:rPr>
              <w:t>File Number</w:t>
            </w:r>
          </w:p>
        </w:tc>
        <w:tc>
          <w:tcPr>
            <w:tcW w:w="3888" w:type="dxa"/>
          </w:tcPr>
          <w:p w:rsidR="00E25C7E" w:rsidRPr="00920840" w:rsidP="00947CEA" w14:paraId="41E9B653" w14:textId="77777777">
            <w:pPr>
              <w:rPr>
                <w:b/>
                <w:color w:val="000000"/>
                <w:szCs w:val="22"/>
              </w:rPr>
            </w:pPr>
            <w:r w:rsidRPr="00920840">
              <w:rPr>
                <w:b/>
                <w:color w:val="000000"/>
                <w:szCs w:val="22"/>
                <w:u w:val="single"/>
              </w:rPr>
              <w:t>Authorization Holder</w:t>
            </w:r>
          </w:p>
        </w:tc>
        <w:tc>
          <w:tcPr>
            <w:tcW w:w="2970" w:type="dxa"/>
          </w:tcPr>
          <w:p w:rsidR="00E25C7E" w:rsidRPr="00920840" w:rsidP="00947CEA" w14:paraId="3E047268" w14:textId="77777777">
            <w:pPr>
              <w:rPr>
                <w:b/>
                <w:color w:val="000000"/>
                <w:szCs w:val="22"/>
                <w:u w:val="single"/>
              </w:rPr>
            </w:pPr>
            <w:r w:rsidRPr="00920840">
              <w:rPr>
                <w:b/>
                <w:color w:val="000000"/>
                <w:szCs w:val="22"/>
                <w:u w:val="single"/>
              </w:rPr>
              <w:t>Authorization Number</w:t>
            </w:r>
          </w:p>
          <w:p w:rsidR="00E25C7E" w:rsidRPr="00920840" w:rsidP="00947CEA" w14:paraId="4BA5DAF8" w14:textId="77777777">
            <w:pPr>
              <w:rPr>
                <w:b/>
                <w:color w:val="000000"/>
                <w:szCs w:val="22"/>
                <w:u w:val="single"/>
              </w:rPr>
            </w:pPr>
          </w:p>
        </w:tc>
      </w:tr>
      <w:tr w14:paraId="11F9E599" w14:textId="77777777" w:rsidTr="0078276B">
        <w:tblPrEx>
          <w:tblW w:w="9738" w:type="dxa"/>
          <w:tblLook w:val="01E0"/>
        </w:tblPrEx>
        <w:tc>
          <w:tcPr>
            <w:tcW w:w="2880" w:type="dxa"/>
          </w:tcPr>
          <w:p w:rsidR="0078276B" w:rsidRPr="00920840" w:rsidP="00BF6399" w14:paraId="664B3FBE" w14:textId="77777777">
            <w:pPr>
              <w:rPr>
                <w:bCs/>
                <w:color w:val="000000"/>
                <w:szCs w:val="22"/>
              </w:rPr>
            </w:pPr>
            <w:r w:rsidRPr="00920840">
              <w:rPr>
                <w:bCs/>
                <w:color w:val="000000"/>
                <w:szCs w:val="22"/>
              </w:rPr>
              <w:t>ITC-T/C-20201202-00196</w:t>
            </w:r>
          </w:p>
        </w:tc>
        <w:tc>
          <w:tcPr>
            <w:tcW w:w="3888" w:type="dxa"/>
          </w:tcPr>
          <w:p w:rsidR="0078276B" w:rsidRPr="00920840" w:rsidP="00BF6399" w14:paraId="6FD9575A" w14:textId="77777777">
            <w:pPr>
              <w:rPr>
                <w:bCs/>
                <w:color w:val="000000"/>
                <w:szCs w:val="22"/>
              </w:rPr>
            </w:pPr>
            <w:r w:rsidRPr="00920840">
              <w:rPr>
                <w:bCs/>
                <w:color w:val="000000"/>
                <w:szCs w:val="22"/>
              </w:rPr>
              <w:t>ETS Telephone Company</w:t>
            </w:r>
          </w:p>
        </w:tc>
        <w:tc>
          <w:tcPr>
            <w:tcW w:w="2970" w:type="dxa"/>
          </w:tcPr>
          <w:p w:rsidR="0078276B" w:rsidRPr="00920840" w:rsidP="00BF6399" w14:paraId="7FF91725" w14:textId="77777777">
            <w:pPr>
              <w:rPr>
                <w:bCs/>
                <w:color w:val="000000"/>
                <w:szCs w:val="22"/>
              </w:rPr>
            </w:pPr>
            <w:r w:rsidRPr="00920840">
              <w:rPr>
                <w:bCs/>
                <w:color w:val="000000"/>
                <w:szCs w:val="22"/>
              </w:rPr>
              <w:t>ITC-214-19960311-00007</w:t>
            </w:r>
          </w:p>
        </w:tc>
      </w:tr>
      <w:tr w14:paraId="1EC68772" w14:textId="77777777" w:rsidTr="0078276B">
        <w:tblPrEx>
          <w:tblW w:w="9738" w:type="dxa"/>
          <w:tblLook w:val="01E0"/>
        </w:tblPrEx>
        <w:tc>
          <w:tcPr>
            <w:tcW w:w="2880" w:type="dxa"/>
          </w:tcPr>
          <w:p w:rsidR="0078276B" w:rsidRPr="00920840" w:rsidP="00BF6399" w14:paraId="3AE9DB80" w14:textId="77777777">
            <w:pPr>
              <w:rPr>
                <w:bCs/>
                <w:color w:val="000000"/>
                <w:szCs w:val="22"/>
              </w:rPr>
            </w:pPr>
            <w:r w:rsidRPr="00920840">
              <w:rPr>
                <w:bCs/>
                <w:color w:val="000000"/>
                <w:szCs w:val="22"/>
              </w:rPr>
              <w:t>ITC-T/C-20201202-00197</w:t>
            </w:r>
          </w:p>
        </w:tc>
        <w:tc>
          <w:tcPr>
            <w:tcW w:w="3888" w:type="dxa"/>
          </w:tcPr>
          <w:p w:rsidR="0078276B" w:rsidRPr="00920840" w:rsidP="00BF6399" w14:paraId="38968AD4" w14:textId="77777777">
            <w:pPr>
              <w:rPr>
                <w:bCs/>
                <w:color w:val="000000"/>
                <w:szCs w:val="22"/>
              </w:rPr>
            </w:pPr>
            <w:r w:rsidRPr="00920840">
              <w:rPr>
                <w:bCs/>
                <w:color w:val="000000"/>
                <w:szCs w:val="22"/>
              </w:rPr>
              <w:t>Astound Broadband, LLC</w:t>
            </w:r>
          </w:p>
        </w:tc>
        <w:tc>
          <w:tcPr>
            <w:tcW w:w="2970" w:type="dxa"/>
          </w:tcPr>
          <w:p w:rsidR="0078276B" w:rsidRPr="00920840" w:rsidP="00BF6399" w14:paraId="0258ABE1" w14:textId="77777777">
            <w:pPr>
              <w:rPr>
                <w:bCs/>
                <w:color w:val="000000"/>
                <w:szCs w:val="22"/>
              </w:rPr>
            </w:pPr>
            <w:r w:rsidRPr="00920840">
              <w:rPr>
                <w:bCs/>
                <w:color w:val="000000"/>
                <w:szCs w:val="22"/>
              </w:rPr>
              <w:t>ITC-214-20050701-00565</w:t>
            </w:r>
          </w:p>
        </w:tc>
      </w:tr>
      <w:tr w14:paraId="0EC8D0A3" w14:textId="77777777" w:rsidTr="0078276B">
        <w:tblPrEx>
          <w:tblW w:w="9738" w:type="dxa"/>
          <w:tblLook w:val="01E0"/>
        </w:tblPrEx>
        <w:tc>
          <w:tcPr>
            <w:tcW w:w="2880" w:type="dxa"/>
          </w:tcPr>
          <w:p w:rsidR="0078276B" w:rsidRPr="00920840" w:rsidP="00BF6399" w14:paraId="4146D671" w14:textId="77777777">
            <w:pPr>
              <w:rPr>
                <w:bCs/>
                <w:color w:val="000000"/>
                <w:szCs w:val="22"/>
              </w:rPr>
            </w:pPr>
            <w:r w:rsidRPr="00920840">
              <w:rPr>
                <w:bCs/>
                <w:color w:val="000000"/>
                <w:szCs w:val="22"/>
              </w:rPr>
              <w:t>ITC-T/C-20201202-00198</w:t>
            </w:r>
          </w:p>
        </w:tc>
        <w:tc>
          <w:tcPr>
            <w:tcW w:w="3888" w:type="dxa"/>
          </w:tcPr>
          <w:p w:rsidR="0078276B" w:rsidRPr="00920840" w:rsidP="00BF6399" w14:paraId="559D761B" w14:textId="77777777">
            <w:pPr>
              <w:rPr>
                <w:bCs/>
                <w:color w:val="000000"/>
                <w:szCs w:val="22"/>
              </w:rPr>
            </w:pPr>
            <w:r w:rsidRPr="00920840">
              <w:rPr>
                <w:bCs/>
                <w:color w:val="000000"/>
                <w:szCs w:val="22"/>
              </w:rPr>
              <w:t>RCN Telecom Services of Illinois, LLC</w:t>
            </w:r>
          </w:p>
        </w:tc>
        <w:tc>
          <w:tcPr>
            <w:tcW w:w="2970" w:type="dxa"/>
          </w:tcPr>
          <w:p w:rsidR="0078276B" w:rsidRPr="00920840" w:rsidP="00BF6399" w14:paraId="14C8C779" w14:textId="77777777">
            <w:pPr>
              <w:rPr>
                <w:bCs/>
                <w:color w:val="000000"/>
                <w:szCs w:val="22"/>
              </w:rPr>
            </w:pPr>
            <w:r w:rsidRPr="00920840">
              <w:rPr>
                <w:bCs/>
                <w:color w:val="000000"/>
                <w:szCs w:val="22"/>
              </w:rPr>
              <w:t>ITC-214-19980731-00532</w:t>
            </w:r>
          </w:p>
          <w:p w:rsidR="0078276B" w:rsidRPr="00920840" w:rsidP="00BF6399" w14:paraId="75992261" w14:textId="77777777">
            <w:pPr>
              <w:rPr>
                <w:bCs/>
                <w:color w:val="000000"/>
                <w:szCs w:val="22"/>
              </w:rPr>
            </w:pPr>
          </w:p>
        </w:tc>
      </w:tr>
      <w:tr w14:paraId="44C54B55" w14:textId="77777777" w:rsidTr="0078276B">
        <w:tblPrEx>
          <w:tblW w:w="9738" w:type="dxa"/>
          <w:tblLook w:val="01E0"/>
        </w:tblPrEx>
        <w:tc>
          <w:tcPr>
            <w:tcW w:w="2880" w:type="dxa"/>
          </w:tcPr>
          <w:p w:rsidR="0078276B" w:rsidRPr="00920840" w:rsidP="00BF6399" w14:paraId="48F8B82F" w14:textId="77777777">
            <w:pPr>
              <w:rPr>
                <w:bCs/>
                <w:color w:val="000000"/>
                <w:szCs w:val="22"/>
              </w:rPr>
            </w:pPr>
            <w:r w:rsidRPr="00920840">
              <w:rPr>
                <w:bCs/>
                <w:color w:val="000000"/>
                <w:szCs w:val="22"/>
              </w:rPr>
              <w:t>ITC-T/C-20201202-00199</w:t>
            </w:r>
          </w:p>
        </w:tc>
        <w:tc>
          <w:tcPr>
            <w:tcW w:w="3888" w:type="dxa"/>
          </w:tcPr>
          <w:p w:rsidR="0078276B" w:rsidRPr="00920840" w:rsidP="00BF6399" w14:paraId="08BEBB0B" w14:textId="77777777">
            <w:pPr>
              <w:rPr>
                <w:bCs/>
                <w:color w:val="000000"/>
                <w:szCs w:val="22"/>
              </w:rPr>
            </w:pPr>
            <w:r w:rsidRPr="00920840">
              <w:rPr>
                <w:bCs/>
                <w:color w:val="000000"/>
                <w:szCs w:val="22"/>
              </w:rPr>
              <w:t>Starpower Communications, LLC</w:t>
            </w:r>
          </w:p>
        </w:tc>
        <w:tc>
          <w:tcPr>
            <w:tcW w:w="2970" w:type="dxa"/>
          </w:tcPr>
          <w:p w:rsidR="0078276B" w:rsidRPr="00920840" w:rsidP="00BF6399" w14:paraId="181A51EA" w14:textId="77777777">
            <w:pPr>
              <w:rPr>
                <w:bCs/>
                <w:color w:val="000000"/>
                <w:szCs w:val="22"/>
              </w:rPr>
            </w:pPr>
            <w:r w:rsidRPr="00920840">
              <w:rPr>
                <w:bCs/>
                <w:color w:val="000000"/>
                <w:szCs w:val="22"/>
              </w:rPr>
              <w:t>ITC-214-19980116-00024</w:t>
            </w:r>
          </w:p>
        </w:tc>
      </w:tr>
      <w:tr w14:paraId="187CD73D" w14:textId="77777777" w:rsidTr="0078276B">
        <w:tblPrEx>
          <w:tblW w:w="9738" w:type="dxa"/>
          <w:tblLook w:val="01E0"/>
        </w:tblPrEx>
        <w:tc>
          <w:tcPr>
            <w:tcW w:w="2880" w:type="dxa"/>
          </w:tcPr>
          <w:p w:rsidR="0078276B" w:rsidRPr="00920840" w:rsidP="00BF6399" w14:paraId="5FE7E71A" w14:textId="77777777">
            <w:pPr>
              <w:rPr>
                <w:bCs/>
                <w:color w:val="000000"/>
                <w:szCs w:val="22"/>
              </w:rPr>
            </w:pPr>
            <w:r w:rsidRPr="00920840">
              <w:rPr>
                <w:bCs/>
                <w:color w:val="000000"/>
                <w:szCs w:val="22"/>
              </w:rPr>
              <w:t>ITC-T/C-20201202-00200</w:t>
            </w:r>
          </w:p>
        </w:tc>
        <w:tc>
          <w:tcPr>
            <w:tcW w:w="3888" w:type="dxa"/>
          </w:tcPr>
          <w:p w:rsidR="0078276B" w:rsidRPr="00920840" w:rsidP="00BF6399" w14:paraId="5E99A783" w14:textId="77777777">
            <w:pPr>
              <w:rPr>
                <w:bCs/>
                <w:color w:val="000000"/>
                <w:szCs w:val="22"/>
              </w:rPr>
            </w:pPr>
            <w:r w:rsidRPr="00920840">
              <w:rPr>
                <w:bCs/>
                <w:color w:val="000000"/>
                <w:szCs w:val="22"/>
              </w:rPr>
              <w:t>Grande Communications Networks, LLC</w:t>
            </w:r>
          </w:p>
        </w:tc>
        <w:tc>
          <w:tcPr>
            <w:tcW w:w="2970" w:type="dxa"/>
          </w:tcPr>
          <w:p w:rsidR="0078276B" w:rsidRPr="00920840" w:rsidP="00BF6399" w14:paraId="47BC28FA" w14:textId="77777777">
            <w:pPr>
              <w:rPr>
                <w:bCs/>
                <w:color w:val="000000"/>
                <w:szCs w:val="22"/>
              </w:rPr>
            </w:pPr>
            <w:r w:rsidRPr="00920840">
              <w:rPr>
                <w:bCs/>
                <w:color w:val="000000"/>
                <w:szCs w:val="22"/>
              </w:rPr>
              <w:t>ITC-214-20001108-00651</w:t>
            </w:r>
          </w:p>
        </w:tc>
      </w:tr>
      <w:tr w14:paraId="1D1D33BD" w14:textId="77777777" w:rsidTr="0078276B">
        <w:tblPrEx>
          <w:tblW w:w="9738" w:type="dxa"/>
          <w:tblLook w:val="01E0"/>
        </w:tblPrEx>
        <w:tc>
          <w:tcPr>
            <w:tcW w:w="2880" w:type="dxa"/>
          </w:tcPr>
          <w:p w:rsidR="0078276B" w:rsidRPr="00920840" w:rsidP="00BF6399" w14:paraId="0859FF87" w14:textId="77777777">
            <w:pPr>
              <w:rPr>
                <w:bCs/>
                <w:color w:val="000000"/>
                <w:szCs w:val="22"/>
              </w:rPr>
            </w:pPr>
            <w:r w:rsidRPr="00920840">
              <w:rPr>
                <w:bCs/>
                <w:color w:val="000000"/>
                <w:szCs w:val="22"/>
              </w:rPr>
              <w:t>ITC-T/C-20201202-00201</w:t>
            </w:r>
          </w:p>
        </w:tc>
        <w:tc>
          <w:tcPr>
            <w:tcW w:w="3888" w:type="dxa"/>
          </w:tcPr>
          <w:p w:rsidR="0078276B" w:rsidRPr="00920840" w:rsidP="00BF6399" w14:paraId="7FAC92A4" w14:textId="77777777">
            <w:pPr>
              <w:rPr>
                <w:bCs/>
                <w:color w:val="000000"/>
                <w:szCs w:val="22"/>
              </w:rPr>
            </w:pPr>
            <w:r w:rsidRPr="00920840">
              <w:rPr>
                <w:bCs/>
                <w:color w:val="000000"/>
                <w:szCs w:val="22"/>
              </w:rPr>
              <w:t>RCN Telecom Services (Lehigh) LLC</w:t>
            </w:r>
          </w:p>
        </w:tc>
        <w:tc>
          <w:tcPr>
            <w:tcW w:w="2970" w:type="dxa"/>
          </w:tcPr>
          <w:p w:rsidR="00E82606" w:rsidRPr="00920840" w:rsidP="00BF6399" w14:paraId="1A828B0D" w14:textId="77777777">
            <w:pPr>
              <w:rPr>
                <w:bCs/>
                <w:color w:val="000000"/>
                <w:szCs w:val="22"/>
              </w:rPr>
            </w:pPr>
            <w:r w:rsidRPr="00920840">
              <w:rPr>
                <w:bCs/>
                <w:color w:val="000000"/>
                <w:szCs w:val="22"/>
              </w:rPr>
              <w:t>ITC-214-19961004-00490 ITC-214-19970717-00411 ITC-214-19970723-00430 ITC-214-19981002-00679</w:t>
            </w:r>
          </w:p>
        </w:tc>
      </w:tr>
      <w:tr w14:paraId="2CDA67EC" w14:textId="77777777" w:rsidTr="0078276B">
        <w:tblPrEx>
          <w:tblW w:w="9738" w:type="dxa"/>
          <w:tblLook w:val="01E0"/>
        </w:tblPrEx>
        <w:tc>
          <w:tcPr>
            <w:tcW w:w="2880" w:type="dxa"/>
          </w:tcPr>
          <w:p w:rsidR="0078276B" w:rsidRPr="00920840" w:rsidP="00BF6399" w14:paraId="04568E1D" w14:textId="77777777">
            <w:pPr>
              <w:rPr>
                <w:bCs/>
                <w:color w:val="000000"/>
                <w:szCs w:val="22"/>
              </w:rPr>
            </w:pPr>
            <w:r w:rsidRPr="00920840">
              <w:rPr>
                <w:bCs/>
                <w:color w:val="000000"/>
                <w:szCs w:val="22"/>
              </w:rPr>
              <w:t>ITC-T/C-20121202-00202</w:t>
            </w:r>
          </w:p>
        </w:tc>
        <w:tc>
          <w:tcPr>
            <w:tcW w:w="3888" w:type="dxa"/>
          </w:tcPr>
          <w:p w:rsidR="0078276B" w:rsidRPr="00920840" w:rsidP="00BF6399" w14:paraId="0796A7B6" w14:textId="77777777">
            <w:pPr>
              <w:rPr>
                <w:bCs/>
                <w:color w:val="000000"/>
                <w:szCs w:val="22"/>
              </w:rPr>
            </w:pPr>
            <w:r w:rsidRPr="00920840">
              <w:rPr>
                <w:bCs/>
                <w:color w:val="000000"/>
                <w:szCs w:val="22"/>
              </w:rPr>
              <w:t>RCN Telecom Services of Philadelphia, LLC</w:t>
            </w:r>
          </w:p>
        </w:tc>
        <w:tc>
          <w:tcPr>
            <w:tcW w:w="2970" w:type="dxa"/>
          </w:tcPr>
          <w:p w:rsidR="0078276B" w:rsidRPr="00920840" w:rsidP="00BF6399" w14:paraId="39AC94EF" w14:textId="77777777">
            <w:pPr>
              <w:rPr>
                <w:bCs/>
                <w:color w:val="000000"/>
                <w:szCs w:val="22"/>
              </w:rPr>
            </w:pPr>
            <w:r w:rsidRPr="00920840">
              <w:rPr>
                <w:bCs/>
                <w:color w:val="000000"/>
                <w:szCs w:val="22"/>
              </w:rPr>
              <w:t>ITC-214-19970707-00379</w:t>
            </w:r>
          </w:p>
        </w:tc>
      </w:tr>
      <w:tr w14:paraId="66E3566D" w14:textId="77777777" w:rsidTr="0078276B">
        <w:tblPrEx>
          <w:tblW w:w="9738" w:type="dxa"/>
          <w:tblLook w:val="01E0"/>
        </w:tblPrEx>
        <w:tc>
          <w:tcPr>
            <w:tcW w:w="2880" w:type="dxa"/>
          </w:tcPr>
          <w:p w:rsidR="0078276B" w:rsidRPr="00920840" w:rsidP="00BF6399" w14:paraId="51D18D11" w14:textId="77777777">
            <w:pPr>
              <w:rPr>
                <w:bCs/>
                <w:color w:val="000000"/>
                <w:szCs w:val="22"/>
              </w:rPr>
            </w:pPr>
            <w:r w:rsidRPr="00920840">
              <w:rPr>
                <w:bCs/>
                <w:color w:val="000000"/>
                <w:szCs w:val="22"/>
              </w:rPr>
              <w:t>ITC-T/C-20201212-00203</w:t>
            </w:r>
          </w:p>
        </w:tc>
        <w:tc>
          <w:tcPr>
            <w:tcW w:w="3888" w:type="dxa"/>
          </w:tcPr>
          <w:p w:rsidR="0078276B" w:rsidRPr="00920840" w:rsidP="00BF6399" w14:paraId="6F1DB830" w14:textId="77777777">
            <w:pPr>
              <w:rPr>
                <w:bCs/>
                <w:color w:val="000000"/>
                <w:szCs w:val="22"/>
              </w:rPr>
            </w:pPr>
            <w:r w:rsidRPr="00920840">
              <w:rPr>
                <w:bCs/>
                <w:color w:val="000000"/>
                <w:szCs w:val="22"/>
              </w:rPr>
              <w:t>RCN Telecom Services of New York, LP</w:t>
            </w:r>
          </w:p>
        </w:tc>
        <w:tc>
          <w:tcPr>
            <w:tcW w:w="2970" w:type="dxa"/>
          </w:tcPr>
          <w:p w:rsidR="0078276B" w:rsidRPr="00920840" w:rsidP="00BF6399" w14:paraId="623002AB" w14:textId="77777777">
            <w:pPr>
              <w:rPr>
                <w:bCs/>
                <w:color w:val="000000"/>
                <w:szCs w:val="22"/>
              </w:rPr>
            </w:pPr>
            <w:r w:rsidRPr="00920840">
              <w:rPr>
                <w:bCs/>
                <w:color w:val="000000"/>
                <w:szCs w:val="22"/>
              </w:rPr>
              <w:t>ITC-214-19970707-00384</w:t>
            </w:r>
          </w:p>
        </w:tc>
      </w:tr>
      <w:tr w14:paraId="7C7CB245" w14:textId="77777777" w:rsidTr="0078276B">
        <w:tblPrEx>
          <w:tblW w:w="9738" w:type="dxa"/>
          <w:tblLook w:val="01E0"/>
        </w:tblPrEx>
        <w:tc>
          <w:tcPr>
            <w:tcW w:w="2880" w:type="dxa"/>
          </w:tcPr>
          <w:p w:rsidR="0078276B" w:rsidRPr="00920840" w:rsidP="00BF6399" w14:paraId="3A777A8D" w14:textId="77777777">
            <w:pPr>
              <w:rPr>
                <w:bCs/>
                <w:color w:val="000000"/>
                <w:szCs w:val="22"/>
              </w:rPr>
            </w:pPr>
            <w:r w:rsidRPr="00920840">
              <w:rPr>
                <w:bCs/>
                <w:color w:val="000000"/>
                <w:szCs w:val="22"/>
              </w:rPr>
              <w:t>ITC-T/C-20201212-00205</w:t>
            </w:r>
          </w:p>
        </w:tc>
        <w:tc>
          <w:tcPr>
            <w:tcW w:w="3888" w:type="dxa"/>
          </w:tcPr>
          <w:p w:rsidR="0078276B" w:rsidRPr="00920840" w:rsidP="00BF6399" w14:paraId="14A53CBB" w14:textId="77777777">
            <w:pPr>
              <w:rPr>
                <w:bCs/>
                <w:color w:val="000000"/>
                <w:szCs w:val="22"/>
              </w:rPr>
            </w:pPr>
            <w:r w:rsidRPr="00920840">
              <w:rPr>
                <w:bCs/>
                <w:color w:val="000000"/>
                <w:szCs w:val="22"/>
              </w:rPr>
              <w:t>Astound Phone Services, LLC</w:t>
            </w:r>
          </w:p>
        </w:tc>
        <w:tc>
          <w:tcPr>
            <w:tcW w:w="2970" w:type="dxa"/>
          </w:tcPr>
          <w:p w:rsidR="0078276B" w:rsidRPr="00920840" w:rsidP="00BF6399" w14:paraId="22178CAE" w14:textId="77777777">
            <w:pPr>
              <w:rPr>
                <w:bCs/>
                <w:color w:val="000000"/>
                <w:szCs w:val="22"/>
              </w:rPr>
            </w:pPr>
            <w:r w:rsidRPr="00920840">
              <w:rPr>
                <w:bCs/>
                <w:color w:val="000000"/>
                <w:szCs w:val="22"/>
              </w:rPr>
              <w:t>ITC-214-20171016-00172</w:t>
            </w:r>
          </w:p>
        </w:tc>
      </w:tr>
      <w:tr w14:paraId="54C5C0EB" w14:textId="77777777" w:rsidTr="0078276B">
        <w:tblPrEx>
          <w:tblW w:w="9738" w:type="dxa"/>
          <w:tblLook w:val="01E0"/>
        </w:tblPrEx>
        <w:tc>
          <w:tcPr>
            <w:tcW w:w="2880" w:type="dxa"/>
          </w:tcPr>
          <w:p w:rsidR="0078276B" w:rsidRPr="00920840" w:rsidP="00BF6399" w14:paraId="56CFF0B5" w14:textId="77777777">
            <w:pPr>
              <w:rPr>
                <w:bCs/>
                <w:color w:val="000000"/>
                <w:szCs w:val="22"/>
              </w:rPr>
            </w:pPr>
            <w:r w:rsidRPr="00920840">
              <w:rPr>
                <w:bCs/>
                <w:color w:val="000000"/>
                <w:szCs w:val="22"/>
              </w:rPr>
              <w:t>ITC-T/C-20201202-00206</w:t>
            </w:r>
          </w:p>
        </w:tc>
        <w:tc>
          <w:tcPr>
            <w:tcW w:w="3888" w:type="dxa"/>
          </w:tcPr>
          <w:p w:rsidR="0078276B" w:rsidRPr="00920840" w:rsidP="00BF6399" w14:paraId="02524279" w14:textId="77777777">
            <w:pPr>
              <w:rPr>
                <w:bCs/>
                <w:color w:val="000000"/>
                <w:szCs w:val="22"/>
              </w:rPr>
            </w:pPr>
            <w:r w:rsidRPr="00920840">
              <w:rPr>
                <w:bCs/>
                <w:color w:val="000000"/>
                <w:szCs w:val="22"/>
              </w:rPr>
              <w:t>RCN Telecom Services of Massachusetts, Inc.</w:t>
            </w:r>
          </w:p>
        </w:tc>
        <w:tc>
          <w:tcPr>
            <w:tcW w:w="2970" w:type="dxa"/>
          </w:tcPr>
          <w:p w:rsidR="0064627D" w:rsidRPr="00920840" w:rsidP="00BF6399" w14:paraId="28CCD2F5" w14:textId="36A2B195">
            <w:pPr>
              <w:rPr>
                <w:bCs/>
                <w:color w:val="000000"/>
                <w:szCs w:val="22"/>
              </w:rPr>
            </w:pPr>
            <w:r w:rsidRPr="00920840">
              <w:rPr>
                <w:bCs/>
                <w:color w:val="000000"/>
                <w:szCs w:val="22"/>
              </w:rPr>
              <w:t>ITC-214-19971027-00661</w:t>
            </w:r>
          </w:p>
        </w:tc>
      </w:tr>
      <w:tr w14:paraId="31CE09F6" w14:textId="77777777" w:rsidTr="0078276B">
        <w:tblPrEx>
          <w:tblW w:w="9738" w:type="dxa"/>
          <w:tblLook w:val="01E0"/>
        </w:tblPrEx>
        <w:tc>
          <w:tcPr>
            <w:tcW w:w="2880" w:type="dxa"/>
          </w:tcPr>
          <w:p w:rsidR="0064627D" w:rsidRPr="00920840" w:rsidP="0064627D" w14:paraId="1B1B5135" w14:textId="221EC61D">
            <w:pPr>
              <w:rPr>
                <w:bCs/>
                <w:color w:val="000000"/>
                <w:szCs w:val="22"/>
              </w:rPr>
            </w:pPr>
            <w:r w:rsidRPr="00920840">
              <w:rPr>
                <w:szCs w:val="22"/>
              </w:rPr>
              <w:t>ITC-T/C-20210401-00065</w:t>
            </w:r>
          </w:p>
        </w:tc>
        <w:tc>
          <w:tcPr>
            <w:tcW w:w="3888" w:type="dxa"/>
          </w:tcPr>
          <w:p w:rsidR="0064627D" w:rsidRPr="00920840" w:rsidP="0064627D" w14:paraId="0207261D" w14:textId="2D1E1586">
            <w:pPr>
              <w:rPr>
                <w:bCs/>
                <w:color w:val="000000"/>
                <w:szCs w:val="22"/>
              </w:rPr>
            </w:pPr>
            <w:r w:rsidRPr="00920840">
              <w:rPr>
                <w:szCs w:val="22"/>
              </w:rPr>
              <w:t>Norcast Communications Corporation</w:t>
            </w:r>
          </w:p>
        </w:tc>
        <w:tc>
          <w:tcPr>
            <w:tcW w:w="2970" w:type="dxa"/>
          </w:tcPr>
          <w:p w:rsidR="0064627D" w:rsidRPr="00920840" w:rsidP="0064627D" w14:paraId="674DE16D" w14:textId="254301BC">
            <w:pPr>
              <w:rPr>
                <w:bCs/>
                <w:color w:val="000000"/>
                <w:szCs w:val="22"/>
              </w:rPr>
            </w:pPr>
            <w:r w:rsidRPr="00920840">
              <w:rPr>
                <w:szCs w:val="22"/>
              </w:rPr>
              <w:t>ITC-214-20030410-00183</w:t>
            </w:r>
          </w:p>
        </w:tc>
      </w:tr>
      <w:tr w14:paraId="31CCC1A9" w14:textId="77777777" w:rsidTr="0078276B">
        <w:tblPrEx>
          <w:tblW w:w="9738" w:type="dxa"/>
          <w:tblLook w:val="01E0"/>
        </w:tblPrEx>
        <w:tc>
          <w:tcPr>
            <w:tcW w:w="2880" w:type="dxa"/>
          </w:tcPr>
          <w:p w:rsidR="0064627D" w:rsidRPr="00920840" w:rsidP="0064627D" w14:paraId="513A86E3" w14:textId="27A48AA1">
            <w:pPr>
              <w:rPr>
                <w:bCs/>
                <w:color w:val="000000"/>
                <w:szCs w:val="22"/>
              </w:rPr>
            </w:pPr>
            <w:r w:rsidRPr="00920840">
              <w:rPr>
                <w:szCs w:val="22"/>
              </w:rPr>
              <w:t>ITC-T/C-20210401-00066</w:t>
            </w:r>
          </w:p>
        </w:tc>
        <w:tc>
          <w:tcPr>
            <w:tcW w:w="3888" w:type="dxa"/>
          </w:tcPr>
          <w:p w:rsidR="0064627D" w:rsidRPr="00920840" w:rsidP="0064627D" w14:paraId="4D558722" w14:textId="75AFE1EE">
            <w:pPr>
              <w:rPr>
                <w:bCs/>
                <w:color w:val="000000"/>
                <w:szCs w:val="22"/>
              </w:rPr>
            </w:pPr>
            <w:r w:rsidRPr="00920840">
              <w:rPr>
                <w:szCs w:val="22"/>
              </w:rPr>
              <w:t>Blue Rooster Telecom, Inc.</w:t>
            </w:r>
          </w:p>
        </w:tc>
        <w:tc>
          <w:tcPr>
            <w:tcW w:w="2970" w:type="dxa"/>
          </w:tcPr>
          <w:p w:rsidR="0064627D" w:rsidRPr="00920840" w:rsidP="0064627D" w14:paraId="652E06EE" w14:textId="4CD3C6CD">
            <w:pPr>
              <w:rPr>
                <w:bCs/>
                <w:color w:val="000000"/>
                <w:szCs w:val="22"/>
              </w:rPr>
            </w:pPr>
            <w:r w:rsidRPr="00920840">
              <w:rPr>
                <w:szCs w:val="22"/>
              </w:rPr>
              <w:t>ITC-214-20100317-00112</w:t>
            </w:r>
          </w:p>
        </w:tc>
      </w:tr>
    </w:tbl>
    <w:p w:rsidR="0078276B" w:rsidRPr="00920840" w:rsidP="0078276B" w14:paraId="4186E5E4" w14:textId="77777777">
      <w:pPr>
        <w:rPr>
          <w:b/>
          <w:bCs/>
          <w:szCs w:val="22"/>
        </w:rPr>
      </w:pPr>
    </w:p>
    <w:p w:rsidR="00E25C7E" w:rsidRPr="00920840" w:rsidP="00E25C7E" w14:paraId="6F2E3298" w14:textId="77777777">
      <w:pPr>
        <w:ind w:firstLine="720"/>
        <w:rPr>
          <w:b/>
          <w:bCs/>
          <w:szCs w:val="22"/>
        </w:rPr>
      </w:pPr>
      <w:r w:rsidRPr="00920840">
        <w:rPr>
          <w:b/>
          <w:bCs/>
          <w:szCs w:val="22"/>
        </w:rPr>
        <w:t>B.</w:t>
      </w:r>
      <w:r w:rsidRPr="00920840">
        <w:rPr>
          <w:b/>
          <w:bCs/>
          <w:szCs w:val="22"/>
        </w:rPr>
        <w:tab/>
        <w:t>Domestic</w:t>
      </w:r>
    </w:p>
    <w:p w:rsidR="00E25C7E" w:rsidRPr="00920840" w:rsidP="00E25C7E" w14:paraId="5A57D818" w14:textId="77777777">
      <w:pPr>
        <w:rPr>
          <w:b/>
          <w:bCs/>
          <w:szCs w:val="22"/>
        </w:rPr>
      </w:pPr>
    </w:p>
    <w:p w:rsidR="00E25C7E" w:rsidRPr="00920840" w:rsidP="00E25C7E" w14:paraId="7709F9B1" w14:textId="77777777">
      <w:pPr>
        <w:ind w:firstLine="720"/>
        <w:rPr>
          <w:snapToGrid/>
          <w:kern w:val="0"/>
          <w:szCs w:val="22"/>
        </w:rPr>
      </w:pPr>
      <w:r w:rsidRPr="00920840">
        <w:rPr>
          <w:szCs w:val="22"/>
        </w:rPr>
        <w:t>The Wireline Competition Bureau grants the</w:t>
      </w:r>
      <w:r w:rsidRPr="00920840" w:rsidR="00A108D1">
        <w:rPr>
          <w:szCs w:val="22"/>
        </w:rPr>
        <w:t xml:space="preserve"> A</w:t>
      </w:r>
      <w:r w:rsidRPr="00920840">
        <w:rPr>
          <w:szCs w:val="22"/>
        </w:rPr>
        <w:t>pplication</w:t>
      </w:r>
      <w:r w:rsidRPr="00920840" w:rsidR="00A108D1">
        <w:rPr>
          <w:szCs w:val="22"/>
        </w:rPr>
        <w:t>s</w:t>
      </w:r>
      <w:r w:rsidRPr="00920840">
        <w:rPr>
          <w:szCs w:val="22"/>
        </w:rPr>
        <w:t xml:space="preserve"> to transfer control of domestic section 214 authority in connection with the </w:t>
      </w:r>
      <w:r w:rsidRPr="00920840" w:rsidR="00114997">
        <w:rPr>
          <w:szCs w:val="22"/>
        </w:rPr>
        <w:t>T</w:t>
      </w:r>
      <w:r w:rsidRPr="00920840">
        <w:rPr>
          <w:szCs w:val="22"/>
        </w:rPr>
        <w:t>ransaction – WC Docket No</w:t>
      </w:r>
      <w:r w:rsidRPr="00920840" w:rsidR="003E4077">
        <w:rPr>
          <w:szCs w:val="22"/>
        </w:rPr>
        <w:t>s</w:t>
      </w:r>
      <w:r w:rsidRPr="00920840">
        <w:rPr>
          <w:szCs w:val="22"/>
        </w:rPr>
        <w:t>. 20-</w:t>
      </w:r>
      <w:r w:rsidRPr="00920840" w:rsidR="006B0677">
        <w:rPr>
          <w:szCs w:val="22"/>
        </w:rPr>
        <w:t>4</w:t>
      </w:r>
      <w:r w:rsidRPr="00920840">
        <w:rPr>
          <w:szCs w:val="22"/>
        </w:rPr>
        <w:t>07</w:t>
      </w:r>
      <w:r w:rsidRPr="00920840" w:rsidR="001C319C">
        <w:rPr>
          <w:szCs w:val="22"/>
        </w:rPr>
        <w:t>,</w:t>
      </w:r>
      <w:r w:rsidRPr="00920840" w:rsidR="00A108D1">
        <w:rPr>
          <w:szCs w:val="22"/>
        </w:rPr>
        <w:t xml:space="preserve"> </w:t>
      </w:r>
      <w:r w:rsidRPr="00920840" w:rsidR="003E4077">
        <w:rPr>
          <w:szCs w:val="22"/>
        </w:rPr>
        <w:t>21-122</w:t>
      </w:r>
      <w:r w:rsidRPr="00920840">
        <w:rPr>
          <w:szCs w:val="22"/>
        </w:rPr>
        <w:t>.</w:t>
      </w:r>
      <w:r>
        <w:rPr>
          <w:snapToGrid/>
          <w:color w:val="000000"/>
          <w:kern w:val="0"/>
          <w:szCs w:val="22"/>
          <w:vertAlign w:val="superscript"/>
        </w:rPr>
        <w:footnoteReference w:id="38"/>
      </w:r>
    </w:p>
    <w:p w:rsidR="00E25C7E" w:rsidRPr="00920840" w:rsidP="00E25C7E" w14:paraId="54BCE77F" w14:textId="77777777">
      <w:pPr>
        <w:rPr>
          <w:b/>
          <w:bCs/>
          <w:szCs w:val="22"/>
        </w:rPr>
      </w:pPr>
    </w:p>
    <w:p w:rsidR="004D646C" w:rsidRPr="00920840" w:rsidP="004D646C" w14:paraId="6E09D810" w14:textId="77777777">
      <w:pPr>
        <w:autoSpaceDE w:val="0"/>
        <w:autoSpaceDN w:val="0"/>
        <w:adjustRightInd w:val="0"/>
        <w:jc w:val="center"/>
        <w:rPr>
          <w:b/>
          <w:szCs w:val="22"/>
        </w:rPr>
      </w:pPr>
    </w:p>
    <w:p w:rsidR="004D646C" w:rsidRPr="00920840" w:rsidP="00B04BB3" w14:paraId="0AB2D15B" w14:textId="77777777">
      <w:pPr>
        <w:autoSpaceDE w:val="0"/>
        <w:autoSpaceDN w:val="0"/>
        <w:adjustRightInd w:val="0"/>
        <w:jc w:val="center"/>
        <w:rPr>
          <w:color w:val="000000"/>
          <w:szCs w:val="22"/>
        </w:rPr>
      </w:pPr>
      <w:r w:rsidRPr="00920840">
        <w:rPr>
          <w:b/>
          <w:szCs w:val="22"/>
        </w:rPr>
        <w:t>-FCC-</w:t>
      </w:r>
    </w:p>
    <w:sectPr w:rsidSect="004D646C">
      <w:headerReference w:type="even" r:id="rId12"/>
      <w:headerReference w:type="default" r:id="rId13"/>
      <w:footerReference w:type="default" r:id="rId14"/>
      <w:headerReference w:type="first" r:id="rId15"/>
      <w:endnotePr>
        <w:numFmt w:val="decimal"/>
      </w:endnotePr>
      <w:pgSz w:w="12240" w:h="15840"/>
      <w:pgMar w:top="1440" w:right="1440" w:bottom="720" w:left="1440" w:header="630" w:footer="720" w:gutter="0"/>
      <w:pgNumType w:fmt="lowerRoman"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P="0055614C" w14:paraId="3E110F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9E434D" w14:paraId="2F7A21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P="00910F12" w14:paraId="0A6F70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1558AF1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25139A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E434D" w:rsidP="00910F12" w14:paraId="7C0ABEA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390F" w14:paraId="2FA253CA" w14:textId="77777777">
      <w:r>
        <w:separator/>
      </w:r>
    </w:p>
  </w:footnote>
  <w:footnote w:type="continuationSeparator" w:id="1">
    <w:p w:rsidR="0066390F" w14:paraId="0A8CB076" w14:textId="77777777">
      <w:pPr>
        <w:rPr>
          <w:sz w:val="20"/>
        </w:rPr>
      </w:pPr>
      <w:r>
        <w:rPr>
          <w:sz w:val="20"/>
        </w:rPr>
        <w:t xml:space="preserve">(Continued from previous page)  </w:t>
      </w:r>
      <w:r>
        <w:rPr>
          <w:sz w:val="20"/>
        </w:rPr>
        <w:separator/>
      </w:r>
    </w:p>
  </w:footnote>
  <w:footnote w:type="continuationNotice" w:id="2">
    <w:p w:rsidR="0066390F" w:rsidP="00910F12" w14:paraId="6E4C74AF" w14:textId="77777777">
      <w:pPr>
        <w:jc w:val="right"/>
        <w:rPr>
          <w:sz w:val="20"/>
        </w:rPr>
      </w:pPr>
      <w:r>
        <w:rPr>
          <w:sz w:val="20"/>
        </w:rPr>
        <w:t>(continued….)</w:t>
      </w:r>
    </w:p>
  </w:footnote>
  <w:footnote w:id="3">
    <w:p w:rsidR="00C666D3" w:rsidRPr="00920840" w14:paraId="759782E3" w14:textId="77777777">
      <w:pPr>
        <w:pStyle w:val="FootnoteText"/>
      </w:pPr>
      <w:r w:rsidRPr="00920840">
        <w:rPr>
          <w:rStyle w:val="FootnoteReference"/>
          <w:sz w:val="20"/>
        </w:rPr>
        <w:footnoteRef/>
      </w:r>
      <w:r w:rsidRPr="00920840">
        <w:t xml:space="preserve"> </w:t>
      </w:r>
      <w:r w:rsidRPr="00920840">
        <w:rPr>
          <w:i/>
        </w:rPr>
        <w:t>See</w:t>
      </w:r>
      <w:r w:rsidRPr="00920840">
        <w:t xml:space="preserve"> 47 U.S.C. § 214; 47 CFR §§ 63.03-04, 63.18, 63.24.  </w:t>
      </w:r>
    </w:p>
  </w:footnote>
  <w:footnote w:id="4">
    <w:p w:rsidR="00FF0B01" w:rsidRPr="00920840" w:rsidP="00FF0B01" w14:paraId="508544A9" w14:textId="4001E6D8">
      <w:pPr>
        <w:pStyle w:val="FootnoteText"/>
      </w:pPr>
      <w:r w:rsidRPr="00920840">
        <w:rPr>
          <w:rStyle w:val="FootnoteReference"/>
          <w:sz w:val="20"/>
        </w:rPr>
        <w:footnoteRef/>
      </w:r>
      <w:r w:rsidRPr="00920840">
        <w:t xml:space="preserve"> </w:t>
      </w:r>
      <w:r w:rsidRPr="00920840" w:rsidR="00C666D3">
        <w:rPr>
          <w:i/>
          <w:iCs/>
        </w:rPr>
        <w:t>See</w:t>
      </w:r>
      <w:r w:rsidRPr="00920840" w:rsidR="00C666D3">
        <w:t xml:space="preserve"> </w:t>
      </w:r>
      <w:r w:rsidRPr="00920840" w:rsidR="00C666D3">
        <w:rPr>
          <w:i/>
          <w:iCs/>
        </w:rPr>
        <w:t>Section 214 Applications Filed for the Transfer of Control of Subsidiaries of Radiate Holdings, L.P. to Stonepeak Associates IV LLC</w:t>
      </w:r>
      <w:r w:rsidRPr="00920840" w:rsidR="00C666D3">
        <w:t xml:space="preserve">, WC Docket No. 20-407, Public Notice, </w:t>
      </w:r>
      <w:r w:rsidRPr="00920840" w:rsidR="002F4A7A">
        <w:t>35 FCC Rcd 14604</w:t>
      </w:r>
      <w:r w:rsidRPr="00920840" w:rsidR="00C666D3">
        <w:t xml:space="preserve"> (WCB/IB 2020) (</w:t>
      </w:r>
      <w:r w:rsidRPr="00920840" w:rsidR="00C666D3">
        <w:rPr>
          <w:i/>
          <w:iCs/>
        </w:rPr>
        <w:t>Radiate/Stonepeak Accepted-for-Filing Public Notice</w:t>
      </w:r>
      <w:r w:rsidRPr="00920840" w:rsidR="00C666D3">
        <w:t xml:space="preserve">); </w:t>
      </w:r>
      <w:r w:rsidRPr="00920840" w:rsidR="00C666D3">
        <w:rPr>
          <w:i/>
          <w:iCs/>
        </w:rPr>
        <w:t>Section 214 Applications Filed for the Transfer of Control of Digital West Subsidiaries of Radiate Holdings, L.P. to Stonepeak Associates IV LLC</w:t>
      </w:r>
      <w:r w:rsidRPr="00920840" w:rsidR="00C666D3">
        <w:t xml:space="preserve">, </w:t>
      </w:r>
      <w:r w:rsidRPr="00920840" w:rsidR="00695EDE">
        <w:t>WC Docket No. 21-122</w:t>
      </w:r>
      <w:r w:rsidRPr="00920840" w:rsidR="00C666D3">
        <w:t xml:space="preserve">, Public Notice, </w:t>
      </w:r>
      <w:r w:rsidRPr="00920840" w:rsidR="001814BA">
        <w:t>36 FCC Rcd 1393</w:t>
      </w:r>
      <w:r w:rsidRPr="00920840" w:rsidR="00695EDE">
        <w:t xml:space="preserve"> </w:t>
      </w:r>
      <w:r w:rsidRPr="00920840" w:rsidR="00C666D3">
        <w:t xml:space="preserve">(WCB/IB 2021).  </w:t>
      </w:r>
      <w:r w:rsidRPr="00920840" w:rsidR="00C666D3">
        <w:rPr>
          <w:i/>
          <w:iCs/>
        </w:rPr>
        <w:t>See</w:t>
      </w:r>
      <w:r w:rsidRPr="00920840" w:rsidR="00C666D3">
        <w:t xml:space="preserve"> </w:t>
      </w:r>
      <w:r w:rsidRPr="00920840" w:rsidR="0044306B">
        <w:rPr>
          <w:i/>
          <w:iCs/>
        </w:rPr>
        <w:t>also</w:t>
      </w:r>
      <w:r w:rsidRPr="00920840" w:rsidR="0044306B">
        <w:t xml:space="preserve"> </w:t>
      </w:r>
      <w:r w:rsidRPr="00920840" w:rsidR="00C666D3">
        <w:t>Section 214 Applications Filed for the Transfer of Control of Subsidiaries of Radiate Holdings, L.P. to Stonepeak Associates IV LLC, WC Docket No. 20-407</w:t>
      </w:r>
      <w:r w:rsidRPr="00920840" w:rsidR="00AE0C86">
        <w:t xml:space="preserve">, File Nos. ITC-T/C-20201202-00196 through 00206 </w:t>
      </w:r>
      <w:r w:rsidRPr="00920840" w:rsidR="00C666D3">
        <w:t xml:space="preserve"> (filed Dec. </w:t>
      </w:r>
      <w:r w:rsidRPr="00920840" w:rsidR="00B81377">
        <w:t>2</w:t>
      </w:r>
      <w:r w:rsidRPr="00920840" w:rsidR="00C666D3">
        <w:t>, 2020) (</w:t>
      </w:r>
      <w:bookmarkStart w:id="0" w:name="_Hlk70947746"/>
      <w:r w:rsidRPr="00920840" w:rsidR="00C666D3">
        <w:t>Radiate-Stonepeak Application</w:t>
      </w:r>
      <w:bookmarkEnd w:id="0"/>
      <w:r w:rsidRPr="00920840" w:rsidR="00C666D3">
        <w:t>); Radiate Holdings, L.P., Transferor, Stonepeak Associates IV LLC, Transferee, Digital West Networks, Inc., Norcast Communications Corporation, and Blue Rooster Telecom, Inc., Licensees, Consolidated Application for Consent to Transfer Control of Section 214 Authority Holders, WC Docket No. 21-122</w:t>
      </w:r>
      <w:r w:rsidRPr="00920840" w:rsidR="00B81377">
        <w:t>, File Nos. ITC-T/C-20210401-00065 and ITC-T/C-20210401-00066</w:t>
      </w:r>
      <w:r w:rsidRPr="00920840" w:rsidR="00C666D3">
        <w:t xml:space="preserve"> (filed Apr. 1, 2021) (</w:t>
      </w:r>
      <w:bookmarkStart w:id="1" w:name="_Hlk70355495"/>
      <w:r w:rsidRPr="00920840" w:rsidR="00D77FF9">
        <w:t>Digital West</w:t>
      </w:r>
      <w:r w:rsidRPr="00920840" w:rsidR="00C666D3">
        <w:t>-Stonepeak Application</w:t>
      </w:r>
      <w:bookmarkEnd w:id="1"/>
      <w:r w:rsidRPr="00920840" w:rsidR="00C666D3">
        <w:t xml:space="preserve">) (together, Applications).  Applicants filed supplements to the </w:t>
      </w:r>
      <w:r w:rsidRPr="00920840" w:rsidR="0073465A">
        <w:t>Radiate</w:t>
      </w:r>
      <w:r w:rsidRPr="00920840" w:rsidR="00C666D3">
        <w:t>-Stonepeak Application on December 23, 2020 and March 11, 2021.  Letter from William M. Wiltshire, Counsel for Stonepeak, and Edward A. Yorkgitis, Jr., Counsel to Radiate Holdings and Authority Holders, to Marlene H. Dortch, Secretary, FCC, WC Docket No. 20-407</w:t>
      </w:r>
      <w:r w:rsidRPr="00920840" w:rsidR="006A3099">
        <w:t>, File Nos. ITC-T/C-20201202-00196 through 00206</w:t>
      </w:r>
      <w:r w:rsidRPr="00920840" w:rsidR="00C666D3">
        <w:t xml:space="preserve"> (filed Dec. 23, 2020) (December 23 Supplemental Letter); Letter from William M. Wiltshire, Counsel for Stonepeak, and Edward A. Yorkgitis, Jr., Counsel to Radiate Holdings and Authority Holders, to Marlene H. Dortch, Secretary, FCC, WC Docket No. 20-407</w:t>
      </w:r>
      <w:r w:rsidRPr="00920840" w:rsidR="006A3099">
        <w:t>, File Nos. ITC-T/C-20201202-00196 through 00206</w:t>
      </w:r>
      <w:r w:rsidRPr="00920840" w:rsidR="00C666D3">
        <w:t xml:space="preserve"> (filed Mar. 11, 2021) (March 11 Supplemental Letter).  As referenced in Attachment A to this Public Notice, Applicants have filed domestic and international section 214 applications.  Applicants also separately filed applications for the transfer of wireless, earth station, and CARS licenses.  </w:t>
      </w:r>
      <w:r w:rsidRPr="00920840" w:rsidR="00C666D3">
        <w:rPr>
          <w:i/>
          <w:iCs/>
        </w:rPr>
        <w:t xml:space="preserve">See </w:t>
      </w:r>
      <w:r w:rsidRPr="00920840" w:rsidR="007331C4">
        <w:t xml:space="preserve">Radiate-Stonepeak </w:t>
      </w:r>
      <w:r w:rsidRPr="00920840" w:rsidR="00C666D3">
        <w:t xml:space="preserve">Application at 19.  Any action on these section 214 applications is without prejudice to Commission action on other related, pending applications.  </w:t>
      </w:r>
    </w:p>
  </w:footnote>
  <w:footnote w:id="5">
    <w:p w:rsidR="00CA6E78" w:rsidRPr="00920840" w:rsidP="00CA6E78" w14:paraId="23A7ED86" w14:textId="77777777">
      <w:pPr>
        <w:pStyle w:val="FootnoteText"/>
      </w:pPr>
      <w:r w:rsidRPr="00920840">
        <w:rPr>
          <w:rStyle w:val="FootnoteReference"/>
          <w:sz w:val="20"/>
        </w:rPr>
        <w:footnoteRef/>
      </w:r>
      <w:r w:rsidRPr="00920840">
        <w:t xml:space="preserve"> </w:t>
      </w:r>
      <w:r w:rsidRPr="00920840" w:rsidR="00A108D1">
        <w:t>Radiate</w:t>
      </w:r>
      <w:r w:rsidRPr="00920840" w:rsidR="00EA353E">
        <w:t>-</w:t>
      </w:r>
      <w:r w:rsidRPr="00920840" w:rsidR="00A108D1">
        <w:t xml:space="preserve">Stonepeak </w:t>
      </w:r>
      <w:r w:rsidRPr="00920840" w:rsidR="00100509">
        <w:t>Application</w:t>
      </w:r>
      <w:r w:rsidRPr="00920840">
        <w:t xml:space="preserve"> at 4.</w:t>
      </w:r>
    </w:p>
  </w:footnote>
  <w:footnote w:id="6">
    <w:p w:rsidR="00CA6E78" w:rsidRPr="00920840" w:rsidP="00CA6E78" w14:paraId="7C4FF742" w14:textId="77777777">
      <w:pPr>
        <w:pStyle w:val="FootnoteText"/>
      </w:pPr>
      <w:r w:rsidRPr="00920840">
        <w:rPr>
          <w:rStyle w:val="FootnoteReference"/>
          <w:sz w:val="20"/>
        </w:rPr>
        <w:footnoteRef/>
      </w:r>
      <w:r w:rsidRPr="00920840">
        <w:t xml:space="preserve"> </w:t>
      </w:r>
      <w:r w:rsidRPr="00920840">
        <w:rPr>
          <w:i/>
          <w:iCs/>
        </w:rPr>
        <w:t>Id.</w:t>
      </w:r>
      <w:r w:rsidRPr="00920840">
        <w:t xml:space="preserve"> at 5.</w:t>
      </w:r>
    </w:p>
  </w:footnote>
  <w:footnote w:id="7">
    <w:p w:rsidR="00CA6E78" w:rsidRPr="00920840" w:rsidP="00CA6E78" w14:paraId="22CD870E" w14:textId="77777777">
      <w:pPr>
        <w:pStyle w:val="FootnoteText"/>
      </w:pPr>
      <w:r w:rsidRPr="00920840">
        <w:rPr>
          <w:rStyle w:val="FootnoteReference"/>
          <w:sz w:val="20"/>
        </w:rPr>
        <w:footnoteRef/>
      </w:r>
      <w:r w:rsidRPr="00920840">
        <w:t xml:space="preserve"> </w:t>
      </w:r>
      <w:r w:rsidRPr="00920840">
        <w:rPr>
          <w:i/>
          <w:iCs/>
        </w:rPr>
        <w:t>Id.</w:t>
      </w:r>
      <w:r w:rsidRPr="00920840">
        <w:t xml:space="preserve">  </w:t>
      </w:r>
    </w:p>
  </w:footnote>
  <w:footnote w:id="8">
    <w:p w:rsidR="00755559" w:rsidRPr="00920840" w:rsidP="00755559" w14:paraId="41C2E31A" w14:textId="650B0D24">
      <w:pPr>
        <w:pStyle w:val="FootnoteText"/>
      </w:pPr>
      <w:r w:rsidRPr="00920840">
        <w:rPr>
          <w:rStyle w:val="FootnoteReference"/>
          <w:sz w:val="20"/>
        </w:rPr>
        <w:footnoteRef/>
      </w:r>
      <w:r w:rsidRPr="00920840">
        <w:t xml:space="preserve"> Digital West-Stonepeak Application at 6.  On October 29 and November 9, 2020, the Bureaus granted the section 214 applications for the acquisition by Radiate Holdings of </w:t>
      </w:r>
      <w:r w:rsidRPr="00920840" w:rsidR="00D77FF9">
        <w:t xml:space="preserve">the </w:t>
      </w:r>
      <w:r w:rsidRPr="00920840">
        <w:t xml:space="preserve">Digital West </w:t>
      </w:r>
      <w:r w:rsidRPr="00920840" w:rsidR="00D77FF9">
        <w:t>Companies</w:t>
      </w:r>
      <w:r w:rsidRPr="00920840">
        <w:t xml:space="preserve">.  </w:t>
      </w:r>
      <w:r w:rsidRPr="00920840">
        <w:rPr>
          <w:i/>
          <w:iCs/>
        </w:rPr>
        <w:t>International Authorizations Granted; Section 214 Applications (47 C.F.R. §§ 63.18, 63.24); Section 310(b) Petitions (47 C.F.R. § 1.5000)</w:t>
      </w:r>
      <w:r w:rsidRPr="00920840">
        <w:t xml:space="preserve">, </w:t>
      </w:r>
      <w:r w:rsidRPr="00920840" w:rsidR="00A44B68">
        <w:t xml:space="preserve">ITC-T/C-20201005-00177 and ITC-T/C-20201005-00178, </w:t>
      </w:r>
      <w:r w:rsidRPr="00920840">
        <w:t xml:space="preserve">Public Notice, </w:t>
      </w:r>
      <w:r w:rsidRPr="00920840" w:rsidR="000354BE">
        <w:t xml:space="preserve">35 FCC Rcd 12007, </w:t>
      </w:r>
      <w:r w:rsidRPr="00920840" w:rsidR="00FC0840">
        <w:t xml:space="preserve">12008-09 </w:t>
      </w:r>
      <w:r w:rsidRPr="00920840">
        <w:t xml:space="preserve">(IB 2020); </w:t>
      </w:r>
      <w:r w:rsidRPr="00920840">
        <w:rPr>
          <w:i/>
          <w:iCs/>
        </w:rPr>
        <w:t>Notice of Domestic Section 214 Authorization Granted</w:t>
      </w:r>
      <w:r w:rsidRPr="00920840">
        <w:t xml:space="preserve">, WC Docket No. 20-325, Public Notice, </w:t>
      </w:r>
      <w:r w:rsidRPr="00920840" w:rsidR="005433E2">
        <w:t>35 FCC Rcd 12806</w:t>
      </w:r>
      <w:r w:rsidRPr="00920840">
        <w:t xml:space="preserve"> (WCB 2020).  On January 20, 2021, Digital West and Radiate Holdings filed a letter updating a pro forma change in ownership structure for the transfer of Digital West to Radiate Holdings.  Letter from John L. Clark, Counsel for Digital West, and Edward A. Yorkgitis, Jr., Counsel for Radiate Holdings, to Marlene Dortch, Secretary, FCC, WC Docket No. 20-325, File Nos. ITC-T/C-20201005-00177; ITC-T/C-20201005-00178 (filed Feb. 1, 2021).  The Digital West transaction </w:t>
      </w:r>
      <w:r w:rsidRPr="00920840" w:rsidR="00D77FF9">
        <w:t xml:space="preserve">in WC Docket No. 20-325 </w:t>
      </w:r>
      <w:r w:rsidRPr="00920840">
        <w:t>closed on January 22, 2021.  Letter from Winafred Brantl, Counsel to Radiate Holdings, to Marlene Dortch, Secretary, FCC, WC Docket No. 20-325, File Nos. ITC-T/C-20201005-00177; ITC-T/C-20201005-00178 (filed Feb. 1, 2021); March 11 Supplemental Letter at 1-2.  The current Applicants have requested approval to transfer control of Digital West to Stonepeak as part of the Transaction</w:t>
      </w:r>
      <w:r w:rsidRPr="00920840" w:rsidR="00D77FF9">
        <w:t xml:space="preserve">, in order to “allow a comprehensive close” of the two proposed transactions. </w:t>
      </w:r>
      <w:r w:rsidRPr="00920840">
        <w:t xml:space="preserve"> Radiate-Stonepeak Application at 2, n.3.</w:t>
      </w:r>
    </w:p>
  </w:footnote>
  <w:footnote w:id="9">
    <w:p w:rsidR="00125DDD" w:rsidRPr="00920840" w14:paraId="6C8F2D11" w14:textId="14D29DC2">
      <w:pPr>
        <w:pStyle w:val="FootnoteText"/>
      </w:pPr>
      <w:r w:rsidRPr="00920840">
        <w:rPr>
          <w:rStyle w:val="FootnoteReference"/>
          <w:sz w:val="20"/>
        </w:rPr>
        <w:footnoteRef/>
      </w:r>
      <w:r w:rsidRPr="00920840">
        <w:t xml:space="preserve"> </w:t>
      </w:r>
      <w:bookmarkStart w:id="2" w:name="_Hlk71033261"/>
      <w:r w:rsidRPr="00920840" w:rsidR="00D77FF9">
        <w:t xml:space="preserve">Radiate-Stonepeak Application </w:t>
      </w:r>
      <w:r w:rsidRPr="00920840">
        <w:t>at 4 and Attach</w:t>
      </w:r>
      <w:r w:rsidRPr="00920840" w:rsidR="002C5FF2">
        <w:t>.</w:t>
      </w:r>
      <w:r w:rsidRPr="00920840">
        <w:t xml:space="preserve"> 1 (Pre-Close Ownership of Authority Holders).</w:t>
      </w:r>
      <w:bookmarkEnd w:id="2"/>
    </w:p>
  </w:footnote>
  <w:footnote w:id="10">
    <w:p w:rsidR="00A108D1" w:rsidRPr="00920840" w14:paraId="4BC0D019" w14:textId="77777777">
      <w:pPr>
        <w:pStyle w:val="FootnoteText"/>
      </w:pPr>
      <w:r w:rsidRPr="00920840">
        <w:rPr>
          <w:rStyle w:val="FootnoteReference"/>
          <w:sz w:val="20"/>
        </w:rPr>
        <w:footnoteRef/>
      </w:r>
      <w:r w:rsidRPr="00920840">
        <w:t xml:space="preserve"> </w:t>
      </w:r>
      <w:r w:rsidRPr="00920840" w:rsidR="00D77FF9">
        <w:rPr>
          <w:i/>
          <w:iCs/>
        </w:rPr>
        <w:t>Id</w:t>
      </w:r>
      <w:r w:rsidRPr="00920840" w:rsidR="00D77FF9">
        <w:t>.</w:t>
      </w:r>
    </w:p>
  </w:footnote>
  <w:footnote w:id="11">
    <w:p w:rsidR="00CA6E78" w:rsidRPr="00920840" w:rsidP="00CA6E78" w14:paraId="3EFC30B7" w14:textId="77777777">
      <w:pPr>
        <w:pStyle w:val="FootnoteText"/>
      </w:pPr>
      <w:r w:rsidRPr="00920840">
        <w:rPr>
          <w:rStyle w:val="FootnoteReference"/>
          <w:sz w:val="20"/>
        </w:rPr>
        <w:footnoteRef/>
      </w:r>
      <w:r w:rsidRPr="00920840">
        <w:t xml:space="preserve"> </w:t>
      </w:r>
      <w:r w:rsidRPr="00920840">
        <w:rPr>
          <w:i/>
          <w:iCs/>
        </w:rPr>
        <w:t>Id</w:t>
      </w:r>
      <w:r w:rsidRPr="00920840">
        <w:t>. at 5-7.</w:t>
      </w:r>
    </w:p>
  </w:footnote>
  <w:footnote w:id="12">
    <w:p w:rsidR="00CA6E78" w:rsidRPr="00920840" w:rsidP="00CA6E78" w14:paraId="6BE5A9F4" w14:textId="2A913926">
      <w:pPr>
        <w:pStyle w:val="FootnoteText"/>
      </w:pPr>
      <w:r w:rsidRPr="00920840">
        <w:rPr>
          <w:rStyle w:val="FootnoteReference"/>
          <w:sz w:val="20"/>
        </w:rPr>
        <w:footnoteRef/>
      </w:r>
      <w:r w:rsidRPr="00920840">
        <w:t xml:space="preserve"> </w:t>
      </w:r>
      <w:r w:rsidRPr="00920840">
        <w:rPr>
          <w:i/>
          <w:iCs/>
        </w:rPr>
        <w:t>Id.</w:t>
      </w:r>
      <w:r w:rsidRPr="00920840">
        <w:t xml:space="preserve"> at 6.  ESI subsidiaries that are authorized to provide telecommunications services in one or more state</w:t>
      </w:r>
      <w:r w:rsidRPr="00920840" w:rsidR="00BB2971">
        <w:t>s</w:t>
      </w:r>
      <w:r w:rsidRPr="00920840">
        <w:t xml:space="preserve"> are ExteNet Systems (California) LLC, ExteNet Systems (Virginia) LLC, ESI Advance</w:t>
      </w:r>
      <w:r w:rsidRPr="00920840" w:rsidR="00BB2971">
        <w:t>d</w:t>
      </w:r>
      <w:r w:rsidRPr="00920840">
        <w:t xml:space="preserve"> Wireless Networks, LLC, ExteNet Systems (New York), Inc., Telecommunications Properties, Inc., and Hudson Fiber Networks, Inc. (Hudson Fiber).  </w:t>
      </w:r>
      <w:r w:rsidRPr="00920840">
        <w:rPr>
          <w:i/>
          <w:iCs/>
        </w:rPr>
        <w:t>Id</w:t>
      </w:r>
      <w:r w:rsidRPr="00920840">
        <w:t>. at 6-7.</w:t>
      </w:r>
      <w:r w:rsidRPr="00920840" w:rsidR="009A5698">
        <w:t xml:space="preserve">  Applicants state that ExteNet does not serve retail residential customers and its retail service for business customers is a very small percentage of revenues.  December 23 Supplemental Letter at 1-2.  The Authority Holders provide some wholesale transport and dark fiber services, although that is not their core market in any area.  </w:t>
      </w:r>
      <w:r w:rsidRPr="00920840" w:rsidR="00884634">
        <w:t xml:space="preserve">December 23 Supplemental Letter at 2.  Applicants identified several metropolitan markets in which the Authority Holders have fiber facilities and ExteNet provides wholesale facilities-based service on </w:t>
      </w:r>
      <w:r w:rsidRPr="00920840" w:rsidR="00156668">
        <w:t xml:space="preserve">a </w:t>
      </w:r>
      <w:r w:rsidRPr="00920840" w:rsidR="00884634">
        <w:t>wholesale basis.  December 23 Supplemental Letter at 2-3.</w:t>
      </w:r>
      <w:r w:rsidRPr="00920840" w:rsidR="00D77FF9">
        <w:t xml:space="preserve">  Applicants state that there is a </w:t>
      </w:r>
      <w:r w:rsidRPr="00920840" w:rsidR="00D77FF9">
        <w:rPr>
          <w:i/>
          <w:iCs/>
        </w:rPr>
        <w:t>de minimis</w:t>
      </w:r>
      <w:r w:rsidRPr="00920840" w:rsidR="00D77FF9">
        <w:t xml:space="preserve"> competitive overlap in California where the Digital West Companies have fiber facilities and ESI owns dark fiber leased to an unaffiliated third party.  Digital West-Stonepeak Application at n.8.  </w:t>
      </w:r>
    </w:p>
  </w:footnote>
  <w:footnote w:id="13">
    <w:p w:rsidR="00CA6E78" w:rsidRPr="00920840" w:rsidP="00CA6E78" w14:paraId="64B5EECC" w14:textId="77777777">
      <w:pPr>
        <w:pStyle w:val="FootnoteText"/>
      </w:pPr>
      <w:r w:rsidRPr="00920840">
        <w:rPr>
          <w:rStyle w:val="FootnoteReference"/>
          <w:sz w:val="20"/>
        </w:rPr>
        <w:footnoteRef/>
      </w:r>
      <w:r w:rsidRPr="00920840">
        <w:t xml:space="preserve"> </w:t>
      </w:r>
      <w:r w:rsidRPr="00920840" w:rsidR="00A108D1">
        <w:t>Radiate</w:t>
      </w:r>
      <w:r w:rsidRPr="00920840" w:rsidR="00EA353E">
        <w:t>-</w:t>
      </w:r>
      <w:r w:rsidRPr="00920840" w:rsidR="00A108D1">
        <w:t xml:space="preserve">Stonepeak </w:t>
      </w:r>
      <w:r w:rsidRPr="00920840" w:rsidR="00884634">
        <w:t>Application</w:t>
      </w:r>
      <w:r w:rsidRPr="00920840" w:rsidR="009D00A4">
        <w:t xml:space="preserve"> at 7.</w:t>
      </w:r>
    </w:p>
  </w:footnote>
  <w:footnote w:id="14">
    <w:p w:rsidR="00CA6E78" w:rsidRPr="00920840" w:rsidP="00CA6E78" w14:paraId="3296FD60" w14:textId="6EFAD4CC">
      <w:pPr>
        <w:pStyle w:val="FootnoteText"/>
      </w:pPr>
      <w:r w:rsidRPr="00920840">
        <w:rPr>
          <w:rStyle w:val="FootnoteReference"/>
          <w:sz w:val="20"/>
        </w:rPr>
        <w:footnoteRef/>
      </w:r>
      <w:r w:rsidRPr="00920840">
        <w:t xml:space="preserve"> Applicants provided a description of the intervening Delaware entities holding equity or voting interests in Radiate Holdings.  </w:t>
      </w:r>
      <w:r w:rsidRPr="00920840">
        <w:rPr>
          <w:i/>
          <w:iCs/>
        </w:rPr>
        <w:t>Id</w:t>
      </w:r>
      <w:r w:rsidRPr="00920840">
        <w:t>. at Attach. 2 (Transferees and Authority Holders Post-Close Ownership Interests)</w:t>
      </w:r>
      <w:r w:rsidRPr="00920840" w:rsidR="00582C12">
        <w:t>; Digital West-Stonepeak Application at Attach</w:t>
      </w:r>
      <w:r w:rsidRPr="00920840" w:rsidR="002C5FF2">
        <w:t>.</w:t>
      </w:r>
      <w:r w:rsidRPr="00920840" w:rsidR="00582C12">
        <w:t xml:space="preserve"> 2</w:t>
      </w:r>
      <w:r w:rsidRPr="00920840" w:rsidR="002332B4">
        <w:t xml:space="preserve"> (Transferees and Authority Holders Post-Close Ownership Interests)</w:t>
      </w:r>
      <w:r w:rsidRPr="00920840">
        <w:t>.</w:t>
      </w:r>
    </w:p>
  </w:footnote>
  <w:footnote w:id="15">
    <w:p w:rsidR="00CA6E78" w:rsidRPr="00920840" w:rsidP="00CA6E78" w14:paraId="6583099D" w14:textId="32EC166E">
      <w:pPr>
        <w:pStyle w:val="FootnoteText"/>
      </w:pPr>
      <w:r w:rsidRPr="00920840">
        <w:rPr>
          <w:rStyle w:val="FootnoteReference"/>
          <w:sz w:val="20"/>
        </w:rPr>
        <w:footnoteRef/>
      </w:r>
      <w:r w:rsidRPr="00920840">
        <w:t xml:space="preserve"> </w:t>
      </w:r>
      <w:bookmarkStart w:id="3" w:name="_Hlk58843385"/>
      <w:r w:rsidRPr="00920840" w:rsidR="005E1AF5">
        <w:t xml:space="preserve">Radiate-Stonepeak Application </w:t>
      </w:r>
      <w:bookmarkEnd w:id="3"/>
      <w:r w:rsidRPr="00920840">
        <w:t xml:space="preserve"> at 8</w:t>
      </w:r>
      <w:r w:rsidRPr="00920840" w:rsidR="00755559">
        <w:t>; Digital West-Stonepeak Application at 9.</w:t>
      </w:r>
    </w:p>
  </w:footnote>
  <w:footnote w:id="16">
    <w:p w:rsidR="00CA6E78" w:rsidRPr="00920840" w:rsidP="00CA6E78" w14:paraId="6F14BFA6" w14:textId="13993F26">
      <w:pPr>
        <w:pStyle w:val="FootnoteText"/>
      </w:pPr>
      <w:r w:rsidRPr="00920840">
        <w:rPr>
          <w:rStyle w:val="FootnoteReference"/>
          <w:sz w:val="20"/>
        </w:rPr>
        <w:footnoteRef/>
      </w:r>
      <w:r w:rsidRPr="00920840">
        <w:t xml:space="preserve"> </w:t>
      </w:r>
      <w:bookmarkStart w:id="4" w:name="_Hlk58843538"/>
      <w:r w:rsidRPr="00920840" w:rsidR="005E1AF5">
        <w:t>Radiate-Stonepeak Application  at 8; Digital West-Stonepeak Application at 9.</w:t>
      </w:r>
      <w:bookmarkEnd w:id="4"/>
    </w:p>
  </w:footnote>
  <w:footnote w:id="17">
    <w:p w:rsidR="00CA6E78" w:rsidRPr="00920840" w:rsidP="00CA6E78" w14:paraId="0A092790" w14:textId="79185AC9">
      <w:pPr>
        <w:pStyle w:val="FootnoteText"/>
      </w:pPr>
      <w:r w:rsidRPr="00920840">
        <w:rPr>
          <w:rStyle w:val="FootnoteReference"/>
          <w:sz w:val="20"/>
        </w:rPr>
        <w:footnoteRef/>
      </w:r>
      <w:r w:rsidRPr="00920840">
        <w:t xml:space="preserve"> </w:t>
      </w:r>
      <w:r w:rsidRPr="00920840" w:rsidR="005E1AF5">
        <w:t>Radiate-Stonepeak Application  at 8; Digital West-Stonepeak Application at 9.</w:t>
      </w:r>
      <w:r w:rsidRPr="00920840">
        <w:t xml:space="preserve">  </w:t>
      </w:r>
    </w:p>
  </w:footnote>
  <w:footnote w:id="18">
    <w:p w:rsidR="00495DD2" w:rsidRPr="00920840" w:rsidP="00495DD2" w14:paraId="1C3F744A" w14:textId="77777777">
      <w:pPr>
        <w:pStyle w:val="FootnoteText"/>
      </w:pPr>
      <w:r w:rsidRPr="00920840">
        <w:rPr>
          <w:rStyle w:val="FootnoteReference"/>
          <w:sz w:val="20"/>
        </w:rPr>
        <w:footnoteRef/>
      </w:r>
      <w:r w:rsidRPr="00920840">
        <w:t xml:space="preserve"> </w:t>
      </w:r>
      <w:bookmarkStart w:id="5" w:name="_Hlk71120068"/>
      <w:bookmarkStart w:id="6" w:name="_Hlk71120136"/>
      <w:r w:rsidRPr="00920840">
        <w:t xml:space="preserve">Radiate-Stonepeak Application </w:t>
      </w:r>
      <w:bookmarkEnd w:id="5"/>
      <w:r w:rsidRPr="00920840">
        <w:t>at 3, 12-14</w:t>
      </w:r>
      <w:bookmarkEnd w:id="6"/>
      <w:r w:rsidRPr="00920840">
        <w:t>; Digital West</w:t>
      </w:r>
      <w:r w:rsidRPr="00920840" w:rsidR="00DD2F4B">
        <w:t>-</w:t>
      </w:r>
      <w:r w:rsidRPr="00920840">
        <w:t xml:space="preserve">Stonepeak Application at </w:t>
      </w:r>
      <w:r w:rsidRPr="00920840" w:rsidR="00DD2F4B">
        <w:t>3, 12-14.</w:t>
      </w:r>
    </w:p>
  </w:footnote>
  <w:footnote w:id="19">
    <w:p w:rsidR="00495DD2" w:rsidRPr="00920840" w:rsidP="00495DD2" w14:paraId="495CFE78" w14:textId="365FC3E3">
      <w:pPr>
        <w:pStyle w:val="FootnoteText"/>
      </w:pPr>
      <w:r w:rsidRPr="00920840">
        <w:rPr>
          <w:rStyle w:val="FootnoteReference"/>
          <w:sz w:val="20"/>
        </w:rPr>
        <w:footnoteRef/>
      </w:r>
      <w:r w:rsidRPr="00920840">
        <w:t xml:space="preserve"> </w:t>
      </w:r>
      <w:r w:rsidRPr="00920840" w:rsidR="00C71643">
        <w:t>Radiate-Stonepeak Application at 3, 12-14; Digital West-Stonepeak Application at 3, 12-14.</w:t>
      </w:r>
      <w:r w:rsidRPr="00920840">
        <w:t xml:space="preserve"> </w:t>
      </w:r>
    </w:p>
  </w:footnote>
  <w:footnote w:id="20">
    <w:p w:rsidR="00495DD2" w:rsidRPr="00920840" w:rsidP="00495DD2" w14:paraId="0F9B154B" w14:textId="77777777">
      <w:pPr>
        <w:pStyle w:val="FootnoteText"/>
      </w:pPr>
      <w:r w:rsidRPr="00920840">
        <w:rPr>
          <w:rStyle w:val="FootnoteReference"/>
          <w:sz w:val="20"/>
        </w:rPr>
        <w:footnoteRef/>
      </w:r>
      <w:r w:rsidRPr="00920840">
        <w:t xml:space="preserve"> </w:t>
      </w:r>
      <w:r w:rsidRPr="00920840" w:rsidR="00D6540C">
        <w:t xml:space="preserve">Radiate-Stonepeak Application at 3, 14; </w:t>
      </w:r>
      <w:r w:rsidRPr="00920840" w:rsidR="0069481C">
        <w:t>Digital West</w:t>
      </w:r>
      <w:r w:rsidRPr="00920840" w:rsidR="005D7116">
        <w:t xml:space="preserve">-Stonepeak Application </w:t>
      </w:r>
      <w:r w:rsidRPr="00920840">
        <w:t xml:space="preserve">at </w:t>
      </w:r>
      <w:r w:rsidRPr="00920840" w:rsidR="005D7116">
        <w:t>n.8 and</w:t>
      </w:r>
      <w:r w:rsidRPr="00920840">
        <w:t xml:space="preserve"> 14.</w:t>
      </w:r>
    </w:p>
  </w:footnote>
  <w:footnote w:id="21">
    <w:p w:rsidR="00A055B3" w:rsidRPr="00920840" w14:paraId="4B8C8D9A" w14:textId="4E1B26F6">
      <w:pPr>
        <w:pStyle w:val="FootnoteText"/>
      </w:pPr>
      <w:r w:rsidRPr="00920840">
        <w:rPr>
          <w:rStyle w:val="FootnoteReference"/>
          <w:sz w:val="20"/>
        </w:rPr>
        <w:footnoteRef/>
      </w:r>
      <w:r w:rsidRPr="00920840">
        <w:t xml:space="preserve"> Newsmax Media, Inc. Comments (Newsmax)</w:t>
      </w:r>
      <w:r w:rsidRPr="00920840" w:rsidR="00755559">
        <w:t xml:space="preserve">, WC Docket No. 20-407 (filed Dec. 30, 2020).  </w:t>
      </w:r>
    </w:p>
  </w:footnote>
  <w:footnote w:id="22">
    <w:p w:rsidR="0045799F" w:rsidRPr="00920840" w14:paraId="6A211EFD" w14:textId="77777777">
      <w:pPr>
        <w:pStyle w:val="FootnoteText"/>
      </w:pPr>
      <w:r w:rsidRPr="00920840">
        <w:rPr>
          <w:rStyle w:val="FootnoteReference"/>
          <w:sz w:val="20"/>
        </w:rPr>
        <w:footnoteRef/>
      </w:r>
      <w:r w:rsidRPr="00920840">
        <w:t xml:space="preserve"> </w:t>
      </w:r>
      <w:r w:rsidRPr="00920840" w:rsidR="00A055B3">
        <w:rPr>
          <w:i/>
          <w:iCs/>
        </w:rPr>
        <w:t>Id</w:t>
      </w:r>
      <w:r w:rsidRPr="00920840" w:rsidR="00A055B3">
        <w:t xml:space="preserve">. </w:t>
      </w:r>
      <w:r w:rsidRPr="00920840" w:rsidR="0030689A">
        <w:t>at 1, 10.</w:t>
      </w:r>
    </w:p>
  </w:footnote>
  <w:footnote w:id="23">
    <w:p w:rsidR="005858D8" w:rsidRPr="00920840" w14:paraId="13AECC25" w14:textId="77777777">
      <w:pPr>
        <w:pStyle w:val="FootnoteText"/>
      </w:pPr>
      <w:r w:rsidRPr="00920840">
        <w:rPr>
          <w:rStyle w:val="FootnoteReference"/>
          <w:sz w:val="20"/>
        </w:rPr>
        <w:footnoteRef/>
      </w:r>
      <w:r w:rsidRPr="00920840">
        <w:t xml:space="preserve"> </w:t>
      </w:r>
      <w:r w:rsidRPr="00920840" w:rsidR="00EF79C9">
        <w:rPr>
          <w:i/>
          <w:iCs/>
        </w:rPr>
        <w:t>Id.</w:t>
      </w:r>
      <w:r w:rsidRPr="00920840" w:rsidR="00A055B3">
        <w:t xml:space="preserve"> at 5-6</w:t>
      </w:r>
      <w:r w:rsidRPr="00920840" w:rsidR="00934A3B">
        <w:t xml:space="preserve"> (citing 47 CFR § 63.03(b)(2)(ii))</w:t>
      </w:r>
      <w:r w:rsidRPr="00920840" w:rsidR="00A055B3">
        <w:t>.</w:t>
      </w:r>
    </w:p>
  </w:footnote>
  <w:footnote w:id="24">
    <w:p w:rsidR="0032140E" w:rsidRPr="00920840" w14:paraId="33DA6110" w14:textId="77777777">
      <w:pPr>
        <w:pStyle w:val="FootnoteText"/>
      </w:pPr>
      <w:r w:rsidRPr="00920840">
        <w:rPr>
          <w:rStyle w:val="FootnoteReference"/>
          <w:sz w:val="20"/>
        </w:rPr>
        <w:footnoteRef/>
      </w:r>
      <w:r w:rsidRPr="00920840">
        <w:t xml:space="preserve"> </w:t>
      </w:r>
      <w:r w:rsidRPr="00920840" w:rsidR="00340EC9">
        <w:rPr>
          <w:i/>
          <w:iCs/>
        </w:rPr>
        <w:t xml:space="preserve">Id. </w:t>
      </w:r>
      <w:r w:rsidRPr="00920840" w:rsidR="00340EC9">
        <w:t>at 8.</w:t>
      </w:r>
    </w:p>
  </w:footnote>
  <w:footnote w:id="25">
    <w:p w:rsidR="00934A3B" w:rsidRPr="00920840" w14:paraId="5BCA7070" w14:textId="77777777">
      <w:pPr>
        <w:pStyle w:val="FootnoteText"/>
      </w:pPr>
      <w:r w:rsidRPr="00920840">
        <w:rPr>
          <w:rStyle w:val="FootnoteReference"/>
          <w:sz w:val="20"/>
        </w:rPr>
        <w:footnoteRef/>
      </w:r>
      <w:r w:rsidRPr="00920840">
        <w:t xml:space="preserve"> </w:t>
      </w:r>
      <w:r w:rsidRPr="00920840" w:rsidR="0072227B">
        <w:t>Radiate-Stonepeak Application</w:t>
      </w:r>
      <w:r w:rsidRPr="00920840">
        <w:t xml:space="preserve"> at 6-7</w:t>
      </w:r>
      <w:r w:rsidRPr="00920840" w:rsidR="002F20CA">
        <w:t xml:space="preserve">.  </w:t>
      </w:r>
      <w:r w:rsidRPr="00920840" w:rsidR="00B454E3">
        <w:t xml:space="preserve">  </w:t>
      </w:r>
    </w:p>
  </w:footnote>
  <w:footnote w:id="26">
    <w:p w:rsidR="00B454E3" w:rsidRPr="00920840" w14:paraId="0048596D" w14:textId="77777777">
      <w:pPr>
        <w:pStyle w:val="FootnoteText"/>
      </w:pPr>
      <w:r w:rsidRPr="00920840">
        <w:rPr>
          <w:rStyle w:val="FootnoteReference"/>
          <w:sz w:val="20"/>
        </w:rPr>
        <w:footnoteRef/>
      </w:r>
      <w:r w:rsidRPr="00920840">
        <w:t xml:space="preserve"> </w:t>
      </w:r>
      <w:r w:rsidRPr="00920840">
        <w:rPr>
          <w:i/>
          <w:iCs/>
        </w:rPr>
        <w:t>See</w:t>
      </w:r>
      <w:r w:rsidRPr="00920840">
        <w:t xml:space="preserve"> 47 CFR § 63.03 (</w:t>
      </w:r>
      <w:r w:rsidRPr="00920840" w:rsidR="003F4036">
        <w:t>describing</w:t>
      </w:r>
      <w:r w:rsidRPr="00920840">
        <w:t xml:space="preserve"> the public notice, presumptive streamlining procedures, and non-streamlining circumstances for domestic transfer of control applications).  </w:t>
      </w:r>
    </w:p>
  </w:footnote>
  <w:footnote w:id="27">
    <w:p w:rsidR="00295850" w:rsidRPr="00920840" w:rsidP="00295850" w14:paraId="729B4AD0" w14:textId="77777777">
      <w:pPr>
        <w:pStyle w:val="FootnoteText"/>
      </w:pPr>
      <w:r w:rsidRPr="00920840">
        <w:rPr>
          <w:rStyle w:val="FootnoteReference"/>
          <w:sz w:val="20"/>
        </w:rPr>
        <w:footnoteRef/>
      </w:r>
      <w:r w:rsidRPr="00920840">
        <w:t xml:space="preserve"> </w:t>
      </w:r>
      <w:r w:rsidRPr="00920840" w:rsidR="00B454E3">
        <w:t xml:space="preserve">Reply Comments of Radiate Holdings, L.P., Stonepeak Associates IV, LLC, and the Authority Holders (Reply) at 6.  </w:t>
      </w:r>
      <w:r w:rsidRPr="00920840" w:rsidR="0020017A">
        <w:t xml:space="preserve">  </w:t>
      </w:r>
    </w:p>
  </w:footnote>
  <w:footnote w:id="28">
    <w:p w:rsidR="00DF4A4D" w:rsidRPr="00920840" w:rsidP="00DF4A4D" w14:paraId="4A9211D0" w14:textId="77777777">
      <w:pPr>
        <w:pStyle w:val="FootnoteText"/>
      </w:pPr>
      <w:r w:rsidRPr="00920840">
        <w:rPr>
          <w:rStyle w:val="FootnoteReference"/>
          <w:sz w:val="20"/>
        </w:rPr>
        <w:footnoteRef/>
      </w:r>
      <w:r w:rsidRPr="00920840">
        <w:t xml:space="preserve"> </w:t>
      </w:r>
      <w:bookmarkStart w:id="8" w:name="_Hlk64542849"/>
      <w:r w:rsidRPr="00920840" w:rsidR="00BB2971">
        <w:rPr>
          <w:i/>
          <w:iCs/>
        </w:rPr>
        <w:t>Id</w:t>
      </w:r>
      <w:r w:rsidRPr="00920840" w:rsidR="00BB2971">
        <w:t>.</w:t>
      </w:r>
      <w:r w:rsidRPr="00920840">
        <w:t xml:space="preserve"> at 5.</w:t>
      </w:r>
      <w:bookmarkEnd w:id="8"/>
      <w:r w:rsidRPr="00920840" w:rsidR="00C65C25">
        <w:t xml:space="preserve">  For a period of up to 75 days after the signing of the Agreement, TPG had the right to elect to make, at the consummation of the proposed transaction, an investment in Tiger Holding I and Stonepeak Tiger Holdings II LP (the parent entity of Tiger Holdings II) of up to $750 million through one or more investment funds controlled by TPG (TPG Investment Right).  </w:t>
      </w:r>
      <w:r w:rsidRPr="00920840" w:rsidR="005E520C">
        <w:t xml:space="preserve">Radiate-Stonepeak Application </w:t>
      </w:r>
      <w:r w:rsidRPr="00920840" w:rsidR="00C65C25">
        <w:t xml:space="preserve">at 9.  The exercise of the TPG Investment Right and the investment in Tiger Holdings I and Stonepeak Tiger Holdings II LP by the TPG Fund had not been expected to result in any entity (other than the TPG Fund) holding a 10% or greater equity interest in Radiate Holdings.  </w:t>
      </w:r>
      <w:r w:rsidRPr="00920840" w:rsidR="00C65C25">
        <w:rPr>
          <w:i/>
          <w:iCs/>
        </w:rPr>
        <w:t>Id</w:t>
      </w:r>
      <w:r w:rsidRPr="00920840" w:rsidR="00C65C25">
        <w:t>.  Applicants stated that Stonepeak</w:t>
      </w:r>
      <w:r w:rsidRPr="00920840" w:rsidR="000E32BC">
        <w:t xml:space="preserve"> Partners</w:t>
      </w:r>
      <w:r w:rsidRPr="00920840" w:rsidR="00C65C25">
        <w:t xml:space="preserve"> was also exploring further syndicating a portion of its equity interest in Radiate Holding</w:t>
      </w:r>
      <w:r w:rsidRPr="00920840" w:rsidR="00884634">
        <w:t>s</w:t>
      </w:r>
      <w:r w:rsidRPr="00920840" w:rsidR="00C65C25">
        <w:t xml:space="preserve"> to other co-investors.  </w:t>
      </w:r>
      <w:r w:rsidRPr="00920840" w:rsidR="00C65C25">
        <w:rPr>
          <w:i/>
          <w:iCs/>
        </w:rPr>
        <w:t>Id</w:t>
      </w:r>
      <w:r w:rsidRPr="00920840" w:rsidR="00C65C25">
        <w:t>. at 10.  Applicants state that no such co-investment w</w:t>
      </w:r>
      <w:r w:rsidRPr="00920840" w:rsidR="002332B4">
        <w:t>ould</w:t>
      </w:r>
      <w:r w:rsidRPr="00920840" w:rsidR="00C65C25">
        <w:t xml:space="preserve"> change the proposed controlling entity of Radiate GP or affect the ownership structure of Stonepeak.  </w:t>
      </w:r>
      <w:r w:rsidRPr="00920840" w:rsidR="00C65C25">
        <w:rPr>
          <w:i/>
          <w:iCs/>
        </w:rPr>
        <w:t>Id</w:t>
      </w:r>
      <w:r w:rsidRPr="00920840" w:rsidR="00C65C25">
        <w:t>.</w:t>
      </w:r>
    </w:p>
  </w:footnote>
  <w:footnote w:id="29">
    <w:p w:rsidR="006B54CC" w:rsidRPr="00920840" w14:paraId="60C2315A" w14:textId="02B27F84">
      <w:pPr>
        <w:pStyle w:val="FootnoteText"/>
      </w:pPr>
      <w:r w:rsidRPr="00920840">
        <w:rPr>
          <w:rStyle w:val="FootnoteReference"/>
          <w:sz w:val="20"/>
        </w:rPr>
        <w:footnoteRef/>
      </w:r>
      <w:r w:rsidRPr="00920840">
        <w:t xml:space="preserve"> </w:t>
      </w:r>
      <w:r w:rsidRPr="00920840" w:rsidR="005F01CA">
        <w:rPr>
          <w:i/>
          <w:iCs/>
        </w:rPr>
        <w:t>Radiate</w:t>
      </w:r>
      <w:r w:rsidRPr="00920840" w:rsidR="00D076AE">
        <w:rPr>
          <w:i/>
          <w:iCs/>
        </w:rPr>
        <w:t>/Stonepeak</w:t>
      </w:r>
      <w:r w:rsidRPr="00920840" w:rsidR="005F01CA">
        <w:rPr>
          <w:i/>
          <w:iCs/>
        </w:rPr>
        <w:t xml:space="preserve"> Accepted-for-Filing Public Notice</w:t>
      </w:r>
      <w:r w:rsidRPr="00920840" w:rsidR="005F01CA">
        <w:t xml:space="preserve"> at 1-2.  </w:t>
      </w:r>
      <w:r w:rsidRPr="00920840" w:rsidR="005F01CA">
        <w:rPr>
          <w:i/>
          <w:iCs/>
        </w:rPr>
        <w:t xml:space="preserve">See </w:t>
      </w:r>
      <w:r w:rsidRPr="00920840" w:rsidR="00307192">
        <w:t xml:space="preserve">Radiate-Stonepeak </w:t>
      </w:r>
      <w:r w:rsidRPr="00920840">
        <w:t>Applica</w:t>
      </w:r>
      <w:r w:rsidRPr="00920840" w:rsidR="003142A0">
        <w:t>t</w:t>
      </w:r>
      <w:r w:rsidRPr="00920840">
        <w:t>ion at 17</w:t>
      </w:r>
      <w:r w:rsidRPr="00920840" w:rsidR="003142A0">
        <w:t>, 21</w:t>
      </w:r>
      <w:r w:rsidRPr="00920840">
        <w:t xml:space="preserve"> and Attach</w:t>
      </w:r>
      <w:r w:rsidRPr="00920840" w:rsidR="003142A0">
        <w:t>s</w:t>
      </w:r>
      <w:r w:rsidRPr="00920840">
        <w:t>.</w:t>
      </w:r>
      <w:r w:rsidRPr="00920840" w:rsidR="003142A0">
        <w:t xml:space="preserve"> </w:t>
      </w:r>
      <w:r w:rsidRPr="00920840">
        <w:t>1</w:t>
      </w:r>
      <w:r w:rsidRPr="00920840" w:rsidR="003142A0">
        <w:t>-2</w:t>
      </w:r>
      <w:r w:rsidRPr="00920840">
        <w:t xml:space="preserve"> (citing 47 CFR §§ 63.04</w:t>
      </w:r>
      <w:r w:rsidRPr="00920840" w:rsidR="005F01CA">
        <w:t>(a)(4)</w:t>
      </w:r>
      <w:r w:rsidRPr="00920840" w:rsidR="003142A0">
        <w:t>; 63.18</w:t>
      </w:r>
      <w:r w:rsidRPr="00920840" w:rsidR="005F01CA">
        <w:t>(h)</w:t>
      </w:r>
      <w:r w:rsidRPr="00920840" w:rsidR="003142A0">
        <w:t>).</w:t>
      </w:r>
    </w:p>
  </w:footnote>
  <w:footnote w:id="30">
    <w:p w:rsidR="005F01CA" w:rsidRPr="00920840" w14:paraId="14EC2CE7" w14:textId="77777777">
      <w:pPr>
        <w:pStyle w:val="FootnoteText"/>
      </w:pPr>
      <w:r w:rsidRPr="00920840">
        <w:rPr>
          <w:rStyle w:val="FootnoteReference"/>
          <w:sz w:val="20"/>
        </w:rPr>
        <w:footnoteRef/>
      </w:r>
      <w:r w:rsidRPr="00920840">
        <w:t xml:space="preserve"> </w:t>
      </w:r>
      <w:r w:rsidRPr="00920840">
        <w:rPr>
          <w:i/>
          <w:iCs/>
        </w:rPr>
        <w:t>See</w:t>
      </w:r>
      <w:r w:rsidRPr="00920840">
        <w:t xml:space="preserve"> 47 CFR §§ 1.65</w:t>
      </w:r>
      <w:r w:rsidRPr="00920840" w:rsidR="00687F4B">
        <w:t>(a)</w:t>
      </w:r>
      <w:r w:rsidRPr="00920840">
        <w:t xml:space="preserve"> (requiring Applicants to </w:t>
      </w:r>
      <w:r w:rsidRPr="00920840" w:rsidR="00687F4B">
        <w:t xml:space="preserve">ensure continued accuracy of their applications and completeness of information); </w:t>
      </w:r>
      <w:r w:rsidRPr="00920840">
        <w:t>63.51 (requ</w:t>
      </w:r>
      <w:r w:rsidRPr="00920840" w:rsidR="00687F4B">
        <w:t>i</w:t>
      </w:r>
      <w:r w:rsidRPr="00920840">
        <w:t>ring Applicants to provide all additional information requested by the Commission</w:t>
      </w:r>
      <w:r w:rsidRPr="00920840" w:rsidR="00687F4B">
        <w:t>).</w:t>
      </w:r>
    </w:p>
  </w:footnote>
  <w:footnote w:id="31">
    <w:p w:rsidR="003142A0" w:rsidRPr="00920840" w14:paraId="43836047" w14:textId="259FDA72">
      <w:pPr>
        <w:pStyle w:val="FootnoteText"/>
      </w:pPr>
      <w:r w:rsidRPr="00920840">
        <w:rPr>
          <w:rStyle w:val="FootnoteReference"/>
          <w:sz w:val="20"/>
        </w:rPr>
        <w:footnoteRef/>
      </w:r>
      <w:r w:rsidRPr="00920840">
        <w:t xml:space="preserve"> </w:t>
      </w:r>
      <w:r w:rsidRPr="00920840" w:rsidR="00A108D1">
        <w:t>Radiate</w:t>
      </w:r>
      <w:r w:rsidRPr="00920840" w:rsidR="00EA353E">
        <w:t>-</w:t>
      </w:r>
      <w:r w:rsidRPr="00920840" w:rsidR="00A108D1">
        <w:t xml:space="preserve">Stonepeak </w:t>
      </w:r>
      <w:r w:rsidRPr="00920840">
        <w:t>A</w:t>
      </w:r>
      <w:r w:rsidRPr="00920840" w:rsidR="006F0C02">
        <w:t>p</w:t>
      </w:r>
      <w:r w:rsidRPr="00920840">
        <w:t>plication at Attach</w:t>
      </w:r>
      <w:r w:rsidRPr="00920840" w:rsidR="002C5FF2">
        <w:t>.</w:t>
      </w:r>
      <w:r w:rsidRPr="00920840">
        <w:t xml:space="preserve"> 2, n.1 (“The Applic</w:t>
      </w:r>
      <w:r w:rsidRPr="00920840" w:rsidR="006F0C02">
        <w:t>ants</w:t>
      </w:r>
      <w:r w:rsidRPr="00920840">
        <w:t xml:space="preserve"> will, in a timely fashion, notify the Commi</w:t>
      </w:r>
      <w:r w:rsidRPr="00920840" w:rsidR="006F0C02">
        <w:t>s</w:t>
      </w:r>
      <w:r w:rsidRPr="00920840">
        <w:t>sion of any material changes to these percentage equity interests (including as a result of the exercise of the TPG Investment Right and any co-investment</w:t>
      </w:r>
      <w:r w:rsidRPr="00920840" w:rsidR="006F0C02">
        <w:t xml:space="preserve">).  No change is expected to the control of </w:t>
      </w:r>
      <w:r w:rsidRPr="00920840" w:rsidR="00C772F4">
        <w:t>R</w:t>
      </w:r>
      <w:r w:rsidRPr="00920840" w:rsidR="006F0C02">
        <w:t>adiate GP and in turn the Authority Holders from that set forth herein.</w:t>
      </w:r>
      <w:r w:rsidRPr="00920840" w:rsidR="00777EBD">
        <w:t>”</w:t>
      </w:r>
      <w:r w:rsidRPr="00920840" w:rsidR="006F0C02">
        <w:t xml:space="preserve">).  In their Reply, Applicants </w:t>
      </w:r>
      <w:r w:rsidRPr="00920840" w:rsidR="00C772F4">
        <w:t xml:space="preserve">further </w:t>
      </w:r>
      <w:r w:rsidRPr="00920840" w:rsidR="006F0C02">
        <w:t xml:space="preserve">affirmed </w:t>
      </w:r>
      <w:r w:rsidRPr="00920840" w:rsidR="004F07AC">
        <w:t xml:space="preserve">to </w:t>
      </w:r>
      <w:r w:rsidRPr="00920840" w:rsidR="006F0C02">
        <w:t xml:space="preserve">disclose any changes to </w:t>
      </w:r>
      <w:r w:rsidRPr="00920840" w:rsidR="00C772F4">
        <w:t>R</w:t>
      </w:r>
      <w:r w:rsidRPr="00920840" w:rsidR="006F0C02">
        <w:t>adiate Holdings, as well as Radiate GP.</w:t>
      </w:r>
      <w:r w:rsidRPr="00920840" w:rsidR="00C772F4">
        <w:t xml:space="preserve">  Reply at 5 (“…Applicants here have committed to notify the Commission if either results in changes in the ownership percentages for reportable interest holders provided in this application or a new, unidentified entity holding a 10-percent-or-greater equity interest in Radiate Holdings.”)</w:t>
      </w:r>
      <w:r w:rsidRPr="00920840" w:rsidR="00307192">
        <w:t xml:space="preserve">; Digital West-Stonepeak Application at 9-10; March 11 Supplemental Letter (updating the record on the co-investment rights and stating that any future co-investment will not result in new vehicles that will hold a 10% or greater equity interest in Radiate Holdings at the time of the Stonepeak closing).  </w:t>
      </w:r>
    </w:p>
  </w:footnote>
  <w:footnote w:id="32">
    <w:p w:rsidR="00177347" w:rsidRPr="00920840" w:rsidP="00177347" w14:paraId="22114CC6" w14:textId="77777777">
      <w:pPr>
        <w:pStyle w:val="FootnoteText"/>
      </w:pPr>
      <w:r w:rsidRPr="00920840">
        <w:rPr>
          <w:rStyle w:val="FootnoteReference"/>
          <w:sz w:val="20"/>
        </w:rPr>
        <w:footnoteRef/>
      </w:r>
      <w:r w:rsidRPr="00920840">
        <w:t xml:space="preserve"> </w:t>
      </w:r>
      <w:bookmarkStart w:id="9" w:name="_Hlk67314073"/>
      <w:r w:rsidRPr="00920840" w:rsidR="00E531A7">
        <w:t>March 11</w:t>
      </w:r>
      <w:r w:rsidRPr="00920840" w:rsidR="00EB1574">
        <w:t xml:space="preserve"> Supplemental Letter</w:t>
      </w:r>
      <w:r w:rsidRPr="00920840" w:rsidR="00874B4B">
        <w:t xml:space="preserve"> at 2</w:t>
      </w:r>
      <w:bookmarkEnd w:id="9"/>
      <w:r w:rsidRPr="00920840" w:rsidR="00EB1574">
        <w:t>.</w:t>
      </w:r>
      <w:r w:rsidRPr="00920840" w:rsidR="002B5924">
        <w:t xml:space="preserve"> </w:t>
      </w:r>
    </w:p>
  </w:footnote>
  <w:footnote w:id="33">
    <w:p w:rsidR="00170C57" w:rsidRPr="00920840" w14:paraId="0CBB1EA0" w14:textId="77777777">
      <w:pPr>
        <w:pStyle w:val="FootnoteText"/>
      </w:pPr>
      <w:r w:rsidRPr="00920840">
        <w:rPr>
          <w:rStyle w:val="FootnoteReference"/>
          <w:sz w:val="20"/>
        </w:rPr>
        <w:footnoteRef/>
      </w:r>
      <w:r w:rsidRPr="00920840">
        <w:t xml:space="preserve"> </w:t>
      </w:r>
      <w:r w:rsidRPr="00920840" w:rsidR="0020017A">
        <w:rPr>
          <w:i/>
          <w:iCs/>
        </w:rPr>
        <w:t>Id</w:t>
      </w:r>
      <w:r w:rsidRPr="00920840" w:rsidR="0020017A">
        <w:t>.</w:t>
      </w:r>
      <w:r w:rsidRPr="00920840" w:rsidR="008F639F">
        <w:t xml:space="preserve"> </w:t>
      </w:r>
      <w:r w:rsidRPr="00920840" w:rsidR="009F7B26">
        <w:t>(“Transferee and Stonepeak continue to expect that the Stonepeak-affiliated vehicles reflected in the organizational charts provided in Attachment 2 and listed in Attachment 3 of the applications identify all reportable Stonepeak-affiliated investors, direct or indirect, in Radiate Holdings.”).</w:t>
      </w:r>
    </w:p>
  </w:footnote>
  <w:footnote w:id="34">
    <w:p w:rsidR="006759DD" w:rsidRPr="00920840" w14:paraId="019299AD" w14:textId="77777777">
      <w:pPr>
        <w:pStyle w:val="FootnoteText"/>
      </w:pPr>
      <w:r w:rsidRPr="00920840">
        <w:rPr>
          <w:rStyle w:val="FootnoteReference"/>
          <w:sz w:val="20"/>
        </w:rPr>
        <w:footnoteRef/>
      </w:r>
      <w:r w:rsidRPr="00920840">
        <w:t xml:space="preserve"> </w:t>
      </w:r>
      <w:r w:rsidRPr="00920840" w:rsidR="00E531A7">
        <w:rPr>
          <w:i/>
          <w:iCs/>
        </w:rPr>
        <w:t>Id</w:t>
      </w:r>
      <w:r w:rsidRPr="00920840" w:rsidR="00E531A7">
        <w:t>.</w:t>
      </w:r>
      <w:r w:rsidRPr="00920840" w:rsidR="008F639F">
        <w:t xml:space="preserve"> </w:t>
      </w:r>
    </w:p>
  </w:footnote>
  <w:footnote w:id="35">
    <w:p w:rsidR="0083219B" w:rsidRPr="00920840" w14:paraId="701E2224" w14:textId="77777777">
      <w:pPr>
        <w:pStyle w:val="FootnoteText"/>
      </w:pPr>
      <w:r w:rsidRPr="00920840">
        <w:rPr>
          <w:rStyle w:val="FootnoteReference"/>
          <w:sz w:val="20"/>
        </w:rPr>
        <w:footnoteRef/>
      </w:r>
      <w:r w:rsidRPr="00920840">
        <w:t xml:space="preserve"> </w:t>
      </w:r>
      <w:r w:rsidRPr="00920840" w:rsidR="00E531A7">
        <w:rPr>
          <w:i/>
          <w:iCs/>
        </w:rPr>
        <w:t>Id</w:t>
      </w:r>
      <w:r w:rsidRPr="00920840" w:rsidR="00E531A7">
        <w:t>.</w:t>
      </w:r>
    </w:p>
  </w:footnote>
  <w:footnote w:id="36">
    <w:p w:rsidR="00177347" w:rsidRPr="00920840" w:rsidP="00177347" w14:paraId="4F10A3EF" w14:textId="2475904F">
      <w:pPr>
        <w:pStyle w:val="FootnoteText"/>
      </w:pPr>
      <w:r w:rsidRPr="00920840">
        <w:rPr>
          <w:rStyle w:val="FootnoteReference"/>
          <w:sz w:val="20"/>
        </w:rPr>
        <w:footnoteRef/>
      </w:r>
      <w:r w:rsidRPr="00920840">
        <w:t xml:space="preserve"> </w:t>
      </w:r>
      <w:r w:rsidRPr="00920840" w:rsidR="0020017A">
        <w:t xml:space="preserve">Reply at 3-4 (citing </w:t>
      </w:r>
      <w:r w:rsidRPr="00920840">
        <w:t>Joint Application of Tech Valley Holdings, LLC, et al. For Grant of Authority, WC Docket No. 16-107, at 8 n.7 (filed Mar. 29, 2016)</w:t>
      </w:r>
      <w:r w:rsidRPr="00920840" w:rsidR="0020017A">
        <w:t xml:space="preserve"> </w:t>
      </w:r>
      <w:r w:rsidRPr="00920840">
        <w:t>(explaining that since certain funds had not closed and additional investors could still participate, the equity interests of investors had not been finalized, but any substantial changes in ownership would be updated by the applicants); Letter from Patrick S. Campbell, Counsel, Transferee, and Brett P. Ferenchak, Counsel, Transferor and Licensees, to Marlene H. Dortch, Secretary, FCC</w:t>
      </w:r>
      <w:r w:rsidRPr="00920840" w:rsidR="0020017A">
        <w:t>, WC Docket No. 16-107</w:t>
      </w:r>
      <w:r w:rsidRPr="00920840">
        <w:t xml:space="preserve"> (July 6, 2016) (providing updated ownership information as contemplated in the original joint application); </w:t>
      </w:r>
      <w:r w:rsidRPr="00920840">
        <w:rPr>
          <w:i/>
          <w:iCs/>
        </w:rPr>
        <w:t>Domestic Section 214 Application Granted for the Transfer of Control of TVC Albany, Inc. and Segtel, Inc. to</w:t>
      </w:r>
      <w:r w:rsidRPr="00920840" w:rsidR="00640701">
        <w:rPr>
          <w:i/>
          <w:iCs/>
        </w:rPr>
        <w:t xml:space="preserve"> </w:t>
      </w:r>
      <w:r w:rsidRPr="00920840">
        <w:rPr>
          <w:i/>
          <w:iCs/>
        </w:rPr>
        <w:t>OHCP Northeastern Fiber Buyer, Inc.</w:t>
      </w:r>
      <w:r w:rsidRPr="00920840">
        <w:t>, WC Docket No. 16-107, Public Notice, 31 FCC Rcd 9594 (WCB 2016)</w:t>
      </w:r>
      <w:r w:rsidRPr="00920840" w:rsidR="0020017A">
        <w:t>)</w:t>
      </w:r>
      <w:r w:rsidRPr="00920840" w:rsidR="00EB076C">
        <w:t xml:space="preserve">; </w:t>
      </w:r>
      <w:r w:rsidRPr="00920840" w:rsidR="004E6C1E">
        <w:t xml:space="preserve"> </w:t>
      </w:r>
      <w:r w:rsidRPr="00920840" w:rsidR="004E6C1E">
        <w:rPr>
          <w:i/>
          <w:iCs/>
        </w:rPr>
        <w:t xml:space="preserve">See </w:t>
      </w:r>
      <w:r w:rsidRPr="00920840" w:rsidR="000319BB">
        <w:rPr>
          <w:i/>
          <w:iCs/>
        </w:rPr>
        <w:t>Process Reform for Executive Branch Review of Certain FCC Applications and Petitions Involving Foreign Ownership</w:t>
      </w:r>
      <w:r w:rsidRPr="00920840" w:rsidR="007D7F1B">
        <w:t xml:space="preserve">, Report and Order, </w:t>
      </w:r>
      <w:r w:rsidRPr="00920840" w:rsidR="002B1DF3">
        <w:t>35 FCC Rcd 10927, 10953, para. 70</w:t>
      </w:r>
      <w:r w:rsidRPr="00920840" w:rsidR="006B0F93">
        <w:t xml:space="preserve"> (2020) (</w:t>
      </w:r>
      <w:r w:rsidRPr="00920840" w:rsidR="00DB2EE8">
        <w:t xml:space="preserve">requiring applicants with foreign ownership </w:t>
      </w:r>
      <w:r w:rsidRPr="00920840" w:rsidR="00DB2EE8">
        <w:rPr>
          <w:color w:val="000000"/>
          <w:shd w:val="clear" w:color="auto" w:fill="FFFFFF"/>
        </w:rPr>
        <w:t>“</w:t>
      </w:r>
      <w:r w:rsidRPr="00920840" w:rsidR="005C51D8">
        <w:rPr>
          <w:color w:val="000000"/>
          <w:shd w:val="clear" w:color="auto" w:fill="FFFFFF"/>
        </w:rPr>
        <w:t xml:space="preserve">to certify that they will maintain the accuracy and completeness of all information while the application is pending, as required by § 1.65 of the Commission's rules. </w:t>
      </w:r>
      <w:r w:rsidRPr="00920840" w:rsidR="004C04EC">
        <w:rPr>
          <w:color w:val="000000"/>
          <w:shd w:val="clear" w:color="auto" w:fill="FFFFFF"/>
        </w:rPr>
        <w:t xml:space="preserve"> </w:t>
      </w:r>
      <w:r w:rsidRPr="00920840" w:rsidR="005C51D8">
        <w:rPr>
          <w:color w:val="000000"/>
          <w:shd w:val="clear" w:color="auto" w:fill="FFFFFF"/>
        </w:rPr>
        <w:t xml:space="preserve">Thereafter, the authorization holders and licensees must update the Commission … as to any changes to the authorization holder(s) or the licensee's contact information. </w:t>
      </w:r>
      <w:r w:rsidRPr="00920840" w:rsidR="00611EF7">
        <w:rPr>
          <w:color w:val="000000"/>
          <w:shd w:val="clear" w:color="auto" w:fill="FFFFFF"/>
        </w:rPr>
        <w:t xml:space="preserve"> </w:t>
      </w:r>
      <w:r w:rsidRPr="00920840" w:rsidR="005C51D8">
        <w:rPr>
          <w:color w:val="000000"/>
          <w:shd w:val="clear" w:color="auto" w:fill="FFFFFF"/>
        </w:rPr>
        <w:t>While the application is pending, the certification requires applicants to affirm that all information submitted to the Commission … is complete and accurate, including applicant and contact information, and that the applicant agrees to inform the Commission … of any substantial and significant changes as required under § 1.65 of the Commission rules.”).</w:t>
      </w:r>
    </w:p>
  </w:footnote>
  <w:footnote w:id="37">
    <w:p w:rsidR="005B0178" w:rsidRPr="00920840" w14:paraId="2D409666" w14:textId="77777777">
      <w:pPr>
        <w:pStyle w:val="FootnoteText"/>
      </w:pPr>
      <w:r w:rsidRPr="00920840">
        <w:rPr>
          <w:rStyle w:val="FootnoteReference"/>
          <w:sz w:val="20"/>
        </w:rPr>
        <w:footnoteRef/>
      </w:r>
      <w:r w:rsidRPr="00920840">
        <w:t xml:space="preserve"> </w:t>
      </w:r>
      <w:r w:rsidRPr="00920840" w:rsidR="002553FD">
        <w:rPr>
          <w:i/>
        </w:rPr>
        <w:t>See, e.g</w:t>
      </w:r>
      <w:r w:rsidRPr="00920840" w:rsidR="002553FD">
        <w:t xml:space="preserve">., </w:t>
      </w:r>
      <w:r w:rsidRPr="00920840" w:rsidR="002553FD">
        <w:rPr>
          <w:i/>
        </w:rPr>
        <w:t>Applications of Level 3 Communications, Inc. and CenturyLink, Inc. for Consent to Transfer Control of Licenses and Authorizations</w:t>
      </w:r>
      <w:r w:rsidRPr="00920840" w:rsidR="002553FD">
        <w:t>, Memorandum Opinion and Order, 32 FCC Rcd 9581, 9594, 9605, paras. 26 and 52 (2017)</w:t>
      </w:r>
      <w:r w:rsidRPr="00920840" w:rsidR="006F2A84">
        <w:t xml:space="preserve"> </w:t>
      </w:r>
      <w:r w:rsidRPr="00920840" w:rsidR="002553FD">
        <w:t>(finding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w:t>
      </w:r>
      <w:r w:rsidRPr="00920840" w:rsidR="002553FD">
        <w:rPr>
          <w:bCs/>
        </w:rPr>
        <w:t>Level</w:t>
      </w:r>
      <w:r w:rsidRPr="00920840" w:rsidR="002553FD">
        <w:t> </w:t>
      </w:r>
      <w:r w:rsidRPr="00920840" w:rsidR="002553FD">
        <w:rPr>
          <w:bCs/>
        </w:rPr>
        <w:t>3</w:t>
      </w:r>
      <w:r w:rsidRPr="00920840" w:rsidR="002553FD">
        <w:t>, operates as a competitive LEC.”). </w:t>
      </w:r>
      <w:r w:rsidRPr="00920840" w:rsidR="00CD4793">
        <w:t xml:space="preserve"> </w:t>
      </w:r>
      <w:r w:rsidRPr="00920840" w:rsidR="00E67A0B">
        <w:t xml:space="preserve">The proposed transfer is not likely to reduce competition and may result in additional resources that will allow </w:t>
      </w:r>
      <w:r w:rsidRPr="00920840" w:rsidR="00884634">
        <w:t xml:space="preserve">Applicants </w:t>
      </w:r>
      <w:r w:rsidRPr="00920840" w:rsidR="00E67A0B">
        <w:t xml:space="preserve">to invest in their networks and services and to scale their platforms and ultimately improve connectivity and services.  </w:t>
      </w:r>
      <w:r w:rsidRPr="00920840" w:rsidR="00E67A0B">
        <w:rPr>
          <w:i/>
          <w:iCs/>
        </w:rPr>
        <w:t xml:space="preserve">See </w:t>
      </w:r>
      <w:r w:rsidRPr="00920840" w:rsidR="003F4036">
        <w:rPr>
          <w:i/>
          <w:iCs/>
        </w:rPr>
        <w:t>id</w:t>
      </w:r>
      <w:r w:rsidRPr="00920840" w:rsidR="003F4036">
        <w:t>.</w:t>
      </w:r>
      <w:r w:rsidRPr="00920840" w:rsidR="00777E97">
        <w:t xml:space="preserve"> at 9605, para. 53</w:t>
      </w:r>
      <w:r w:rsidRPr="00920840" w:rsidR="003F4036">
        <w:t xml:space="preserve"> </w:t>
      </w:r>
      <w:r w:rsidRPr="00920840" w:rsidR="00777E97">
        <w:t xml:space="preserve">(finding that a larger, better capitalized combined company is more likely to expand or improve fiber network); </w:t>
      </w:r>
      <w:r w:rsidRPr="00920840" w:rsidR="00CD4793">
        <w:t xml:space="preserve">Applicant’s December 23 Supplement at 2-3 (stating that the Applicants primarily provide non-competing retail services and, post-transaction, will face a significant number of competitors for wholesale services).  </w:t>
      </w:r>
    </w:p>
  </w:footnote>
  <w:footnote w:id="38">
    <w:p w:rsidR="009E434D" w:rsidRPr="00920840" w:rsidP="00E25C7E" w14:paraId="21D69129" w14:textId="77777777">
      <w:pPr>
        <w:pStyle w:val="FootnoteText"/>
        <w:rPr>
          <w:color w:val="000000"/>
        </w:rPr>
      </w:pPr>
      <w:r w:rsidRPr="00920840">
        <w:rPr>
          <w:rStyle w:val="FootnoteReference"/>
          <w:color w:val="000000"/>
          <w:sz w:val="20"/>
        </w:rPr>
        <w:footnoteRef/>
      </w:r>
      <w:r w:rsidRPr="00920840">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RPr="009838BC" w:rsidP="009838BC" w14:paraId="4DC6212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RPr="00A866AC" w:rsidP="009838BC" w14:paraId="389BA755" w14:textId="15BAE00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E434D" w:rsidRPr="00FA0E88" w:rsidP="009838BC" w14:textId="77777777">
                          <w:pPr>
                            <w:rPr>
                              <w:rFonts w:ascii="Arial" w:hAnsi="Arial"/>
                              <w:b/>
                            </w:rPr>
                          </w:pPr>
                          <w:r w:rsidRPr="00FA0E88">
                            <w:rPr>
                              <w:rFonts w:ascii="Arial" w:hAnsi="Arial"/>
                              <w:b/>
                            </w:rPr>
                            <w:t>Federal Communications Commission</w:t>
                          </w:r>
                        </w:p>
                        <w:p w:rsidR="009E434D" w:rsidRPr="00FA0E88" w:rsidP="009838BC" w14:textId="77777777">
                          <w:pPr>
                            <w:rPr>
                              <w:rFonts w:ascii="Arial" w:hAnsi="Arial"/>
                              <w:b/>
                            </w:rPr>
                          </w:pPr>
                          <w:r w:rsidRPr="00FA0E88">
                            <w:rPr>
                              <w:rFonts w:ascii="Arial" w:hAnsi="Arial"/>
                              <w:b/>
                            </w:rPr>
                            <w:t>45 L St., N.E.</w:t>
                          </w:r>
                        </w:p>
                        <w:p w:rsidR="009E434D" w:rsidP="009838BC" w14:textId="77777777">
                          <w:pPr>
                            <w:rPr>
                              <w:rFonts w:ascii="Arial" w:hAnsi="Arial"/>
                              <w:sz w:val="24"/>
                            </w:rPr>
                          </w:pPr>
                          <w:r w:rsidRPr="00FA0E88">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E434D" w:rsidRPr="00FA0E88" w:rsidP="009838BC" w14:paraId="6A3A14A2" w14:textId="77777777">
                    <w:pPr>
                      <w:rPr>
                        <w:rFonts w:ascii="Arial" w:hAnsi="Arial"/>
                        <w:b/>
                      </w:rPr>
                    </w:pPr>
                    <w:r w:rsidRPr="00FA0E88">
                      <w:rPr>
                        <w:rFonts w:ascii="Arial" w:hAnsi="Arial"/>
                        <w:b/>
                      </w:rPr>
                      <w:t>Federal Communications Commission</w:t>
                    </w:r>
                  </w:p>
                  <w:p w:rsidR="009E434D" w:rsidRPr="00FA0E88" w:rsidP="009838BC" w14:paraId="51367D7E" w14:textId="77777777">
                    <w:pPr>
                      <w:rPr>
                        <w:rFonts w:ascii="Arial" w:hAnsi="Arial"/>
                        <w:b/>
                      </w:rPr>
                    </w:pPr>
                    <w:r w:rsidRPr="00FA0E88">
                      <w:rPr>
                        <w:rFonts w:ascii="Arial" w:hAnsi="Arial"/>
                        <w:b/>
                      </w:rPr>
                      <w:t>45 L St., N.E.</w:t>
                    </w:r>
                  </w:p>
                  <w:p w:rsidR="009E434D" w:rsidP="009838BC" w14:paraId="3279212B" w14:textId="77777777">
                    <w:pPr>
                      <w:rPr>
                        <w:rFonts w:ascii="Arial" w:hAnsi="Arial"/>
                        <w:sz w:val="24"/>
                      </w:rPr>
                    </w:pPr>
                    <w:r w:rsidRPr="00FA0E88">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0E03AA">
      <w:rPr>
        <w:rFonts w:ascii="Arial" w:hAnsi="Arial" w:cs="Arial"/>
        <w:b/>
        <w:sz w:val="96"/>
      </w:rPr>
      <w:t>PUBLIC NOTICE</w:t>
    </w:r>
  </w:p>
  <w:p w:rsidR="009E434D" w:rsidRPr="00357D50" w:rsidP="009838BC" w14:paraId="466F39ED" w14:textId="4065476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E434D" w:rsidP="009838BC" w14:textId="77777777">
                          <w:pPr>
                            <w:spacing w:before="40"/>
                            <w:jc w:val="right"/>
                            <w:rPr>
                              <w:rFonts w:ascii="Arial" w:hAnsi="Arial"/>
                              <w:b/>
                              <w:sz w:val="16"/>
                            </w:rPr>
                          </w:pPr>
                          <w:r>
                            <w:rPr>
                              <w:rFonts w:ascii="Arial" w:hAnsi="Arial"/>
                              <w:b/>
                              <w:sz w:val="16"/>
                            </w:rPr>
                            <w:t>News Media Information 202 / 418-0500</w:t>
                          </w:r>
                        </w:p>
                        <w:p w:rsidR="009E434D" w:rsidP="009838BC"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E434D"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E434D" w:rsidP="009838BC" w14:paraId="78762E2B" w14:textId="77777777">
                    <w:pPr>
                      <w:spacing w:before="40"/>
                      <w:jc w:val="right"/>
                      <w:rPr>
                        <w:rFonts w:ascii="Arial" w:hAnsi="Arial"/>
                        <w:b/>
                        <w:sz w:val="16"/>
                      </w:rPr>
                    </w:pPr>
                    <w:r>
                      <w:rPr>
                        <w:rFonts w:ascii="Arial" w:hAnsi="Arial"/>
                        <w:b/>
                        <w:sz w:val="16"/>
                      </w:rPr>
                      <w:t>News Media Information 202 / 418-0500</w:t>
                    </w:r>
                  </w:p>
                  <w:p w:rsidR="009E434D" w:rsidP="009838BC" w14:paraId="68D63169"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E434D" w:rsidP="009838BC" w14:paraId="7C328AD8" w14:textId="77777777">
                    <w:pPr>
                      <w:jc w:val="right"/>
                    </w:pPr>
                    <w:r>
                      <w:rPr>
                        <w:rFonts w:ascii="Arial" w:hAnsi="Arial"/>
                        <w:b/>
                        <w:sz w:val="16"/>
                      </w:rPr>
                      <w:t>TTY: 1-888-835-5322</w:t>
                    </w:r>
                  </w:p>
                </w:txbxContent>
              </v:textbox>
            </v:shape>
          </w:pict>
        </mc:Fallback>
      </mc:AlternateContent>
    </w:r>
  </w:p>
  <w:p w:rsidR="009E434D" w:rsidRPr="009838BC" w:rsidP="009838BC" w14:paraId="340E0EF7"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4023BE1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4BFA197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40BD4A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7DB1696"/>
    <w:multiLevelType w:val="hybridMultilevel"/>
    <w:tmpl w:val="3C085CE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FA26316"/>
    <w:multiLevelType w:val="hybridMultilevel"/>
    <w:tmpl w:val="1D6E4CC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63"/>
    <w:rsid w:val="00000B7E"/>
    <w:rsid w:val="000028B9"/>
    <w:rsid w:val="000069AC"/>
    <w:rsid w:val="000072CE"/>
    <w:rsid w:val="00010997"/>
    <w:rsid w:val="000127AD"/>
    <w:rsid w:val="00013A8B"/>
    <w:rsid w:val="0001432C"/>
    <w:rsid w:val="00021059"/>
    <w:rsid w:val="00021445"/>
    <w:rsid w:val="00022C42"/>
    <w:rsid w:val="00023361"/>
    <w:rsid w:val="00023F2E"/>
    <w:rsid w:val="00027378"/>
    <w:rsid w:val="00030AFE"/>
    <w:rsid w:val="000319BB"/>
    <w:rsid w:val="00033037"/>
    <w:rsid w:val="0003374B"/>
    <w:rsid w:val="000354BE"/>
    <w:rsid w:val="00036039"/>
    <w:rsid w:val="00037E1A"/>
    <w:rsid w:val="00037F90"/>
    <w:rsid w:val="000411A2"/>
    <w:rsid w:val="0005777F"/>
    <w:rsid w:val="00061C2A"/>
    <w:rsid w:val="00076186"/>
    <w:rsid w:val="00077600"/>
    <w:rsid w:val="000844E6"/>
    <w:rsid w:val="00084B28"/>
    <w:rsid w:val="000855AA"/>
    <w:rsid w:val="0008661F"/>
    <w:rsid w:val="000875BF"/>
    <w:rsid w:val="00090300"/>
    <w:rsid w:val="00090ECA"/>
    <w:rsid w:val="00092888"/>
    <w:rsid w:val="000929C0"/>
    <w:rsid w:val="00096D8C"/>
    <w:rsid w:val="000A5922"/>
    <w:rsid w:val="000A6D6A"/>
    <w:rsid w:val="000B0A14"/>
    <w:rsid w:val="000B1768"/>
    <w:rsid w:val="000B3240"/>
    <w:rsid w:val="000B382B"/>
    <w:rsid w:val="000B5EB5"/>
    <w:rsid w:val="000B7FA8"/>
    <w:rsid w:val="000C0B65"/>
    <w:rsid w:val="000C3920"/>
    <w:rsid w:val="000C46F9"/>
    <w:rsid w:val="000D3CD7"/>
    <w:rsid w:val="000D509E"/>
    <w:rsid w:val="000E03AA"/>
    <w:rsid w:val="000E2F74"/>
    <w:rsid w:val="000E3083"/>
    <w:rsid w:val="000E31F5"/>
    <w:rsid w:val="000E32BC"/>
    <w:rsid w:val="000E3D42"/>
    <w:rsid w:val="000E3FD9"/>
    <w:rsid w:val="000E5884"/>
    <w:rsid w:val="000E5F82"/>
    <w:rsid w:val="000E67A7"/>
    <w:rsid w:val="000F02F1"/>
    <w:rsid w:val="000F1215"/>
    <w:rsid w:val="000F6867"/>
    <w:rsid w:val="000F77DE"/>
    <w:rsid w:val="00100509"/>
    <w:rsid w:val="00102695"/>
    <w:rsid w:val="001070CC"/>
    <w:rsid w:val="00113ACE"/>
    <w:rsid w:val="00114997"/>
    <w:rsid w:val="001170BE"/>
    <w:rsid w:val="00117280"/>
    <w:rsid w:val="00120CF7"/>
    <w:rsid w:val="0012179F"/>
    <w:rsid w:val="00122BD5"/>
    <w:rsid w:val="00124922"/>
    <w:rsid w:val="0012499F"/>
    <w:rsid w:val="001256A0"/>
    <w:rsid w:val="00125DDD"/>
    <w:rsid w:val="00125F26"/>
    <w:rsid w:val="00126645"/>
    <w:rsid w:val="00133A90"/>
    <w:rsid w:val="001359EF"/>
    <w:rsid w:val="00136BD3"/>
    <w:rsid w:val="00137B19"/>
    <w:rsid w:val="00141D47"/>
    <w:rsid w:val="001461C1"/>
    <w:rsid w:val="00151A43"/>
    <w:rsid w:val="00151B55"/>
    <w:rsid w:val="001541C6"/>
    <w:rsid w:val="00155AB1"/>
    <w:rsid w:val="00156668"/>
    <w:rsid w:val="001704BC"/>
    <w:rsid w:val="00170C57"/>
    <w:rsid w:val="00172AF1"/>
    <w:rsid w:val="00174DF7"/>
    <w:rsid w:val="00176EEE"/>
    <w:rsid w:val="00177347"/>
    <w:rsid w:val="001812D1"/>
    <w:rsid w:val="001814BA"/>
    <w:rsid w:val="001825DB"/>
    <w:rsid w:val="001860F3"/>
    <w:rsid w:val="001877A5"/>
    <w:rsid w:val="00191E3E"/>
    <w:rsid w:val="00192C5C"/>
    <w:rsid w:val="00192EBB"/>
    <w:rsid w:val="00195AD3"/>
    <w:rsid w:val="001979D9"/>
    <w:rsid w:val="00197E89"/>
    <w:rsid w:val="001A49F9"/>
    <w:rsid w:val="001A7626"/>
    <w:rsid w:val="001B10AC"/>
    <w:rsid w:val="001B10B8"/>
    <w:rsid w:val="001C319C"/>
    <w:rsid w:val="001C6E1F"/>
    <w:rsid w:val="001C7B87"/>
    <w:rsid w:val="001D0C08"/>
    <w:rsid w:val="001D51B0"/>
    <w:rsid w:val="001D6BCF"/>
    <w:rsid w:val="001E01CA"/>
    <w:rsid w:val="001E235D"/>
    <w:rsid w:val="001E525E"/>
    <w:rsid w:val="001E5E95"/>
    <w:rsid w:val="001F149E"/>
    <w:rsid w:val="001F470A"/>
    <w:rsid w:val="001F7F46"/>
    <w:rsid w:val="0020017A"/>
    <w:rsid w:val="0020053A"/>
    <w:rsid w:val="00201E3B"/>
    <w:rsid w:val="00202F83"/>
    <w:rsid w:val="002060D9"/>
    <w:rsid w:val="002070B7"/>
    <w:rsid w:val="00207144"/>
    <w:rsid w:val="00210B48"/>
    <w:rsid w:val="0022604D"/>
    <w:rsid w:val="00226822"/>
    <w:rsid w:val="00230F1B"/>
    <w:rsid w:val="0023145D"/>
    <w:rsid w:val="00233263"/>
    <w:rsid w:val="002332B4"/>
    <w:rsid w:val="00233549"/>
    <w:rsid w:val="0023455F"/>
    <w:rsid w:val="00235FC2"/>
    <w:rsid w:val="00237CC6"/>
    <w:rsid w:val="00237D19"/>
    <w:rsid w:val="002435EC"/>
    <w:rsid w:val="0025233B"/>
    <w:rsid w:val="002534D6"/>
    <w:rsid w:val="00253D46"/>
    <w:rsid w:val="002553FD"/>
    <w:rsid w:val="0025696B"/>
    <w:rsid w:val="00257235"/>
    <w:rsid w:val="00257F5D"/>
    <w:rsid w:val="00260594"/>
    <w:rsid w:val="0026198F"/>
    <w:rsid w:val="00261CA1"/>
    <w:rsid w:val="0026411D"/>
    <w:rsid w:val="00265B1A"/>
    <w:rsid w:val="00266C33"/>
    <w:rsid w:val="00274224"/>
    <w:rsid w:val="00282726"/>
    <w:rsid w:val="00285017"/>
    <w:rsid w:val="00293EE4"/>
    <w:rsid w:val="00295850"/>
    <w:rsid w:val="002977FD"/>
    <w:rsid w:val="002A2D2E"/>
    <w:rsid w:val="002A5607"/>
    <w:rsid w:val="002A62CE"/>
    <w:rsid w:val="002A6EF9"/>
    <w:rsid w:val="002A72F8"/>
    <w:rsid w:val="002B04DB"/>
    <w:rsid w:val="002B1DF3"/>
    <w:rsid w:val="002B2A81"/>
    <w:rsid w:val="002B30C2"/>
    <w:rsid w:val="002B5924"/>
    <w:rsid w:val="002B6389"/>
    <w:rsid w:val="002B6910"/>
    <w:rsid w:val="002B73D9"/>
    <w:rsid w:val="002C1F2A"/>
    <w:rsid w:val="002C2AC0"/>
    <w:rsid w:val="002C3415"/>
    <w:rsid w:val="002C3453"/>
    <w:rsid w:val="002C3E49"/>
    <w:rsid w:val="002C3F1A"/>
    <w:rsid w:val="002C5FF2"/>
    <w:rsid w:val="002C64DF"/>
    <w:rsid w:val="002C7C32"/>
    <w:rsid w:val="002D4DBB"/>
    <w:rsid w:val="002E0F84"/>
    <w:rsid w:val="002F20CA"/>
    <w:rsid w:val="002F40F7"/>
    <w:rsid w:val="002F4A7A"/>
    <w:rsid w:val="0030123F"/>
    <w:rsid w:val="0030689A"/>
    <w:rsid w:val="00307192"/>
    <w:rsid w:val="00307351"/>
    <w:rsid w:val="00307470"/>
    <w:rsid w:val="00310313"/>
    <w:rsid w:val="003142A0"/>
    <w:rsid w:val="00314A03"/>
    <w:rsid w:val="003151C6"/>
    <w:rsid w:val="00316C1D"/>
    <w:rsid w:val="0032140E"/>
    <w:rsid w:val="00322F0B"/>
    <w:rsid w:val="003325F0"/>
    <w:rsid w:val="00333D7A"/>
    <w:rsid w:val="003340AD"/>
    <w:rsid w:val="00335A2C"/>
    <w:rsid w:val="00337B06"/>
    <w:rsid w:val="00340EC9"/>
    <w:rsid w:val="00341EE6"/>
    <w:rsid w:val="00343749"/>
    <w:rsid w:val="003437ED"/>
    <w:rsid w:val="00347B5B"/>
    <w:rsid w:val="003530FE"/>
    <w:rsid w:val="00355E94"/>
    <w:rsid w:val="00357D50"/>
    <w:rsid w:val="003677D8"/>
    <w:rsid w:val="00370447"/>
    <w:rsid w:val="0037216B"/>
    <w:rsid w:val="003740ED"/>
    <w:rsid w:val="003745CB"/>
    <w:rsid w:val="00375804"/>
    <w:rsid w:val="00376338"/>
    <w:rsid w:val="00377F34"/>
    <w:rsid w:val="003878DF"/>
    <w:rsid w:val="003925DC"/>
    <w:rsid w:val="0039282D"/>
    <w:rsid w:val="00394617"/>
    <w:rsid w:val="003A02C8"/>
    <w:rsid w:val="003A38A3"/>
    <w:rsid w:val="003A7166"/>
    <w:rsid w:val="003B0550"/>
    <w:rsid w:val="003B1092"/>
    <w:rsid w:val="003B2420"/>
    <w:rsid w:val="003B694F"/>
    <w:rsid w:val="003B6ADA"/>
    <w:rsid w:val="003C6D61"/>
    <w:rsid w:val="003C73BD"/>
    <w:rsid w:val="003D538B"/>
    <w:rsid w:val="003D7F6E"/>
    <w:rsid w:val="003E4077"/>
    <w:rsid w:val="003E5192"/>
    <w:rsid w:val="003E5459"/>
    <w:rsid w:val="003E5ECE"/>
    <w:rsid w:val="003F03F6"/>
    <w:rsid w:val="003F1215"/>
    <w:rsid w:val="003F171C"/>
    <w:rsid w:val="003F4036"/>
    <w:rsid w:val="003F5398"/>
    <w:rsid w:val="003F5E82"/>
    <w:rsid w:val="003F7D0D"/>
    <w:rsid w:val="004067A8"/>
    <w:rsid w:val="00410007"/>
    <w:rsid w:val="004111F5"/>
    <w:rsid w:val="00412FC5"/>
    <w:rsid w:val="00412FF9"/>
    <w:rsid w:val="004210DB"/>
    <w:rsid w:val="004219B1"/>
    <w:rsid w:val="00422276"/>
    <w:rsid w:val="004242F1"/>
    <w:rsid w:val="00430922"/>
    <w:rsid w:val="0043502E"/>
    <w:rsid w:val="00435796"/>
    <w:rsid w:val="00437B66"/>
    <w:rsid w:val="00437FD5"/>
    <w:rsid w:val="00440058"/>
    <w:rsid w:val="0044306B"/>
    <w:rsid w:val="00445A00"/>
    <w:rsid w:val="00446900"/>
    <w:rsid w:val="00451B0F"/>
    <w:rsid w:val="0045799F"/>
    <w:rsid w:val="00460067"/>
    <w:rsid w:val="0046125F"/>
    <w:rsid w:val="00461F4F"/>
    <w:rsid w:val="004643B2"/>
    <w:rsid w:val="00467F1D"/>
    <w:rsid w:val="00473859"/>
    <w:rsid w:val="00474150"/>
    <w:rsid w:val="00476696"/>
    <w:rsid w:val="00481690"/>
    <w:rsid w:val="00482193"/>
    <w:rsid w:val="004828FE"/>
    <w:rsid w:val="00485C99"/>
    <w:rsid w:val="00485DB5"/>
    <w:rsid w:val="0048740D"/>
    <w:rsid w:val="00487524"/>
    <w:rsid w:val="00487CA0"/>
    <w:rsid w:val="00490B64"/>
    <w:rsid w:val="004919B2"/>
    <w:rsid w:val="00492BC8"/>
    <w:rsid w:val="00494338"/>
    <w:rsid w:val="00495DD2"/>
    <w:rsid w:val="00496106"/>
    <w:rsid w:val="00496767"/>
    <w:rsid w:val="004978FF"/>
    <w:rsid w:val="004A2C21"/>
    <w:rsid w:val="004A3EA5"/>
    <w:rsid w:val="004A68E9"/>
    <w:rsid w:val="004A7259"/>
    <w:rsid w:val="004B683F"/>
    <w:rsid w:val="004B794D"/>
    <w:rsid w:val="004C04EC"/>
    <w:rsid w:val="004C0BEB"/>
    <w:rsid w:val="004C12D0"/>
    <w:rsid w:val="004C2EE3"/>
    <w:rsid w:val="004C355B"/>
    <w:rsid w:val="004C3CAE"/>
    <w:rsid w:val="004D1AB0"/>
    <w:rsid w:val="004D313C"/>
    <w:rsid w:val="004D646C"/>
    <w:rsid w:val="004D6BA3"/>
    <w:rsid w:val="004E30B8"/>
    <w:rsid w:val="004E4A22"/>
    <w:rsid w:val="004E57BF"/>
    <w:rsid w:val="004E68E9"/>
    <w:rsid w:val="004E6C1E"/>
    <w:rsid w:val="004E6DCC"/>
    <w:rsid w:val="004E78E5"/>
    <w:rsid w:val="004F07AC"/>
    <w:rsid w:val="004F1A91"/>
    <w:rsid w:val="004F7A71"/>
    <w:rsid w:val="004F7F00"/>
    <w:rsid w:val="0050046E"/>
    <w:rsid w:val="00500FBC"/>
    <w:rsid w:val="0050119E"/>
    <w:rsid w:val="00501B3A"/>
    <w:rsid w:val="00505358"/>
    <w:rsid w:val="00511968"/>
    <w:rsid w:val="00511EFB"/>
    <w:rsid w:val="00515414"/>
    <w:rsid w:val="005179EB"/>
    <w:rsid w:val="00517CAA"/>
    <w:rsid w:val="0052213B"/>
    <w:rsid w:val="005225F8"/>
    <w:rsid w:val="00522932"/>
    <w:rsid w:val="00526D9A"/>
    <w:rsid w:val="00530867"/>
    <w:rsid w:val="00530EA9"/>
    <w:rsid w:val="00531889"/>
    <w:rsid w:val="00532B80"/>
    <w:rsid w:val="00533B0A"/>
    <w:rsid w:val="005355FE"/>
    <w:rsid w:val="00542E78"/>
    <w:rsid w:val="005433E2"/>
    <w:rsid w:val="005478D0"/>
    <w:rsid w:val="00550556"/>
    <w:rsid w:val="00550B7A"/>
    <w:rsid w:val="00553B80"/>
    <w:rsid w:val="0055614C"/>
    <w:rsid w:val="00557003"/>
    <w:rsid w:val="0055754E"/>
    <w:rsid w:val="00566E25"/>
    <w:rsid w:val="00567DEC"/>
    <w:rsid w:val="0057535A"/>
    <w:rsid w:val="00582C12"/>
    <w:rsid w:val="005858D8"/>
    <w:rsid w:val="00590651"/>
    <w:rsid w:val="00591595"/>
    <w:rsid w:val="005940EB"/>
    <w:rsid w:val="005941C3"/>
    <w:rsid w:val="00595F49"/>
    <w:rsid w:val="005971DB"/>
    <w:rsid w:val="00597777"/>
    <w:rsid w:val="005A09B4"/>
    <w:rsid w:val="005A64E1"/>
    <w:rsid w:val="005A7C26"/>
    <w:rsid w:val="005A7C63"/>
    <w:rsid w:val="005B0178"/>
    <w:rsid w:val="005B3ED7"/>
    <w:rsid w:val="005B7546"/>
    <w:rsid w:val="005C3031"/>
    <w:rsid w:val="005C42BD"/>
    <w:rsid w:val="005C51D8"/>
    <w:rsid w:val="005C6E4B"/>
    <w:rsid w:val="005D7116"/>
    <w:rsid w:val="005E038C"/>
    <w:rsid w:val="005E0C27"/>
    <w:rsid w:val="005E1AF5"/>
    <w:rsid w:val="005E520C"/>
    <w:rsid w:val="005E7242"/>
    <w:rsid w:val="005F01CA"/>
    <w:rsid w:val="005F496E"/>
    <w:rsid w:val="00602C1E"/>
    <w:rsid w:val="00606E30"/>
    <w:rsid w:val="00607BA5"/>
    <w:rsid w:val="00611A7C"/>
    <w:rsid w:val="00611C78"/>
    <w:rsid w:val="00611EF7"/>
    <w:rsid w:val="00615488"/>
    <w:rsid w:val="0061720B"/>
    <w:rsid w:val="00620D80"/>
    <w:rsid w:val="00620FD7"/>
    <w:rsid w:val="00624055"/>
    <w:rsid w:val="00626EB6"/>
    <w:rsid w:val="00627FDF"/>
    <w:rsid w:val="006306F5"/>
    <w:rsid w:val="006353A3"/>
    <w:rsid w:val="0063786B"/>
    <w:rsid w:val="00640701"/>
    <w:rsid w:val="00640E3B"/>
    <w:rsid w:val="0064291E"/>
    <w:rsid w:val="006434A1"/>
    <w:rsid w:val="0064627D"/>
    <w:rsid w:val="00647979"/>
    <w:rsid w:val="006507D5"/>
    <w:rsid w:val="00650D14"/>
    <w:rsid w:val="00653682"/>
    <w:rsid w:val="0065426F"/>
    <w:rsid w:val="00655D03"/>
    <w:rsid w:val="006567E8"/>
    <w:rsid w:val="00657E71"/>
    <w:rsid w:val="00660D28"/>
    <w:rsid w:val="0066390F"/>
    <w:rsid w:val="00665677"/>
    <w:rsid w:val="00671539"/>
    <w:rsid w:val="006728AD"/>
    <w:rsid w:val="006738CF"/>
    <w:rsid w:val="006759DD"/>
    <w:rsid w:val="00676055"/>
    <w:rsid w:val="0067722D"/>
    <w:rsid w:val="00683F84"/>
    <w:rsid w:val="00684F65"/>
    <w:rsid w:val="00687F4B"/>
    <w:rsid w:val="00691E3D"/>
    <w:rsid w:val="0069481C"/>
    <w:rsid w:val="00695EDE"/>
    <w:rsid w:val="00697DDB"/>
    <w:rsid w:val="006A3099"/>
    <w:rsid w:val="006A39CF"/>
    <w:rsid w:val="006A6A81"/>
    <w:rsid w:val="006A6D77"/>
    <w:rsid w:val="006B0677"/>
    <w:rsid w:val="006B0F93"/>
    <w:rsid w:val="006B2E49"/>
    <w:rsid w:val="006B54CC"/>
    <w:rsid w:val="006B6A70"/>
    <w:rsid w:val="006C0569"/>
    <w:rsid w:val="006C0CC3"/>
    <w:rsid w:val="006C3988"/>
    <w:rsid w:val="006C6236"/>
    <w:rsid w:val="006C6FE3"/>
    <w:rsid w:val="006D4149"/>
    <w:rsid w:val="006D5284"/>
    <w:rsid w:val="006D537A"/>
    <w:rsid w:val="006D565C"/>
    <w:rsid w:val="006D6021"/>
    <w:rsid w:val="006D7664"/>
    <w:rsid w:val="006D7958"/>
    <w:rsid w:val="006E05D4"/>
    <w:rsid w:val="006E26AF"/>
    <w:rsid w:val="006E4B18"/>
    <w:rsid w:val="006F0C02"/>
    <w:rsid w:val="006F2A84"/>
    <w:rsid w:val="006F4493"/>
    <w:rsid w:val="006F7393"/>
    <w:rsid w:val="0070224F"/>
    <w:rsid w:val="00703186"/>
    <w:rsid w:val="0070463E"/>
    <w:rsid w:val="00706AF6"/>
    <w:rsid w:val="00711506"/>
    <w:rsid w:val="007115F7"/>
    <w:rsid w:val="0071655C"/>
    <w:rsid w:val="00720B31"/>
    <w:rsid w:val="0072227B"/>
    <w:rsid w:val="00723BC3"/>
    <w:rsid w:val="007255F5"/>
    <w:rsid w:val="007258A9"/>
    <w:rsid w:val="0073280D"/>
    <w:rsid w:val="007331C4"/>
    <w:rsid w:val="0073465A"/>
    <w:rsid w:val="00734E95"/>
    <w:rsid w:val="007432D6"/>
    <w:rsid w:val="00745E71"/>
    <w:rsid w:val="007513E2"/>
    <w:rsid w:val="00752E51"/>
    <w:rsid w:val="007533F6"/>
    <w:rsid w:val="00754EDF"/>
    <w:rsid w:val="00755559"/>
    <w:rsid w:val="007562E4"/>
    <w:rsid w:val="00763105"/>
    <w:rsid w:val="00763854"/>
    <w:rsid w:val="00764B6F"/>
    <w:rsid w:val="00764BCB"/>
    <w:rsid w:val="00771F3A"/>
    <w:rsid w:val="00772078"/>
    <w:rsid w:val="00777E97"/>
    <w:rsid w:val="00777EBD"/>
    <w:rsid w:val="00780219"/>
    <w:rsid w:val="007825F6"/>
    <w:rsid w:val="0078276B"/>
    <w:rsid w:val="00784607"/>
    <w:rsid w:val="00785689"/>
    <w:rsid w:val="0078606D"/>
    <w:rsid w:val="007943C5"/>
    <w:rsid w:val="00794DC7"/>
    <w:rsid w:val="00794F01"/>
    <w:rsid w:val="007957CC"/>
    <w:rsid w:val="0079754B"/>
    <w:rsid w:val="007A1E6D"/>
    <w:rsid w:val="007A237C"/>
    <w:rsid w:val="007A3CC9"/>
    <w:rsid w:val="007A4576"/>
    <w:rsid w:val="007A46FE"/>
    <w:rsid w:val="007B12B6"/>
    <w:rsid w:val="007B2D4F"/>
    <w:rsid w:val="007B413E"/>
    <w:rsid w:val="007B7F92"/>
    <w:rsid w:val="007C0247"/>
    <w:rsid w:val="007C6584"/>
    <w:rsid w:val="007C7380"/>
    <w:rsid w:val="007D1599"/>
    <w:rsid w:val="007D2EFA"/>
    <w:rsid w:val="007D3162"/>
    <w:rsid w:val="007D35B4"/>
    <w:rsid w:val="007D7F1B"/>
    <w:rsid w:val="007E117C"/>
    <w:rsid w:val="007E7363"/>
    <w:rsid w:val="007F011E"/>
    <w:rsid w:val="007F3554"/>
    <w:rsid w:val="007F759B"/>
    <w:rsid w:val="00804B4A"/>
    <w:rsid w:val="00816151"/>
    <w:rsid w:val="008164D6"/>
    <w:rsid w:val="00822CE0"/>
    <w:rsid w:val="00823610"/>
    <w:rsid w:val="0082403E"/>
    <w:rsid w:val="00827B1F"/>
    <w:rsid w:val="0083058B"/>
    <w:rsid w:val="0083219B"/>
    <w:rsid w:val="00837C62"/>
    <w:rsid w:val="00841AB1"/>
    <w:rsid w:val="00843A0D"/>
    <w:rsid w:val="00850EB2"/>
    <w:rsid w:val="0085496A"/>
    <w:rsid w:val="00857BCB"/>
    <w:rsid w:val="008643A4"/>
    <w:rsid w:val="00865D95"/>
    <w:rsid w:val="00865DC3"/>
    <w:rsid w:val="00866AAE"/>
    <w:rsid w:val="00867D72"/>
    <w:rsid w:val="00870F51"/>
    <w:rsid w:val="00872300"/>
    <w:rsid w:val="00873DA5"/>
    <w:rsid w:val="00874B4B"/>
    <w:rsid w:val="0088440E"/>
    <w:rsid w:val="00884634"/>
    <w:rsid w:val="00886559"/>
    <w:rsid w:val="00886BEB"/>
    <w:rsid w:val="0089218B"/>
    <w:rsid w:val="008A1F17"/>
    <w:rsid w:val="008A6EE5"/>
    <w:rsid w:val="008A7431"/>
    <w:rsid w:val="008B3067"/>
    <w:rsid w:val="008C208C"/>
    <w:rsid w:val="008C22FD"/>
    <w:rsid w:val="008C311D"/>
    <w:rsid w:val="008C34C0"/>
    <w:rsid w:val="008C4A5B"/>
    <w:rsid w:val="008C638D"/>
    <w:rsid w:val="008D3397"/>
    <w:rsid w:val="008D5E16"/>
    <w:rsid w:val="008E4DA4"/>
    <w:rsid w:val="008E6EE8"/>
    <w:rsid w:val="008F0F6B"/>
    <w:rsid w:val="008F27CF"/>
    <w:rsid w:val="008F4F0E"/>
    <w:rsid w:val="008F5E3C"/>
    <w:rsid w:val="008F639F"/>
    <w:rsid w:val="008F6F86"/>
    <w:rsid w:val="009006AB"/>
    <w:rsid w:val="00905534"/>
    <w:rsid w:val="0090771D"/>
    <w:rsid w:val="00910F12"/>
    <w:rsid w:val="0091259C"/>
    <w:rsid w:val="00913392"/>
    <w:rsid w:val="0091420C"/>
    <w:rsid w:val="00915573"/>
    <w:rsid w:val="00916BAB"/>
    <w:rsid w:val="00920840"/>
    <w:rsid w:val="00922583"/>
    <w:rsid w:val="00922EDA"/>
    <w:rsid w:val="00923B8D"/>
    <w:rsid w:val="00926503"/>
    <w:rsid w:val="00930ECF"/>
    <w:rsid w:val="00934A3B"/>
    <w:rsid w:val="009361F3"/>
    <w:rsid w:val="00940F9F"/>
    <w:rsid w:val="00942EC3"/>
    <w:rsid w:val="00943841"/>
    <w:rsid w:val="00947CEA"/>
    <w:rsid w:val="00950596"/>
    <w:rsid w:val="00951FAD"/>
    <w:rsid w:val="00952F1A"/>
    <w:rsid w:val="00956484"/>
    <w:rsid w:val="00961408"/>
    <w:rsid w:val="0096315D"/>
    <w:rsid w:val="00963D05"/>
    <w:rsid w:val="00966E63"/>
    <w:rsid w:val="00967A3C"/>
    <w:rsid w:val="00970850"/>
    <w:rsid w:val="00972E6E"/>
    <w:rsid w:val="00975901"/>
    <w:rsid w:val="00975B7A"/>
    <w:rsid w:val="009821FE"/>
    <w:rsid w:val="00982411"/>
    <w:rsid w:val="009838BC"/>
    <w:rsid w:val="009848C5"/>
    <w:rsid w:val="00986813"/>
    <w:rsid w:val="009912B3"/>
    <w:rsid w:val="0099190D"/>
    <w:rsid w:val="00991E12"/>
    <w:rsid w:val="0099420D"/>
    <w:rsid w:val="00994DB5"/>
    <w:rsid w:val="0099664D"/>
    <w:rsid w:val="00996953"/>
    <w:rsid w:val="009A0B64"/>
    <w:rsid w:val="009A3630"/>
    <w:rsid w:val="009A4E95"/>
    <w:rsid w:val="009A5698"/>
    <w:rsid w:val="009B0FC9"/>
    <w:rsid w:val="009B4344"/>
    <w:rsid w:val="009B5317"/>
    <w:rsid w:val="009B59F9"/>
    <w:rsid w:val="009B5E22"/>
    <w:rsid w:val="009C0B81"/>
    <w:rsid w:val="009C18A6"/>
    <w:rsid w:val="009C214F"/>
    <w:rsid w:val="009C3FB5"/>
    <w:rsid w:val="009D00A4"/>
    <w:rsid w:val="009D5CCF"/>
    <w:rsid w:val="009D5E25"/>
    <w:rsid w:val="009E05D3"/>
    <w:rsid w:val="009E0FC3"/>
    <w:rsid w:val="009E434D"/>
    <w:rsid w:val="009F1594"/>
    <w:rsid w:val="009F675B"/>
    <w:rsid w:val="009F7B26"/>
    <w:rsid w:val="00A01F90"/>
    <w:rsid w:val="00A055B3"/>
    <w:rsid w:val="00A05A83"/>
    <w:rsid w:val="00A060D7"/>
    <w:rsid w:val="00A108D1"/>
    <w:rsid w:val="00A111CC"/>
    <w:rsid w:val="00A141AC"/>
    <w:rsid w:val="00A142EE"/>
    <w:rsid w:val="00A14DA7"/>
    <w:rsid w:val="00A17020"/>
    <w:rsid w:val="00A24872"/>
    <w:rsid w:val="00A27D84"/>
    <w:rsid w:val="00A30BE8"/>
    <w:rsid w:val="00A335C5"/>
    <w:rsid w:val="00A33D73"/>
    <w:rsid w:val="00A36F62"/>
    <w:rsid w:val="00A37CB3"/>
    <w:rsid w:val="00A412AF"/>
    <w:rsid w:val="00A41501"/>
    <w:rsid w:val="00A41951"/>
    <w:rsid w:val="00A423AF"/>
    <w:rsid w:val="00A44B68"/>
    <w:rsid w:val="00A45F4F"/>
    <w:rsid w:val="00A478F8"/>
    <w:rsid w:val="00A47F76"/>
    <w:rsid w:val="00A500C5"/>
    <w:rsid w:val="00A51E25"/>
    <w:rsid w:val="00A52153"/>
    <w:rsid w:val="00A53D0A"/>
    <w:rsid w:val="00A600A9"/>
    <w:rsid w:val="00A6043F"/>
    <w:rsid w:val="00A64341"/>
    <w:rsid w:val="00A65926"/>
    <w:rsid w:val="00A75E93"/>
    <w:rsid w:val="00A83A08"/>
    <w:rsid w:val="00A851DD"/>
    <w:rsid w:val="00A866AC"/>
    <w:rsid w:val="00A94AB3"/>
    <w:rsid w:val="00AA16D3"/>
    <w:rsid w:val="00AA4ED7"/>
    <w:rsid w:val="00AA5358"/>
    <w:rsid w:val="00AA55B7"/>
    <w:rsid w:val="00AA5B9E"/>
    <w:rsid w:val="00AA7FF1"/>
    <w:rsid w:val="00AB0001"/>
    <w:rsid w:val="00AB2407"/>
    <w:rsid w:val="00AB29D6"/>
    <w:rsid w:val="00AB53DF"/>
    <w:rsid w:val="00AB7A52"/>
    <w:rsid w:val="00AC0D8F"/>
    <w:rsid w:val="00AC5922"/>
    <w:rsid w:val="00AD1554"/>
    <w:rsid w:val="00AD3EFF"/>
    <w:rsid w:val="00AD45E4"/>
    <w:rsid w:val="00AE0C86"/>
    <w:rsid w:val="00AE71ED"/>
    <w:rsid w:val="00AF306C"/>
    <w:rsid w:val="00AF6F03"/>
    <w:rsid w:val="00AF7C68"/>
    <w:rsid w:val="00B00012"/>
    <w:rsid w:val="00B02311"/>
    <w:rsid w:val="00B02399"/>
    <w:rsid w:val="00B036DB"/>
    <w:rsid w:val="00B04BB3"/>
    <w:rsid w:val="00B05D5D"/>
    <w:rsid w:val="00B07E5C"/>
    <w:rsid w:val="00B13CF3"/>
    <w:rsid w:val="00B20174"/>
    <w:rsid w:val="00B20363"/>
    <w:rsid w:val="00B21148"/>
    <w:rsid w:val="00B24A8B"/>
    <w:rsid w:val="00B2650D"/>
    <w:rsid w:val="00B274EB"/>
    <w:rsid w:val="00B326E3"/>
    <w:rsid w:val="00B33A48"/>
    <w:rsid w:val="00B33C6D"/>
    <w:rsid w:val="00B37488"/>
    <w:rsid w:val="00B37AF7"/>
    <w:rsid w:val="00B40E16"/>
    <w:rsid w:val="00B43427"/>
    <w:rsid w:val="00B454E3"/>
    <w:rsid w:val="00B52983"/>
    <w:rsid w:val="00B54CC7"/>
    <w:rsid w:val="00B5654E"/>
    <w:rsid w:val="00B56AFD"/>
    <w:rsid w:val="00B611AE"/>
    <w:rsid w:val="00B63AC3"/>
    <w:rsid w:val="00B63FF6"/>
    <w:rsid w:val="00B64BC5"/>
    <w:rsid w:val="00B73C0C"/>
    <w:rsid w:val="00B805EA"/>
    <w:rsid w:val="00B811F7"/>
    <w:rsid w:val="00B81377"/>
    <w:rsid w:val="00B81A7A"/>
    <w:rsid w:val="00B81B47"/>
    <w:rsid w:val="00B83B60"/>
    <w:rsid w:val="00B941BC"/>
    <w:rsid w:val="00BA2663"/>
    <w:rsid w:val="00BA5DC6"/>
    <w:rsid w:val="00BA6196"/>
    <w:rsid w:val="00BB1465"/>
    <w:rsid w:val="00BB1F1A"/>
    <w:rsid w:val="00BB2971"/>
    <w:rsid w:val="00BC2895"/>
    <w:rsid w:val="00BC6D8C"/>
    <w:rsid w:val="00BD4554"/>
    <w:rsid w:val="00BD603A"/>
    <w:rsid w:val="00BD78A5"/>
    <w:rsid w:val="00BE0C28"/>
    <w:rsid w:val="00BE1230"/>
    <w:rsid w:val="00BE5D4F"/>
    <w:rsid w:val="00BE64E9"/>
    <w:rsid w:val="00BE6AAF"/>
    <w:rsid w:val="00BF05A9"/>
    <w:rsid w:val="00BF4A50"/>
    <w:rsid w:val="00BF56CA"/>
    <w:rsid w:val="00BF57D7"/>
    <w:rsid w:val="00BF5832"/>
    <w:rsid w:val="00BF6399"/>
    <w:rsid w:val="00BF7D74"/>
    <w:rsid w:val="00C01D4A"/>
    <w:rsid w:val="00C01DCC"/>
    <w:rsid w:val="00C02A75"/>
    <w:rsid w:val="00C04CE7"/>
    <w:rsid w:val="00C11C0D"/>
    <w:rsid w:val="00C16AF2"/>
    <w:rsid w:val="00C1736B"/>
    <w:rsid w:val="00C20130"/>
    <w:rsid w:val="00C2562A"/>
    <w:rsid w:val="00C3014E"/>
    <w:rsid w:val="00C34006"/>
    <w:rsid w:val="00C353DA"/>
    <w:rsid w:val="00C35D7C"/>
    <w:rsid w:val="00C36662"/>
    <w:rsid w:val="00C369B5"/>
    <w:rsid w:val="00C36E39"/>
    <w:rsid w:val="00C3752D"/>
    <w:rsid w:val="00C37652"/>
    <w:rsid w:val="00C426B1"/>
    <w:rsid w:val="00C42986"/>
    <w:rsid w:val="00C50D2D"/>
    <w:rsid w:val="00C51D4E"/>
    <w:rsid w:val="00C5259B"/>
    <w:rsid w:val="00C55498"/>
    <w:rsid w:val="00C55977"/>
    <w:rsid w:val="00C571EE"/>
    <w:rsid w:val="00C60404"/>
    <w:rsid w:val="00C613AB"/>
    <w:rsid w:val="00C61809"/>
    <w:rsid w:val="00C63298"/>
    <w:rsid w:val="00C65C25"/>
    <w:rsid w:val="00C666D3"/>
    <w:rsid w:val="00C66D33"/>
    <w:rsid w:val="00C71211"/>
    <w:rsid w:val="00C71643"/>
    <w:rsid w:val="00C7200D"/>
    <w:rsid w:val="00C76A03"/>
    <w:rsid w:val="00C772F4"/>
    <w:rsid w:val="00C81BEA"/>
    <w:rsid w:val="00C826E6"/>
    <w:rsid w:val="00C82B6B"/>
    <w:rsid w:val="00C90D6A"/>
    <w:rsid w:val="00C91253"/>
    <w:rsid w:val="00C91522"/>
    <w:rsid w:val="00C92DA6"/>
    <w:rsid w:val="00C93286"/>
    <w:rsid w:val="00C96F36"/>
    <w:rsid w:val="00C97591"/>
    <w:rsid w:val="00CA1D55"/>
    <w:rsid w:val="00CA6E78"/>
    <w:rsid w:val="00CA7BFE"/>
    <w:rsid w:val="00CA7C7F"/>
    <w:rsid w:val="00CB03B9"/>
    <w:rsid w:val="00CB2FA6"/>
    <w:rsid w:val="00CB6CE7"/>
    <w:rsid w:val="00CB79B7"/>
    <w:rsid w:val="00CB7B3B"/>
    <w:rsid w:val="00CC2EF6"/>
    <w:rsid w:val="00CC3F5C"/>
    <w:rsid w:val="00CC42D5"/>
    <w:rsid w:val="00CC4F00"/>
    <w:rsid w:val="00CC54DE"/>
    <w:rsid w:val="00CC6DDB"/>
    <w:rsid w:val="00CC72B6"/>
    <w:rsid w:val="00CC7F95"/>
    <w:rsid w:val="00CD0492"/>
    <w:rsid w:val="00CD3F66"/>
    <w:rsid w:val="00CD417A"/>
    <w:rsid w:val="00CD4793"/>
    <w:rsid w:val="00CF1A3A"/>
    <w:rsid w:val="00CF7D90"/>
    <w:rsid w:val="00D00D2A"/>
    <w:rsid w:val="00D0218D"/>
    <w:rsid w:val="00D041AA"/>
    <w:rsid w:val="00D0679C"/>
    <w:rsid w:val="00D076AE"/>
    <w:rsid w:val="00D10B1F"/>
    <w:rsid w:val="00D11423"/>
    <w:rsid w:val="00D122D5"/>
    <w:rsid w:val="00D216CD"/>
    <w:rsid w:val="00D2323D"/>
    <w:rsid w:val="00D25D05"/>
    <w:rsid w:val="00D324F3"/>
    <w:rsid w:val="00D40006"/>
    <w:rsid w:val="00D4043A"/>
    <w:rsid w:val="00D40446"/>
    <w:rsid w:val="00D41A94"/>
    <w:rsid w:val="00D42EB6"/>
    <w:rsid w:val="00D45E66"/>
    <w:rsid w:val="00D46D80"/>
    <w:rsid w:val="00D51F79"/>
    <w:rsid w:val="00D55BF0"/>
    <w:rsid w:val="00D6099E"/>
    <w:rsid w:val="00D61CC5"/>
    <w:rsid w:val="00D633E9"/>
    <w:rsid w:val="00D63797"/>
    <w:rsid w:val="00D640F1"/>
    <w:rsid w:val="00D6540C"/>
    <w:rsid w:val="00D6620B"/>
    <w:rsid w:val="00D66B4F"/>
    <w:rsid w:val="00D67D46"/>
    <w:rsid w:val="00D70104"/>
    <w:rsid w:val="00D71EA2"/>
    <w:rsid w:val="00D71F66"/>
    <w:rsid w:val="00D7253E"/>
    <w:rsid w:val="00D7416A"/>
    <w:rsid w:val="00D77FF9"/>
    <w:rsid w:val="00D81D47"/>
    <w:rsid w:val="00D86805"/>
    <w:rsid w:val="00D86965"/>
    <w:rsid w:val="00D86CCA"/>
    <w:rsid w:val="00D87C37"/>
    <w:rsid w:val="00D94383"/>
    <w:rsid w:val="00D9542E"/>
    <w:rsid w:val="00D959BF"/>
    <w:rsid w:val="00D96096"/>
    <w:rsid w:val="00DA2529"/>
    <w:rsid w:val="00DA2FED"/>
    <w:rsid w:val="00DA3619"/>
    <w:rsid w:val="00DB0EBC"/>
    <w:rsid w:val="00DB130A"/>
    <w:rsid w:val="00DB2ADD"/>
    <w:rsid w:val="00DB2EE8"/>
    <w:rsid w:val="00DB54CA"/>
    <w:rsid w:val="00DB592E"/>
    <w:rsid w:val="00DC10A1"/>
    <w:rsid w:val="00DC13DD"/>
    <w:rsid w:val="00DC1D58"/>
    <w:rsid w:val="00DC1EDD"/>
    <w:rsid w:val="00DC5627"/>
    <w:rsid w:val="00DC655F"/>
    <w:rsid w:val="00DC6798"/>
    <w:rsid w:val="00DC7487"/>
    <w:rsid w:val="00DD052A"/>
    <w:rsid w:val="00DD2F4B"/>
    <w:rsid w:val="00DD3C8C"/>
    <w:rsid w:val="00DD3DDA"/>
    <w:rsid w:val="00DD7EBD"/>
    <w:rsid w:val="00DE0BB8"/>
    <w:rsid w:val="00DE4BC5"/>
    <w:rsid w:val="00DE6C8C"/>
    <w:rsid w:val="00DF079D"/>
    <w:rsid w:val="00DF1B24"/>
    <w:rsid w:val="00DF4268"/>
    <w:rsid w:val="00DF4A4D"/>
    <w:rsid w:val="00DF62B6"/>
    <w:rsid w:val="00E00D72"/>
    <w:rsid w:val="00E03955"/>
    <w:rsid w:val="00E07225"/>
    <w:rsid w:val="00E108D2"/>
    <w:rsid w:val="00E124F4"/>
    <w:rsid w:val="00E155B7"/>
    <w:rsid w:val="00E15A65"/>
    <w:rsid w:val="00E24029"/>
    <w:rsid w:val="00E254E6"/>
    <w:rsid w:val="00E25C7E"/>
    <w:rsid w:val="00E26F46"/>
    <w:rsid w:val="00E2763B"/>
    <w:rsid w:val="00E317D5"/>
    <w:rsid w:val="00E33A3F"/>
    <w:rsid w:val="00E3687C"/>
    <w:rsid w:val="00E4338E"/>
    <w:rsid w:val="00E43DF2"/>
    <w:rsid w:val="00E44AFB"/>
    <w:rsid w:val="00E45C79"/>
    <w:rsid w:val="00E503BD"/>
    <w:rsid w:val="00E531A7"/>
    <w:rsid w:val="00E5409F"/>
    <w:rsid w:val="00E56F6D"/>
    <w:rsid w:val="00E63FFB"/>
    <w:rsid w:val="00E66874"/>
    <w:rsid w:val="00E6687C"/>
    <w:rsid w:val="00E67A0B"/>
    <w:rsid w:val="00E73B2D"/>
    <w:rsid w:val="00E82606"/>
    <w:rsid w:val="00E852C8"/>
    <w:rsid w:val="00E85F2B"/>
    <w:rsid w:val="00E93623"/>
    <w:rsid w:val="00E93F1E"/>
    <w:rsid w:val="00E94EB0"/>
    <w:rsid w:val="00EA353E"/>
    <w:rsid w:val="00EA4190"/>
    <w:rsid w:val="00EA71F5"/>
    <w:rsid w:val="00EA7255"/>
    <w:rsid w:val="00EB0435"/>
    <w:rsid w:val="00EB076C"/>
    <w:rsid w:val="00EB1574"/>
    <w:rsid w:val="00EB6D6D"/>
    <w:rsid w:val="00EC0185"/>
    <w:rsid w:val="00EC1357"/>
    <w:rsid w:val="00ED20F8"/>
    <w:rsid w:val="00ED2141"/>
    <w:rsid w:val="00ED363A"/>
    <w:rsid w:val="00ED4A85"/>
    <w:rsid w:val="00ED5027"/>
    <w:rsid w:val="00ED5DD3"/>
    <w:rsid w:val="00ED7832"/>
    <w:rsid w:val="00EE0581"/>
    <w:rsid w:val="00EE196C"/>
    <w:rsid w:val="00EE2B2C"/>
    <w:rsid w:val="00EE33B6"/>
    <w:rsid w:val="00EE37E0"/>
    <w:rsid w:val="00EE6C42"/>
    <w:rsid w:val="00EE74F1"/>
    <w:rsid w:val="00EE799A"/>
    <w:rsid w:val="00EE7AE0"/>
    <w:rsid w:val="00EF0EDA"/>
    <w:rsid w:val="00EF1543"/>
    <w:rsid w:val="00EF2D7D"/>
    <w:rsid w:val="00EF79C9"/>
    <w:rsid w:val="00F021FA"/>
    <w:rsid w:val="00F02C3B"/>
    <w:rsid w:val="00F034F9"/>
    <w:rsid w:val="00F053B3"/>
    <w:rsid w:val="00F10A49"/>
    <w:rsid w:val="00F10E71"/>
    <w:rsid w:val="00F12B68"/>
    <w:rsid w:val="00F17F28"/>
    <w:rsid w:val="00F42B86"/>
    <w:rsid w:val="00F43327"/>
    <w:rsid w:val="00F47E3D"/>
    <w:rsid w:val="00F47F05"/>
    <w:rsid w:val="00F55288"/>
    <w:rsid w:val="00F55E4C"/>
    <w:rsid w:val="00F57ACA"/>
    <w:rsid w:val="00F62E97"/>
    <w:rsid w:val="00F64209"/>
    <w:rsid w:val="00F64991"/>
    <w:rsid w:val="00F65524"/>
    <w:rsid w:val="00F66D37"/>
    <w:rsid w:val="00F723FE"/>
    <w:rsid w:val="00F72A6E"/>
    <w:rsid w:val="00F840E0"/>
    <w:rsid w:val="00F92CCF"/>
    <w:rsid w:val="00F93BF5"/>
    <w:rsid w:val="00F945F8"/>
    <w:rsid w:val="00F95D07"/>
    <w:rsid w:val="00F96137"/>
    <w:rsid w:val="00F96F63"/>
    <w:rsid w:val="00F97A52"/>
    <w:rsid w:val="00FA0E88"/>
    <w:rsid w:val="00FA4CFD"/>
    <w:rsid w:val="00FA5004"/>
    <w:rsid w:val="00FA5840"/>
    <w:rsid w:val="00FA6F43"/>
    <w:rsid w:val="00FA7A0C"/>
    <w:rsid w:val="00FB6F37"/>
    <w:rsid w:val="00FB7523"/>
    <w:rsid w:val="00FB7800"/>
    <w:rsid w:val="00FC0840"/>
    <w:rsid w:val="00FC1BBE"/>
    <w:rsid w:val="00FC68AB"/>
    <w:rsid w:val="00FD1E42"/>
    <w:rsid w:val="00FD2DD9"/>
    <w:rsid w:val="00FD451B"/>
    <w:rsid w:val="00FD7E8A"/>
    <w:rsid w:val="00FE5322"/>
    <w:rsid w:val="00FE5D1D"/>
    <w:rsid w:val="00FF0B01"/>
    <w:rsid w:val="00FF14CE"/>
    <w:rsid w:val="00FF1562"/>
    <w:rsid w:val="00FF30D9"/>
    <w:rsid w:val="00FF3E00"/>
    <w:rsid w:val="00FF4D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96E6AB"/>
  <w15:chartTrackingRefBased/>
  <w15:docId w15:val="{EBEE15DC-8C58-40D0-9D0C-72506AFE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F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54EDF"/>
    <w:rPr>
      <w:rFonts w:ascii="Segoe UI" w:hAnsi="Segoe UI" w:cs="Segoe UI"/>
      <w:sz w:val="18"/>
      <w:szCs w:val="18"/>
    </w:rPr>
  </w:style>
  <w:style w:type="character" w:customStyle="1" w:styleId="BalloonTextChar">
    <w:name w:val="Balloon Text Char"/>
    <w:link w:val="BalloonText"/>
    <w:uiPriority w:val="99"/>
    <w:semiHidden/>
    <w:rsid w:val="00754EDF"/>
    <w:rPr>
      <w:rFonts w:ascii="Segoe UI" w:hAnsi="Segoe UI" w:cs="Segoe UI"/>
      <w:snapToGrid w:val="0"/>
      <w:kern w:val="28"/>
      <w:sz w:val="18"/>
      <w:szCs w:val="18"/>
    </w:rPr>
  </w:style>
  <w:style w:type="character" w:styleId="CommentReference">
    <w:name w:val="annotation reference"/>
    <w:uiPriority w:val="99"/>
    <w:semiHidden/>
    <w:unhideWhenUsed/>
    <w:rsid w:val="00754EDF"/>
    <w:rPr>
      <w:sz w:val="16"/>
      <w:szCs w:val="16"/>
    </w:rPr>
  </w:style>
  <w:style w:type="paragraph" w:styleId="CommentText">
    <w:name w:val="annotation text"/>
    <w:basedOn w:val="Normal"/>
    <w:link w:val="CommentTextChar"/>
    <w:uiPriority w:val="99"/>
    <w:semiHidden/>
    <w:unhideWhenUsed/>
    <w:rsid w:val="00754EDF"/>
    <w:rPr>
      <w:sz w:val="20"/>
    </w:rPr>
  </w:style>
  <w:style w:type="character" w:customStyle="1" w:styleId="CommentTextChar">
    <w:name w:val="Comment Text Char"/>
    <w:link w:val="CommentText"/>
    <w:uiPriority w:val="99"/>
    <w:semiHidden/>
    <w:rsid w:val="00754EDF"/>
    <w:rPr>
      <w:snapToGrid w:val="0"/>
      <w:kern w:val="2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754EDF"/>
  </w:style>
  <w:style w:type="paragraph" w:styleId="CommentSubject">
    <w:name w:val="annotation subject"/>
    <w:basedOn w:val="CommentText"/>
    <w:next w:val="CommentText"/>
    <w:link w:val="CommentSubjectChar"/>
    <w:uiPriority w:val="99"/>
    <w:semiHidden/>
    <w:unhideWhenUsed/>
    <w:rsid w:val="00DC1EDD"/>
    <w:rPr>
      <w:b/>
      <w:bCs/>
    </w:rPr>
  </w:style>
  <w:style w:type="character" w:customStyle="1" w:styleId="CommentSubjectChar">
    <w:name w:val="Comment Subject Char"/>
    <w:link w:val="CommentSubject"/>
    <w:uiPriority w:val="99"/>
    <w:semiHidden/>
    <w:rsid w:val="00DC1EDD"/>
    <w:rPr>
      <w:b/>
      <w:bCs/>
      <w:snapToGrid w:val="0"/>
      <w:kern w:val="28"/>
    </w:rPr>
  </w:style>
  <w:style w:type="character" w:customStyle="1" w:styleId="ParaNumChar">
    <w:name w:val="ParaNum Char"/>
    <w:link w:val="ParaNum"/>
    <w:locked/>
    <w:rsid w:val="00192C5C"/>
    <w:rPr>
      <w:snapToGrid w:val="0"/>
      <w:kern w:val="28"/>
      <w:sz w:val="22"/>
    </w:rPr>
  </w:style>
  <w:style w:type="paragraph" w:styleId="ListParagraph">
    <w:name w:val="List Paragraph"/>
    <w:basedOn w:val="Normal"/>
    <w:uiPriority w:val="34"/>
    <w:qFormat/>
    <w:rsid w:val="004D646C"/>
    <w:pPr>
      <w:ind w:left="720"/>
    </w:pPr>
  </w:style>
  <w:style w:type="character" w:customStyle="1" w:styleId="UnresolvedMention1">
    <w:name w:val="Unresolved Mention1"/>
    <w:uiPriority w:val="99"/>
    <w:semiHidden/>
    <w:unhideWhenUsed/>
    <w:rsid w:val="00022C42"/>
    <w:rPr>
      <w:color w:val="605E5C"/>
      <w:shd w:val="clear" w:color="auto" w:fill="E1DFDD"/>
    </w:rPr>
  </w:style>
  <w:style w:type="character" w:styleId="FollowedHyperlink">
    <w:name w:val="FollowedHyperlink"/>
    <w:uiPriority w:val="99"/>
    <w:semiHidden/>
    <w:unhideWhenUsed/>
    <w:rsid w:val="00553B80"/>
    <w:rPr>
      <w:color w:val="954F72"/>
      <w:u w:val="single"/>
    </w:rPr>
  </w:style>
  <w:style w:type="character" w:styleId="Emphasis">
    <w:name w:val="Emphasis"/>
    <w:uiPriority w:val="20"/>
    <w:qFormat/>
    <w:rsid w:val="007B7F92"/>
    <w:rPr>
      <w:i/>
      <w:iCs/>
    </w:rPr>
  </w:style>
  <w:style w:type="character" w:customStyle="1" w:styleId="UnresolvedMention">
    <w:name w:val="Unresolved Mention"/>
    <w:uiPriority w:val="99"/>
    <w:rsid w:val="0078276B"/>
    <w:rPr>
      <w:color w:val="605E5C"/>
      <w:shd w:val="clear" w:color="auto" w:fill="E1DFDD"/>
    </w:rPr>
  </w:style>
  <w:style w:type="paragraph" w:styleId="Revision">
    <w:name w:val="Revision"/>
    <w:hidden/>
    <w:uiPriority w:val="99"/>
    <w:semiHidden/>
    <w:rsid w:val="009E0FC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RCN%20draft%20grant%20with%20DW%20-%205.5.21%20(revised).jm.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RCN draft grant with DW - 5.5.21 (revised).jm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