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E4E16" w:rsidRPr="006A7366" w:rsidP="000E4E16" w14:paraId="7F8A4183" w14:textId="0A4BD9F1">
      <w:pPr>
        <w:spacing w:after="0"/>
        <w:rPr>
          <w:rFonts w:ascii="Times New Roman" w:hAnsi="Times New Roman" w:cs="Times New Roman"/>
        </w:rPr>
      </w:pPr>
    </w:p>
    <w:p w:rsidR="006F2901" w:rsidRPr="006A7366" w:rsidP="006F2901" w14:paraId="76004994" w14:textId="7EEC90FF">
      <w:pPr>
        <w:spacing w:after="0" w:line="240" w:lineRule="auto"/>
        <w:rPr>
          <w:rFonts w:ascii="Times New Roman" w:hAnsi="Times New Roman" w:cs="Times New Roman"/>
        </w:rPr>
      </w:pPr>
    </w:p>
    <w:p w:rsidR="000E4E16" w:rsidRPr="006A7366" w:rsidP="00511023" w14:paraId="02752977" w14:textId="24928B53">
      <w:pPr>
        <w:spacing w:after="0"/>
        <w:jc w:val="right"/>
        <w:rPr>
          <w:rFonts w:ascii="Times New Roman" w:hAnsi="Times New Roman" w:cs="Times New Roman"/>
          <w:b/>
          <w:sz w:val="24"/>
          <w:szCs w:val="24"/>
        </w:rPr>
      </w:pPr>
      <w:r w:rsidRPr="006A7366">
        <w:rPr>
          <w:rFonts w:ascii="Times New Roman" w:hAnsi="Times New Roman" w:cs="Times New Roman"/>
          <w:b/>
          <w:sz w:val="24"/>
          <w:szCs w:val="24"/>
        </w:rPr>
        <w:t xml:space="preserve">DA </w:t>
      </w:r>
      <w:r w:rsidRPr="006A7366" w:rsidR="00B030F5">
        <w:rPr>
          <w:rFonts w:ascii="Times New Roman" w:hAnsi="Times New Roman" w:cs="Times New Roman"/>
          <w:b/>
          <w:sz w:val="24"/>
          <w:szCs w:val="24"/>
        </w:rPr>
        <w:t>21-637</w:t>
      </w:r>
    </w:p>
    <w:p w:rsidR="006F117F" w:rsidRPr="006A7366" w:rsidP="00511023" w14:paraId="700578AB" w14:textId="77777777">
      <w:pPr>
        <w:spacing w:after="0"/>
        <w:jc w:val="right"/>
        <w:rPr>
          <w:rFonts w:ascii="Times New Roman" w:hAnsi="Times New Roman" w:cs="Times New Roman"/>
          <w:sz w:val="24"/>
          <w:szCs w:val="24"/>
        </w:rPr>
      </w:pPr>
    </w:p>
    <w:p w:rsidR="000E4E16" w:rsidRPr="006A7366" w:rsidP="001D42BC" w14:paraId="02B71EAA" w14:textId="5E70171F">
      <w:pPr>
        <w:spacing w:after="0"/>
        <w:jc w:val="center"/>
        <w:rPr>
          <w:rFonts w:ascii="Times New Roman" w:hAnsi="Times New Roman" w:cs="Times New Roman"/>
          <w:b/>
        </w:rPr>
      </w:pPr>
      <w:r w:rsidRPr="006A7366">
        <w:rPr>
          <w:rFonts w:ascii="Times New Roman" w:hAnsi="Times New Roman" w:cs="Times New Roman"/>
          <w:b/>
          <w:sz w:val="28"/>
          <w:szCs w:val="28"/>
        </w:rPr>
        <w:t>SMALL ENTITY COMPLIANCE GUIDE</w:t>
      </w:r>
    </w:p>
    <w:p w:rsidR="006A7366" w:rsidP="001D42BC" w14:paraId="65262BE3" w14:textId="77777777">
      <w:pPr>
        <w:spacing w:after="0"/>
        <w:ind w:hanging="90"/>
        <w:jc w:val="center"/>
        <w:rPr>
          <w:rFonts w:ascii="Times New Roman" w:hAnsi="Times New Roman" w:cs="Times New Roman"/>
          <w:b/>
        </w:rPr>
      </w:pPr>
    </w:p>
    <w:p w:rsidR="006F2901" w:rsidRPr="006A7366" w:rsidP="001D42BC" w14:paraId="567AC2E3" w14:textId="0E3367EA">
      <w:pPr>
        <w:spacing w:after="0"/>
        <w:ind w:hanging="90"/>
        <w:jc w:val="center"/>
        <w:rPr>
          <w:rFonts w:ascii="Times New Roman" w:hAnsi="Times New Roman" w:cs="Times New Roman"/>
          <w:b/>
        </w:rPr>
      </w:pPr>
      <w:r w:rsidRPr="006A7366">
        <w:rPr>
          <w:rFonts w:ascii="Times New Roman" w:hAnsi="Times New Roman" w:cs="Times New Roman"/>
          <w:b/>
        </w:rPr>
        <w:t>Advanced Methods to Target and Eliminate Unlawful Robocalls</w:t>
      </w:r>
    </w:p>
    <w:p w:rsidR="006F2901" w:rsidRPr="006A7366" w:rsidP="001D42BC" w14:paraId="3E93547C" w14:textId="7BFAA0C6">
      <w:pPr>
        <w:spacing w:after="0"/>
        <w:jc w:val="center"/>
        <w:rPr>
          <w:rFonts w:ascii="Times New Roman" w:hAnsi="Times New Roman" w:cs="Times New Roman"/>
          <w:b/>
        </w:rPr>
      </w:pPr>
      <w:r w:rsidRPr="006A7366">
        <w:rPr>
          <w:rFonts w:ascii="Times New Roman" w:hAnsi="Times New Roman" w:cs="Times New Roman"/>
          <w:b/>
        </w:rPr>
        <w:t>FCC</w:t>
      </w:r>
      <w:r w:rsidRPr="006A7366" w:rsidR="001D42BC">
        <w:rPr>
          <w:rFonts w:ascii="Times New Roman" w:hAnsi="Times New Roman" w:cs="Times New Roman"/>
          <w:b/>
        </w:rPr>
        <w:t xml:space="preserve"> 20-</w:t>
      </w:r>
      <w:r w:rsidRPr="006A7366" w:rsidR="00BE452C">
        <w:rPr>
          <w:rFonts w:ascii="Times New Roman" w:hAnsi="Times New Roman" w:cs="Times New Roman"/>
          <w:b/>
        </w:rPr>
        <w:t>96</w:t>
      </w:r>
    </w:p>
    <w:p w:rsidR="006F2901" w:rsidRPr="006A7366" w:rsidP="001D42BC" w14:paraId="351CE09B" w14:textId="60EB6407">
      <w:pPr>
        <w:spacing w:after="0"/>
        <w:jc w:val="center"/>
        <w:rPr>
          <w:rFonts w:ascii="Times New Roman" w:hAnsi="Times New Roman" w:cs="Times New Roman"/>
        </w:rPr>
      </w:pPr>
      <w:r w:rsidRPr="006A7366">
        <w:rPr>
          <w:rFonts w:ascii="Times New Roman" w:hAnsi="Times New Roman" w:cs="Times New Roman"/>
          <w:b/>
        </w:rPr>
        <w:t>CG</w:t>
      </w:r>
      <w:r w:rsidRPr="006A7366" w:rsidR="00C37AC8">
        <w:rPr>
          <w:rFonts w:ascii="Times New Roman" w:hAnsi="Times New Roman" w:cs="Times New Roman"/>
          <w:b/>
        </w:rPr>
        <w:t xml:space="preserve"> Docket No. </w:t>
      </w:r>
      <w:r w:rsidRPr="006A7366">
        <w:rPr>
          <w:rFonts w:ascii="Times New Roman" w:hAnsi="Times New Roman" w:cs="Times New Roman"/>
          <w:b/>
        </w:rPr>
        <w:t>17-59</w:t>
      </w:r>
    </w:p>
    <w:p w:rsidR="006F2901" w:rsidRPr="006A7366" w:rsidP="001D42BC" w14:paraId="2FE15FB2" w14:textId="5FFB09FE">
      <w:pPr>
        <w:spacing w:after="0"/>
        <w:jc w:val="center"/>
        <w:rPr>
          <w:rFonts w:ascii="Times New Roman" w:hAnsi="Times New Roman" w:cs="Times New Roman"/>
          <w:b/>
        </w:rPr>
      </w:pPr>
      <w:r w:rsidRPr="006A7366">
        <w:rPr>
          <w:rFonts w:ascii="Times New Roman" w:hAnsi="Times New Roman" w:cs="Times New Roman"/>
          <w:b/>
        </w:rPr>
        <w:t xml:space="preserve">Released </w:t>
      </w:r>
      <w:r w:rsidRPr="006A7366" w:rsidR="00BE452C">
        <w:rPr>
          <w:rFonts w:ascii="Times New Roman" w:hAnsi="Times New Roman" w:cs="Times New Roman"/>
          <w:b/>
        </w:rPr>
        <w:t>July 17</w:t>
      </w:r>
      <w:r w:rsidRPr="006A7366" w:rsidR="00C37AC8">
        <w:rPr>
          <w:rFonts w:ascii="Times New Roman" w:hAnsi="Times New Roman" w:cs="Times New Roman"/>
          <w:b/>
        </w:rPr>
        <w:t>, 20</w:t>
      </w:r>
      <w:r w:rsidRPr="006A7366" w:rsidR="001D42BC">
        <w:rPr>
          <w:rFonts w:ascii="Times New Roman" w:hAnsi="Times New Roman" w:cs="Times New Roman"/>
          <w:b/>
        </w:rPr>
        <w:t>20</w:t>
      </w:r>
    </w:p>
    <w:p w:rsidR="00FE346F" w:rsidRPr="006A7366" w:rsidP="000E4E16" w14:paraId="6742A8FC" w14:textId="77777777">
      <w:pPr>
        <w:spacing w:after="0"/>
        <w:rPr>
          <w:rFonts w:ascii="Times New Roman" w:hAnsi="Times New Roman" w:cs="Times New Roman"/>
          <w:b/>
        </w:rPr>
      </w:pPr>
    </w:p>
    <w:p w:rsidR="006F2901" w:rsidRPr="006A7366" w:rsidP="00FE346F" w14:paraId="0359BFFD" w14:textId="3CBB4C09">
      <w:pPr>
        <w:spacing w:after="0"/>
        <w:ind w:left="1080"/>
        <w:rPr>
          <w:rFonts w:ascii="Times New Roman" w:hAnsi="Times New Roman" w:cs="Times New Roman"/>
          <w:b/>
        </w:rPr>
      </w:pPr>
      <w:r w:rsidRPr="006A7366">
        <w:rPr>
          <w:rFonts w:ascii="Times New Roman" w:hAnsi="Times New Roman" w:cs="Times New Roman"/>
          <w:b/>
        </w:rPr>
        <w:t>Th</w:t>
      </w:r>
      <w:r w:rsidRPr="006A7366">
        <w:rPr>
          <w:rFonts w:ascii="Times New Roman" w:hAnsi="Times New Roman" w:cs="Times New Roman"/>
          <w:b/>
        </w:rPr>
        <w:t xml:space="preserve">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6A7366" w:rsidR="00C47CEF">
        <w:rPr>
          <w:rFonts w:ascii="Times New Roman" w:hAnsi="Times New Roman" w:cs="Times New Roman"/>
          <w:b/>
        </w:rPr>
        <w:t xml:space="preserve">revised </w:t>
      </w:r>
      <w:r w:rsidRPr="006A7366">
        <w:rPr>
          <w:rFonts w:ascii="Times New Roman" w:hAnsi="Times New Roman" w:cs="Times New Roman"/>
          <w:b/>
        </w:rPr>
        <w:t xml:space="preserve">rules adopted in the above-referenced </w:t>
      </w:r>
      <w:r w:rsidRPr="006A7366" w:rsidR="00C47CEF">
        <w:rPr>
          <w:rFonts w:ascii="Times New Roman" w:hAnsi="Times New Roman" w:cs="Times New Roman"/>
          <w:b/>
        </w:rPr>
        <w:t>Federal Communications Commission (</w:t>
      </w:r>
      <w:r w:rsidRPr="006A7366">
        <w:rPr>
          <w:rFonts w:ascii="Times New Roman" w:hAnsi="Times New Roman" w:cs="Times New Roman"/>
          <w:b/>
        </w:rPr>
        <w:t>FCC</w:t>
      </w:r>
      <w:r w:rsidRPr="006A7366" w:rsidR="00C47CEF">
        <w:rPr>
          <w:rFonts w:ascii="Times New Roman" w:hAnsi="Times New Roman" w:cs="Times New Roman"/>
          <w:b/>
        </w:rPr>
        <w:t xml:space="preserve"> or Commission)</w:t>
      </w:r>
      <w:r w:rsidRPr="006A7366">
        <w:rPr>
          <w:rFonts w:ascii="Times New Roman" w:hAnsi="Times New Roman" w:cs="Times New Roman"/>
          <w:b/>
        </w:rPr>
        <w:t xml:space="preserve"> rulemaking dockets.  This Guide is not intended to replace </w:t>
      </w:r>
      <w:r w:rsidRPr="006A7366" w:rsidR="00C47CEF">
        <w:rPr>
          <w:rFonts w:ascii="Times New Roman" w:hAnsi="Times New Roman" w:cs="Times New Roman"/>
          <w:b/>
        </w:rPr>
        <w:t xml:space="preserve">or supersede </w:t>
      </w:r>
      <w:r w:rsidRPr="006A7366">
        <w:rPr>
          <w:rFonts w:ascii="Times New Roman" w:hAnsi="Times New Roman" w:cs="Times New Roman"/>
          <w:b/>
        </w:rPr>
        <w:t>the</w:t>
      </w:r>
      <w:r w:rsidRPr="006A7366" w:rsidR="00C47CEF">
        <w:rPr>
          <w:rFonts w:ascii="Times New Roman" w:hAnsi="Times New Roman" w:cs="Times New Roman"/>
          <w:b/>
        </w:rPr>
        <w:t>se</w:t>
      </w:r>
      <w:r w:rsidRPr="006A7366">
        <w:rPr>
          <w:rFonts w:ascii="Times New Roman" w:hAnsi="Times New Roman" w:cs="Times New Roman"/>
          <w:b/>
        </w:rPr>
        <w:t xml:space="preserve"> rules</w:t>
      </w:r>
      <w:r w:rsidRPr="006A7366" w:rsidR="00C47CEF">
        <w:rPr>
          <w:rFonts w:ascii="Times New Roman" w:hAnsi="Times New Roman" w:cs="Times New Roman"/>
          <w:b/>
        </w:rPr>
        <w:t xml:space="preserve">, but to facilitate compliance with the rules. </w:t>
      </w:r>
      <w:r w:rsidRPr="006A7366">
        <w:rPr>
          <w:rFonts w:ascii="Times New Roman" w:hAnsi="Times New Roman" w:cs="Times New Roman"/>
          <w:b/>
        </w:rPr>
        <w:t xml:space="preserve"> Although we have attempted to cover all parts of the rules that might be especially important to small entities, the coverage may not be exhaustive.  This Guide </w:t>
      </w:r>
      <w:r w:rsidRPr="006A7366" w:rsidR="00B629FE">
        <w:rPr>
          <w:rFonts w:ascii="Times New Roman" w:hAnsi="Times New Roman" w:cs="Times New Roman"/>
          <w:b/>
        </w:rPr>
        <w:t xml:space="preserve">cannot anticipate all situations in which the rules apply.  Furthermore, the Commission </w:t>
      </w:r>
      <w:r w:rsidRPr="006A7366">
        <w:rPr>
          <w:rFonts w:ascii="Times New Roman" w:hAnsi="Times New Roman" w:cs="Times New Roman"/>
          <w:b/>
        </w:rPr>
        <w:t xml:space="preserve">retains the discretion to adopt </w:t>
      </w:r>
      <w:r w:rsidRPr="006A7366" w:rsidR="00B629FE">
        <w:rPr>
          <w:rFonts w:ascii="Times New Roman" w:hAnsi="Times New Roman" w:cs="Times New Roman"/>
          <w:b/>
        </w:rPr>
        <w:t xml:space="preserve">case-by-case </w:t>
      </w:r>
      <w:r w:rsidRPr="006A7366">
        <w:rPr>
          <w:rFonts w:ascii="Times New Roman" w:hAnsi="Times New Roman" w:cs="Times New Roman"/>
          <w:b/>
        </w:rPr>
        <w:t>approaches</w:t>
      </w:r>
      <w:r w:rsidRPr="006A7366" w:rsidR="00B629FE">
        <w:rPr>
          <w:rFonts w:ascii="Times New Roman" w:hAnsi="Times New Roman" w:cs="Times New Roman"/>
          <w:b/>
        </w:rPr>
        <w:t>, where appropriate,</w:t>
      </w:r>
      <w:r w:rsidRPr="006A7366">
        <w:rPr>
          <w:rFonts w:ascii="Times New Roman" w:hAnsi="Times New Roman" w:cs="Times New Roman"/>
          <w:b/>
        </w:rPr>
        <w:t xml:space="preserve"> that may differ from this Guide.  Any decision regarding a particular small entity will be based on the statute and</w:t>
      </w:r>
      <w:r w:rsidRPr="006A7366" w:rsidR="008E2841">
        <w:rPr>
          <w:rFonts w:ascii="Times New Roman" w:hAnsi="Times New Roman" w:cs="Times New Roman"/>
          <w:b/>
        </w:rPr>
        <w:t xml:space="preserve"> any relevant rules</w:t>
      </w:r>
      <w:r w:rsidRPr="006A7366">
        <w:rPr>
          <w:rFonts w:ascii="Times New Roman" w:hAnsi="Times New Roman" w:cs="Times New Roman"/>
          <w:b/>
        </w:rPr>
        <w:t xml:space="preserve">. </w:t>
      </w:r>
    </w:p>
    <w:p w:rsidR="006F2901" w:rsidRPr="006A7366" w:rsidP="00FE346F" w14:paraId="25270ABA" w14:textId="77777777">
      <w:pPr>
        <w:pStyle w:val="ListParagraph"/>
        <w:ind w:left="1080" w:hanging="1080"/>
        <w:rPr>
          <w:rFonts w:ascii="Times New Roman" w:hAnsi="Times New Roman" w:cs="Times New Roman"/>
          <w:b/>
        </w:rPr>
      </w:pPr>
    </w:p>
    <w:p w:rsidR="006F2901" w:rsidRPr="006A7366" w:rsidP="000E4E16" w14:paraId="65D355CA" w14:textId="31AACE74">
      <w:pPr>
        <w:pStyle w:val="ListParagraph"/>
        <w:ind w:left="1080"/>
        <w:rPr>
          <w:rFonts w:ascii="Times New Roman" w:hAnsi="Times New Roman" w:cs="Times New Roman"/>
          <w:b/>
        </w:rPr>
      </w:pPr>
      <w:r w:rsidRPr="006A7366">
        <w:rPr>
          <w:rFonts w:ascii="Times New Roman" w:hAnsi="Times New Roman" w:cs="Times New Roman"/>
          <w:b/>
        </w:rPr>
        <w:t xml:space="preserve">In any civil or administrative action against a small entity for a violation of rules, the content of the Small Entity Compliance Guide may be considered as evidence of the reasonableness or appropriateness of proposed fines, </w:t>
      </w:r>
      <w:r w:rsidRPr="006A7366">
        <w:rPr>
          <w:rFonts w:ascii="Times New Roman" w:hAnsi="Times New Roman" w:cs="Times New Roman"/>
          <w:b/>
        </w:rPr>
        <w:t>penalties</w:t>
      </w:r>
      <w:r w:rsidRPr="006A7366">
        <w:rPr>
          <w:rFonts w:ascii="Times New Roman" w:hAnsi="Times New Roman" w:cs="Times New Roman"/>
          <w:b/>
        </w:rPr>
        <w:t xml:space="preserve"> or damages.  Interested parties are free to file comments regarding this Guide and the appropriateness of its application to a particular situation</w:t>
      </w:r>
      <w:r w:rsidRPr="006A7366" w:rsidR="00B47D0B">
        <w:rPr>
          <w:rFonts w:ascii="Times New Roman" w:hAnsi="Times New Roman" w:cs="Times New Roman"/>
          <w:b/>
        </w:rPr>
        <w:t xml:space="preserve">. </w:t>
      </w:r>
      <w:r w:rsidRPr="006A7366" w:rsidR="00BE452C">
        <w:rPr>
          <w:rFonts w:ascii="Times New Roman" w:hAnsi="Times New Roman" w:cs="Times New Roman"/>
          <w:b/>
        </w:rPr>
        <w:t xml:space="preserve"> </w:t>
      </w:r>
      <w:r w:rsidRPr="006A7366" w:rsidR="00B47D0B">
        <w:rPr>
          <w:rFonts w:ascii="Times New Roman" w:hAnsi="Times New Roman" w:cs="Times New Roman"/>
          <w:b/>
        </w:rPr>
        <w:t>T</w:t>
      </w:r>
      <w:r w:rsidRPr="006A7366">
        <w:rPr>
          <w:rFonts w:ascii="Times New Roman" w:hAnsi="Times New Roman" w:cs="Times New Roman"/>
          <w:b/>
        </w:rPr>
        <w:t xml:space="preserve">he FCC will </w:t>
      </w:r>
      <w:r w:rsidRPr="006A7366" w:rsidR="00FE30EB">
        <w:rPr>
          <w:rFonts w:ascii="Times New Roman" w:hAnsi="Times New Roman" w:cs="Times New Roman"/>
          <w:b/>
        </w:rPr>
        <w:t xml:space="preserve">then </w:t>
      </w:r>
      <w:r w:rsidRPr="006A7366">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6A7366" w:rsidR="00B47D0B">
        <w:rPr>
          <w:rFonts w:ascii="Times New Roman" w:hAnsi="Times New Roman" w:cs="Times New Roman"/>
          <w:b/>
        </w:rPr>
        <w:t>i</w:t>
      </w:r>
      <w:r w:rsidRPr="006A7366">
        <w:rPr>
          <w:rFonts w:ascii="Times New Roman" w:hAnsi="Times New Roman" w:cs="Times New Roman"/>
          <w:b/>
        </w:rPr>
        <w:t>t</w:t>
      </w:r>
      <w:r w:rsidRPr="006A7366" w:rsidR="00B47D0B">
        <w:rPr>
          <w:rFonts w:ascii="Times New Roman" w:hAnsi="Times New Roman" w:cs="Times New Roman"/>
          <w:b/>
        </w:rPr>
        <w:t xml:space="preserve"> may</w:t>
      </w:r>
      <w:r w:rsidRPr="006A7366">
        <w:rPr>
          <w:rFonts w:ascii="Times New Roman" w:hAnsi="Times New Roman" w:cs="Times New Roman"/>
          <w:b/>
        </w:rPr>
        <w:t xml:space="preserve"> clarify or update the text of the Guide.  Direct your comments and recommendations, or calls for further assistance, to the FCC’s Consumer Center:</w:t>
      </w:r>
    </w:p>
    <w:p w:rsidR="000E4E16" w:rsidRPr="006A7366" w:rsidP="000E4E16" w14:paraId="44F9D184" w14:textId="77777777">
      <w:pPr>
        <w:pStyle w:val="ListParagraph"/>
        <w:ind w:left="1080"/>
        <w:rPr>
          <w:rFonts w:ascii="Times New Roman" w:hAnsi="Times New Roman" w:cs="Times New Roman"/>
          <w:b/>
        </w:rPr>
      </w:pPr>
    </w:p>
    <w:p w:rsidR="006F2901" w:rsidRPr="006A7366" w:rsidP="00E2092F" w14:paraId="3EE78D98" w14:textId="05A6654E">
      <w:pPr>
        <w:pStyle w:val="ListParagraph"/>
        <w:ind w:left="1080"/>
        <w:jc w:val="center"/>
        <w:rPr>
          <w:rFonts w:ascii="Times New Roman" w:hAnsi="Times New Roman" w:cs="Times New Roman"/>
          <w:b/>
        </w:rPr>
      </w:pPr>
      <w:r w:rsidRPr="006A7366">
        <w:rPr>
          <w:rFonts w:ascii="Times New Roman" w:hAnsi="Times New Roman" w:cs="Times New Roman"/>
          <w:b/>
        </w:rPr>
        <w:t>1-888-CALL-FCC (1-888-225-5322)</w:t>
      </w:r>
    </w:p>
    <w:p w:rsidR="00B47D0B" w:rsidRPr="006A7366" w:rsidP="00E2092F" w14:paraId="7189DA74" w14:textId="5B89279E">
      <w:pPr>
        <w:pStyle w:val="ListParagraph"/>
        <w:ind w:left="1080"/>
        <w:jc w:val="center"/>
        <w:rPr>
          <w:rFonts w:ascii="Times New Roman" w:hAnsi="Times New Roman" w:cs="Times New Roman"/>
          <w:b/>
        </w:rPr>
      </w:pPr>
      <w:r w:rsidRPr="006A7366">
        <w:rPr>
          <w:rFonts w:ascii="Times New Roman" w:hAnsi="Times New Roman" w:cs="Times New Roman"/>
          <w:b/>
        </w:rPr>
        <w:t>TTY: 1-888-TELL-FCC (1-888-835-5322)</w:t>
      </w:r>
    </w:p>
    <w:p w:rsidR="006F2901" w:rsidRPr="006A7366" w:rsidP="00E2092F" w14:paraId="542FD57C" w14:textId="71A82108">
      <w:pPr>
        <w:pStyle w:val="ListParagraph"/>
        <w:ind w:left="1080"/>
        <w:jc w:val="center"/>
        <w:rPr>
          <w:rFonts w:ascii="Times New Roman" w:hAnsi="Times New Roman" w:cs="Times New Roman"/>
          <w:b/>
        </w:rPr>
      </w:pPr>
      <w:r w:rsidRPr="006A7366">
        <w:rPr>
          <w:rFonts w:ascii="Times New Roman" w:hAnsi="Times New Roman" w:cs="Times New Roman"/>
          <w:b/>
        </w:rPr>
        <w:t>Videophone: 1-844-4-FCC-ASL (1-844-432-2275)</w:t>
      </w:r>
    </w:p>
    <w:p w:rsidR="0095132F" w:rsidP="00E2092F" w14:paraId="1B38D231" w14:textId="77777777">
      <w:pPr>
        <w:pStyle w:val="ListParagraph"/>
        <w:ind w:left="1080"/>
        <w:jc w:val="center"/>
        <w:rPr>
          <w:rFonts w:ascii="Times New Roman" w:hAnsi="Times New Roman" w:cs="Times New Roman"/>
          <w:b/>
        </w:rPr>
      </w:pPr>
      <w:r w:rsidRPr="006A7366">
        <w:rPr>
          <w:rFonts w:ascii="Times New Roman" w:hAnsi="Times New Roman" w:cs="Times New Roman"/>
          <w:b/>
        </w:rPr>
        <w:t>Fax: 1-866-418-0232</w:t>
      </w:r>
    </w:p>
    <w:p w:rsidR="006A7366" w:rsidP="006A7366" w14:paraId="6E31F93C" w14:textId="77777777">
      <w:pPr>
        <w:pStyle w:val="ListParagraph"/>
        <w:ind w:left="1080"/>
        <w:rPr>
          <w:rFonts w:ascii="Times New Roman" w:hAnsi="Times New Roman" w:cs="Times New Roman"/>
          <w:b/>
        </w:rPr>
      </w:pPr>
    </w:p>
    <w:p w:rsidR="006A7366" w:rsidRPr="006A7366" w:rsidP="00E2092F" w14:paraId="4A1DEB02" w14:textId="6DE46635">
      <w:pPr>
        <w:pStyle w:val="ListParagraph"/>
        <w:ind w:left="1080"/>
        <w:jc w:val="center"/>
        <w:rPr>
          <w:rFonts w:ascii="Times New Roman" w:hAnsi="Times New Roman" w:cs="Times New Roman"/>
          <w:b/>
        </w:rPr>
        <w:sectPr w:rsidSect="006A7366">
          <w:headerReference w:type="default" r:id="rId4"/>
          <w:pgSz w:w="12240" w:h="15840" w:code="1"/>
          <w:pgMar w:top="1440" w:right="1440" w:bottom="720" w:left="1440" w:header="720" w:footer="720" w:gutter="0"/>
          <w:cols w:space="720"/>
          <w:docGrid w:linePitch="360"/>
        </w:sectPr>
      </w:pPr>
    </w:p>
    <w:p w:rsidR="00CD624E" w:rsidRPr="006A7366" w:rsidP="00CD624E" w14:paraId="25301E88" w14:textId="77777777">
      <w:pPr>
        <w:jc w:val="center"/>
        <w:rPr>
          <w:rFonts w:ascii="Times New Roman" w:hAnsi="Times New Roman" w:cs="Times New Roman"/>
          <w:b/>
        </w:rPr>
      </w:pPr>
      <w:r w:rsidRPr="006A7366">
        <w:rPr>
          <w:rFonts w:ascii="Times New Roman" w:hAnsi="Times New Roman" w:cs="Times New Roman"/>
          <w:b/>
        </w:rPr>
        <w:t>TABLE OF CONTENTS</w:t>
      </w:r>
    </w:p>
    <w:p w:rsidR="00CD624E" w:rsidRPr="006A7366" w:rsidP="00CD624E" w14:paraId="0B3562B8" w14:textId="77777777">
      <w:pPr>
        <w:rPr>
          <w:rFonts w:ascii="Times New Roman" w:hAnsi="Times New Roman" w:cs="Times New Roman"/>
          <w:bCs/>
        </w:rPr>
      </w:pPr>
    </w:p>
    <w:p w:rsidR="00CD624E" w:rsidRPr="006A7366" w:rsidP="006A7366" w14:paraId="1A18EB69" w14:textId="62A693A2">
      <w:pPr>
        <w:tabs>
          <w:tab w:val="right" w:leader="dot" w:pos="9180"/>
        </w:tabs>
        <w:rPr>
          <w:rFonts w:ascii="Times New Roman" w:hAnsi="Times New Roman" w:cs="Times New Roman"/>
          <w:bCs/>
        </w:rPr>
      </w:pPr>
      <w:r w:rsidRPr="006A7366">
        <w:rPr>
          <w:rFonts w:ascii="Times New Roman" w:hAnsi="Times New Roman" w:cs="Times New Roman"/>
          <w:bCs/>
        </w:rPr>
        <w:t xml:space="preserve">I.          OBJECTIVES OF THE PROCEEDING </w:t>
      </w:r>
      <w:r w:rsidRPr="006A7366">
        <w:rPr>
          <w:rFonts w:ascii="Times New Roman" w:hAnsi="Times New Roman" w:cs="Times New Roman"/>
          <w:bCs/>
        </w:rPr>
        <w:tab/>
      </w:r>
      <w:r w:rsidRPr="006A7366" w:rsidR="00B6527B">
        <w:rPr>
          <w:rFonts w:ascii="Times New Roman" w:hAnsi="Times New Roman" w:cs="Times New Roman"/>
          <w:bCs/>
        </w:rPr>
        <w:t>1</w:t>
      </w:r>
    </w:p>
    <w:p w:rsidR="00CD624E" w:rsidRPr="006A7366" w:rsidP="006A7366" w14:paraId="490BE852" w14:textId="3DD6BB2D">
      <w:pPr>
        <w:tabs>
          <w:tab w:val="right" w:leader="dot" w:pos="9180"/>
        </w:tabs>
        <w:rPr>
          <w:rFonts w:ascii="Times New Roman" w:hAnsi="Times New Roman" w:cs="Times New Roman"/>
          <w:bCs/>
        </w:rPr>
      </w:pPr>
      <w:r w:rsidRPr="006A7366">
        <w:rPr>
          <w:rFonts w:ascii="Times New Roman" w:hAnsi="Times New Roman" w:cs="Times New Roman"/>
          <w:bCs/>
        </w:rPr>
        <w:t xml:space="preserve">II.         COMPLIANCE REQUIREMENTS </w:t>
      </w:r>
      <w:r w:rsidRPr="006A7366">
        <w:rPr>
          <w:rFonts w:ascii="Times New Roman" w:hAnsi="Times New Roman" w:cs="Times New Roman"/>
          <w:bCs/>
        </w:rPr>
        <w:tab/>
      </w:r>
      <w:r w:rsidRPr="006A7366" w:rsidR="001C691D">
        <w:rPr>
          <w:rFonts w:ascii="Times New Roman" w:hAnsi="Times New Roman" w:cs="Times New Roman"/>
          <w:bCs/>
        </w:rPr>
        <w:t>1</w:t>
      </w:r>
    </w:p>
    <w:p w:rsidR="00CD624E" w:rsidRPr="006A7366" w:rsidP="006A7366" w14:paraId="68DC6F13" w14:textId="1E80CDD9">
      <w:pPr>
        <w:tabs>
          <w:tab w:val="right" w:leader="dot" w:pos="9180"/>
        </w:tabs>
        <w:rPr>
          <w:rFonts w:ascii="Times New Roman" w:hAnsi="Times New Roman" w:cs="Times New Roman"/>
          <w:bCs/>
        </w:rPr>
      </w:pPr>
      <w:r w:rsidRPr="006A7366">
        <w:rPr>
          <w:rFonts w:ascii="Times New Roman" w:hAnsi="Times New Roman" w:cs="Times New Roman"/>
          <w:bCs/>
        </w:rPr>
        <w:t xml:space="preserve">III.        RECORDKEEPING AND REPORTING REQUIREMENTS </w:t>
      </w:r>
      <w:r w:rsidRPr="006A7366">
        <w:rPr>
          <w:rFonts w:ascii="Times New Roman" w:hAnsi="Times New Roman" w:cs="Times New Roman"/>
          <w:bCs/>
        </w:rPr>
        <w:tab/>
      </w:r>
      <w:r w:rsidRPr="006A7366" w:rsidR="001C691D">
        <w:rPr>
          <w:rFonts w:ascii="Times New Roman" w:hAnsi="Times New Roman" w:cs="Times New Roman"/>
          <w:bCs/>
        </w:rPr>
        <w:t>2</w:t>
      </w:r>
    </w:p>
    <w:p w:rsidR="00CD624E" w:rsidRPr="006A7366" w:rsidP="006A7366" w14:paraId="6B9E0B35" w14:textId="2F416A82">
      <w:pPr>
        <w:tabs>
          <w:tab w:val="right" w:leader="dot" w:pos="9180"/>
        </w:tabs>
        <w:rPr>
          <w:rFonts w:ascii="Times New Roman" w:hAnsi="Times New Roman" w:cs="Times New Roman"/>
          <w:bCs/>
        </w:rPr>
      </w:pPr>
      <w:r w:rsidRPr="006A7366">
        <w:rPr>
          <w:rFonts w:ascii="Times New Roman" w:hAnsi="Times New Roman" w:cs="Times New Roman"/>
          <w:bCs/>
        </w:rPr>
        <w:t xml:space="preserve">IV.        IMPLEMENTATION DATE </w:t>
      </w:r>
      <w:r w:rsidRPr="006A7366">
        <w:rPr>
          <w:rFonts w:ascii="Times New Roman" w:hAnsi="Times New Roman" w:cs="Times New Roman"/>
          <w:bCs/>
        </w:rPr>
        <w:tab/>
      </w:r>
      <w:r w:rsidRPr="006A7366" w:rsidR="001C691D">
        <w:rPr>
          <w:rFonts w:ascii="Times New Roman" w:hAnsi="Times New Roman" w:cs="Times New Roman"/>
          <w:bCs/>
        </w:rPr>
        <w:t>2</w:t>
      </w:r>
    </w:p>
    <w:p w:rsidR="008D4AA5" w:rsidRPr="006A7366" w:rsidP="006A7366" w14:paraId="2364AF40" w14:textId="61F27514">
      <w:pPr>
        <w:tabs>
          <w:tab w:val="right" w:leader="dot" w:pos="9180"/>
        </w:tabs>
        <w:rPr>
          <w:rFonts w:ascii="Times New Roman" w:hAnsi="Times New Roman" w:cs="Times New Roman"/>
          <w:bCs/>
        </w:rPr>
      </w:pPr>
      <w:r w:rsidRPr="006A7366">
        <w:rPr>
          <w:rFonts w:ascii="Times New Roman" w:hAnsi="Times New Roman" w:cs="Times New Roman"/>
          <w:bCs/>
        </w:rPr>
        <w:t xml:space="preserve">V.         INTERNET LINKS </w:t>
      </w:r>
      <w:r w:rsidRPr="006A7366">
        <w:rPr>
          <w:rFonts w:ascii="Times New Roman" w:hAnsi="Times New Roman" w:cs="Times New Roman"/>
          <w:bCs/>
        </w:rPr>
        <w:tab/>
      </w:r>
      <w:r w:rsidRPr="006A7366" w:rsidR="00F842C8">
        <w:rPr>
          <w:rFonts w:ascii="Times New Roman" w:hAnsi="Times New Roman" w:cs="Times New Roman"/>
          <w:bCs/>
        </w:rPr>
        <w:t>3</w:t>
      </w:r>
    </w:p>
    <w:p w:rsidR="00463A2A" w:rsidRPr="006A7366" w:rsidP="00E97A21" w14:paraId="2A40148F" w14:textId="77777777">
      <w:pPr>
        <w:rPr>
          <w:rFonts w:ascii="Times New Roman" w:hAnsi="Times New Roman" w:cs="Times New Roman"/>
          <w:b/>
        </w:rPr>
      </w:pPr>
    </w:p>
    <w:p w:rsidR="001743EF" w:rsidRPr="006A7366" w:rsidP="00E97A21" w14:paraId="0E64538F" w14:textId="77777777">
      <w:pPr>
        <w:rPr>
          <w:rFonts w:ascii="Times New Roman" w:hAnsi="Times New Roman" w:cs="Times New Roman"/>
          <w:b/>
        </w:rPr>
        <w:sectPr w:rsidSect="006A7366">
          <w:headerReference w:type="default" r:id="rId5"/>
          <w:footerReference w:type="default" r:id="rId6"/>
          <w:pgSz w:w="12240" w:h="15840" w:code="1"/>
          <w:pgMar w:top="1440" w:right="1440" w:bottom="720" w:left="1440" w:header="720" w:footer="720" w:gutter="0"/>
          <w:pgNumType w:start="1"/>
          <w:cols w:space="720"/>
          <w:docGrid w:linePitch="360"/>
        </w:sectPr>
      </w:pPr>
    </w:p>
    <w:p w:rsidR="00E97A21" w:rsidRPr="006A7366" w:rsidP="00286EA8" w14:paraId="003F6D71" w14:textId="3D20986C">
      <w:pPr>
        <w:tabs>
          <w:tab w:val="left" w:pos="720"/>
        </w:tabs>
        <w:rPr>
          <w:rFonts w:ascii="Times New Roman" w:hAnsi="Times New Roman" w:cs="Times New Roman"/>
          <w:b/>
        </w:rPr>
      </w:pPr>
      <w:r w:rsidRPr="006A7366">
        <w:rPr>
          <w:rFonts w:ascii="Times New Roman" w:hAnsi="Times New Roman" w:cs="Times New Roman"/>
          <w:b/>
        </w:rPr>
        <w:t>I.</w:t>
      </w:r>
      <w:r w:rsidR="006A7366">
        <w:rPr>
          <w:rFonts w:ascii="Times New Roman" w:hAnsi="Times New Roman" w:cs="Times New Roman"/>
          <w:b/>
        </w:rPr>
        <w:tab/>
      </w:r>
      <w:r w:rsidRPr="006A7366" w:rsidR="001A1EAC">
        <w:rPr>
          <w:rFonts w:ascii="Times New Roman" w:hAnsi="Times New Roman" w:cs="Times New Roman"/>
          <w:b/>
        </w:rPr>
        <w:t>OBJECTIVES OF THE PROCEEDING</w:t>
      </w:r>
    </w:p>
    <w:p w:rsidR="001D42BC" w:rsidRPr="006A7366" w:rsidP="001D42BC" w14:paraId="0BD09703" w14:textId="086D2AC8">
      <w:pPr>
        <w:pStyle w:val="ParaNum"/>
        <w:numPr>
          <w:ilvl w:val="0"/>
          <w:numId w:val="0"/>
        </w:numPr>
      </w:pPr>
      <w:r w:rsidRPr="006A7366">
        <w:t xml:space="preserve">In </w:t>
      </w:r>
      <w:r w:rsidRPr="006A7366" w:rsidR="00133CEE">
        <w:t>t</w:t>
      </w:r>
      <w:r w:rsidRPr="006A7366">
        <w:t xml:space="preserve">his </w:t>
      </w:r>
      <w:r w:rsidRPr="006A7366" w:rsidR="001C691D">
        <w:rPr>
          <w:i/>
          <w:iCs/>
        </w:rPr>
        <w:t xml:space="preserve">Third </w:t>
      </w:r>
      <w:r w:rsidRPr="006A7366">
        <w:rPr>
          <w:i/>
          <w:iCs/>
        </w:rPr>
        <w:t>Report and Order</w:t>
      </w:r>
      <w:r w:rsidRPr="006A7366">
        <w:t xml:space="preserve"> in CG Docket No. 17-59</w:t>
      </w:r>
      <w:r w:rsidRPr="006A7366" w:rsidR="00BE452C">
        <w:t>,</w:t>
      </w:r>
      <w:r w:rsidRPr="006A7366">
        <w:t xml:space="preserve"> the Commission </w:t>
      </w:r>
      <w:r w:rsidRPr="006A7366" w:rsidR="00BE452C">
        <w:t xml:space="preserve">took </w:t>
      </w:r>
      <w:r w:rsidRPr="006A7366">
        <w:t>important steps in the fight against illegal robocalls by enabling terminating voice service providers to block certain calls before they reach consumers’ phones while also requiring certain protections for lawful calls.</w:t>
      </w:r>
    </w:p>
    <w:p w:rsidR="001D42BC" w:rsidRPr="006A7366" w:rsidP="001D42BC" w14:paraId="19311DB1" w14:textId="597BB36E">
      <w:pPr>
        <w:pStyle w:val="ParaNum"/>
        <w:numPr>
          <w:ilvl w:val="0"/>
          <w:numId w:val="0"/>
        </w:numPr>
      </w:pPr>
      <w:r w:rsidRPr="006A7366">
        <w:t xml:space="preserve">First, the </w:t>
      </w:r>
      <w:r w:rsidRPr="006A7366" w:rsidR="001C691D">
        <w:rPr>
          <w:i/>
          <w:iCs/>
        </w:rPr>
        <w:t xml:space="preserve">Third </w:t>
      </w:r>
      <w:r w:rsidRPr="006A7366">
        <w:rPr>
          <w:i/>
          <w:iCs/>
        </w:rPr>
        <w:t>Report and Order</w:t>
      </w:r>
      <w:r w:rsidRPr="006A7366">
        <w:t xml:space="preserve"> established a safe harbor for terminating voice service providers that block calls on a default, opt-out, basis based on reasonable analytics</w:t>
      </w:r>
      <w:r w:rsidRPr="006A7366" w:rsidR="00FE04A2">
        <w:t>.  The</w:t>
      </w:r>
      <w:r w:rsidRPr="006A7366">
        <w:t xml:space="preserve"> analytics </w:t>
      </w:r>
      <w:r w:rsidRPr="006A7366" w:rsidR="00FE04A2">
        <w:t xml:space="preserve">must </w:t>
      </w:r>
      <w:r w:rsidRPr="006A7366">
        <w:t xml:space="preserve">include caller ID authentication information and the customer </w:t>
      </w:r>
      <w:r w:rsidRPr="006A7366" w:rsidR="00FE04A2">
        <w:t xml:space="preserve">must be </w:t>
      </w:r>
      <w:r w:rsidRPr="006A7366">
        <w:t>given sufficient information to make an informed choice.  Second, it established a safe harbor for voice service providers that block and then cease accepting all traffic from an upstream voice service provider</w:t>
      </w:r>
      <w:r w:rsidRPr="006A7366" w:rsidR="00DB60DB">
        <w:t>.  The safe harbor is only available when the traffic comes from an upstream provider</w:t>
      </w:r>
      <w:r w:rsidRPr="006A7366">
        <w:t xml:space="preserve"> that</w:t>
      </w:r>
      <w:r w:rsidRPr="006A7366" w:rsidR="00DB60DB">
        <w:t xml:space="preserve"> has been</w:t>
      </w:r>
      <w:r w:rsidRPr="006A7366">
        <w:t xml:space="preserve"> notified </w:t>
      </w:r>
      <w:r w:rsidRPr="006A7366" w:rsidR="00DB60DB">
        <w:t xml:space="preserve">by the Commission </w:t>
      </w:r>
      <w:r w:rsidRPr="006A7366">
        <w:t>that it is carrying bad traffic</w:t>
      </w:r>
      <w:r w:rsidRPr="006A7366" w:rsidR="00DB60DB">
        <w:t xml:space="preserve"> and </w:t>
      </w:r>
      <w:r w:rsidRPr="006A7366">
        <w:t xml:space="preserve">fails to effectively mitigate such traffic or fails to implement effective measures to prevent new and renewing customers from using its network to originate illegal calls.  Finally, </w:t>
      </w:r>
      <w:r w:rsidRPr="006A7366" w:rsidR="00DB60DB">
        <w:t xml:space="preserve">the Commission </w:t>
      </w:r>
      <w:r w:rsidRPr="006A7366">
        <w:t xml:space="preserve">also adopted rules to ensure that callers and other voice service providers can resolve potential erroneous blocking and to require </w:t>
      </w:r>
      <w:r w:rsidRPr="006A7366" w:rsidR="00DB60DB">
        <w:t xml:space="preserve">that </w:t>
      </w:r>
      <w:r w:rsidRPr="006A7366">
        <w:t>all voice service providers make all reasonable efforts to ensure that critical calls complete.</w:t>
      </w:r>
    </w:p>
    <w:p w:rsidR="001D42BC" w:rsidRPr="006A7366" w:rsidP="001D42BC" w14:paraId="0C4CC7CD" w14:textId="7057FD00">
      <w:pPr>
        <w:pStyle w:val="ParaNum"/>
        <w:numPr>
          <w:ilvl w:val="0"/>
          <w:numId w:val="0"/>
        </w:numPr>
      </w:pPr>
      <w:r w:rsidRPr="006A7366">
        <w:rPr>
          <w:i/>
          <w:iCs/>
        </w:rPr>
        <w:t>Reasonable Analytics</w:t>
      </w:r>
      <w:r w:rsidRPr="006A7366">
        <w:t xml:space="preserve">.  The </w:t>
      </w:r>
      <w:r w:rsidRPr="006A7366" w:rsidR="001C691D">
        <w:rPr>
          <w:i/>
          <w:iCs/>
        </w:rPr>
        <w:t xml:space="preserve">Third </w:t>
      </w:r>
      <w:r w:rsidRPr="006A7366">
        <w:rPr>
          <w:i/>
          <w:iCs/>
        </w:rPr>
        <w:t>Report and Order</w:t>
      </w:r>
      <w:r w:rsidRPr="006A7366">
        <w:t xml:space="preserve"> provide</w:t>
      </w:r>
      <w:r w:rsidRPr="006A7366" w:rsidR="00133CEE">
        <w:t>d</w:t>
      </w:r>
      <w:r w:rsidRPr="006A7366">
        <w:t xml:space="preserve"> a safe harbor from liability under the Communication</w:t>
      </w:r>
      <w:r w:rsidRPr="006A7366" w:rsidR="006B1E03">
        <w:t>s</w:t>
      </w:r>
      <w:r w:rsidRPr="006A7366">
        <w:t xml:space="preserve"> Act and the Commission’s rules for voice service providers that block calls based on reasonable analytics</w:t>
      </w:r>
      <w:r w:rsidRPr="006A7366" w:rsidR="00DB60DB">
        <w:t>.  These reasonable analytics</w:t>
      </w:r>
      <w:r w:rsidRPr="006A7366">
        <w:t xml:space="preserve"> must include Caller ID authentication information</w:t>
      </w:r>
      <w:r w:rsidRPr="006A7366" w:rsidR="00DB60DB">
        <w:t>. Additionally,</w:t>
      </w:r>
      <w:r w:rsidRPr="006A7366">
        <w:t xml:space="preserve"> consumers </w:t>
      </w:r>
      <w:r w:rsidRPr="006A7366" w:rsidR="00DB60DB">
        <w:t xml:space="preserve">must be </w:t>
      </w:r>
      <w:r w:rsidRPr="006A7366">
        <w:t xml:space="preserve">given a meaningful opportunity to opt out.  </w:t>
      </w:r>
    </w:p>
    <w:p w:rsidR="001D42BC" w:rsidRPr="006A7366" w:rsidP="001D42BC" w14:paraId="7899B54C" w14:textId="59931B9F">
      <w:pPr>
        <w:pStyle w:val="ParaNum"/>
        <w:numPr>
          <w:ilvl w:val="0"/>
          <w:numId w:val="0"/>
        </w:numPr>
      </w:pPr>
      <w:r w:rsidRPr="006A7366">
        <w:rPr>
          <w:i/>
          <w:iCs/>
        </w:rPr>
        <w:t>Bad Actor Providers</w:t>
      </w:r>
      <w:r w:rsidRPr="006A7366">
        <w:t xml:space="preserve">.  </w:t>
      </w:r>
      <w:r w:rsidRPr="006A7366" w:rsidR="00DB60DB">
        <w:t>T</w:t>
      </w:r>
      <w:r w:rsidRPr="006A7366">
        <w:t xml:space="preserve">he </w:t>
      </w:r>
      <w:r w:rsidRPr="006A7366" w:rsidR="001C691D">
        <w:rPr>
          <w:i/>
          <w:iCs/>
        </w:rPr>
        <w:t xml:space="preserve">Third </w:t>
      </w:r>
      <w:r w:rsidRPr="006A7366">
        <w:rPr>
          <w:i/>
          <w:iCs/>
        </w:rPr>
        <w:t>Report and Order</w:t>
      </w:r>
      <w:r w:rsidRPr="006A7366" w:rsidR="00133CEE">
        <w:t xml:space="preserve"> established a safe harbor for terminating </w:t>
      </w:r>
      <w:r w:rsidRPr="006A7366">
        <w:t>voice service providers that block calls from</w:t>
      </w:r>
      <w:r w:rsidRPr="006A7366" w:rsidR="00CD02BB">
        <w:t xml:space="preserve"> certain</w:t>
      </w:r>
      <w:r w:rsidRPr="006A7366">
        <w:t xml:space="preserve"> upstream voice service providers</w:t>
      </w:r>
      <w:r w:rsidRPr="006A7366" w:rsidR="00CD02BB">
        <w:t>.</w:t>
      </w:r>
      <w:r w:rsidRPr="006A7366">
        <w:t xml:space="preserve"> </w:t>
      </w:r>
      <w:r w:rsidRPr="006A7366" w:rsidR="00CD02BB">
        <w:t xml:space="preserve"> First, the upstream voice service provider must be notified by the Commission that it is carrying bad traffic.  If that upstream voice service provider either </w:t>
      </w:r>
      <w:r w:rsidRPr="006A7366">
        <w:t>fails to effectively mitigate such traffic or fails to implement effective measures to prevent new and renewing customers from using its network to originate illegal calls</w:t>
      </w:r>
      <w:r w:rsidRPr="006A7366" w:rsidR="00CD02BB">
        <w:t>, then a downstream voice service provider may block all calls from that upstream voice service provider</w:t>
      </w:r>
      <w:r w:rsidRPr="006A7366">
        <w:t>.</w:t>
      </w:r>
    </w:p>
    <w:p w:rsidR="00247E1B" w:rsidRPr="006A7366" w:rsidP="001D42BC" w14:paraId="0E6D2B40" w14:textId="5AD37C50">
      <w:pPr>
        <w:spacing w:before="240"/>
        <w:rPr>
          <w:rFonts w:ascii="Times New Roman" w:hAnsi="Times New Roman" w:cs="Times New Roman"/>
        </w:rPr>
      </w:pPr>
      <w:r w:rsidRPr="006A7366">
        <w:rPr>
          <w:rFonts w:ascii="Times New Roman" w:hAnsi="Times New Roman" w:cs="Times New Roman"/>
          <w:i/>
          <w:iCs/>
        </w:rPr>
        <w:t>Other Issues</w:t>
      </w:r>
      <w:r w:rsidRPr="006A7366" w:rsidR="001D42BC">
        <w:rPr>
          <w:rFonts w:ascii="Times New Roman" w:hAnsi="Times New Roman" w:cs="Times New Roman"/>
        </w:rPr>
        <w:t xml:space="preserve">.  The </w:t>
      </w:r>
      <w:r w:rsidRPr="006A7366" w:rsidR="001C691D">
        <w:rPr>
          <w:rFonts w:ascii="Times New Roman" w:hAnsi="Times New Roman" w:cs="Times New Roman"/>
          <w:i/>
          <w:iCs/>
        </w:rPr>
        <w:t xml:space="preserve">Third </w:t>
      </w:r>
      <w:r w:rsidRPr="006A7366" w:rsidR="001D42BC">
        <w:rPr>
          <w:rFonts w:ascii="Times New Roman" w:hAnsi="Times New Roman" w:cs="Times New Roman"/>
          <w:i/>
          <w:iCs/>
        </w:rPr>
        <w:t>Report and Order</w:t>
      </w:r>
      <w:r w:rsidRPr="006A7366" w:rsidR="001D42BC">
        <w:rPr>
          <w:rFonts w:ascii="Times New Roman" w:hAnsi="Times New Roman" w:cs="Times New Roman"/>
        </w:rPr>
        <w:t xml:space="preserve"> clarifie</w:t>
      </w:r>
      <w:r w:rsidRPr="006A7366">
        <w:rPr>
          <w:rFonts w:ascii="Times New Roman" w:hAnsi="Times New Roman" w:cs="Times New Roman"/>
        </w:rPr>
        <w:t>d</w:t>
      </w:r>
      <w:r w:rsidRPr="006A7366" w:rsidR="001D42BC">
        <w:rPr>
          <w:rFonts w:ascii="Times New Roman" w:hAnsi="Times New Roman" w:cs="Times New Roman"/>
        </w:rPr>
        <w:t xml:space="preserve"> that any terminating voice service provider that blocks calls must designate a single point of contact for callers to report blocking errors at no charge.  It further ma</w:t>
      </w:r>
      <w:r w:rsidRPr="006A7366">
        <w:rPr>
          <w:rFonts w:ascii="Times New Roman" w:hAnsi="Times New Roman" w:cs="Times New Roman"/>
        </w:rPr>
        <w:t>de</w:t>
      </w:r>
      <w:r w:rsidRPr="006A7366" w:rsidR="001D42BC">
        <w:rPr>
          <w:rFonts w:ascii="Times New Roman" w:hAnsi="Times New Roman" w:cs="Times New Roman"/>
        </w:rPr>
        <w:t xml:space="preserve"> clear that blocking providers must investigate and resolve these blocking disputes in a reasonable amount of time that is consistent with industry best practices.  </w:t>
      </w:r>
      <w:r w:rsidRPr="006A7366">
        <w:rPr>
          <w:rFonts w:ascii="Times New Roman" w:hAnsi="Times New Roman" w:cs="Times New Roman"/>
        </w:rPr>
        <w:t xml:space="preserve">It further </w:t>
      </w:r>
      <w:r w:rsidRPr="006A7366" w:rsidR="001D42BC">
        <w:rPr>
          <w:rFonts w:ascii="Times New Roman" w:hAnsi="Times New Roman" w:cs="Times New Roman"/>
        </w:rPr>
        <w:t>ma</w:t>
      </w:r>
      <w:r w:rsidRPr="006A7366">
        <w:rPr>
          <w:rFonts w:ascii="Times New Roman" w:hAnsi="Times New Roman" w:cs="Times New Roman"/>
        </w:rPr>
        <w:t>de</w:t>
      </w:r>
      <w:r w:rsidRPr="006A7366" w:rsidR="001D42BC">
        <w:rPr>
          <w:rFonts w:ascii="Times New Roman" w:hAnsi="Times New Roman" w:cs="Times New Roman"/>
        </w:rPr>
        <w:t xml:space="preserve"> clear that the Commission expects </w:t>
      </w:r>
      <w:r w:rsidRPr="006A7366" w:rsidR="00F842C8">
        <w:rPr>
          <w:rFonts w:ascii="Times New Roman" w:hAnsi="Times New Roman" w:cs="Times New Roman"/>
        </w:rPr>
        <w:t xml:space="preserve">that </w:t>
      </w:r>
      <w:r w:rsidRPr="006A7366" w:rsidR="001D42BC">
        <w:rPr>
          <w:rFonts w:ascii="Times New Roman" w:hAnsi="Times New Roman" w:cs="Times New Roman"/>
        </w:rPr>
        <w:t>all voice service providers will take all possible steps to ensure that calls from Public Safety Answering Points (PSAPs) and government outbound emergency numbers are not blocked</w:t>
      </w:r>
      <w:r w:rsidRPr="006A7366">
        <w:rPr>
          <w:rFonts w:ascii="Times New Roman" w:hAnsi="Times New Roman" w:cs="Times New Roman"/>
        </w:rPr>
        <w:t xml:space="preserve"> and </w:t>
      </w:r>
      <w:r w:rsidRPr="006A7366" w:rsidR="001D42BC">
        <w:rPr>
          <w:rFonts w:ascii="Times New Roman" w:hAnsi="Times New Roman" w:cs="Times New Roman"/>
        </w:rPr>
        <w:t>that calls to 911 should never be blocked unless the voice service provider knows without a doubt that the calls are unlawful.</w:t>
      </w:r>
    </w:p>
    <w:p w:rsidR="00EF4B82" w:rsidRPr="006A7366" w:rsidP="00511023" w14:paraId="01CA2F04" w14:textId="47CA5527">
      <w:pPr>
        <w:spacing w:before="240"/>
        <w:rPr>
          <w:rFonts w:ascii="Times New Roman" w:hAnsi="Times New Roman" w:cs="Times New Roman"/>
          <w:b/>
        </w:rPr>
      </w:pPr>
      <w:r w:rsidRPr="006A7366">
        <w:rPr>
          <w:rFonts w:ascii="Times New Roman" w:hAnsi="Times New Roman" w:cs="Times New Roman"/>
        </w:rPr>
        <w:t xml:space="preserve">The decisions made in this </w:t>
      </w:r>
      <w:r w:rsidRPr="006A7366" w:rsidR="001C691D">
        <w:rPr>
          <w:rFonts w:ascii="Times New Roman" w:hAnsi="Times New Roman" w:cs="Times New Roman"/>
          <w:i/>
          <w:iCs/>
        </w:rPr>
        <w:t xml:space="preserve">Third </w:t>
      </w:r>
      <w:r w:rsidRPr="006A7366">
        <w:rPr>
          <w:rFonts w:ascii="Times New Roman" w:hAnsi="Times New Roman" w:cs="Times New Roman"/>
          <w:i/>
          <w:iCs/>
        </w:rPr>
        <w:t xml:space="preserve">Report and Order </w:t>
      </w:r>
      <w:r w:rsidRPr="006A7366">
        <w:rPr>
          <w:rFonts w:ascii="Times New Roman" w:hAnsi="Times New Roman" w:cs="Times New Roman"/>
        </w:rPr>
        <w:t>will shield voice service providers from liability for certain types of call blocking while protecting the most important lawful calls.  These decisions will further the Commission’s goal of combating unwanted and illegal calls while ensuring that consumers continue to receive the calls that they want.</w:t>
      </w:r>
    </w:p>
    <w:p w:rsidR="00EF4B82" w:rsidRPr="006A7366" w:rsidP="00286EA8" w14:paraId="2676F6DC" w14:textId="44689F86">
      <w:pPr>
        <w:tabs>
          <w:tab w:val="left" w:pos="720"/>
        </w:tabs>
        <w:rPr>
          <w:rFonts w:ascii="Times New Roman" w:hAnsi="Times New Roman" w:cs="Times New Roman"/>
          <w:b/>
        </w:rPr>
      </w:pPr>
      <w:r w:rsidRPr="006A7366">
        <w:rPr>
          <w:rFonts w:ascii="Times New Roman" w:hAnsi="Times New Roman" w:cs="Times New Roman"/>
          <w:b/>
        </w:rPr>
        <w:t xml:space="preserve">II. </w:t>
      </w:r>
      <w:r w:rsidRPr="006A7366" w:rsidR="00286EA8">
        <w:rPr>
          <w:rFonts w:ascii="Times New Roman" w:hAnsi="Times New Roman" w:cs="Times New Roman"/>
          <w:b/>
        </w:rPr>
        <w:tab/>
      </w:r>
      <w:r w:rsidRPr="006A7366">
        <w:rPr>
          <w:rFonts w:ascii="Times New Roman" w:hAnsi="Times New Roman" w:cs="Times New Roman"/>
          <w:b/>
        </w:rPr>
        <w:t>COMPLIANCE REQUIREMENTS</w:t>
      </w:r>
    </w:p>
    <w:p w:rsidR="008509A1" w:rsidRPr="006A7366" w:rsidP="00286EA8" w14:paraId="51C436C2" w14:textId="737C74F3">
      <w:pPr>
        <w:tabs>
          <w:tab w:val="left" w:pos="720"/>
        </w:tabs>
        <w:rPr>
          <w:rFonts w:ascii="Times New Roman" w:hAnsi="Times New Roman" w:cs="Times New Roman"/>
        </w:rPr>
      </w:pPr>
      <w:r w:rsidRPr="006A7366">
        <w:rPr>
          <w:rFonts w:ascii="Times New Roman" w:hAnsi="Times New Roman" w:cs="Times New Roman"/>
        </w:rPr>
        <w:t xml:space="preserve">The </w:t>
      </w:r>
      <w:r w:rsidRPr="006A7366" w:rsidR="001C691D">
        <w:rPr>
          <w:rFonts w:ascii="Times New Roman" w:hAnsi="Times New Roman" w:cs="Times New Roman"/>
          <w:i/>
          <w:iCs/>
        </w:rPr>
        <w:t xml:space="preserve">Third </w:t>
      </w:r>
      <w:r w:rsidRPr="006A7366">
        <w:rPr>
          <w:rFonts w:ascii="Times New Roman" w:hAnsi="Times New Roman" w:cs="Times New Roman"/>
          <w:i/>
        </w:rPr>
        <w:t>Report and Order</w:t>
      </w:r>
      <w:r w:rsidRPr="006A7366">
        <w:rPr>
          <w:rFonts w:ascii="Times New Roman" w:hAnsi="Times New Roman" w:cs="Times New Roman"/>
        </w:rPr>
        <w:t xml:space="preserve"> makes rule changes to section 64.1200</w:t>
      </w:r>
      <w:r w:rsidRPr="006A7366" w:rsidR="00B41399">
        <w:rPr>
          <w:rFonts w:ascii="Times New Roman" w:hAnsi="Times New Roman" w:cs="Times New Roman"/>
        </w:rPr>
        <w:t>; it</w:t>
      </w:r>
      <w:r w:rsidRPr="006A7366">
        <w:rPr>
          <w:rFonts w:ascii="Times New Roman" w:hAnsi="Times New Roman" w:cs="Times New Roman"/>
        </w:rPr>
        <w:t xml:space="preserve"> provides protections to voice service providers that block calls in certain instances </w:t>
      </w:r>
      <w:r w:rsidRPr="006A7366" w:rsidR="00F842C8">
        <w:rPr>
          <w:rFonts w:ascii="Times New Roman" w:hAnsi="Times New Roman" w:cs="Times New Roman"/>
        </w:rPr>
        <w:t xml:space="preserve">as set forth below </w:t>
      </w:r>
      <w:r w:rsidRPr="006A7366">
        <w:rPr>
          <w:rFonts w:ascii="Times New Roman" w:hAnsi="Times New Roman" w:cs="Times New Roman"/>
        </w:rPr>
        <w:t>while simultaneously establishing certain requirements to address the risk that lawful calls may be blocked.</w:t>
      </w:r>
    </w:p>
    <w:p w:rsidR="008509A1" w:rsidRPr="006A7366" w:rsidP="00286EA8" w14:paraId="5450F381" w14:textId="3829B775">
      <w:pPr>
        <w:tabs>
          <w:tab w:val="left" w:pos="720"/>
        </w:tabs>
        <w:rPr>
          <w:rFonts w:ascii="Times New Roman" w:hAnsi="Times New Roman" w:cs="Times New Roman"/>
          <w:bCs/>
          <w:iCs/>
        </w:rPr>
      </w:pPr>
      <w:r w:rsidRPr="006A7366">
        <w:rPr>
          <w:rFonts w:ascii="Times New Roman" w:hAnsi="Times New Roman" w:cs="Times New Roman"/>
          <w:b/>
          <w:bCs/>
          <w:i/>
          <w:iCs/>
        </w:rPr>
        <w:t xml:space="preserve">Call Blocking Safe Harbors (47 CFR </w:t>
      </w:r>
      <w:r w:rsidRPr="006A7366">
        <w:rPr>
          <w:rFonts w:ascii="Times New Roman" w:hAnsi="Times New Roman" w:cs="Times New Roman"/>
          <w:b/>
          <w:i/>
        </w:rPr>
        <w:t>§§ 64.1200(k)(</w:t>
      </w:r>
      <w:r w:rsidRPr="006A7366" w:rsidR="00483932">
        <w:rPr>
          <w:rFonts w:ascii="Times New Roman" w:hAnsi="Times New Roman" w:cs="Times New Roman"/>
          <w:b/>
          <w:i/>
        </w:rPr>
        <w:t>3</w:t>
      </w:r>
      <w:r w:rsidRPr="006A7366">
        <w:rPr>
          <w:rFonts w:ascii="Times New Roman" w:hAnsi="Times New Roman" w:cs="Times New Roman"/>
          <w:b/>
          <w:i/>
        </w:rPr>
        <w:t>)-(</w:t>
      </w:r>
      <w:r w:rsidRPr="006A7366" w:rsidR="00483932">
        <w:rPr>
          <w:rFonts w:ascii="Times New Roman" w:hAnsi="Times New Roman" w:cs="Times New Roman"/>
          <w:b/>
          <w:i/>
        </w:rPr>
        <w:t>4</w:t>
      </w:r>
      <w:r w:rsidRPr="006A7366">
        <w:rPr>
          <w:rFonts w:ascii="Times New Roman" w:hAnsi="Times New Roman" w:cs="Times New Roman"/>
          <w:b/>
          <w:i/>
        </w:rPr>
        <w:t>))</w:t>
      </w:r>
    </w:p>
    <w:p w:rsidR="008509A1" w:rsidRPr="006A7366" w:rsidP="008509A1" w14:paraId="24194AA5" w14:textId="3AD431F5">
      <w:pPr>
        <w:pStyle w:val="ListParagraph"/>
        <w:numPr>
          <w:ilvl w:val="0"/>
          <w:numId w:val="15"/>
        </w:numPr>
        <w:tabs>
          <w:tab w:val="left" w:pos="720"/>
        </w:tabs>
        <w:rPr>
          <w:rFonts w:ascii="Times New Roman" w:hAnsi="Times New Roman" w:cs="Times New Roman"/>
          <w:bCs/>
          <w:iCs/>
        </w:rPr>
      </w:pPr>
      <w:r w:rsidRPr="006A7366">
        <w:rPr>
          <w:rFonts w:ascii="Times New Roman" w:hAnsi="Times New Roman" w:cs="Times New Roman"/>
          <w:bCs/>
          <w:iCs/>
        </w:rPr>
        <w:t>Under section 64.1200(k)(3)</w:t>
      </w:r>
      <w:r w:rsidRPr="006A7366" w:rsidR="0041118F">
        <w:rPr>
          <w:rFonts w:ascii="Times New Roman" w:hAnsi="Times New Roman" w:cs="Times New Roman"/>
          <w:bCs/>
          <w:iCs/>
        </w:rPr>
        <w:t>,</w:t>
      </w:r>
      <w:r w:rsidRPr="006A7366">
        <w:rPr>
          <w:rFonts w:ascii="Times New Roman" w:hAnsi="Times New Roman" w:cs="Times New Roman"/>
          <w:bCs/>
          <w:iCs/>
        </w:rPr>
        <w:t xml:space="preserve"> voice service providers are shielded from liability for blocking lawful, wanted calls so long as they do so on a consumer opt-out basis using </w:t>
      </w:r>
      <w:r w:rsidRPr="006A7366" w:rsidR="00AB74DD">
        <w:rPr>
          <w:rFonts w:ascii="Times New Roman" w:hAnsi="Times New Roman" w:cs="Times New Roman"/>
          <w:bCs/>
          <w:iCs/>
        </w:rPr>
        <w:t xml:space="preserve">reasonable </w:t>
      </w:r>
      <w:r w:rsidRPr="006A7366">
        <w:rPr>
          <w:rFonts w:ascii="Times New Roman" w:hAnsi="Times New Roman" w:cs="Times New Roman"/>
          <w:bCs/>
          <w:iCs/>
        </w:rPr>
        <w:t xml:space="preserve">analytics.  </w:t>
      </w:r>
      <w:r w:rsidRPr="006A7366">
        <w:rPr>
          <w:rFonts w:ascii="Times New Roman" w:hAnsi="Times New Roman" w:cs="Times New Roman"/>
          <w:bCs/>
          <w:iCs/>
        </w:rPr>
        <w:t>These analytics must incorporate caller ID authentication information when available.  A voice service provider that has not implemented an effective caller ID authentication system cannot satisfy the requirement to incorporate caller ID authentication information and therefore does not qualify for the safe harbor.  All analytics must be applied in a non-discriminatory, competitively neutral manner</w:t>
      </w:r>
      <w:r w:rsidRPr="006A7366" w:rsidR="00AB74DD">
        <w:rPr>
          <w:rFonts w:ascii="Times New Roman" w:hAnsi="Times New Roman" w:cs="Times New Roman"/>
          <w:bCs/>
          <w:iCs/>
        </w:rPr>
        <w:t>.  Voice</w:t>
      </w:r>
      <w:r w:rsidRPr="006A7366">
        <w:rPr>
          <w:rFonts w:ascii="Times New Roman" w:hAnsi="Times New Roman" w:cs="Times New Roman"/>
          <w:bCs/>
          <w:iCs/>
        </w:rPr>
        <w:t xml:space="preserve"> service providers that block under this safe harbor must also satisfy redress requirements established elsewhere in the rules.</w:t>
      </w:r>
    </w:p>
    <w:p w:rsidR="00483932" w:rsidRPr="006A7366" w:rsidP="008509A1" w14:paraId="2EF45A17" w14:textId="04F3FCBA">
      <w:pPr>
        <w:pStyle w:val="ListParagraph"/>
        <w:numPr>
          <w:ilvl w:val="0"/>
          <w:numId w:val="15"/>
        </w:numPr>
        <w:tabs>
          <w:tab w:val="left" w:pos="720"/>
        </w:tabs>
        <w:rPr>
          <w:rFonts w:ascii="Times New Roman" w:hAnsi="Times New Roman" w:cs="Times New Roman"/>
          <w:bCs/>
          <w:iCs/>
        </w:rPr>
      </w:pPr>
      <w:r w:rsidRPr="006A7366">
        <w:rPr>
          <w:rFonts w:ascii="Times New Roman" w:hAnsi="Times New Roman" w:cs="Times New Roman"/>
          <w:bCs/>
          <w:iCs/>
        </w:rPr>
        <w:t>Under section 64.1200(k)(4)</w:t>
      </w:r>
      <w:r w:rsidRPr="006A7366" w:rsidR="0041118F">
        <w:rPr>
          <w:rFonts w:ascii="Times New Roman" w:hAnsi="Times New Roman" w:cs="Times New Roman"/>
          <w:bCs/>
          <w:iCs/>
        </w:rPr>
        <w:t>,</w:t>
      </w:r>
      <w:r w:rsidRPr="006A7366">
        <w:rPr>
          <w:rFonts w:ascii="Times New Roman" w:hAnsi="Times New Roman" w:cs="Times New Roman"/>
          <w:bCs/>
          <w:iCs/>
        </w:rPr>
        <w:t xml:space="preserve"> a voice service provider may block calls or cease accepting traffic from a particular upstream </w:t>
      </w:r>
      <w:r w:rsidRPr="006A7366" w:rsidR="00E174AE">
        <w:rPr>
          <w:rFonts w:ascii="Times New Roman" w:hAnsi="Times New Roman" w:cs="Times New Roman"/>
          <w:bCs/>
          <w:iCs/>
        </w:rPr>
        <w:t xml:space="preserve">voice service </w:t>
      </w:r>
      <w:r w:rsidRPr="006A7366">
        <w:rPr>
          <w:rFonts w:ascii="Times New Roman" w:hAnsi="Times New Roman" w:cs="Times New Roman"/>
          <w:bCs/>
          <w:iCs/>
        </w:rPr>
        <w:t xml:space="preserve">provider </w:t>
      </w:r>
      <w:r w:rsidRPr="006A7366" w:rsidR="00E174AE">
        <w:rPr>
          <w:rFonts w:ascii="Times New Roman" w:hAnsi="Times New Roman" w:cs="Times New Roman"/>
          <w:bCs/>
          <w:iCs/>
        </w:rPr>
        <w:t xml:space="preserve">without liability </w:t>
      </w:r>
      <w:r w:rsidRPr="006A7366" w:rsidR="00BE2B3B">
        <w:rPr>
          <w:rFonts w:ascii="Times New Roman" w:hAnsi="Times New Roman" w:cs="Times New Roman"/>
          <w:bCs/>
          <w:iCs/>
        </w:rPr>
        <w:t>once certain criteria are met.  This safe harbor provides protection to a downstream voice service provider when the Commission has notified a particular upstream voice service provider of illegal traffic on that upstream voice service provider’s network and the upstream voice service provider either fails to effectively mitigate that illegal traffic within 48 hours or fails to implement effective measures to prevent new and renewing customers from using its network to originate illegal calls.  Prior to blocking calls, the downstream voice service provider shall notify the Commission of its intention to block calls and the basis for that decision.  Section 64.1200(f)(17) defines “effectively mitigate” for purposes of this ru</w:t>
      </w:r>
      <w:r w:rsidRPr="006A7366" w:rsidR="001C691D">
        <w:rPr>
          <w:rFonts w:ascii="Times New Roman" w:hAnsi="Times New Roman" w:cs="Times New Roman"/>
          <w:bCs/>
          <w:iCs/>
        </w:rPr>
        <w:t>le, which</w:t>
      </w:r>
      <w:r w:rsidRPr="006A7366" w:rsidR="00BE2B3B">
        <w:rPr>
          <w:rFonts w:ascii="Times New Roman" w:hAnsi="Times New Roman" w:cs="Times New Roman"/>
          <w:bCs/>
          <w:iCs/>
        </w:rPr>
        <w:t xml:space="preserve"> includes identifying the source of the illegal traffic an</w:t>
      </w:r>
      <w:r w:rsidRPr="006A7366" w:rsidR="00AB74DD">
        <w:rPr>
          <w:rFonts w:ascii="Times New Roman" w:hAnsi="Times New Roman" w:cs="Times New Roman"/>
          <w:bCs/>
          <w:iCs/>
        </w:rPr>
        <w:t>d</w:t>
      </w:r>
      <w:r w:rsidRPr="006A7366" w:rsidR="00BE2B3B">
        <w:rPr>
          <w:rFonts w:ascii="Times New Roman" w:hAnsi="Times New Roman" w:cs="Times New Roman"/>
          <w:bCs/>
          <w:iCs/>
        </w:rPr>
        <w:t xml:space="preserve"> preventing that source from continuing to originate the same or similar traffic.</w:t>
      </w:r>
    </w:p>
    <w:p w:rsidR="00BE2B3B" w:rsidRPr="006A7366" w:rsidP="00BE2B3B" w14:paraId="1763631D" w14:textId="496321E6">
      <w:pPr>
        <w:tabs>
          <w:tab w:val="left" w:pos="720"/>
        </w:tabs>
        <w:rPr>
          <w:rFonts w:ascii="Times New Roman" w:hAnsi="Times New Roman" w:cs="Times New Roman"/>
          <w:b/>
          <w:i/>
        </w:rPr>
      </w:pPr>
      <w:r w:rsidRPr="006A7366">
        <w:rPr>
          <w:rFonts w:ascii="Times New Roman" w:hAnsi="Times New Roman" w:cs="Times New Roman"/>
          <w:b/>
          <w:bCs/>
          <w:i/>
          <w:iCs/>
        </w:rPr>
        <w:t xml:space="preserve">Call Blocking Redress Requirements (47 CFR </w:t>
      </w:r>
      <w:r w:rsidRPr="006A7366">
        <w:rPr>
          <w:rFonts w:ascii="Times New Roman" w:hAnsi="Times New Roman" w:cs="Times New Roman"/>
          <w:b/>
          <w:i/>
        </w:rPr>
        <w:t>§§ 64.1200(k)(5)-(8))</w:t>
      </w:r>
    </w:p>
    <w:p w:rsidR="009A61EC" w:rsidRPr="006A7366" w:rsidP="00D95AB5" w14:paraId="3AA3064C" w14:textId="02C5A402">
      <w:pPr>
        <w:pStyle w:val="ListParagraph"/>
        <w:numPr>
          <w:ilvl w:val="0"/>
          <w:numId w:val="16"/>
        </w:numPr>
        <w:tabs>
          <w:tab w:val="left" w:pos="720"/>
        </w:tabs>
        <w:rPr>
          <w:rFonts w:ascii="Times New Roman" w:hAnsi="Times New Roman" w:cs="Times New Roman"/>
          <w:bCs/>
          <w:iCs/>
        </w:rPr>
      </w:pPr>
      <w:r w:rsidRPr="006A7366">
        <w:rPr>
          <w:rFonts w:ascii="Times New Roman" w:hAnsi="Times New Roman" w:cs="Times New Roman"/>
          <w:bCs/>
          <w:iCs/>
        </w:rPr>
        <w:t>Under section 64.1200(k)(5)</w:t>
      </w:r>
      <w:r w:rsidRPr="006A7366" w:rsidR="00BE452C">
        <w:rPr>
          <w:rFonts w:ascii="Times New Roman" w:hAnsi="Times New Roman" w:cs="Times New Roman"/>
          <w:bCs/>
          <w:iCs/>
        </w:rPr>
        <w:t>,</w:t>
      </w:r>
      <w:r w:rsidRPr="006A7366">
        <w:rPr>
          <w:rFonts w:ascii="Times New Roman" w:hAnsi="Times New Roman" w:cs="Times New Roman"/>
          <w:bCs/>
          <w:iCs/>
        </w:rPr>
        <w:t xml:space="preserve"> voice service providers must not block an emergency call placed to 911.</w:t>
      </w:r>
      <w:r w:rsidRPr="006A7366" w:rsidR="00BE452C">
        <w:rPr>
          <w:rFonts w:ascii="Times New Roman" w:hAnsi="Times New Roman" w:cs="Times New Roman"/>
          <w:bCs/>
          <w:iCs/>
        </w:rPr>
        <w:t xml:space="preserve"> </w:t>
      </w:r>
      <w:r w:rsidRPr="006A7366">
        <w:rPr>
          <w:rFonts w:ascii="Times New Roman" w:hAnsi="Times New Roman" w:cs="Times New Roman"/>
          <w:bCs/>
          <w:iCs/>
        </w:rPr>
        <w:t xml:space="preserve"> This requirement applies to any voice service providers that blocks under sections 64.1200(k)(1)-(4).  This rule was previously </w:t>
      </w:r>
      <w:r w:rsidRPr="006A7366" w:rsidR="00BE452C">
        <w:rPr>
          <w:rFonts w:ascii="Times New Roman" w:hAnsi="Times New Roman" w:cs="Times New Roman"/>
          <w:bCs/>
          <w:iCs/>
        </w:rPr>
        <w:t xml:space="preserve">located at </w:t>
      </w:r>
      <w:r w:rsidRPr="006A7366">
        <w:rPr>
          <w:rFonts w:ascii="Times New Roman" w:hAnsi="Times New Roman" w:cs="Times New Roman"/>
          <w:bCs/>
          <w:iCs/>
        </w:rPr>
        <w:t>section 64.1200(k)(3)</w:t>
      </w:r>
      <w:r w:rsidRPr="006A7366" w:rsidR="00BE452C">
        <w:rPr>
          <w:rFonts w:ascii="Times New Roman" w:hAnsi="Times New Roman" w:cs="Times New Roman"/>
          <w:bCs/>
          <w:iCs/>
        </w:rPr>
        <w:t>.  T</w:t>
      </w:r>
      <w:r w:rsidRPr="006A7366">
        <w:rPr>
          <w:rFonts w:ascii="Times New Roman" w:hAnsi="Times New Roman" w:cs="Times New Roman"/>
          <w:bCs/>
          <w:iCs/>
        </w:rPr>
        <w:t xml:space="preserve">he </w:t>
      </w:r>
      <w:r w:rsidRPr="006A7366" w:rsidR="00BE452C">
        <w:rPr>
          <w:rFonts w:ascii="Times New Roman" w:hAnsi="Times New Roman" w:cs="Times New Roman"/>
          <w:bCs/>
          <w:i/>
        </w:rPr>
        <w:t xml:space="preserve">Third </w:t>
      </w:r>
      <w:r w:rsidRPr="006A7366">
        <w:rPr>
          <w:rFonts w:ascii="Times New Roman" w:hAnsi="Times New Roman" w:cs="Times New Roman"/>
          <w:bCs/>
          <w:i/>
        </w:rPr>
        <w:t>Report and Order</w:t>
      </w:r>
      <w:r w:rsidRPr="006A7366">
        <w:rPr>
          <w:rFonts w:ascii="Times New Roman" w:hAnsi="Times New Roman" w:cs="Times New Roman"/>
          <w:bCs/>
          <w:iCs/>
        </w:rPr>
        <w:t xml:space="preserve"> expanded the application of this rule to the call blocking safe harbors adopted in sections 64.1200(k)(3)-(4).</w:t>
      </w:r>
    </w:p>
    <w:p w:rsidR="00D95AB5" w:rsidRPr="006A7366" w:rsidP="00D95AB5" w14:paraId="48D211AB" w14:textId="2E112E09">
      <w:pPr>
        <w:pStyle w:val="ListParagraph"/>
        <w:numPr>
          <w:ilvl w:val="0"/>
          <w:numId w:val="16"/>
        </w:numPr>
        <w:tabs>
          <w:tab w:val="left" w:pos="720"/>
        </w:tabs>
        <w:rPr>
          <w:rFonts w:ascii="Times New Roman" w:hAnsi="Times New Roman" w:cs="Times New Roman"/>
          <w:bCs/>
          <w:iCs/>
        </w:rPr>
      </w:pPr>
      <w:r w:rsidRPr="006A7366">
        <w:rPr>
          <w:rFonts w:ascii="Times New Roman" w:hAnsi="Times New Roman" w:cs="Times New Roman"/>
          <w:bCs/>
          <w:iCs/>
        </w:rPr>
        <w:t>Under 64.1200(k)(6)</w:t>
      </w:r>
      <w:r w:rsidRPr="006A7366" w:rsidR="00BE452C">
        <w:rPr>
          <w:rFonts w:ascii="Times New Roman" w:hAnsi="Times New Roman" w:cs="Times New Roman"/>
          <w:bCs/>
          <w:iCs/>
        </w:rPr>
        <w:t>,</w:t>
      </w:r>
      <w:r w:rsidRPr="006A7366">
        <w:rPr>
          <w:rFonts w:ascii="Times New Roman" w:hAnsi="Times New Roman" w:cs="Times New Roman"/>
          <w:bCs/>
          <w:iCs/>
        </w:rPr>
        <w:t xml:space="preserve"> voice service providers that block calls under section 64.1200(k)(1)-(4) must make all reasonable efforts to ensure that </w:t>
      </w:r>
      <w:r w:rsidRPr="006A7366">
        <w:rPr>
          <w:rFonts w:ascii="Times New Roman" w:hAnsi="Times New Roman" w:cs="Times New Roman"/>
        </w:rPr>
        <w:t>calls from public safety answering points and government emergency numbers are not blocked.</w:t>
      </w:r>
    </w:p>
    <w:p w:rsidR="000946E9" w:rsidRPr="006A7366" w:rsidP="000946E9" w14:paraId="6B71AB4D" w14:textId="518ACF7E">
      <w:pPr>
        <w:pStyle w:val="ListParagraph"/>
        <w:numPr>
          <w:ilvl w:val="0"/>
          <w:numId w:val="16"/>
        </w:numPr>
        <w:tabs>
          <w:tab w:val="left" w:pos="720"/>
        </w:tabs>
        <w:rPr>
          <w:rFonts w:ascii="Times New Roman" w:hAnsi="Times New Roman" w:cs="Times New Roman"/>
          <w:bCs/>
          <w:iCs/>
        </w:rPr>
      </w:pPr>
      <w:r w:rsidRPr="006A7366">
        <w:rPr>
          <w:rFonts w:ascii="Times New Roman" w:hAnsi="Times New Roman" w:cs="Times New Roman"/>
        </w:rPr>
        <w:t>64.1200(k)(7) was previously 64.1200(k)(4)</w:t>
      </w:r>
      <w:r w:rsidRPr="006A7366" w:rsidR="00EB378B">
        <w:rPr>
          <w:rFonts w:ascii="Times New Roman" w:hAnsi="Times New Roman" w:cs="Times New Roman"/>
        </w:rPr>
        <w:t xml:space="preserve">.  It </w:t>
      </w:r>
      <w:r w:rsidRPr="006A7366">
        <w:rPr>
          <w:rFonts w:ascii="Times New Roman" w:hAnsi="Times New Roman" w:cs="Times New Roman"/>
        </w:rPr>
        <w:t xml:space="preserve">makes clear that voice service providers </w:t>
      </w:r>
      <w:r w:rsidRPr="006A7366" w:rsidR="00874BE9">
        <w:rPr>
          <w:rFonts w:ascii="Times New Roman" w:hAnsi="Times New Roman" w:cs="Times New Roman"/>
        </w:rPr>
        <w:t xml:space="preserve">do not need to determine whether a particular call </w:t>
      </w:r>
      <w:r w:rsidRPr="006A7366" w:rsidR="00874BE9">
        <w:rPr>
          <w:rFonts w:ascii="Times New Roman" w:hAnsi="Times New Roman" w:cs="Times New Roman"/>
        </w:rPr>
        <w:t>actually originated</w:t>
      </w:r>
      <w:r w:rsidRPr="006A7366" w:rsidR="00874BE9">
        <w:rPr>
          <w:rFonts w:ascii="Times New Roman" w:hAnsi="Times New Roman" w:cs="Times New Roman"/>
        </w:rPr>
        <w:t xml:space="preserve"> from the phone number shown on the caller ID before blocking </w:t>
      </w:r>
      <w:r w:rsidRPr="006A7366" w:rsidR="00EB378B">
        <w:rPr>
          <w:rFonts w:ascii="Times New Roman" w:hAnsi="Times New Roman" w:cs="Times New Roman"/>
        </w:rPr>
        <w:t>the call</w:t>
      </w:r>
      <w:r w:rsidRPr="006A7366" w:rsidR="00874BE9">
        <w:rPr>
          <w:rFonts w:ascii="Times New Roman" w:hAnsi="Times New Roman" w:cs="Times New Roman"/>
        </w:rPr>
        <w:t>.  This does not change the requirement to incorporate caller ID authentication information for the safe harbor in 64.1200(k)(3).</w:t>
      </w:r>
    </w:p>
    <w:p w:rsidR="00D95AB5" w:rsidRPr="006A7366" w:rsidP="000946E9" w14:paraId="23DA9DAB" w14:textId="5546FE59">
      <w:pPr>
        <w:pStyle w:val="ListParagraph"/>
        <w:numPr>
          <w:ilvl w:val="0"/>
          <w:numId w:val="16"/>
        </w:numPr>
        <w:tabs>
          <w:tab w:val="left" w:pos="720"/>
        </w:tabs>
        <w:rPr>
          <w:rFonts w:ascii="Times New Roman" w:hAnsi="Times New Roman" w:cs="Times New Roman"/>
          <w:bCs/>
          <w:iCs/>
        </w:rPr>
      </w:pPr>
      <w:r w:rsidRPr="006A7366">
        <w:rPr>
          <w:rFonts w:ascii="Times New Roman" w:hAnsi="Times New Roman" w:cs="Times New Roman"/>
        </w:rPr>
        <w:t>Under 64.1200(k)(8)</w:t>
      </w:r>
      <w:r w:rsidRPr="006A7366" w:rsidR="00EB378B">
        <w:rPr>
          <w:rFonts w:ascii="Times New Roman" w:hAnsi="Times New Roman" w:cs="Times New Roman"/>
        </w:rPr>
        <w:t>,</w:t>
      </w:r>
      <w:r w:rsidRPr="006A7366">
        <w:rPr>
          <w:rFonts w:ascii="Times New Roman" w:hAnsi="Times New Roman" w:cs="Times New Roman"/>
        </w:rPr>
        <w:t xml:space="preserve"> a voice service provider must provide a single point of contact for handling call blocking disputes.  The point of contact must be readily available on the voice service provider’s public-facing website.  Voice service providers are also required to resolve disputes within a reasonable amount of time and at no charge to callers.</w:t>
      </w:r>
    </w:p>
    <w:p w:rsidR="00DE567B" w:rsidRPr="006A7366" w:rsidP="00286EA8" w14:paraId="1759BBF7" w14:textId="59C85934">
      <w:pPr>
        <w:tabs>
          <w:tab w:val="left" w:pos="720"/>
        </w:tabs>
        <w:spacing w:after="0"/>
        <w:rPr>
          <w:rFonts w:ascii="Times New Roman" w:hAnsi="Times New Roman" w:cs="Times New Roman"/>
          <w:b/>
        </w:rPr>
      </w:pPr>
      <w:r w:rsidRPr="006A7366">
        <w:rPr>
          <w:rFonts w:ascii="Times New Roman" w:hAnsi="Times New Roman" w:cs="Times New Roman"/>
          <w:b/>
        </w:rPr>
        <w:t>I</w:t>
      </w:r>
      <w:r w:rsidRPr="006A7366" w:rsidR="00BA1697">
        <w:rPr>
          <w:rFonts w:ascii="Times New Roman" w:hAnsi="Times New Roman" w:cs="Times New Roman"/>
          <w:b/>
        </w:rPr>
        <w:t>II.</w:t>
      </w:r>
      <w:r w:rsidRPr="006A7366" w:rsidR="00286EA8">
        <w:rPr>
          <w:rFonts w:ascii="Times New Roman" w:hAnsi="Times New Roman" w:cs="Times New Roman"/>
          <w:b/>
        </w:rPr>
        <w:tab/>
      </w:r>
      <w:r w:rsidRPr="006A7366">
        <w:rPr>
          <w:rFonts w:ascii="Times New Roman" w:hAnsi="Times New Roman" w:cs="Times New Roman"/>
          <w:b/>
        </w:rPr>
        <w:t xml:space="preserve">RECORDKEEPING </w:t>
      </w:r>
      <w:r w:rsidRPr="006A7366" w:rsidR="00292357">
        <w:rPr>
          <w:rFonts w:ascii="Times New Roman" w:hAnsi="Times New Roman" w:cs="Times New Roman"/>
          <w:b/>
        </w:rPr>
        <w:t xml:space="preserve">AND REPORTING </w:t>
      </w:r>
      <w:r w:rsidRPr="006A7366">
        <w:rPr>
          <w:rFonts w:ascii="Times New Roman" w:hAnsi="Times New Roman" w:cs="Times New Roman"/>
          <w:b/>
        </w:rPr>
        <w:t>REQUIREMENTS</w:t>
      </w:r>
    </w:p>
    <w:p w:rsidR="00034878" w:rsidRPr="006A7366" w:rsidP="007F0A80" w14:paraId="688CB6D7" w14:textId="77777777">
      <w:pPr>
        <w:spacing w:after="0"/>
        <w:rPr>
          <w:rFonts w:ascii="Times New Roman" w:hAnsi="Times New Roman" w:cs="Times New Roman"/>
          <w:b/>
        </w:rPr>
      </w:pPr>
    </w:p>
    <w:p w:rsidR="001961AA" w:rsidRPr="006A7366" w:rsidP="00511023" w14:paraId="1ED3D0C5" w14:textId="4895B658">
      <w:pPr>
        <w:spacing w:after="0"/>
        <w:rPr>
          <w:rFonts w:ascii="Times New Roman" w:hAnsi="Times New Roman" w:cs="Times New Roman"/>
          <w:color w:val="010101"/>
        </w:rPr>
      </w:pPr>
      <w:r w:rsidRPr="006A7366">
        <w:rPr>
          <w:rFonts w:ascii="Times New Roman" w:hAnsi="Times New Roman" w:cs="Times New Roman"/>
          <w:color w:val="010101"/>
        </w:rPr>
        <w:t xml:space="preserve">The Commission’s actions in the </w:t>
      </w:r>
      <w:r w:rsidRPr="006A7366" w:rsidR="001C691D">
        <w:rPr>
          <w:rFonts w:ascii="Times New Roman" w:hAnsi="Times New Roman" w:cs="Times New Roman"/>
          <w:i/>
          <w:iCs/>
          <w:color w:val="010101"/>
        </w:rPr>
        <w:t xml:space="preserve">Third </w:t>
      </w:r>
      <w:r w:rsidRPr="006A7366">
        <w:rPr>
          <w:rFonts w:ascii="Times New Roman" w:hAnsi="Times New Roman" w:cs="Times New Roman"/>
          <w:i/>
          <w:color w:val="010101"/>
        </w:rPr>
        <w:t>Report and Order</w:t>
      </w:r>
      <w:r w:rsidRPr="006A7366">
        <w:rPr>
          <w:rFonts w:ascii="Times New Roman" w:hAnsi="Times New Roman" w:cs="Times New Roman"/>
          <w:color w:val="010101"/>
        </w:rPr>
        <w:t xml:space="preserve"> </w:t>
      </w:r>
      <w:r w:rsidRPr="006A7366" w:rsidR="000D790A">
        <w:rPr>
          <w:rFonts w:ascii="Times New Roman" w:hAnsi="Times New Roman" w:cs="Times New Roman"/>
          <w:color w:val="010101"/>
        </w:rPr>
        <w:t>did</w:t>
      </w:r>
      <w:r w:rsidRPr="006A7366">
        <w:rPr>
          <w:rFonts w:ascii="Times New Roman" w:hAnsi="Times New Roman" w:cs="Times New Roman"/>
          <w:color w:val="010101"/>
        </w:rPr>
        <w:t xml:space="preserve"> not create any new recordkeeping </w:t>
      </w:r>
      <w:r w:rsidRPr="006A7366" w:rsidR="00013982">
        <w:rPr>
          <w:rFonts w:ascii="Times New Roman" w:hAnsi="Times New Roman" w:cs="Times New Roman"/>
          <w:color w:val="010101"/>
        </w:rPr>
        <w:t xml:space="preserve">or reporting </w:t>
      </w:r>
      <w:r w:rsidRPr="006A7366">
        <w:rPr>
          <w:rFonts w:ascii="Times New Roman" w:hAnsi="Times New Roman" w:cs="Times New Roman"/>
          <w:color w:val="010101"/>
        </w:rPr>
        <w:t>requirements.</w:t>
      </w:r>
    </w:p>
    <w:p w:rsidR="001C691D" w:rsidRPr="006A7366" w:rsidP="00511023" w14:paraId="4B70669A" w14:textId="77777777">
      <w:pPr>
        <w:spacing w:after="0"/>
        <w:rPr>
          <w:rFonts w:ascii="Times New Roman" w:hAnsi="Times New Roman" w:cs="Times New Roman"/>
          <w:color w:val="010101"/>
        </w:rPr>
      </w:pPr>
    </w:p>
    <w:p w:rsidR="00066CB4" w:rsidRPr="006A7366" w:rsidP="00286EA8" w14:paraId="2F69183C" w14:textId="699E9750">
      <w:pPr>
        <w:tabs>
          <w:tab w:val="left" w:pos="720"/>
        </w:tabs>
        <w:spacing w:after="0"/>
        <w:rPr>
          <w:rFonts w:ascii="Times New Roman" w:hAnsi="Times New Roman" w:cs="Times New Roman"/>
          <w:b/>
        </w:rPr>
      </w:pPr>
      <w:r w:rsidRPr="006A7366">
        <w:rPr>
          <w:rFonts w:ascii="Times New Roman" w:hAnsi="Times New Roman" w:cs="Times New Roman"/>
          <w:b/>
        </w:rPr>
        <w:t>I</w:t>
      </w:r>
      <w:r w:rsidRPr="006A7366">
        <w:rPr>
          <w:rFonts w:ascii="Times New Roman" w:hAnsi="Times New Roman" w:cs="Times New Roman"/>
          <w:b/>
        </w:rPr>
        <w:t>V.</w:t>
      </w:r>
      <w:r w:rsidRPr="006A7366" w:rsidR="00286EA8">
        <w:rPr>
          <w:rFonts w:ascii="Times New Roman" w:hAnsi="Times New Roman" w:cs="Times New Roman"/>
          <w:b/>
        </w:rPr>
        <w:tab/>
      </w:r>
      <w:r w:rsidRPr="006A7366">
        <w:rPr>
          <w:rFonts w:ascii="Times New Roman" w:hAnsi="Times New Roman" w:cs="Times New Roman"/>
          <w:b/>
        </w:rPr>
        <w:t>IMPLEMENTATION</w:t>
      </w:r>
      <w:r w:rsidRPr="006A7366" w:rsidR="00716724">
        <w:rPr>
          <w:rFonts w:ascii="Times New Roman" w:hAnsi="Times New Roman" w:cs="Times New Roman"/>
          <w:b/>
        </w:rPr>
        <w:t xml:space="preserve"> DATE</w:t>
      </w:r>
    </w:p>
    <w:p w:rsidR="00066CB4" w:rsidRPr="006A7366" w:rsidP="007F0A80" w14:paraId="6DD3727C" w14:textId="77777777">
      <w:pPr>
        <w:spacing w:after="0"/>
        <w:rPr>
          <w:rFonts w:ascii="Times New Roman" w:hAnsi="Times New Roman" w:cs="Times New Roman"/>
          <w:b/>
        </w:rPr>
      </w:pPr>
    </w:p>
    <w:p w:rsidR="00491F77" w:rsidRPr="006A7366" w:rsidP="006A7366" w14:paraId="6F09AE75" w14:textId="286B208B">
      <w:pPr>
        <w:pStyle w:val="ParaNum"/>
        <w:numPr>
          <w:ilvl w:val="0"/>
          <w:numId w:val="0"/>
        </w:numPr>
        <w:spacing w:after="0"/>
      </w:pPr>
      <w:r w:rsidRPr="006A7366">
        <w:t>T</w:t>
      </w:r>
      <w:r w:rsidRPr="006A7366">
        <w:t xml:space="preserve">he rules in the </w:t>
      </w:r>
      <w:r w:rsidRPr="006A7366" w:rsidR="001C691D">
        <w:rPr>
          <w:i/>
          <w:iCs/>
        </w:rPr>
        <w:t xml:space="preserve">Third </w:t>
      </w:r>
      <w:r w:rsidRPr="006A7366">
        <w:rPr>
          <w:i/>
        </w:rPr>
        <w:t>Report and Order</w:t>
      </w:r>
      <w:r w:rsidRPr="006A7366">
        <w:t xml:space="preserve"> shall become effective </w:t>
      </w:r>
      <w:r w:rsidRPr="006A7366" w:rsidR="001C691D">
        <w:t>30</w:t>
      </w:r>
      <w:r w:rsidRPr="006A7366" w:rsidR="001338B0">
        <w:t xml:space="preserve"> </w:t>
      </w:r>
      <w:r w:rsidRPr="006A7366">
        <w:t>days after publication of the text or summary t</w:t>
      </w:r>
      <w:r w:rsidRPr="006A7366" w:rsidR="001338B0">
        <w:t>hereof in the Federal Register.</w:t>
      </w:r>
      <w:r w:rsidRPr="006A7366" w:rsidR="00874BE9">
        <w:t xml:space="preserve">  The summary was published in the Federal Register on September 14, 2020</w:t>
      </w:r>
      <w:r w:rsidRPr="006A7366" w:rsidR="00EB378B">
        <w:t>,</w:t>
      </w:r>
      <w:r w:rsidRPr="006A7366" w:rsidR="00874BE9">
        <w:t xml:space="preserve"> and the rules became effective on October 14, 2020. </w:t>
      </w:r>
    </w:p>
    <w:p w:rsidR="00AB1D1E" w:rsidRPr="006A7366" w:rsidP="00972776" w14:paraId="33EBBABA" w14:textId="77777777">
      <w:pPr>
        <w:spacing w:after="0"/>
        <w:rPr>
          <w:rFonts w:ascii="Times New Roman" w:hAnsi="Times New Roman" w:cs="Times New Roman"/>
          <w:b/>
        </w:rPr>
      </w:pPr>
    </w:p>
    <w:p w:rsidR="00C5062A" w:rsidRPr="006A7366" w:rsidP="006A7366" w14:paraId="79679D59" w14:textId="5FC232EB">
      <w:pPr>
        <w:keepNext/>
        <w:tabs>
          <w:tab w:val="left" w:pos="720"/>
        </w:tabs>
        <w:spacing w:after="0"/>
        <w:rPr>
          <w:rFonts w:ascii="Times New Roman" w:hAnsi="Times New Roman" w:cs="Times New Roman"/>
          <w:b/>
        </w:rPr>
      </w:pPr>
      <w:r w:rsidRPr="006A7366">
        <w:rPr>
          <w:rFonts w:ascii="Times New Roman" w:hAnsi="Times New Roman" w:cs="Times New Roman"/>
          <w:b/>
        </w:rPr>
        <w:t>V.</w:t>
      </w:r>
      <w:r w:rsidRPr="006A7366">
        <w:rPr>
          <w:rFonts w:ascii="Times New Roman" w:hAnsi="Times New Roman" w:cs="Times New Roman"/>
          <w:b/>
        </w:rPr>
        <w:tab/>
      </w:r>
      <w:r w:rsidRPr="006A7366">
        <w:rPr>
          <w:rFonts w:ascii="Times New Roman" w:hAnsi="Times New Roman" w:cs="Times New Roman"/>
          <w:b/>
        </w:rPr>
        <w:t>INTERNET LINKS</w:t>
      </w:r>
    </w:p>
    <w:p w:rsidR="00233B90" w:rsidRPr="006A7366" w:rsidP="006A7366" w14:paraId="170C5BF1" w14:textId="77777777">
      <w:pPr>
        <w:keepNext/>
        <w:spacing w:after="0"/>
        <w:rPr>
          <w:rFonts w:ascii="Times New Roman" w:hAnsi="Times New Roman" w:cs="Times New Roman"/>
          <w:bCs/>
        </w:rPr>
      </w:pPr>
    </w:p>
    <w:p w:rsidR="002973BD" w:rsidRPr="006A7366" w:rsidP="00C5062A" w14:paraId="5819B98F" w14:textId="538E8061">
      <w:pPr>
        <w:spacing w:after="0"/>
        <w:rPr>
          <w:rFonts w:ascii="Times New Roman" w:hAnsi="Times New Roman" w:cs="Times New Roman"/>
        </w:rPr>
      </w:pPr>
      <w:r w:rsidRPr="006A7366">
        <w:rPr>
          <w:rFonts w:ascii="Times New Roman" w:hAnsi="Times New Roman" w:cs="Times New Roman"/>
          <w:bCs/>
        </w:rPr>
        <w:t xml:space="preserve">A copy of the </w:t>
      </w:r>
      <w:r w:rsidRPr="006A7366" w:rsidR="001C691D">
        <w:rPr>
          <w:rFonts w:ascii="Times New Roman" w:hAnsi="Times New Roman" w:cs="Times New Roman"/>
          <w:bCs/>
          <w:i/>
          <w:iCs/>
        </w:rPr>
        <w:t xml:space="preserve">Third </w:t>
      </w:r>
      <w:r w:rsidRPr="006A7366" w:rsidR="001C691D">
        <w:rPr>
          <w:rFonts w:ascii="Times New Roman" w:hAnsi="Times New Roman" w:cs="Times New Roman"/>
          <w:bCs/>
          <w:i/>
        </w:rPr>
        <w:t>Report and Order</w:t>
      </w:r>
      <w:r w:rsidRPr="006A7366">
        <w:rPr>
          <w:rFonts w:ascii="Times New Roman" w:hAnsi="Times New Roman" w:cs="Times New Roman"/>
          <w:bCs/>
        </w:rPr>
        <w:t xml:space="preserve"> is available at:</w:t>
      </w:r>
      <w:r w:rsidRPr="006A7366">
        <w:rPr>
          <w:rFonts w:ascii="Times New Roman" w:hAnsi="Times New Roman" w:cs="Times New Roman"/>
          <w:b/>
        </w:rPr>
        <w:t xml:space="preserve"> </w:t>
      </w:r>
      <w:hyperlink r:id="rId7" w:history="1">
        <w:r w:rsidRPr="006A7366" w:rsidR="007603C3">
          <w:rPr>
            <w:rStyle w:val="Hyperlink"/>
            <w:rFonts w:ascii="Times New Roman" w:hAnsi="Times New Roman" w:cs="Times New Roman"/>
          </w:rPr>
          <w:t>https://docs.fcc.gov/public/attachments/FCC-20-96A1_Rcd.pdf</w:t>
        </w:r>
      </w:hyperlink>
      <w:r w:rsidRPr="006A7366" w:rsidR="001C691D">
        <w:rPr>
          <w:rFonts w:ascii="Times New Roman" w:hAnsi="Times New Roman" w:cs="Times New Roman"/>
        </w:rPr>
        <w:t>.</w:t>
      </w:r>
    </w:p>
    <w:p w:rsidR="001C691D" w:rsidRPr="006A7366" w:rsidP="00C5062A" w14:paraId="39804352" w14:textId="77777777">
      <w:pPr>
        <w:spacing w:after="0"/>
        <w:rPr>
          <w:rFonts w:ascii="Times New Roman" w:hAnsi="Times New Roman" w:cs="Times New Roman"/>
          <w:b/>
        </w:rPr>
      </w:pPr>
    </w:p>
    <w:p w:rsidR="00C5062A" w:rsidRPr="006A7366" w:rsidP="00C5062A" w14:paraId="3EA25B09" w14:textId="525C9392">
      <w:pPr>
        <w:spacing w:after="0"/>
        <w:rPr>
          <w:rFonts w:ascii="Times New Roman" w:hAnsi="Times New Roman" w:cs="Times New Roman"/>
          <w:bCs/>
        </w:rPr>
      </w:pPr>
      <w:r w:rsidRPr="006A7366">
        <w:rPr>
          <w:rFonts w:ascii="Times New Roman" w:hAnsi="Times New Roman" w:cs="Times New Roman"/>
          <w:bCs/>
        </w:rPr>
        <w:t xml:space="preserve">A copy of the Federal Register Summary of the </w:t>
      </w:r>
      <w:r w:rsidRPr="006A7366" w:rsidR="001C691D">
        <w:rPr>
          <w:rFonts w:ascii="Times New Roman" w:hAnsi="Times New Roman" w:cs="Times New Roman"/>
          <w:bCs/>
          <w:i/>
          <w:iCs/>
        </w:rPr>
        <w:t xml:space="preserve">Third </w:t>
      </w:r>
      <w:r w:rsidRPr="006A7366" w:rsidR="001C691D">
        <w:rPr>
          <w:rFonts w:ascii="Times New Roman" w:hAnsi="Times New Roman" w:cs="Times New Roman"/>
          <w:bCs/>
          <w:i/>
        </w:rPr>
        <w:t>Report and Order</w:t>
      </w:r>
      <w:r w:rsidRPr="006A7366">
        <w:rPr>
          <w:rFonts w:ascii="Times New Roman" w:hAnsi="Times New Roman" w:cs="Times New Roman"/>
          <w:bCs/>
        </w:rPr>
        <w:t xml:space="preserve"> is available at: </w:t>
      </w:r>
    </w:p>
    <w:p w:rsidR="004008B8" w:rsidRPr="001D42BC" w:rsidP="00972776" w14:paraId="76D7AB80" w14:textId="61FB4DB5">
      <w:pPr>
        <w:spacing w:after="0"/>
        <w:rPr>
          <w:rFonts w:cstheme="minorHAnsi"/>
          <w:b/>
        </w:rPr>
      </w:pPr>
      <w:hyperlink r:id="rId8" w:history="1">
        <w:r w:rsidRPr="006A7366" w:rsidR="001C691D">
          <w:rPr>
            <w:rStyle w:val="Hyperlink"/>
            <w:rFonts w:ascii="Times New Roman" w:hAnsi="Times New Roman" w:cs="Times New Roman"/>
          </w:rPr>
          <w:t>https://www.govinfo.gov/content/pkg/FR-2020-09-14/pdf/2020-17268.pdf</w:t>
        </w:r>
      </w:hyperlink>
      <w:r w:rsidR="001C691D">
        <w:rPr>
          <w:rFonts w:cstheme="minorHAnsi"/>
          <w:b/>
        </w:rPr>
        <w:t>.</w:t>
      </w:r>
    </w:p>
    <w:sectPr w:rsidSect="006A7366">
      <w:headerReference w:type="default" r:id="rId9"/>
      <w:pgSz w:w="12240" w:h="15840" w:code="1"/>
      <w:pgMar w:top="1440" w:right="1440" w:bottom="72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7366" w14:paraId="42940BC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P="00121A4A" w14:paraId="0B5C5E41" w14:textId="77777777">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84056377" r:id="rId2"/>
      </w:pict>
    </w:r>
    <w:r>
      <w:rPr>
        <w:rFonts w:ascii="CG Times (W1)" w:hAnsi="CG Times (W1)"/>
        <w:sz w:val="28"/>
      </w:rPr>
      <w:t>Federal Communications Commission</w:t>
    </w:r>
  </w:p>
  <w:p w:rsidR="00121A4A" w:rsidP="00121A4A" w14:paraId="71989AC2" w14:textId="77777777">
    <w:pPr>
      <w:jc w:val="center"/>
      <w:rPr>
        <w:rFonts w:ascii="CG Times (W1)" w:hAnsi="CG Times (W1)"/>
        <w:sz w:val="28"/>
      </w:rPr>
    </w:pPr>
    <w:r>
      <w:rPr>
        <w:rFonts w:ascii="CG Times (W1)" w:hAnsi="CG Times (W1)"/>
        <w:sz w:val="28"/>
      </w:rPr>
      <w:t>Washington, D.C. 20554</w:t>
    </w:r>
  </w:p>
  <w:p w:rsidR="00121A4A" w:rsidRPr="003172B5" w:rsidP="00511023" w14:paraId="0675F8B2" w14:textId="0B7D8E5D">
    <w:pPr>
      <w:jc w:val="center"/>
      <w:rPr>
        <w:sz w:val="24"/>
        <w:szCs w:val="24"/>
      </w:rPr>
    </w:pPr>
    <w:r>
      <w:rPr>
        <w:rFonts w:ascii="CG Times (W1)" w:hAnsi="CG Times (W1)"/>
        <w:sz w:val="24"/>
        <w:szCs w:val="24"/>
      </w:rPr>
      <w:t>June 1, 2021</w:t>
    </w:r>
    <w:r w:rsidRPr="003172B5">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24DE9298">
    <w:pPr>
      <w:pStyle w:val="Header"/>
      <w:spacing w:before="360" w:line="228"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D6C1B77"/>
    <w:multiLevelType w:val="hybridMultilevel"/>
    <w:tmpl w:val="A87892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950427F"/>
    <w:multiLevelType w:val="hybridMultilevel"/>
    <w:tmpl w:val="6D3291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3"/>
  </w:num>
  <w:num w:numId="3">
    <w:abstractNumId w:val="7"/>
  </w:num>
  <w:num w:numId="4">
    <w:abstractNumId w:val="2"/>
  </w:num>
  <w:num w:numId="5">
    <w:abstractNumId w:val="11"/>
  </w:num>
  <w:num w:numId="6">
    <w:abstractNumId w:val="4"/>
  </w:num>
  <w:num w:numId="7">
    <w:abstractNumId w:val="0"/>
  </w:num>
  <w:num w:numId="8">
    <w:abstractNumId w:val="9"/>
  </w:num>
  <w:num w:numId="9">
    <w:abstractNumId w:val="6"/>
  </w:num>
  <w:num w:numId="10">
    <w:abstractNumId w:val="1"/>
  </w:num>
  <w:num w:numId="11">
    <w:abstractNumId w:val="5"/>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3"/>
    </w:lvlOverride>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formatting="0" w:inkAnnotations="1" w:insDel="0"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3E"/>
    <w:rsid w:val="0000705E"/>
    <w:rsid w:val="00013982"/>
    <w:rsid w:val="0001453A"/>
    <w:rsid w:val="00025AB0"/>
    <w:rsid w:val="000320CC"/>
    <w:rsid w:val="00034878"/>
    <w:rsid w:val="000601FD"/>
    <w:rsid w:val="00066CB4"/>
    <w:rsid w:val="00074CA4"/>
    <w:rsid w:val="00087BBD"/>
    <w:rsid w:val="0009430B"/>
    <w:rsid w:val="000946E9"/>
    <w:rsid w:val="000B7E9D"/>
    <w:rsid w:val="000C1FA6"/>
    <w:rsid w:val="000D2F0F"/>
    <w:rsid w:val="000D666A"/>
    <w:rsid w:val="000D790A"/>
    <w:rsid w:val="000E4E16"/>
    <w:rsid w:val="000F616D"/>
    <w:rsid w:val="000F7BE7"/>
    <w:rsid w:val="00115515"/>
    <w:rsid w:val="00121A4A"/>
    <w:rsid w:val="00131CCC"/>
    <w:rsid w:val="001331E7"/>
    <w:rsid w:val="001338B0"/>
    <w:rsid w:val="00133CEE"/>
    <w:rsid w:val="00133D08"/>
    <w:rsid w:val="00152909"/>
    <w:rsid w:val="001544BD"/>
    <w:rsid w:val="00173AB8"/>
    <w:rsid w:val="001743EF"/>
    <w:rsid w:val="001961AA"/>
    <w:rsid w:val="001A1EAC"/>
    <w:rsid w:val="001C691D"/>
    <w:rsid w:val="001D42BC"/>
    <w:rsid w:val="001D6690"/>
    <w:rsid w:val="00230205"/>
    <w:rsid w:val="00233B90"/>
    <w:rsid w:val="00243CE9"/>
    <w:rsid w:val="00247E1B"/>
    <w:rsid w:val="00282849"/>
    <w:rsid w:val="00286EA8"/>
    <w:rsid w:val="00292357"/>
    <w:rsid w:val="002973BD"/>
    <w:rsid w:val="002A4D57"/>
    <w:rsid w:val="002A57BD"/>
    <w:rsid w:val="002A73FE"/>
    <w:rsid w:val="002B11B3"/>
    <w:rsid w:val="002B6FD0"/>
    <w:rsid w:val="002C1EA9"/>
    <w:rsid w:val="002D0DED"/>
    <w:rsid w:val="002D7698"/>
    <w:rsid w:val="002F683E"/>
    <w:rsid w:val="002F7376"/>
    <w:rsid w:val="003017A1"/>
    <w:rsid w:val="00306103"/>
    <w:rsid w:val="003149AB"/>
    <w:rsid w:val="003172B5"/>
    <w:rsid w:val="00320D58"/>
    <w:rsid w:val="00330480"/>
    <w:rsid w:val="003322AF"/>
    <w:rsid w:val="00334EB4"/>
    <w:rsid w:val="003423E5"/>
    <w:rsid w:val="0034659A"/>
    <w:rsid w:val="00364D35"/>
    <w:rsid w:val="00367858"/>
    <w:rsid w:val="003733F4"/>
    <w:rsid w:val="003837F4"/>
    <w:rsid w:val="003D1B5B"/>
    <w:rsid w:val="003D226E"/>
    <w:rsid w:val="003E344A"/>
    <w:rsid w:val="003E562A"/>
    <w:rsid w:val="003F1DFC"/>
    <w:rsid w:val="003F5CB7"/>
    <w:rsid w:val="004008B8"/>
    <w:rsid w:val="0040311E"/>
    <w:rsid w:val="0041118F"/>
    <w:rsid w:val="004126D5"/>
    <w:rsid w:val="0041380C"/>
    <w:rsid w:val="00463A2A"/>
    <w:rsid w:val="004740BF"/>
    <w:rsid w:val="004749A4"/>
    <w:rsid w:val="00483932"/>
    <w:rsid w:val="00485B77"/>
    <w:rsid w:val="00491D54"/>
    <w:rsid w:val="00491F77"/>
    <w:rsid w:val="004B6491"/>
    <w:rsid w:val="004B7242"/>
    <w:rsid w:val="004D4E3C"/>
    <w:rsid w:val="004F3108"/>
    <w:rsid w:val="004F68F6"/>
    <w:rsid w:val="005008FB"/>
    <w:rsid w:val="0050544C"/>
    <w:rsid w:val="00511023"/>
    <w:rsid w:val="00514667"/>
    <w:rsid w:val="005275C1"/>
    <w:rsid w:val="00527F85"/>
    <w:rsid w:val="005449FD"/>
    <w:rsid w:val="005717FB"/>
    <w:rsid w:val="005869BB"/>
    <w:rsid w:val="00592319"/>
    <w:rsid w:val="005B3852"/>
    <w:rsid w:val="005C1817"/>
    <w:rsid w:val="005E70B7"/>
    <w:rsid w:val="00610B56"/>
    <w:rsid w:val="006175DB"/>
    <w:rsid w:val="00637613"/>
    <w:rsid w:val="00657EA8"/>
    <w:rsid w:val="00677244"/>
    <w:rsid w:val="00683C2E"/>
    <w:rsid w:val="006A0193"/>
    <w:rsid w:val="006A7366"/>
    <w:rsid w:val="006B1E03"/>
    <w:rsid w:val="006B4F31"/>
    <w:rsid w:val="006E50A3"/>
    <w:rsid w:val="006E542F"/>
    <w:rsid w:val="006F117F"/>
    <w:rsid w:val="006F2901"/>
    <w:rsid w:val="006F411B"/>
    <w:rsid w:val="00701319"/>
    <w:rsid w:val="00716724"/>
    <w:rsid w:val="00734B5A"/>
    <w:rsid w:val="00735330"/>
    <w:rsid w:val="00740ED6"/>
    <w:rsid w:val="007603C3"/>
    <w:rsid w:val="00765ABD"/>
    <w:rsid w:val="00791348"/>
    <w:rsid w:val="007E64DB"/>
    <w:rsid w:val="007F0A80"/>
    <w:rsid w:val="008104E2"/>
    <w:rsid w:val="008178D8"/>
    <w:rsid w:val="00821520"/>
    <w:rsid w:val="00831688"/>
    <w:rsid w:val="008509A1"/>
    <w:rsid w:val="00864203"/>
    <w:rsid w:val="00874BE9"/>
    <w:rsid w:val="008C3B06"/>
    <w:rsid w:val="008D4AA5"/>
    <w:rsid w:val="008E2841"/>
    <w:rsid w:val="008F02BA"/>
    <w:rsid w:val="009464B8"/>
    <w:rsid w:val="0095028B"/>
    <w:rsid w:val="0095132F"/>
    <w:rsid w:val="00951C24"/>
    <w:rsid w:val="00972776"/>
    <w:rsid w:val="00972B46"/>
    <w:rsid w:val="009827ED"/>
    <w:rsid w:val="00996590"/>
    <w:rsid w:val="009A61EC"/>
    <w:rsid w:val="009B3815"/>
    <w:rsid w:val="009B41FC"/>
    <w:rsid w:val="009C5AF7"/>
    <w:rsid w:val="009C7F6E"/>
    <w:rsid w:val="009E23BB"/>
    <w:rsid w:val="00A422B6"/>
    <w:rsid w:val="00A73878"/>
    <w:rsid w:val="00AA34B7"/>
    <w:rsid w:val="00AA7D23"/>
    <w:rsid w:val="00AB1D1E"/>
    <w:rsid w:val="00AB1E95"/>
    <w:rsid w:val="00AB74DD"/>
    <w:rsid w:val="00AC1A95"/>
    <w:rsid w:val="00AC5039"/>
    <w:rsid w:val="00AC58F0"/>
    <w:rsid w:val="00AC6478"/>
    <w:rsid w:val="00AD0BD0"/>
    <w:rsid w:val="00AD7A25"/>
    <w:rsid w:val="00B01D98"/>
    <w:rsid w:val="00B030F5"/>
    <w:rsid w:val="00B0585E"/>
    <w:rsid w:val="00B06D94"/>
    <w:rsid w:val="00B12C82"/>
    <w:rsid w:val="00B15ED8"/>
    <w:rsid w:val="00B41399"/>
    <w:rsid w:val="00B47D0B"/>
    <w:rsid w:val="00B6256A"/>
    <w:rsid w:val="00B629FE"/>
    <w:rsid w:val="00B6527B"/>
    <w:rsid w:val="00B7401E"/>
    <w:rsid w:val="00B8024D"/>
    <w:rsid w:val="00B81F96"/>
    <w:rsid w:val="00B849ED"/>
    <w:rsid w:val="00BA1697"/>
    <w:rsid w:val="00BB1633"/>
    <w:rsid w:val="00BE2B3B"/>
    <w:rsid w:val="00BE452C"/>
    <w:rsid w:val="00BF51F0"/>
    <w:rsid w:val="00C235FA"/>
    <w:rsid w:val="00C37AC8"/>
    <w:rsid w:val="00C47CEF"/>
    <w:rsid w:val="00C5062A"/>
    <w:rsid w:val="00C67CA7"/>
    <w:rsid w:val="00CC1EC9"/>
    <w:rsid w:val="00CC7874"/>
    <w:rsid w:val="00CD02BB"/>
    <w:rsid w:val="00CD59E5"/>
    <w:rsid w:val="00CD624E"/>
    <w:rsid w:val="00D00DC7"/>
    <w:rsid w:val="00D3573A"/>
    <w:rsid w:val="00D4618C"/>
    <w:rsid w:val="00D47DB5"/>
    <w:rsid w:val="00D95AB5"/>
    <w:rsid w:val="00DA51FF"/>
    <w:rsid w:val="00DA673B"/>
    <w:rsid w:val="00DA6B99"/>
    <w:rsid w:val="00DB4D1A"/>
    <w:rsid w:val="00DB60DB"/>
    <w:rsid w:val="00DB784D"/>
    <w:rsid w:val="00DC5B9C"/>
    <w:rsid w:val="00DD2774"/>
    <w:rsid w:val="00DE567B"/>
    <w:rsid w:val="00DE653F"/>
    <w:rsid w:val="00E154FC"/>
    <w:rsid w:val="00E174AE"/>
    <w:rsid w:val="00E2092F"/>
    <w:rsid w:val="00E446F0"/>
    <w:rsid w:val="00E47D90"/>
    <w:rsid w:val="00E56A46"/>
    <w:rsid w:val="00E97A21"/>
    <w:rsid w:val="00EA4DD4"/>
    <w:rsid w:val="00EB378B"/>
    <w:rsid w:val="00EB64E6"/>
    <w:rsid w:val="00EC30F1"/>
    <w:rsid w:val="00EC723E"/>
    <w:rsid w:val="00EC7E3C"/>
    <w:rsid w:val="00ED5EC2"/>
    <w:rsid w:val="00ED7745"/>
    <w:rsid w:val="00EF4B82"/>
    <w:rsid w:val="00F0469C"/>
    <w:rsid w:val="00F1379B"/>
    <w:rsid w:val="00F25963"/>
    <w:rsid w:val="00F41273"/>
    <w:rsid w:val="00F426F6"/>
    <w:rsid w:val="00F4281B"/>
    <w:rsid w:val="00F445A1"/>
    <w:rsid w:val="00F4551F"/>
    <w:rsid w:val="00F75BD2"/>
    <w:rsid w:val="00F842C8"/>
    <w:rsid w:val="00FE04A2"/>
    <w:rsid w:val="00FE30EB"/>
    <w:rsid w:val="00FE346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09072FB9"/>
  <w15:docId w15:val="{DF8E485E-F7F6-4025-9734-017F39A4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rsid w:val="00034878"/>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customStyle="1" w:styleId="UnresolvedMention1">
    <w:name w:val="Unresolved Mention1"/>
    <w:basedOn w:val="DefaultParagraphFont"/>
    <w:uiPriority w:val="99"/>
    <w:semiHidden/>
    <w:unhideWhenUsed/>
    <w:rsid w:val="001C691D"/>
    <w:rPr>
      <w:color w:val="605E5C"/>
      <w:shd w:val="clear" w:color="auto" w:fill="E1DFDD"/>
    </w:rPr>
  </w:style>
  <w:style w:type="character" w:styleId="FollowedHyperlink">
    <w:name w:val="FollowedHyperlink"/>
    <w:basedOn w:val="DefaultParagraphFont"/>
    <w:uiPriority w:val="99"/>
    <w:semiHidden/>
    <w:unhideWhenUsed/>
    <w:rsid w:val="007603C3"/>
    <w:rPr>
      <w:color w:val="954F72" w:themeColor="followedHyperlink"/>
      <w:u w:val="single"/>
    </w:rPr>
  </w:style>
  <w:style w:type="character" w:customStyle="1" w:styleId="UnresolvedMention">
    <w:name w:val="Unresolved Mention"/>
    <w:basedOn w:val="DefaultParagraphFont"/>
    <w:uiPriority w:val="99"/>
    <w:semiHidden/>
    <w:unhideWhenUsed/>
    <w:rsid w:val="00760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hyperlink" Target="https://docs.fcc.gov/public/attachments/FCC-20-96A1_Rcd.pdf" TargetMode="External" /><Relationship Id="rId8" Type="http://schemas.openxmlformats.org/officeDocument/2006/relationships/hyperlink" Target="https://www.govinfo.gov/content/pkg/FR-2020-09-14/pdf/2020-17268.pdf" TargetMode="External" /><Relationship Id="rId9" Type="http://schemas.openxmlformats.org/officeDocument/2006/relationships/header" Target="head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