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66BA3" w:rsidRPr="00225B62" w:rsidP="00705DD6" w14:paraId="6D3F6A2B" w14:textId="77777777">
      <w:pPr>
        <w:rPr>
          <w:b/>
          <w:szCs w:val="22"/>
        </w:rPr>
      </w:pPr>
      <w:r>
        <w:rPr>
          <w:b/>
          <w:color w:val="000000" w:themeColor="text1"/>
          <w:szCs w:val="22"/>
        </w:rPr>
        <w:t xml:space="preserve"> </w:t>
      </w:r>
    </w:p>
    <w:p w:rsidR="00466BA3" w:rsidRPr="00D16D9F" w:rsidP="00F07853" w14:paraId="34D8E969" w14:textId="6D792453">
      <w:pPr>
        <w:ind w:left="5040"/>
        <w:jc w:val="center"/>
        <w:rPr>
          <w:b/>
          <w:szCs w:val="22"/>
        </w:rPr>
      </w:pPr>
      <w:r>
        <w:rPr>
          <w:b/>
          <w:szCs w:val="22"/>
        </w:rPr>
        <w:t xml:space="preserve">          </w:t>
      </w:r>
      <w:r w:rsidRPr="00D16D9F">
        <w:rPr>
          <w:b/>
          <w:szCs w:val="22"/>
        </w:rPr>
        <w:t>DA 2</w:t>
      </w:r>
      <w:r w:rsidRPr="00D16D9F" w:rsidR="004A20FD">
        <w:rPr>
          <w:b/>
          <w:szCs w:val="22"/>
        </w:rPr>
        <w:t>1</w:t>
      </w:r>
      <w:r w:rsidRPr="00D16D9F">
        <w:rPr>
          <w:b/>
          <w:szCs w:val="22"/>
        </w:rPr>
        <w:t>-</w:t>
      </w:r>
      <w:r>
        <w:rPr>
          <w:b/>
          <w:szCs w:val="22"/>
        </w:rPr>
        <w:t>683</w:t>
      </w:r>
    </w:p>
    <w:p w:rsidR="00FC5C42" w:rsidP="00FC5C42" w14:paraId="7CC64311" w14:textId="56D32DF2">
      <w:pPr>
        <w:ind w:left="6480"/>
        <w:rPr>
          <w:b/>
          <w:szCs w:val="22"/>
        </w:rPr>
      </w:pPr>
      <w:r w:rsidRPr="00D16D9F">
        <w:rPr>
          <w:b/>
          <w:szCs w:val="22"/>
        </w:rPr>
        <w:t xml:space="preserve">         Released:</w:t>
      </w:r>
      <w:r w:rsidRPr="00D16D9F" w:rsidR="00115F37">
        <w:rPr>
          <w:b/>
          <w:szCs w:val="22"/>
        </w:rPr>
        <w:t xml:space="preserve"> </w:t>
      </w:r>
      <w:r w:rsidR="00C430C0">
        <w:rPr>
          <w:b/>
          <w:szCs w:val="22"/>
        </w:rPr>
        <w:t>June</w:t>
      </w:r>
      <w:r w:rsidRPr="00D16D9F" w:rsidR="00115F37">
        <w:rPr>
          <w:b/>
          <w:szCs w:val="22"/>
        </w:rPr>
        <w:t xml:space="preserve"> </w:t>
      </w:r>
      <w:r w:rsidR="00F07853">
        <w:rPr>
          <w:b/>
          <w:szCs w:val="22"/>
        </w:rPr>
        <w:t>11</w:t>
      </w:r>
      <w:r w:rsidRPr="00D16D9F">
        <w:rPr>
          <w:b/>
          <w:szCs w:val="22"/>
        </w:rPr>
        <w:t>, 202</w:t>
      </w:r>
      <w:r w:rsidRPr="00D16D9F" w:rsidR="00115F37">
        <w:rPr>
          <w:b/>
          <w:szCs w:val="22"/>
        </w:rPr>
        <w:t>1</w:t>
      </w:r>
    </w:p>
    <w:p w:rsidR="00FC5C42" w:rsidRPr="00FC5C42" w:rsidP="00FC5C42" w14:paraId="6B586EAD" w14:textId="77777777">
      <w:pPr>
        <w:ind w:left="6480"/>
        <w:rPr>
          <w:b/>
          <w:szCs w:val="22"/>
        </w:rPr>
      </w:pPr>
    </w:p>
    <w:p w:rsidR="00D00312" w:rsidP="00D00312" w14:paraId="45C2EFB1" w14:textId="3A4747B8">
      <w:pPr>
        <w:jc w:val="center"/>
        <w:rPr>
          <w:b/>
          <w:caps/>
          <w:szCs w:val="22"/>
        </w:rPr>
      </w:pPr>
      <w:r>
        <w:rPr>
          <w:b/>
          <w:caps/>
          <w:szCs w:val="22"/>
        </w:rPr>
        <w:t>MEDIA BUREAU REMINDS</w:t>
      </w:r>
      <w:r w:rsidRPr="00225B62">
        <w:rPr>
          <w:b/>
          <w:caps/>
          <w:szCs w:val="22"/>
        </w:rPr>
        <w:t xml:space="preserve"> </w:t>
      </w:r>
      <w:r>
        <w:rPr>
          <w:b/>
          <w:caps/>
          <w:szCs w:val="22"/>
        </w:rPr>
        <w:t xml:space="preserve">Certain </w:t>
      </w:r>
      <w:r w:rsidR="00F93830">
        <w:rPr>
          <w:b/>
          <w:caps/>
          <w:szCs w:val="22"/>
        </w:rPr>
        <w:t xml:space="preserve">PERMITEES </w:t>
      </w:r>
      <w:r>
        <w:rPr>
          <w:b/>
          <w:caps/>
          <w:szCs w:val="22"/>
        </w:rPr>
        <w:t xml:space="preserve">OF NEW DIGITAL </w:t>
      </w:r>
      <w:r w:rsidRPr="00225B62">
        <w:rPr>
          <w:b/>
          <w:caps/>
          <w:szCs w:val="22"/>
        </w:rPr>
        <w:t>LOW POWER TELEVISION</w:t>
      </w:r>
      <w:r>
        <w:rPr>
          <w:b/>
          <w:caps/>
          <w:szCs w:val="22"/>
        </w:rPr>
        <w:t xml:space="preserve"> AND</w:t>
      </w:r>
      <w:r w:rsidRPr="00225B62">
        <w:rPr>
          <w:b/>
          <w:caps/>
          <w:szCs w:val="22"/>
        </w:rPr>
        <w:t xml:space="preserve"> TELEVISION TRANSLATOR </w:t>
      </w:r>
      <w:r>
        <w:rPr>
          <w:b/>
          <w:caps/>
          <w:szCs w:val="22"/>
        </w:rPr>
        <w:t>STATIONS</w:t>
      </w:r>
      <w:r w:rsidR="007B58F7">
        <w:rPr>
          <w:b/>
          <w:caps/>
          <w:szCs w:val="22"/>
        </w:rPr>
        <w:t xml:space="preserve"> </w:t>
      </w:r>
      <w:r>
        <w:rPr>
          <w:b/>
          <w:caps/>
          <w:szCs w:val="22"/>
        </w:rPr>
        <w:t xml:space="preserve">OF UPCOMING  </w:t>
      </w:r>
    </w:p>
    <w:p w:rsidR="00466BA3" w:rsidP="00D00312" w14:paraId="36B2E089" w14:textId="7B79F580">
      <w:pPr>
        <w:jc w:val="center"/>
        <w:rPr>
          <w:b/>
          <w:caps/>
          <w:szCs w:val="22"/>
        </w:rPr>
      </w:pPr>
      <w:r>
        <w:rPr>
          <w:b/>
          <w:caps/>
          <w:szCs w:val="22"/>
        </w:rPr>
        <w:t>JULY 13, 2021 CONSTRUCT</w:t>
      </w:r>
      <w:r w:rsidR="000D4FD7">
        <w:rPr>
          <w:b/>
          <w:caps/>
          <w:szCs w:val="22"/>
        </w:rPr>
        <w:t>I</w:t>
      </w:r>
      <w:r>
        <w:rPr>
          <w:b/>
          <w:caps/>
          <w:szCs w:val="22"/>
        </w:rPr>
        <w:t xml:space="preserve">ON </w:t>
      </w:r>
      <w:r w:rsidR="00B936E8">
        <w:rPr>
          <w:b/>
          <w:caps/>
          <w:szCs w:val="22"/>
        </w:rPr>
        <w:t xml:space="preserve">Permit Expiration </w:t>
      </w:r>
      <w:r>
        <w:rPr>
          <w:b/>
          <w:caps/>
          <w:szCs w:val="22"/>
        </w:rPr>
        <w:t>DEADLINE</w:t>
      </w:r>
    </w:p>
    <w:p w:rsidR="007E24CA" w:rsidRPr="007E24CA" w:rsidP="007E24CA" w14:paraId="42A9B156" w14:textId="77777777">
      <w:pPr>
        <w:jc w:val="center"/>
        <w:rPr>
          <w:b/>
          <w:caps/>
          <w:szCs w:val="22"/>
        </w:rPr>
      </w:pPr>
    </w:p>
    <w:p w:rsidR="007B58F7" w:rsidP="00C430C0" w14:paraId="6EB1D2FA" w14:textId="24059F76">
      <w:pPr>
        <w:pStyle w:val="ParaNum0"/>
        <w:numPr>
          <w:ilvl w:val="0"/>
          <w:numId w:val="0"/>
        </w:numPr>
        <w:ind w:firstLine="720"/>
        <w:rPr>
          <w:szCs w:val="22"/>
        </w:rPr>
      </w:pPr>
      <w:r>
        <w:rPr>
          <w:szCs w:val="22"/>
        </w:rPr>
        <w:t xml:space="preserve">The Media Bureau (Bureau), by this Public Notice, reminds </w:t>
      </w:r>
      <w:r w:rsidR="00D00312">
        <w:rPr>
          <w:szCs w:val="22"/>
        </w:rPr>
        <w:t>certain permittees of new digital low power television and television translator (</w:t>
      </w:r>
      <w:r w:rsidR="00C430C0">
        <w:rPr>
          <w:szCs w:val="22"/>
        </w:rPr>
        <w:t>LPTV/translator</w:t>
      </w:r>
      <w:r w:rsidR="00D00312">
        <w:rPr>
          <w:szCs w:val="22"/>
        </w:rPr>
        <w:t xml:space="preserve">) stations </w:t>
      </w:r>
      <w:r w:rsidR="00C430C0">
        <w:rPr>
          <w:szCs w:val="22"/>
        </w:rPr>
        <w:t>that</w:t>
      </w:r>
      <w:r w:rsidR="00D00312">
        <w:rPr>
          <w:szCs w:val="22"/>
        </w:rPr>
        <w:t xml:space="preserve"> their construction deadline – </w:t>
      </w:r>
      <w:r w:rsidRPr="00CB0D40" w:rsidR="00D00312">
        <w:rPr>
          <w:b/>
          <w:bCs/>
          <w:szCs w:val="22"/>
        </w:rPr>
        <w:t>July 13, 2021</w:t>
      </w:r>
      <w:r w:rsidR="00D00312">
        <w:rPr>
          <w:szCs w:val="22"/>
        </w:rPr>
        <w:t xml:space="preserve"> – is fast approaching</w:t>
      </w:r>
      <w:r w:rsidR="00B6252C">
        <w:rPr>
          <w:szCs w:val="22"/>
        </w:rPr>
        <w:t xml:space="preserve">.  </w:t>
      </w:r>
      <w:r w:rsidR="0039168B">
        <w:rPr>
          <w:szCs w:val="22"/>
        </w:rPr>
        <w:t>This</w:t>
      </w:r>
      <w:r w:rsidR="00CB0D40">
        <w:rPr>
          <w:szCs w:val="22"/>
        </w:rPr>
        <w:t xml:space="preserve"> Public Notice </w:t>
      </w:r>
      <w:r w:rsidR="0039168B">
        <w:rPr>
          <w:szCs w:val="22"/>
        </w:rPr>
        <w:t>contains</w:t>
      </w:r>
      <w:r w:rsidR="00CB0D40">
        <w:rPr>
          <w:szCs w:val="22"/>
        </w:rPr>
        <w:t xml:space="preserve"> </w:t>
      </w:r>
      <w:r>
        <w:rPr>
          <w:szCs w:val="22"/>
        </w:rPr>
        <w:t>information concerning the procedures th</w:t>
      </w:r>
      <w:r w:rsidR="00F54572">
        <w:rPr>
          <w:szCs w:val="22"/>
        </w:rPr>
        <w:t>ese</w:t>
      </w:r>
      <w:r>
        <w:rPr>
          <w:szCs w:val="22"/>
        </w:rPr>
        <w:t xml:space="preserve"> </w:t>
      </w:r>
      <w:r w:rsidR="00C61207">
        <w:rPr>
          <w:szCs w:val="22"/>
        </w:rPr>
        <w:t>permittees</w:t>
      </w:r>
      <w:r>
        <w:rPr>
          <w:szCs w:val="22"/>
        </w:rPr>
        <w:t xml:space="preserve"> must follow to </w:t>
      </w:r>
      <w:r w:rsidR="00F54572">
        <w:rPr>
          <w:szCs w:val="22"/>
        </w:rPr>
        <w:t>ensure success</w:t>
      </w:r>
      <w:r w:rsidR="00D00312">
        <w:rPr>
          <w:szCs w:val="22"/>
        </w:rPr>
        <w:t>ful completion of their construction.</w:t>
      </w:r>
    </w:p>
    <w:p w:rsidR="00F54572" w:rsidRPr="00516323" w:rsidP="00A65464" w14:paraId="5986306E" w14:textId="36A6ADAE">
      <w:pPr>
        <w:pStyle w:val="ParaNum0"/>
        <w:numPr>
          <w:ilvl w:val="0"/>
          <w:numId w:val="0"/>
        </w:numPr>
        <w:rPr>
          <w:b/>
          <w:bCs/>
          <w:szCs w:val="22"/>
          <w:u w:val="single"/>
        </w:rPr>
      </w:pPr>
      <w:r>
        <w:rPr>
          <w:b/>
          <w:bCs/>
          <w:szCs w:val="22"/>
          <w:u w:val="single"/>
        </w:rPr>
        <w:t xml:space="preserve">Construction Permits For New Digital LPTV/Translator Stations </w:t>
      </w:r>
      <w:r w:rsidR="00B163B6">
        <w:rPr>
          <w:b/>
          <w:bCs/>
          <w:szCs w:val="22"/>
          <w:u w:val="single"/>
        </w:rPr>
        <w:t xml:space="preserve">Expiring </w:t>
      </w:r>
      <w:r>
        <w:rPr>
          <w:b/>
          <w:bCs/>
          <w:szCs w:val="22"/>
          <w:u w:val="single"/>
        </w:rPr>
        <w:t>July 13, 2021</w:t>
      </w:r>
    </w:p>
    <w:p w:rsidR="00820EF9" w:rsidP="00DD3404" w14:paraId="59D3F5BF" w14:textId="772E2865">
      <w:pPr>
        <w:pStyle w:val="ParaNum0"/>
        <w:numPr>
          <w:ilvl w:val="0"/>
          <w:numId w:val="0"/>
        </w:numPr>
        <w:ind w:firstLine="720"/>
      </w:pPr>
      <w:r>
        <w:rPr>
          <w:szCs w:val="22"/>
        </w:rPr>
        <w:t>W</w:t>
      </w:r>
      <w:r w:rsidR="00A65464">
        <w:rPr>
          <w:szCs w:val="22"/>
        </w:rPr>
        <w:t xml:space="preserve">e remind </w:t>
      </w:r>
      <w:r w:rsidR="00D00312">
        <w:rPr>
          <w:szCs w:val="22"/>
        </w:rPr>
        <w:t xml:space="preserve">permittees </w:t>
      </w:r>
      <w:r w:rsidR="002E0681">
        <w:rPr>
          <w:szCs w:val="22"/>
        </w:rPr>
        <w:t xml:space="preserve">for new digital LPTV/translator stations with </w:t>
      </w:r>
      <w:r w:rsidRPr="002E0681" w:rsidR="002E0681">
        <w:rPr>
          <w:b/>
          <w:bCs/>
          <w:szCs w:val="22"/>
        </w:rPr>
        <w:t>July 13, 2021</w:t>
      </w:r>
      <w:r w:rsidR="002E0681">
        <w:rPr>
          <w:szCs w:val="22"/>
        </w:rPr>
        <w:t xml:space="preserve"> </w:t>
      </w:r>
      <w:r w:rsidR="00817014">
        <w:rPr>
          <w:szCs w:val="22"/>
        </w:rPr>
        <w:t xml:space="preserve">construction permit </w:t>
      </w:r>
      <w:r w:rsidR="002E0681">
        <w:rPr>
          <w:szCs w:val="22"/>
        </w:rPr>
        <w:t>expiration date</w:t>
      </w:r>
      <w:r>
        <w:rPr>
          <w:szCs w:val="22"/>
        </w:rPr>
        <w:t>s</w:t>
      </w:r>
      <w:r>
        <w:rPr>
          <w:rStyle w:val="FootnoteReference"/>
          <w:szCs w:val="22"/>
        </w:rPr>
        <w:footnoteReference w:id="3"/>
      </w:r>
      <w:r w:rsidR="002E0681">
        <w:rPr>
          <w:szCs w:val="22"/>
        </w:rPr>
        <w:t xml:space="preserve"> </w:t>
      </w:r>
      <w:r w:rsidR="00A65464">
        <w:rPr>
          <w:szCs w:val="22"/>
        </w:rPr>
        <w:t>that</w:t>
      </w:r>
      <w:r w:rsidR="002E0681">
        <w:rPr>
          <w:szCs w:val="22"/>
        </w:rPr>
        <w:t>,</w:t>
      </w:r>
      <w:r w:rsidR="006074DA">
        <w:rPr>
          <w:szCs w:val="22"/>
        </w:rPr>
        <w:t xml:space="preserve"> no later than</w:t>
      </w:r>
      <w:r w:rsidRPr="00A65464" w:rsidR="00A65464">
        <w:rPr>
          <w:szCs w:val="22"/>
        </w:rPr>
        <w:t xml:space="preserve"> </w:t>
      </w:r>
      <w:r w:rsidRPr="00F54572" w:rsidR="00A65464">
        <w:rPr>
          <w:b/>
          <w:bCs/>
          <w:szCs w:val="22"/>
        </w:rPr>
        <w:t>11:59 p.m. local time on July 13, 2021</w:t>
      </w:r>
      <w:r w:rsidRPr="00A65464" w:rsidR="00A65464">
        <w:rPr>
          <w:szCs w:val="22"/>
        </w:rPr>
        <w:t>,</w:t>
      </w:r>
      <w:r w:rsidR="00A65464">
        <w:rPr>
          <w:szCs w:val="22"/>
        </w:rPr>
        <w:t xml:space="preserve"> </w:t>
      </w:r>
      <w:r w:rsidR="00516323">
        <w:rPr>
          <w:szCs w:val="22"/>
        </w:rPr>
        <w:t>they</w:t>
      </w:r>
      <w:r w:rsidRPr="00A65464" w:rsidR="00A65464">
        <w:rPr>
          <w:szCs w:val="22"/>
        </w:rPr>
        <w:t xml:space="preserve"> m</w:t>
      </w:r>
      <w:r w:rsidR="006074DA">
        <w:rPr>
          <w:szCs w:val="22"/>
        </w:rPr>
        <w:t>ust complete construction of their facilities, begin operating</w:t>
      </w:r>
      <w:r w:rsidR="00B936E8">
        <w:rPr>
          <w:szCs w:val="22"/>
        </w:rPr>
        <w:t>,</w:t>
      </w:r>
      <w:r w:rsidR="006074DA">
        <w:rPr>
          <w:szCs w:val="22"/>
        </w:rPr>
        <w:t xml:space="preserve"> and </w:t>
      </w:r>
      <w:r w:rsidR="00B936E8">
        <w:rPr>
          <w:szCs w:val="22"/>
        </w:rPr>
        <w:t xml:space="preserve">within 10 days </w:t>
      </w:r>
      <w:r w:rsidR="006074DA">
        <w:rPr>
          <w:szCs w:val="22"/>
        </w:rPr>
        <w:t>file a license to cover application.</w:t>
      </w:r>
      <w:r>
        <w:rPr>
          <w:rStyle w:val="FootnoteReference"/>
          <w:szCs w:val="22"/>
        </w:rPr>
        <w:footnoteReference w:id="4"/>
      </w:r>
      <w:r w:rsidR="006074DA">
        <w:rPr>
          <w:szCs w:val="22"/>
        </w:rPr>
        <w:t xml:space="preserve">  Failure to do so will result in the construction permit being </w:t>
      </w:r>
      <w:r w:rsidRPr="006074DA" w:rsidR="006074DA">
        <w:rPr>
          <w:szCs w:val="22"/>
        </w:rPr>
        <w:t>automatically forfeited without any further affirmative cancellation by the Commission</w:t>
      </w:r>
      <w:r w:rsidR="006074DA">
        <w:rPr>
          <w:szCs w:val="22"/>
        </w:rPr>
        <w:t>.</w:t>
      </w:r>
      <w:r>
        <w:rPr>
          <w:rStyle w:val="FootnoteReference"/>
          <w:szCs w:val="22"/>
        </w:rPr>
        <w:footnoteReference w:id="5"/>
      </w:r>
      <w:r w:rsidR="00CB0D40">
        <w:rPr>
          <w:szCs w:val="22"/>
        </w:rPr>
        <w:t xml:space="preserve">  Instructions on filing a</w:t>
      </w:r>
      <w:r w:rsidR="00B936E8">
        <w:rPr>
          <w:szCs w:val="22"/>
        </w:rPr>
        <w:t>n application for</w:t>
      </w:r>
      <w:r w:rsidR="00CB0D40">
        <w:rPr>
          <w:szCs w:val="22"/>
        </w:rPr>
        <w:t xml:space="preserve"> license to cover are included in the Appendix.</w:t>
      </w:r>
      <w:r w:rsidR="00516323">
        <w:rPr>
          <w:szCs w:val="22"/>
        </w:rPr>
        <w:t xml:space="preserve"> </w:t>
      </w:r>
    </w:p>
    <w:p w:rsidR="007E24CA" w:rsidP="000D4FD7" w14:paraId="7AC5C54F" w14:textId="64EC570A">
      <w:pPr>
        <w:keepNext/>
        <w:keepLines/>
        <w:spacing w:after="120"/>
        <w:rPr>
          <w:b/>
          <w:bCs/>
          <w:szCs w:val="22"/>
          <w:u w:val="single"/>
        </w:rPr>
      </w:pPr>
      <w:r>
        <w:rPr>
          <w:b/>
          <w:bCs/>
          <w:szCs w:val="22"/>
          <w:u w:val="single"/>
        </w:rPr>
        <w:t xml:space="preserve">Late-Filed </w:t>
      </w:r>
      <w:r w:rsidR="00B6252C">
        <w:rPr>
          <w:b/>
          <w:bCs/>
          <w:szCs w:val="22"/>
          <w:u w:val="single"/>
        </w:rPr>
        <w:t xml:space="preserve">Construction Permit </w:t>
      </w:r>
      <w:r>
        <w:rPr>
          <w:b/>
          <w:bCs/>
          <w:szCs w:val="22"/>
          <w:u w:val="single"/>
        </w:rPr>
        <w:t>Extension Applications</w:t>
      </w:r>
    </w:p>
    <w:p w:rsidR="008D1113" w:rsidP="00817014" w14:paraId="0FA9DCD1" w14:textId="195FD208">
      <w:pPr>
        <w:spacing w:after="120"/>
        <w:ind w:firstLine="720"/>
        <w:rPr>
          <w:szCs w:val="22"/>
        </w:rPr>
      </w:pPr>
      <w:r>
        <w:rPr>
          <w:szCs w:val="22"/>
        </w:rPr>
        <w:t xml:space="preserve">Permittees </w:t>
      </w:r>
      <w:r w:rsidR="002E0681">
        <w:rPr>
          <w:szCs w:val="22"/>
        </w:rPr>
        <w:t xml:space="preserve">for new digital LPTV/translator stations </w:t>
      </w:r>
      <w:r>
        <w:rPr>
          <w:szCs w:val="22"/>
        </w:rPr>
        <w:t xml:space="preserve">with </w:t>
      </w:r>
      <w:r w:rsidRPr="00820EF9">
        <w:rPr>
          <w:b/>
          <w:bCs/>
          <w:szCs w:val="22"/>
        </w:rPr>
        <w:t>July 13, 2021</w:t>
      </w:r>
      <w:r w:rsidR="002E0681">
        <w:rPr>
          <w:szCs w:val="22"/>
        </w:rPr>
        <w:t xml:space="preserve"> expiration date</w:t>
      </w:r>
      <w:r w:rsidR="00820EF9">
        <w:rPr>
          <w:szCs w:val="22"/>
        </w:rPr>
        <w:t>s</w:t>
      </w:r>
      <w:r w:rsidR="002E0681">
        <w:rPr>
          <w:szCs w:val="22"/>
        </w:rPr>
        <w:t xml:space="preserve"> </w:t>
      </w:r>
      <w:r>
        <w:rPr>
          <w:szCs w:val="22"/>
        </w:rPr>
        <w:t xml:space="preserve">that </w:t>
      </w:r>
      <w:r w:rsidRPr="00C61207" w:rsidR="00C61207">
        <w:rPr>
          <w:szCs w:val="22"/>
        </w:rPr>
        <w:t xml:space="preserve">find that </w:t>
      </w:r>
      <w:r w:rsidR="00C61207">
        <w:rPr>
          <w:szCs w:val="22"/>
        </w:rPr>
        <w:t>they</w:t>
      </w:r>
      <w:r w:rsidRPr="00C61207" w:rsidR="00C61207">
        <w:rPr>
          <w:szCs w:val="22"/>
        </w:rPr>
        <w:t xml:space="preserve"> will need additional time </w:t>
      </w:r>
      <w:r>
        <w:rPr>
          <w:szCs w:val="22"/>
        </w:rPr>
        <w:t xml:space="preserve">to complete their </w:t>
      </w:r>
      <w:r w:rsidR="00C61207">
        <w:rPr>
          <w:szCs w:val="22"/>
        </w:rPr>
        <w:t xml:space="preserve">new </w:t>
      </w:r>
      <w:r>
        <w:rPr>
          <w:szCs w:val="22"/>
        </w:rPr>
        <w:t xml:space="preserve">digital </w:t>
      </w:r>
      <w:r w:rsidR="00C61207">
        <w:rPr>
          <w:szCs w:val="22"/>
        </w:rPr>
        <w:t>facilities</w:t>
      </w:r>
      <w:r>
        <w:rPr>
          <w:szCs w:val="22"/>
        </w:rPr>
        <w:t xml:space="preserve"> may </w:t>
      </w:r>
      <w:r>
        <w:rPr>
          <w:szCs w:val="22"/>
        </w:rPr>
        <w:t>submit an application</w:t>
      </w:r>
      <w:r>
        <w:rPr>
          <w:szCs w:val="22"/>
        </w:rPr>
        <w:t xml:space="preserve"> for extension of digital construction permit.  Because the March 15, 2021 deadline for filing an extension of digital construction permit (CP extension filing deadline) has already passed,</w:t>
      </w:r>
      <w:r>
        <w:rPr>
          <w:rStyle w:val="FootnoteReference"/>
          <w:szCs w:val="22"/>
        </w:rPr>
        <w:footnoteReference w:id="6"/>
      </w:r>
      <w:r>
        <w:rPr>
          <w:szCs w:val="22"/>
        </w:rPr>
        <w:t xml:space="preserve"> applicants will need to</w:t>
      </w:r>
      <w:r w:rsidR="00817014">
        <w:rPr>
          <w:szCs w:val="22"/>
        </w:rPr>
        <w:t xml:space="preserve"> </w:t>
      </w:r>
      <w:r>
        <w:rPr>
          <w:szCs w:val="22"/>
        </w:rPr>
        <w:t>include a request for waiver of the CP extension filing deadline.</w:t>
      </w:r>
      <w:r>
        <w:rPr>
          <w:rStyle w:val="FootnoteReference"/>
          <w:szCs w:val="22"/>
        </w:rPr>
        <w:footnoteReference w:id="7"/>
      </w:r>
      <w:r>
        <w:rPr>
          <w:szCs w:val="22"/>
        </w:rPr>
        <w:t xml:space="preserve">  We encourage such stations to submit their extension applications and filing deadline waivers as soon as possible to ensure that they will be considered before the </w:t>
      </w:r>
      <w:r w:rsidRPr="00516323">
        <w:rPr>
          <w:b/>
          <w:bCs/>
          <w:szCs w:val="22"/>
        </w:rPr>
        <w:t>July 13, 2021</w:t>
      </w:r>
      <w:r>
        <w:rPr>
          <w:szCs w:val="22"/>
        </w:rPr>
        <w:t xml:space="preserve"> expiration of their digital construction permit.</w:t>
      </w:r>
      <w:r>
        <w:rPr>
          <w:szCs w:val="22"/>
          <w:vertAlign w:val="superscript"/>
        </w:rPr>
        <w:footnoteReference w:id="8"/>
      </w:r>
      <w:r>
        <w:rPr>
          <w:szCs w:val="22"/>
        </w:rPr>
        <w:t xml:space="preserve"> </w:t>
      </w:r>
      <w:r w:rsidR="00817014">
        <w:rPr>
          <w:szCs w:val="22"/>
        </w:rPr>
        <w:t xml:space="preserve"> </w:t>
      </w:r>
      <w:r w:rsidRPr="00225B62">
        <w:rPr>
          <w:szCs w:val="22"/>
        </w:rPr>
        <w:t xml:space="preserve">Instructions for filing an extension application are included in </w:t>
      </w:r>
      <w:r w:rsidR="00C61207">
        <w:rPr>
          <w:szCs w:val="22"/>
        </w:rPr>
        <w:t xml:space="preserve">the </w:t>
      </w:r>
      <w:r>
        <w:rPr>
          <w:szCs w:val="22"/>
        </w:rPr>
        <w:t>A</w:t>
      </w:r>
      <w:r w:rsidRPr="00225B62">
        <w:rPr>
          <w:szCs w:val="22"/>
        </w:rPr>
        <w:t>ppendi</w:t>
      </w:r>
      <w:r>
        <w:rPr>
          <w:szCs w:val="22"/>
        </w:rPr>
        <w:t>x.</w:t>
      </w:r>
    </w:p>
    <w:p w:rsidR="007B58F7" w:rsidRPr="00C359CE" w:rsidP="00F84F13" w14:paraId="2DDAEAA3" w14:textId="12000D9A">
      <w:pPr>
        <w:pStyle w:val="ParaNum0"/>
        <w:numPr>
          <w:ilvl w:val="0"/>
          <w:numId w:val="0"/>
        </w:numPr>
        <w:rPr>
          <w:b/>
          <w:bCs/>
          <w:szCs w:val="22"/>
          <w:u w:val="single"/>
        </w:rPr>
      </w:pPr>
      <w:r>
        <w:rPr>
          <w:b/>
          <w:bCs/>
          <w:szCs w:val="22"/>
          <w:u w:val="single"/>
        </w:rPr>
        <w:t>Surrender</w:t>
      </w:r>
      <w:r w:rsidR="008C59DD">
        <w:rPr>
          <w:b/>
          <w:bCs/>
          <w:szCs w:val="22"/>
          <w:u w:val="single"/>
        </w:rPr>
        <w:t xml:space="preserve">/Cancellation </w:t>
      </w:r>
      <w:r>
        <w:rPr>
          <w:b/>
          <w:bCs/>
          <w:szCs w:val="22"/>
          <w:u w:val="single"/>
        </w:rPr>
        <w:t xml:space="preserve">of </w:t>
      </w:r>
      <w:r w:rsidR="002E0681">
        <w:rPr>
          <w:b/>
          <w:bCs/>
          <w:szCs w:val="22"/>
          <w:u w:val="single"/>
        </w:rPr>
        <w:t>Construction Permits</w:t>
      </w:r>
    </w:p>
    <w:p w:rsidR="00CE7D82" w:rsidRPr="00CF3F16" w:rsidP="00CE7D82" w14:paraId="299E8EA3" w14:textId="41158716">
      <w:pPr>
        <w:spacing w:after="120"/>
        <w:ind w:firstLine="720"/>
        <w:rPr>
          <w:iCs/>
          <w:szCs w:val="22"/>
        </w:rPr>
      </w:pPr>
      <w:r>
        <w:rPr>
          <w:iCs/>
          <w:szCs w:val="22"/>
        </w:rPr>
        <w:t>Permittees</w:t>
      </w:r>
      <w:r w:rsidR="00836EAE">
        <w:rPr>
          <w:iCs/>
          <w:szCs w:val="22"/>
        </w:rPr>
        <w:t xml:space="preserve"> that </w:t>
      </w:r>
      <w:r w:rsidR="00B163B6">
        <w:rPr>
          <w:iCs/>
          <w:szCs w:val="22"/>
        </w:rPr>
        <w:t>do not plan</w:t>
      </w:r>
      <w:r w:rsidR="00836EAE">
        <w:rPr>
          <w:iCs/>
          <w:szCs w:val="22"/>
        </w:rPr>
        <w:t xml:space="preserve"> </w:t>
      </w:r>
      <w:r w:rsidR="00594767">
        <w:rPr>
          <w:iCs/>
          <w:szCs w:val="22"/>
        </w:rPr>
        <w:t xml:space="preserve">to </w:t>
      </w:r>
      <w:r w:rsidR="00836EAE">
        <w:rPr>
          <w:iCs/>
          <w:szCs w:val="22"/>
        </w:rPr>
        <w:t>co</w:t>
      </w:r>
      <w:r>
        <w:rPr>
          <w:iCs/>
          <w:szCs w:val="22"/>
        </w:rPr>
        <w:t xml:space="preserve">mplete construction of their digital facilities are </w:t>
      </w:r>
      <w:r w:rsidR="00516323">
        <w:rPr>
          <w:iCs/>
          <w:szCs w:val="22"/>
        </w:rPr>
        <w:t>encourage</w:t>
      </w:r>
      <w:r>
        <w:rPr>
          <w:iCs/>
          <w:szCs w:val="22"/>
        </w:rPr>
        <w:t>d</w:t>
      </w:r>
      <w:r w:rsidR="00516323">
        <w:rPr>
          <w:iCs/>
          <w:szCs w:val="22"/>
        </w:rPr>
        <w:t xml:space="preserve"> to </w:t>
      </w:r>
      <w:r w:rsidR="00836EAE">
        <w:rPr>
          <w:iCs/>
          <w:szCs w:val="22"/>
        </w:rPr>
        <w:t xml:space="preserve">submit their </w:t>
      </w:r>
      <w:r>
        <w:rPr>
          <w:iCs/>
          <w:szCs w:val="22"/>
        </w:rPr>
        <w:t>construction permits</w:t>
      </w:r>
      <w:r w:rsidR="00836EAE">
        <w:rPr>
          <w:iCs/>
          <w:szCs w:val="22"/>
        </w:rPr>
        <w:t xml:space="preserve"> for cancellation</w:t>
      </w:r>
      <w:r w:rsidR="00817014">
        <w:rPr>
          <w:iCs/>
          <w:szCs w:val="22"/>
        </w:rPr>
        <w:t xml:space="preserve"> as soon as possible</w:t>
      </w:r>
      <w:r w:rsidR="00836EAE">
        <w:rPr>
          <w:iCs/>
          <w:szCs w:val="22"/>
        </w:rPr>
        <w:t>.</w:t>
      </w:r>
      <w:r w:rsidR="008C59DD">
        <w:rPr>
          <w:iCs/>
          <w:szCs w:val="22"/>
        </w:rPr>
        <w:t xml:space="preserve">  </w:t>
      </w:r>
      <w:r w:rsidRPr="008C59DD" w:rsidR="008C59DD">
        <w:rPr>
          <w:iCs/>
          <w:szCs w:val="22"/>
        </w:rPr>
        <w:t xml:space="preserve">Instructions for requesting cancellation of a </w:t>
      </w:r>
      <w:r>
        <w:rPr>
          <w:iCs/>
          <w:szCs w:val="22"/>
        </w:rPr>
        <w:t>construction permit</w:t>
      </w:r>
      <w:r w:rsidRPr="008C59DD" w:rsidR="008C59DD">
        <w:rPr>
          <w:iCs/>
          <w:szCs w:val="22"/>
        </w:rPr>
        <w:t xml:space="preserve"> are included in </w:t>
      </w:r>
      <w:r>
        <w:rPr>
          <w:iCs/>
          <w:szCs w:val="22"/>
        </w:rPr>
        <w:t xml:space="preserve">the </w:t>
      </w:r>
      <w:r w:rsidRPr="008C59DD" w:rsidR="008C59DD">
        <w:rPr>
          <w:iCs/>
          <w:szCs w:val="22"/>
        </w:rPr>
        <w:t>Appendix.</w:t>
      </w:r>
      <w:r w:rsidR="008E3A56">
        <w:rPr>
          <w:iCs/>
          <w:szCs w:val="22"/>
        </w:rPr>
        <w:t xml:space="preserve">  All other construction permits for which the station is not constructed and operational by July 13, 2021, and a license to cover filed within 10 days will have its construction permit </w:t>
      </w:r>
      <w:r w:rsidRPr="006074DA" w:rsidR="008E3A56">
        <w:rPr>
          <w:szCs w:val="22"/>
        </w:rPr>
        <w:t>automatically forfeited without any further affirmative cancellation by the Commission</w:t>
      </w:r>
      <w:r w:rsidR="008E3A56">
        <w:rPr>
          <w:szCs w:val="22"/>
        </w:rPr>
        <w:t>.</w:t>
      </w:r>
      <w:r>
        <w:rPr>
          <w:rStyle w:val="FootnoteReference"/>
          <w:szCs w:val="22"/>
        </w:rPr>
        <w:footnoteReference w:id="9"/>
      </w:r>
      <w:r w:rsidR="008E3A56">
        <w:rPr>
          <w:iCs/>
          <w:szCs w:val="22"/>
        </w:rPr>
        <w:t xml:space="preserve"> </w:t>
      </w:r>
      <w:r w:rsidR="00A76B5D">
        <w:rPr>
          <w:iCs/>
          <w:szCs w:val="22"/>
        </w:rPr>
        <w:t xml:space="preserve">  </w:t>
      </w:r>
    </w:p>
    <w:p w:rsidR="00EA226F" w:rsidP="00EA226F" w14:paraId="4026162C" w14:textId="51A46C7F">
      <w:pPr>
        <w:pStyle w:val="ParaNum0"/>
        <w:numPr>
          <w:ilvl w:val="0"/>
          <w:numId w:val="0"/>
        </w:numPr>
        <w:rPr>
          <w:b/>
          <w:bCs/>
          <w:szCs w:val="22"/>
          <w:u w:val="single"/>
        </w:rPr>
      </w:pPr>
      <w:r>
        <w:rPr>
          <w:b/>
          <w:bCs/>
          <w:szCs w:val="22"/>
          <w:u w:val="single"/>
        </w:rPr>
        <w:t>Additional</w:t>
      </w:r>
      <w:r w:rsidRPr="00EA226F">
        <w:rPr>
          <w:b/>
          <w:bCs/>
          <w:szCs w:val="22"/>
          <w:u w:val="single"/>
        </w:rPr>
        <w:t xml:space="preserve"> Information</w:t>
      </w:r>
      <w:r>
        <w:rPr>
          <w:b/>
          <w:bCs/>
          <w:szCs w:val="22"/>
          <w:u w:val="single"/>
        </w:rPr>
        <w:t xml:space="preserve"> or Questions</w:t>
      </w:r>
    </w:p>
    <w:p w:rsidR="00EA226F" w:rsidP="00EA226F" w14:paraId="7F79250D" w14:textId="09C7C758">
      <w:pPr>
        <w:pStyle w:val="ParaNum0"/>
        <w:numPr>
          <w:ilvl w:val="0"/>
          <w:numId w:val="0"/>
        </w:numPr>
        <w:ind w:firstLine="720"/>
        <w:rPr>
          <w:szCs w:val="22"/>
        </w:rPr>
      </w:pPr>
      <w:r w:rsidRPr="00EA226F">
        <w:rPr>
          <w:szCs w:val="22"/>
        </w:rPr>
        <w:t>For additional information or questions, please contact Mark Colombo (technical questions), Mark.Colombo@fcc.gov, (202) 418-7611, or Shaun Maher (legal questions), Shaun.Maher@fcc.gov, (202) 418-2324, of the Video Division, Media Bureau.</w:t>
      </w:r>
    </w:p>
    <w:p w:rsidR="00516323" w:rsidP="00304503" w14:paraId="4B8A402E" w14:textId="77777777">
      <w:pPr>
        <w:pStyle w:val="ParaNum0"/>
        <w:numPr>
          <w:ilvl w:val="0"/>
          <w:numId w:val="0"/>
        </w:numPr>
        <w:jc w:val="center"/>
        <w:rPr>
          <w:b/>
          <w:bCs/>
          <w:szCs w:val="22"/>
        </w:rPr>
      </w:pPr>
      <w:r>
        <w:rPr>
          <w:b/>
          <w:bCs/>
          <w:szCs w:val="22"/>
        </w:rPr>
        <w:t>-FCC-</w:t>
      </w:r>
    </w:p>
    <w:p w:rsidR="00466BA3" w:rsidRPr="00516323" w:rsidP="004F22EF" w14:paraId="50A225D0" w14:textId="2534062B">
      <w:pPr>
        <w:widowControl/>
        <w:rPr>
          <w:b/>
          <w:bCs/>
          <w:szCs w:val="22"/>
        </w:rPr>
      </w:pPr>
      <w:r w:rsidRPr="00516323">
        <w:rPr>
          <w:b/>
          <w:bCs/>
          <w:iCs/>
          <w:szCs w:val="22"/>
        </w:rPr>
        <w:br w:type="page"/>
      </w:r>
    </w:p>
    <w:p w:rsidR="00466BA3" w:rsidRPr="00225B62" w:rsidP="00466BA3" w14:paraId="77918C94" w14:textId="63397BB0">
      <w:pPr>
        <w:pStyle w:val="ListParagraph"/>
        <w:spacing w:before="120" w:after="240"/>
        <w:ind w:left="0"/>
        <w:jc w:val="center"/>
        <w:rPr>
          <w:b/>
          <w:szCs w:val="22"/>
        </w:rPr>
      </w:pPr>
      <w:r w:rsidRPr="00225B62">
        <w:rPr>
          <w:b/>
          <w:szCs w:val="22"/>
        </w:rPr>
        <w:t>APPENDIX</w:t>
      </w:r>
    </w:p>
    <w:p w:rsidR="00466BA3" w:rsidRPr="00225B62" w:rsidP="00466BA3" w14:paraId="25CAF8D0" w14:textId="77777777">
      <w:pPr>
        <w:spacing w:before="120" w:after="240"/>
        <w:contextualSpacing/>
        <w:jc w:val="center"/>
        <w:rPr>
          <w:b/>
          <w:szCs w:val="22"/>
        </w:rPr>
      </w:pPr>
      <w:r w:rsidRPr="00225B62">
        <w:rPr>
          <w:b/>
          <w:szCs w:val="22"/>
        </w:rPr>
        <w:t>INSTRUCTIONS FOR ACCESSING AND FILING ON LMS</w:t>
      </w:r>
    </w:p>
    <w:p w:rsidR="00466BA3" w:rsidRPr="00225B62" w:rsidP="00466BA3" w14:paraId="76B7FE87" w14:textId="77777777">
      <w:pPr>
        <w:spacing w:before="120" w:after="240"/>
        <w:contextualSpacing/>
        <w:jc w:val="center"/>
        <w:rPr>
          <w:b/>
          <w:szCs w:val="22"/>
        </w:rPr>
      </w:pPr>
    </w:p>
    <w:p w:rsidR="00466BA3" w:rsidRPr="00225B62" w:rsidP="00466BA3" w14:paraId="0BAC7F60" w14:textId="77777777">
      <w:pPr>
        <w:spacing w:before="120" w:after="240"/>
        <w:contextualSpacing/>
        <w:rPr>
          <w:b/>
          <w:szCs w:val="22"/>
          <w:u w:val="single"/>
        </w:rPr>
      </w:pPr>
      <w:r w:rsidRPr="00225B62">
        <w:rPr>
          <w:b/>
          <w:szCs w:val="22"/>
          <w:u w:val="single"/>
        </w:rPr>
        <w:t>General Log-in Instructions</w:t>
      </w:r>
    </w:p>
    <w:p w:rsidR="00466BA3" w:rsidP="00466BA3" w14:paraId="739F42F0" w14:textId="77777777">
      <w:pPr>
        <w:spacing w:before="120" w:after="240"/>
        <w:ind w:firstLine="720"/>
        <w:contextualSpacing/>
        <w:rPr>
          <w:szCs w:val="22"/>
          <w:lang w:eastAsia="x-none"/>
        </w:rPr>
      </w:pPr>
    </w:p>
    <w:p w:rsidR="00466BA3" w:rsidRPr="00225B62" w:rsidP="00466BA3" w14:paraId="3FD7F2D0" w14:textId="77777777">
      <w:pPr>
        <w:spacing w:before="120" w:after="240"/>
        <w:ind w:firstLine="720"/>
        <w:contextualSpacing/>
        <w:rPr>
          <w:szCs w:val="22"/>
        </w:rPr>
      </w:pPr>
      <w:r w:rsidRPr="00225B62">
        <w:rPr>
          <w:szCs w:val="22"/>
          <w:lang w:eastAsia="x-none"/>
        </w:rPr>
        <w:t>Access the LMS applicant data entry home page here:</w:t>
      </w:r>
    </w:p>
    <w:p w:rsidR="00466BA3" w:rsidRPr="00225B62" w:rsidP="00466BA3" w14:paraId="5A8AF8B1" w14:textId="77777777">
      <w:pPr>
        <w:spacing w:before="120" w:after="240"/>
        <w:contextualSpacing/>
        <w:jc w:val="center"/>
        <w:rPr>
          <w:szCs w:val="22"/>
        </w:rPr>
      </w:pPr>
    </w:p>
    <w:p w:rsidR="00466BA3" w:rsidRPr="00225B62" w:rsidP="00466BA3" w14:paraId="2073840E" w14:textId="77777777">
      <w:pPr>
        <w:spacing w:before="120" w:after="120"/>
        <w:contextualSpacing/>
        <w:jc w:val="center"/>
        <w:rPr>
          <w:szCs w:val="22"/>
          <w:u w:val="single"/>
        </w:rPr>
      </w:pPr>
      <w:hyperlink r:id="rId5" w:history="1">
        <w:r w:rsidRPr="00225B62">
          <w:rPr>
            <w:szCs w:val="22"/>
            <w:u w:val="single"/>
          </w:rPr>
          <w:t>https://enterpriseefiling.fcc.gov/dataentry/login.html</w:t>
        </w:r>
      </w:hyperlink>
    </w:p>
    <w:p w:rsidR="00466BA3" w:rsidRPr="00225B62" w:rsidP="00466BA3" w14:paraId="0A9DDA31" w14:textId="77777777">
      <w:pPr>
        <w:spacing w:before="120" w:after="120"/>
        <w:contextualSpacing/>
        <w:jc w:val="center"/>
        <w:rPr>
          <w:szCs w:val="22"/>
        </w:rPr>
      </w:pPr>
    </w:p>
    <w:p w:rsidR="00466BA3" w:rsidRPr="00225B62" w:rsidP="00466BA3" w14:paraId="64C839C1" w14:textId="46F3FED0">
      <w:pPr>
        <w:spacing w:before="120" w:after="240"/>
        <w:ind w:firstLine="720"/>
        <w:contextualSpacing/>
        <w:rPr>
          <w:szCs w:val="22"/>
        </w:rPr>
      </w:pPr>
      <w:r w:rsidRPr="00225B62">
        <w:rPr>
          <w:szCs w:val="22"/>
          <w:lang w:eastAsia="x-none"/>
        </w:rPr>
        <w:t>L</w:t>
      </w:r>
      <w:r w:rsidRPr="00225B62">
        <w:rPr>
          <w:szCs w:val="22"/>
          <w:lang w:val="x-none"/>
        </w:rPr>
        <w:t>ogin</w:t>
      </w:r>
      <w:r w:rsidRPr="00225B62">
        <w:rPr>
          <w:szCs w:val="22"/>
          <w:lang w:val="x-none"/>
        </w:rPr>
        <w:t xml:space="preserve">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466BA3" w:rsidRPr="00225B62" w:rsidP="00466BA3" w14:paraId="705C848A" w14:textId="77777777">
      <w:pPr>
        <w:spacing w:before="120" w:after="240"/>
        <w:ind w:firstLine="720"/>
        <w:contextualSpacing/>
        <w:rPr>
          <w:szCs w:val="22"/>
        </w:rPr>
      </w:pPr>
    </w:p>
    <w:p w:rsidR="00466BA3" w:rsidRPr="00225B62" w:rsidP="00466BA3" w14:paraId="2855A3C3" w14:textId="77777777">
      <w:pPr>
        <w:spacing w:before="120" w:after="240"/>
        <w:ind w:firstLine="720"/>
        <w:contextualSpacing/>
        <w:rPr>
          <w:szCs w:val="22"/>
        </w:rPr>
      </w:pPr>
      <w:r w:rsidRPr="00225B62">
        <w:rPr>
          <w:szCs w:val="22"/>
        </w:rPr>
        <w:t>For more information and help using the LMS system, contact: (877) 480-3201 TTY: (717) 333-2824.</w:t>
      </w:r>
    </w:p>
    <w:p w:rsidR="00466BA3" w:rsidRPr="00225B62" w:rsidP="00466BA3" w14:paraId="78782C9B" w14:textId="77777777">
      <w:pPr>
        <w:tabs>
          <w:tab w:val="left" w:pos="360"/>
        </w:tabs>
        <w:spacing w:before="120" w:after="240"/>
        <w:contextualSpacing/>
        <w:rPr>
          <w:szCs w:val="22"/>
          <w:u w:val="single"/>
        </w:rPr>
      </w:pPr>
    </w:p>
    <w:p w:rsidR="00243A9D" w:rsidRPr="000D4FD7" w:rsidP="00243A9D" w14:paraId="76662CAC" w14:textId="77777777">
      <w:pPr>
        <w:widowControl/>
        <w:autoSpaceDE w:val="0"/>
        <w:autoSpaceDN w:val="0"/>
        <w:adjustRightInd w:val="0"/>
        <w:spacing w:after="120"/>
        <w:rPr>
          <w:b/>
          <w:bCs/>
          <w:snapToGrid/>
          <w:kern w:val="0"/>
          <w:szCs w:val="22"/>
          <w:u w:val="single"/>
        </w:rPr>
      </w:pPr>
      <w:r w:rsidRPr="000D4FD7">
        <w:rPr>
          <w:b/>
          <w:bCs/>
          <w:snapToGrid/>
          <w:kern w:val="0"/>
          <w:szCs w:val="22"/>
          <w:u w:val="single"/>
        </w:rPr>
        <w:t>FCC Form 2100 – Schedule D – Application for License</w:t>
      </w:r>
    </w:p>
    <w:p w:rsidR="00243A9D" w:rsidRPr="0078131D" w:rsidP="00243A9D" w14:paraId="48CCB6B3"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1. Click on “Authorizations” tab on the left top of the page.</w:t>
      </w:r>
    </w:p>
    <w:p w:rsidR="00243A9D" w:rsidRPr="0078131D" w:rsidP="00243A9D" w14:paraId="7089C060"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2. Click on construction permit authorization.</w:t>
      </w:r>
    </w:p>
    <w:p w:rsidR="00243A9D" w:rsidRPr="0078131D" w:rsidP="00243A9D" w14:paraId="6FA60A6C"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3. Click on “File an Application” button.</w:t>
      </w:r>
    </w:p>
    <w:p w:rsidR="00243A9D" w:rsidRPr="0078131D" w:rsidP="00243A9D" w14:paraId="4FEAD2A3"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4. Select “license to cover” from drop down menu.</w:t>
      </w:r>
    </w:p>
    <w:p w:rsidR="00243A9D" w:rsidRPr="0078131D" w:rsidP="00243A9D" w14:paraId="7E9F855D" w14:textId="77777777">
      <w:pPr>
        <w:pStyle w:val="ParaNum0"/>
        <w:numPr>
          <w:ilvl w:val="0"/>
          <w:numId w:val="0"/>
        </w:numPr>
        <w:tabs>
          <w:tab w:val="left" w:pos="360"/>
        </w:tabs>
        <w:spacing w:after="0"/>
        <w:ind w:left="720" w:hanging="720"/>
        <w:rPr>
          <w:szCs w:val="22"/>
        </w:rPr>
      </w:pPr>
      <w:r w:rsidRPr="0078131D">
        <w:rPr>
          <w:rFonts w:ascii="TimesNewRoman" w:hAnsi="TimesNewRoman" w:cs="TimesNewRoman"/>
          <w:snapToGrid/>
          <w:kern w:val="0"/>
          <w:szCs w:val="22"/>
        </w:rPr>
        <w:t>5. Complete the application and click “Submit.”</w:t>
      </w:r>
    </w:p>
    <w:p w:rsidR="00466BA3" w:rsidRPr="00225B62" w:rsidP="00466BA3" w14:paraId="1BC21236" w14:textId="124FB154">
      <w:pPr>
        <w:tabs>
          <w:tab w:val="left" w:pos="360"/>
        </w:tabs>
        <w:ind w:left="720" w:hanging="720"/>
        <w:rPr>
          <w:szCs w:val="22"/>
        </w:rPr>
      </w:pPr>
    </w:p>
    <w:p w:rsidR="00FC5C42" w:rsidRPr="00FC5C42" w:rsidP="00FC5C42" w14:paraId="15A7B11E" w14:textId="77777777">
      <w:pPr>
        <w:tabs>
          <w:tab w:val="left" w:pos="360"/>
        </w:tabs>
        <w:spacing w:before="120" w:after="120"/>
        <w:ind w:left="720" w:hanging="720"/>
        <w:rPr>
          <w:b/>
          <w:bCs/>
          <w:szCs w:val="22"/>
          <w:u w:val="single"/>
        </w:rPr>
      </w:pPr>
      <w:r w:rsidRPr="00FC5C42">
        <w:rPr>
          <w:b/>
          <w:bCs/>
          <w:szCs w:val="22"/>
          <w:u w:val="single"/>
        </w:rPr>
        <w:t>FCC Form 2100 – Schedule 337 – Application for Extension of Time</w:t>
      </w:r>
    </w:p>
    <w:p w:rsidR="00FC5C42" w:rsidRPr="00225B62" w:rsidP="00FC5C42" w14:paraId="5D4289F0" w14:textId="77777777">
      <w:pPr>
        <w:numPr>
          <w:ilvl w:val="0"/>
          <w:numId w:val="17"/>
        </w:numPr>
        <w:tabs>
          <w:tab w:val="left" w:pos="360"/>
        </w:tabs>
        <w:spacing w:before="120" w:after="240"/>
        <w:ind w:left="720" w:hanging="720"/>
        <w:contextualSpacing/>
        <w:rPr>
          <w:szCs w:val="22"/>
        </w:rPr>
      </w:pPr>
      <w:r w:rsidRPr="00225B62">
        <w:rPr>
          <w:szCs w:val="22"/>
        </w:rPr>
        <w:t>Click on “Authorization” tab on the left top of the page.</w:t>
      </w:r>
    </w:p>
    <w:p w:rsidR="00FC5C42" w:rsidRPr="00225B62" w:rsidP="00FC5C42" w14:paraId="5CB2A54F" w14:textId="77777777">
      <w:pPr>
        <w:numPr>
          <w:ilvl w:val="0"/>
          <w:numId w:val="17"/>
        </w:numPr>
        <w:tabs>
          <w:tab w:val="left" w:pos="360"/>
        </w:tabs>
        <w:spacing w:before="120" w:after="240"/>
        <w:ind w:left="720" w:hanging="720"/>
        <w:contextualSpacing/>
        <w:rPr>
          <w:szCs w:val="22"/>
        </w:rPr>
      </w:pPr>
      <w:r w:rsidRPr="00225B62">
        <w:rPr>
          <w:szCs w:val="22"/>
        </w:rPr>
        <w:t>Click on construction permit authorization.</w:t>
      </w:r>
    </w:p>
    <w:p w:rsidR="00FC5C42" w:rsidRPr="00225B62" w:rsidP="00FC5C42" w14:paraId="4C7CC1D5" w14:textId="77777777">
      <w:pPr>
        <w:numPr>
          <w:ilvl w:val="0"/>
          <w:numId w:val="17"/>
        </w:numPr>
        <w:tabs>
          <w:tab w:val="left" w:pos="360"/>
        </w:tabs>
        <w:spacing w:before="120" w:after="240"/>
        <w:ind w:left="720" w:hanging="720"/>
        <w:contextualSpacing/>
        <w:rPr>
          <w:szCs w:val="22"/>
        </w:rPr>
      </w:pPr>
      <w:r w:rsidRPr="00225B62">
        <w:rPr>
          <w:szCs w:val="22"/>
        </w:rPr>
        <w:t>Click on “File an Application” button.</w:t>
      </w:r>
    </w:p>
    <w:p w:rsidR="00FC5C42" w:rsidRPr="00225B62" w:rsidP="00FC5C42" w14:paraId="6924E510" w14:textId="058AA6DD">
      <w:pPr>
        <w:numPr>
          <w:ilvl w:val="0"/>
          <w:numId w:val="17"/>
        </w:numPr>
        <w:tabs>
          <w:tab w:val="left" w:pos="360"/>
        </w:tabs>
        <w:spacing w:before="120" w:after="240"/>
        <w:ind w:left="720" w:hanging="720"/>
        <w:contextualSpacing/>
        <w:rPr>
          <w:szCs w:val="22"/>
        </w:rPr>
      </w:pPr>
      <w:r w:rsidRPr="00225B62">
        <w:rPr>
          <w:szCs w:val="22"/>
        </w:rPr>
        <w:t>Select “</w:t>
      </w:r>
      <w:r w:rsidR="007F2856">
        <w:rPr>
          <w:szCs w:val="22"/>
        </w:rPr>
        <w:t>Extension of Construction Permit</w:t>
      </w:r>
      <w:r w:rsidRPr="00225B62">
        <w:rPr>
          <w:szCs w:val="22"/>
        </w:rPr>
        <w:t>” from the drop</w:t>
      </w:r>
      <w:r w:rsidR="0096126D">
        <w:rPr>
          <w:szCs w:val="22"/>
        </w:rPr>
        <w:t>-</w:t>
      </w:r>
      <w:r w:rsidRPr="00225B62">
        <w:rPr>
          <w:szCs w:val="22"/>
        </w:rPr>
        <w:t>down menu.</w:t>
      </w:r>
    </w:p>
    <w:p w:rsidR="00FC5C42" w:rsidRPr="00225B62" w:rsidP="00FC5C42" w14:paraId="47748B1A" w14:textId="77777777">
      <w:pPr>
        <w:numPr>
          <w:ilvl w:val="0"/>
          <w:numId w:val="17"/>
        </w:numPr>
        <w:tabs>
          <w:tab w:val="left" w:pos="360"/>
        </w:tabs>
        <w:ind w:left="720" w:hanging="720"/>
        <w:contextualSpacing/>
        <w:rPr>
          <w:szCs w:val="22"/>
        </w:rPr>
      </w:pPr>
      <w:r w:rsidRPr="00225B62">
        <w:rPr>
          <w:szCs w:val="22"/>
        </w:rPr>
        <w:t>Complete the application and click “Submit”</w:t>
      </w:r>
    </w:p>
    <w:p w:rsidR="00FC5C42" w:rsidRPr="00225B62" w:rsidP="00FC5C42" w14:paraId="5D093AB0" w14:textId="77777777">
      <w:pPr>
        <w:tabs>
          <w:tab w:val="left" w:pos="360"/>
        </w:tabs>
        <w:spacing w:before="120" w:after="240"/>
        <w:ind w:left="720" w:hanging="720"/>
        <w:contextualSpacing/>
        <w:rPr>
          <w:szCs w:val="22"/>
        </w:rPr>
      </w:pPr>
    </w:p>
    <w:p w:rsidR="00FC5C42" w:rsidRPr="00FC5C42" w:rsidP="00FC5C42" w14:paraId="461D4E66" w14:textId="77777777">
      <w:pPr>
        <w:tabs>
          <w:tab w:val="left" w:pos="360"/>
        </w:tabs>
        <w:spacing w:before="120" w:after="240"/>
        <w:ind w:left="720" w:hanging="720"/>
        <w:rPr>
          <w:b/>
          <w:bCs/>
          <w:szCs w:val="22"/>
          <w:u w:val="single"/>
        </w:rPr>
      </w:pPr>
      <w:r w:rsidRPr="00FC5C42">
        <w:rPr>
          <w:b/>
          <w:bCs/>
          <w:szCs w:val="22"/>
          <w:u w:val="single"/>
        </w:rPr>
        <w:t>FCC Form 2100 – Schedule Tolling – Application for Tolling or Waiver of Tolling Rule</w:t>
      </w:r>
    </w:p>
    <w:p w:rsidR="00FC5C42" w:rsidRPr="00225B62" w:rsidP="00FC5C42" w14:paraId="6D557E70" w14:textId="77777777">
      <w:pPr>
        <w:pStyle w:val="ParaNum0"/>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FC5C42" w:rsidRPr="00225B62" w:rsidP="00FC5C42" w14:paraId="03E0714C" w14:textId="77777777">
      <w:pPr>
        <w:pStyle w:val="ParaNum0"/>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rsidR="00FC5C42" w:rsidRPr="00225B62" w:rsidP="00FC5C42" w14:paraId="54672595" w14:textId="77777777">
      <w:pPr>
        <w:pStyle w:val="ParaNum0"/>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FC5C42" w:rsidRPr="00225B62" w:rsidP="00FC5C42" w14:paraId="1419AF15" w14:textId="33302588">
      <w:pPr>
        <w:pStyle w:val="ParaNum0"/>
        <w:numPr>
          <w:ilvl w:val="0"/>
          <w:numId w:val="0"/>
        </w:numPr>
        <w:tabs>
          <w:tab w:val="left" w:pos="360"/>
        </w:tabs>
        <w:spacing w:after="0"/>
        <w:ind w:left="720" w:hanging="720"/>
        <w:rPr>
          <w:szCs w:val="22"/>
        </w:rPr>
      </w:pPr>
      <w:r w:rsidRPr="00225B62">
        <w:rPr>
          <w:szCs w:val="22"/>
        </w:rPr>
        <w:t>4.</w:t>
      </w:r>
      <w:r w:rsidRPr="00225B62">
        <w:rPr>
          <w:szCs w:val="22"/>
        </w:rPr>
        <w:tab/>
        <w:t>Select “Tolling” from the drop</w:t>
      </w:r>
      <w:r w:rsidR="0096126D">
        <w:rPr>
          <w:szCs w:val="22"/>
        </w:rPr>
        <w:t>-</w:t>
      </w:r>
      <w:r w:rsidRPr="00225B62">
        <w:rPr>
          <w:szCs w:val="22"/>
        </w:rPr>
        <w:t>down menu.</w:t>
      </w:r>
    </w:p>
    <w:p w:rsidR="00FC5C42" w:rsidP="00FC5C42" w14:paraId="3F82BD5F" w14:textId="04F2A911">
      <w:pPr>
        <w:pStyle w:val="ParaNum0"/>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p w:rsidR="00243A9D" w:rsidRPr="00544305" w:rsidP="00243A9D" w14:paraId="07438D95" w14:textId="77777777">
      <w:pPr>
        <w:tabs>
          <w:tab w:val="left" w:pos="360"/>
        </w:tabs>
        <w:spacing w:before="120" w:after="240"/>
        <w:ind w:left="720" w:hanging="720"/>
        <w:rPr>
          <w:b/>
          <w:bCs/>
          <w:szCs w:val="22"/>
          <w:u w:val="single"/>
        </w:rPr>
      </w:pPr>
      <w:r w:rsidRPr="00544305">
        <w:rPr>
          <w:b/>
          <w:bCs/>
          <w:szCs w:val="22"/>
          <w:u w:val="single"/>
        </w:rPr>
        <w:t>Request to Cancel Construction Permit</w:t>
      </w:r>
    </w:p>
    <w:p w:rsidR="00243A9D" w:rsidRPr="00544305" w:rsidP="00243A9D" w14:paraId="459B3750" w14:textId="77777777">
      <w:pPr>
        <w:tabs>
          <w:tab w:val="left" w:pos="360"/>
        </w:tabs>
        <w:spacing w:before="120" w:after="240"/>
        <w:ind w:left="720" w:hanging="720"/>
        <w:contextualSpacing/>
        <w:rPr>
          <w:szCs w:val="22"/>
        </w:rPr>
      </w:pPr>
      <w:r w:rsidRPr="00544305">
        <w:rPr>
          <w:szCs w:val="22"/>
        </w:rPr>
        <w:t>1.</w:t>
      </w:r>
      <w:r w:rsidRPr="00544305">
        <w:rPr>
          <w:szCs w:val="22"/>
        </w:rPr>
        <w:tab/>
        <w:t>Click on “Facility” tab on the left top of the page.</w:t>
      </w:r>
    </w:p>
    <w:p w:rsidR="00243A9D" w:rsidRPr="00544305" w:rsidP="00243A9D" w14:paraId="6EA5DC04" w14:textId="77777777">
      <w:pPr>
        <w:tabs>
          <w:tab w:val="left" w:pos="360"/>
        </w:tabs>
        <w:spacing w:before="120" w:after="240"/>
        <w:ind w:left="720" w:hanging="720"/>
        <w:contextualSpacing/>
        <w:rPr>
          <w:szCs w:val="22"/>
        </w:rPr>
      </w:pPr>
      <w:r w:rsidRPr="00544305">
        <w:rPr>
          <w:szCs w:val="22"/>
        </w:rPr>
        <w:t>2.</w:t>
      </w:r>
      <w:r w:rsidRPr="00544305">
        <w:rPr>
          <w:szCs w:val="22"/>
        </w:rPr>
        <w:tab/>
        <w:t>Click on facility ID of the station.</w:t>
      </w:r>
    </w:p>
    <w:p w:rsidR="00243A9D" w:rsidRPr="00544305" w:rsidP="00243A9D" w14:paraId="6BF66B21" w14:textId="77777777">
      <w:pPr>
        <w:tabs>
          <w:tab w:val="left" w:pos="360"/>
        </w:tabs>
        <w:spacing w:before="120" w:after="240"/>
        <w:ind w:left="720" w:hanging="720"/>
        <w:contextualSpacing/>
        <w:rPr>
          <w:szCs w:val="22"/>
        </w:rPr>
      </w:pPr>
      <w:r w:rsidRPr="00544305">
        <w:rPr>
          <w:szCs w:val="22"/>
        </w:rPr>
        <w:t>3.</w:t>
      </w:r>
      <w:r w:rsidRPr="00544305">
        <w:rPr>
          <w:szCs w:val="22"/>
        </w:rPr>
        <w:tab/>
        <w:t>Click on “File an Application” button.</w:t>
      </w:r>
    </w:p>
    <w:p w:rsidR="00243A9D" w:rsidRPr="00544305" w:rsidP="00243A9D" w14:paraId="6778BD8F" w14:textId="77777777">
      <w:pPr>
        <w:tabs>
          <w:tab w:val="left" w:pos="360"/>
        </w:tabs>
        <w:spacing w:before="120" w:after="240"/>
        <w:ind w:left="720" w:hanging="720"/>
        <w:contextualSpacing/>
        <w:rPr>
          <w:szCs w:val="22"/>
        </w:rPr>
      </w:pPr>
      <w:r w:rsidRPr="00544305">
        <w:rPr>
          <w:szCs w:val="22"/>
        </w:rPr>
        <w:t>4.</w:t>
      </w:r>
      <w:r w:rsidRPr="00544305">
        <w:rPr>
          <w:szCs w:val="22"/>
        </w:rPr>
        <w:tab/>
        <w:t>Select “Cancellation” from the drop-down menu.</w:t>
      </w:r>
    </w:p>
    <w:p w:rsidR="003A5877" w:rsidRPr="00FC5C42" w:rsidP="00C23D6E" w14:paraId="6C4CAF10" w14:textId="2C66CDBA">
      <w:pPr>
        <w:tabs>
          <w:tab w:val="left" w:pos="360"/>
        </w:tabs>
        <w:spacing w:before="120" w:after="240"/>
        <w:ind w:left="720" w:hanging="720"/>
        <w:contextualSpacing/>
        <w:rPr>
          <w:szCs w:val="22"/>
        </w:rPr>
      </w:pPr>
      <w:r w:rsidRPr="00544305">
        <w:rPr>
          <w:szCs w:val="22"/>
        </w:rPr>
        <w:t>5.</w:t>
      </w:r>
      <w:r w:rsidRPr="00544305">
        <w:rPr>
          <w:szCs w:val="22"/>
        </w:rPr>
        <w:tab/>
        <w:t>Complete the application and click “Submit.”</w:t>
      </w:r>
    </w:p>
    <w:sectPr w:rsidSect="001B101F">
      <w:headerReference w:type="default" r:id="rId6"/>
      <w:footerReference w:type="default" r:id="rId7"/>
      <w:headerReference w:type="first" r:id="rId8"/>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62FC" w14:paraId="18829B37" w14:textId="77777777">
      <w:r>
        <w:separator/>
      </w:r>
    </w:p>
  </w:footnote>
  <w:footnote w:type="continuationSeparator" w:id="1">
    <w:p w:rsidR="009A62FC" w14:paraId="5EC80B2C" w14:textId="77777777">
      <w:r>
        <w:continuationSeparator/>
      </w:r>
    </w:p>
  </w:footnote>
  <w:footnote w:type="continuationNotice" w:id="2">
    <w:p w:rsidR="009A62FC" w:rsidRPr="00A574E4" w:rsidP="00A574E4" w14:paraId="273A3D68" w14:textId="77777777">
      <w:pPr>
        <w:pStyle w:val="Footer"/>
      </w:pPr>
    </w:p>
  </w:footnote>
  <w:footnote w:id="3">
    <w:p w:rsidR="008D1113" w:rsidRPr="00C61207" w14:paraId="617DB22D" w14:textId="3C46AF9A">
      <w:pPr>
        <w:pStyle w:val="FootnoteText"/>
      </w:pPr>
      <w:r>
        <w:rPr>
          <w:rStyle w:val="FootnoteReference"/>
        </w:rPr>
        <w:footnoteRef/>
      </w:r>
      <w:r>
        <w:t xml:space="preserve"> </w:t>
      </w:r>
      <w:r w:rsidRPr="008D1113">
        <w:t xml:space="preserve">Construction permits for new digital LPTV/translator stations granted before the December 17, 2015 release of the Commission </w:t>
      </w:r>
      <w:r w:rsidRPr="00DD3404">
        <w:rPr>
          <w:i/>
          <w:iCs/>
        </w:rPr>
        <w:t>LPTV DTV Third R&amp;O</w:t>
      </w:r>
      <w:r w:rsidRPr="008D1113">
        <w:t xml:space="preserve"> were assigned an expiration date of </w:t>
      </w:r>
      <w:r w:rsidRPr="00DD3404">
        <w:rPr>
          <w:b/>
          <w:bCs/>
        </w:rPr>
        <w:t>July 13, 2021</w:t>
      </w:r>
      <w:r w:rsidRPr="008D1113">
        <w:t xml:space="preserve"> – the Commission’s LPTV digital transition deadline</w:t>
      </w:r>
      <w:r>
        <w:t xml:space="preserve">.  </w:t>
      </w:r>
      <w:r w:rsidR="00F1445A">
        <w:rPr>
          <w:i/>
          <w:iCs/>
        </w:rPr>
        <w:t>See</w:t>
      </w:r>
      <w:r w:rsidR="00F1445A">
        <w:t xml:space="preserve"> 47 CFR § 74.788(a); </w:t>
      </w:r>
      <w:r w:rsidR="00F1445A">
        <w:rPr>
          <w:i/>
          <w:iCs/>
        </w:rPr>
        <w:t xml:space="preserve">see also </w:t>
      </w:r>
      <w:r w:rsidRPr="00225B62" w:rsidR="00F1445A">
        <w:rPr>
          <w:i/>
        </w:rPr>
        <w:t>Amendment of Parts 73 and 74 of the Commission’s Rules to Establish Rules for Digital Low Power Television and Television Translator Stations,</w:t>
      </w:r>
      <w:r w:rsidRPr="00225B62" w:rsidR="00F1445A">
        <w:t xml:space="preserve"> MB Docket No. 03-185, Third Report and Order and Fourth Notice of Proposed Rulemaking, 30 FCC </w:t>
      </w:r>
      <w:r w:rsidRPr="00225B62" w:rsidR="00F1445A">
        <w:t>Rcd</w:t>
      </w:r>
      <w:r w:rsidRPr="00225B62" w:rsidR="00F1445A">
        <w:t xml:space="preserve"> 14927, </w:t>
      </w:r>
      <w:r w:rsidR="00F1445A">
        <w:t>14935, para. 16</w:t>
      </w:r>
      <w:r w:rsidRPr="00225B62" w:rsidR="00F1445A">
        <w:t xml:space="preserve"> (2015) (</w:t>
      </w:r>
      <w:r w:rsidRPr="00225B62" w:rsidR="00F1445A">
        <w:rPr>
          <w:i/>
        </w:rPr>
        <w:t>LPTV DTV Third R&amp;O</w:t>
      </w:r>
      <w:r w:rsidRPr="00225B62" w:rsidR="00F1445A">
        <w:t>).</w:t>
      </w:r>
      <w:r w:rsidRPr="00FE218A" w:rsidR="00F1445A">
        <w:t xml:space="preserve"> </w:t>
      </w:r>
      <w:r w:rsidR="00DD3404">
        <w:t xml:space="preserve"> </w:t>
      </w:r>
      <w:r w:rsidR="00F1445A">
        <w:t>C</w:t>
      </w:r>
      <w:r w:rsidRPr="00F1445A" w:rsidR="00F1445A">
        <w:t xml:space="preserve">onstruction permits for new digital LPTV/translator stations granted after December 17, 2015, were assigned an expiration date of the later of either </w:t>
      </w:r>
      <w:r w:rsidRPr="00DD3404" w:rsidR="00F1445A">
        <w:rPr>
          <w:b/>
          <w:bCs/>
        </w:rPr>
        <w:t>July 13, 2021</w:t>
      </w:r>
      <w:r w:rsidRPr="00F1445A" w:rsidR="00F1445A">
        <w:t xml:space="preserve"> or three years from the date of issuance of the original construction permit</w:t>
      </w:r>
      <w:r w:rsidR="00F1445A">
        <w:t>.</w:t>
      </w:r>
      <w:r w:rsidRPr="00FE218A" w:rsidR="00F1445A">
        <w:t xml:space="preserve"> </w:t>
      </w:r>
      <w:r w:rsidR="00C61207">
        <w:rPr>
          <w:i/>
          <w:iCs/>
        </w:rPr>
        <w:t xml:space="preserve">See </w:t>
      </w:r>
      <w:r w:rsidR="00C61207">
        <w:t>47 CFR § 74.788(a).</w:t>
      </w:r>
    </w:p>
  </w:footnote>
  <w:footnote w:id="4">
    <w:p w:rsidR="00820EF9" w:rsidRPr="00820EF9" w14:paraId="42D5EA9A" w14:textId="535BF16D">
      <w:pPr>
        <w:pStyle w:val="FootnoteText"/>
        <w:rPr>
          <w:i/>
          <w:iCs/>
        </w:rPr>
      </w:pPr>
      <w:r>
        <w:rPr>
          <w:rStyle w:val="FootnoteReference"/>
        </w:rPr>
        <w:footnoteRef/>
      </w:r>
      <w:r>
        <w:t xml:space="preserve"> </w:t>
      </w:r>
      <w:r w:rsidRPr="00B936E8" w:rsidR="00B936E8">
        <w:rPr>
          <w:i/>
          <w:iCs/>
        </w:rPr>
        <w:t>See</w:t>
      </w:r>
      <w:r w:rsidR="00F1445A">
        <w:t xml:space="preserve"> 47 CFR §</w:t>
      </w:r>
      <w:r w:rsidR="00DD3404">
        <w:t>§</w:t>
      </w:r>
      <w:r w:rsidR="00F1445A">
        <w:t xml:space="preserve"> </w:t>
      </w:r>
      <w:r w:rsidR="00DD3404">
        <w:t xml:space="preserve">73.1620(a)(1) and </w:t>
      </w:r>
      <w:r w:rsidR="00F1445A">
        <w:t>74.788(a)</w:t>
      </w:r>
      <w:r w:rsidR="00B936E8">
        <w:t>.</w:t>
      </w:r>
    </w:p>
  </w:footnote>
  <w:footnote w:id="5">
    <w:p w:rsidR="006074DA" w14:paraId="373FF50A" w14:textId="09253357">
      <w:pPr>
        <w:pStyle w:val="FootnoteText"/>
      </w:pPr>
      <w:r>
        <w:rPr>
          <w:rStyle w:val="FootnoteReference"/>
        </w:rPr>
        <w:footnoteRef/>
      </w:r>
      <w:r>
        <w:t xml:space="preserve"> </w:t>
      </w:r>
      <w:r>
        <w:rPr>
          <w:i/>
          <w:iCs/>
        </w:rPr>
        <w:t xml:space="preserve">See </w:t>
      </w:r>
      <w:r>
        <w:t>47 CFR § 74.788(b).</w:t>
      </w:r>
      <w:r w:rsidRPr="004F22EF" w:rsidR="004F22EF">
        <w:t xml:space="preserve"> Cancellation of </w:t>
      </w:r>
      <w:r w:rsidR="004F22EF">
        <w:t>a construction permit</w:t>
      </w:r>
      <w:r w:rsidRPr="004F22EF" w:rsidR="004F22EF">
        <w:t xml:space="preserve"> and deletion of </w:t>
      </w:r>
      <w:r w:rsidR="004F22EF">
        <w:t>the facility</w:t>
      </w:r>
      <w:r w:rsidRPr="004F22EF" w:rsidR="004F22EF">
        <w:t xml:space="preserve"> call sign in </w:t>
      </w:r>
      <w:r w:rsidR="00DD3404">
        <w:t>the Commission’s Licensing and Management System (</w:t>
      </w:r>
      <w:r w:rsidRPr="004F22EF" w:rsidR="004F22EF">
        <w:t>LMS</w:t>
      </w:r>
      <w:r w:rsidR="00DD3404">
        <w:t>)</w:t>
      </w:r>
      <w:r w:rsidRPr="004F22EF" w:rsidR="004F22EF">
        <w:t xml:space="preserve"> is an administerial function and does not constitute an official Commission action.  </w:t>
      </w:r>
    </w:p>
  </w:footnote>
  <w:footnote w:id="6">
    <w:p w:rsidR="008D1113" w:rsidP="008D1113" w14:paraId="65692B5B" w14:textId="2AB0AA43">
      <w:pPr>
        <w:pStyle w:val="FootnoteText"/>
      </w:pPr>
      <w:r>
        <w:rPr>
          <w:rStyle w:val="FootnoteReference"/>
        </w:rPr>
        <w:footnoteRef/>
      </w:r>
      <w:r>
        <w:t xml:space="preserve"> Pursuant to section </w:t>
      </w:r>
      <w:r w:rsidRPr="001C4F13">
        <w:t>74.788(c)(3)</w:t>
      </w:r>
      <w:r>
        <w:t xml:space="preserve"> of the rules, </w:t>
      </w:r>
      <w:r w:rsidR="00DD3404">
        <w:t>permittees for new digital LPTV/</w:t>
      </w:r>
      <w:r>
        <w:t xml:space="preserve">translator </w:t>
      </w:r>
      <w:r w:rsidRPr="001C4F13">
        <w:t xml:space="preserve">stations </w:t>
      </w:r>
      <w:r w:rsidR="00DD3404">
        <w:t xml:space="preserve">with July 13, 2021 expiration dates </w:t>
      </w:r>
      <w:r>
        <w:t xml:space="preserve">were afforded one last </w:t>
      </w:r>
      <w:r w:rsidRPr="001C4F13">
        <w:t xml:space="preserve">opportunity to seek </w:t>
      </w:r>
      <w:r>
        <w:t xml:space="preserve">an </w:t>
      </w:r>
      <w:r w:rsidRPr="001C4F13">
        <w:t xml:space="preserve">extension of </w:t>
      </w:r>
      <w:r>
        <w:t>their digital construction permits</w:t>
      </w:r>
      <w:r w:rsidRPr="001C4F13">
        <w:t>, of not more than 180 days</w:t>
      </w:r>
      <w:r>
        <w:t xml:space="preserve">.  </w:t>
      </w:r>
      <w:r w:rsidRPr="001C4F13">
        <w:t>Applications for extension of digital construction permits were due March 15, 2021</w:t>
      </w:r>
      <w:r>
        <w:t>.</w:t>
      </w:r>
      <w:r w:rsidR="00817014">
        <w:t xml:space="preserve">  </w:t>
      </w:r>
      <w:r w:rsidRPr="00485E61" w:rsidR="00817014">
        <w:rPr>
          <w:i/>
          <w:iCs/>
        </w:rPr>
        <w:t>See Media Bureau Reminds Low Power Television and Television Translator Stations of July 13, 2021, Digital Transition Date</w:t>
      </w:r>
      <w:r w:rsidR="00817014">
        <w:t>, Public Notice, DA 21-260 (rel. Mar. 4, 2021).</w:t>
      </w:r>
    </w:p>
  </w:footnote>
  <w:footnote w:id="7">
    <w:p w:rsidR="008D1113" w:rsidP="008D1113" w14:paraId="0EB13946" w14:textId="77777777">
      <w:pPr>
        <w:pStyle w:val="FootnoteText"/>
      </w:pPr>
      <w:r>
        <w:rPr>
          <w:rStyle w:val="FootnoteReference"/>
        </w:rPr>
        <w:footnoteRef/>
      </w:r>
      <w:r>
        <w:t xml:space="preserve"> </w:t>
      </w:r>
      <w:r w:rsidRPr="00BC4B09">
        <w:rPr>
          <w:i/>
        </w:rPr>
        <w:t>See</w:t>
      </w:r>
      <w:r w:rsidRPr="00BC4B09">
        <w:t xml:space="preserve"> </w:t>
      </w:r>
      <w:r w:rsidRPr="00BC4B09">
        <w:rPr>
          <w:i/>
        </w:rPr>
        <w:t>Northeast Cellular Telephone Co. v. FCC</w:t>
      </w:r>
      <w:r w:rsidRPr="00BC4B09">
        <w:t xml:space="preserve">, 897 F.2d 1164, 1166 (D.C. Cir. 1990); </w:t>
      </w:r>
      <w:r w:rsidRPr="00BC4B09">
        <w:rPr>
          <w:i/>
        </w:rPr>
        <w:t>WAIT Radio v. FCC</w:t>
      </w:r>
      <w:r w:rsidRPr="00BC4B09">
        <w:t>, 418 F.2d 1153, 1159 (D.C. Cir. 1969); 47 CFR § 1.3 (waiver for good cause shown).  Waiver of the Commission’s rules is appropriate only if both (</w:t>
      </w:r>
      <w:r w:rsidRPr="00BC4B09">
        <w:t>i</w:t>
      </w:r>
      <w:r w:rsidRPr="00BC4B09">
        <w:t xml:space="preserve">) special circumstances warrant a deviation from the general rule, and (ii) such deviation will serve the public interest.  </w:t>
      </w:r>
      <w:r w:rsidRPr="00BC4B09">
        <w:rPr>
          <w:i/>
        </w:rPr>
        <w:t>Network</w:t>
      </w:r>
      <w:r>
        <w:rPr>
          <w:i/>
        </w:rPr>
        <w:t xml:space="preserve"> </w:t>
      </w:r>
      <w:r w:rsidRPr="00BC4B09">
        <w:rPr>
          <w:i/>
        </w:rPr>
        <w:t>IP v. FCC</w:t>
      </w:r>
      <w:r w:rsidRPr="00BC4B09">
        <w:rPr>
          <w:iCs/>
        </w:rPr>
        <w:t xml:space="preserve">, 548 F.3d 116, 125-28 (D.C. Cir. 2008).  </w:t>
      </w:r>
    </w:p>
  </w:footnote>
  <w:footnote w:id="8">
    <w:p w:rsidR="00C61207" w:rsidRPr="00225B62" w:rsidP="00C61207" w14:paraId="344A7B5D" w14:textId="3AFF4C24">
      <w:pPr>
        <w:pStyle w:val="FootnoteText"/>
      </w:pPr>
      <w:r w:rsidRPr="00225B62">
        <w:rPr>
          <w:rStyle w:val="FootnoteReference"/>
        </w:rPr>
        <w:footnoteRef/>
      </w:r>
      <w:r w:rsidRPr="00225B62">
        <w:t xml:space="preserve"> </w:t>
      </w:r>
      <w:r>
        <w:t xml:space="preserve">We also note that </w:t>
      </w:r>
      <w:r>
        <w:rPr>
          <w:szCs w:val="22"/>
        </w:rPr>
        <w:t>a</w:t>
      </w:r>
      <w:r w:rsidRPr="00225B62">
        <w:rPr>
          <w:szCs w:val="22"/>
        </w:rPr>
        <w:t xml:space="preserve">dditional time to construct </w:t>
      </w:r>
      <w:r>
        <w:rPr>
          <w:szCs w:val="22"/>
        </w:rPr>
        <w:t xml:space="preserve">beyond the initial 180-day extension </w:t>
      </w:r>
      <w:r w:rsidRPr="00225B62">
        <w:rPr>
          <w:szCs w:val="22"/>
        </w:rPr>
        <w:t xml:space="preserve">may be sought only pursuant to the Commission’s “tolling” rule. </w:t>
      </w:r>
      <w:r>
        <w:rPr>
          <w:szCs w:val="22"/>
        </w:rPr>
        <w:t xml:space="preserve"> </w:t>
      </w:r>
      <w:r w:rsidRPr="00225B62">
        <w:rPr>
          <w:szCs w:val="22"/>
        </w:rPr>
        <w:t>The tolling rule provides that a construction permit deadline may be tolled only for specific circumstances not under the licensee’s control, such as acts of God or delays due to administrative or judicial review.</w:t>
      </w:r>
      <w:r>
        <w:rPr>
          <w:szCs w:val="22"/>
        </w:rPr>
        <w:t xml:space="preserve">  </w:t>
      </w:r>
      <w:r w:rsidRPr="00225B62">
        <w:rPr>
          <w:i/>
        </w:rPr>
        <w:t>See</w:t>
      </w:r>
      <w:r w:rsidRPr="00225B62">
        <w:t xml:space="preserve"> 47 CFR § 73.3598(b).</w:t>
      </w:r>
      <w:r w:rsidRPr="00225B62">
        <w:rPr>
          <w:i/>
        </w:rPr>
        <w:t xml:space="preserve">  </w:t>
      </w:r>
      <w:r w:rsidRPr="00225B62">
        <w:t xml:space="preserve">We note that the </w:t>
      </w:r>
      <w:r>
        <w:t>s</w:t>
      </w:r>
      <w:r w:rsidRPr="00225B62">
        <w:t xml:space="preserve">ection 73.3598(b) tolling standard does not provide relief for financial hardship, except that paragraph (b)(2) would toll the construction deadline for a station that could not build because of a pending bankruptcy court action.  </w:t>
      </w:r>
      <w:r w:rsidRPr="00225B62">
        <w:rPr>
          <w:i/>
        </w:rPr>
        <w:t>See</w:t>
      </w:r>
      <w:r w:rsidRPr="00225B62">
        <w:t xml:space="preserve"> </w:t>
      </w:r>
      <w:r w:rsidRPr="00225B62">
        <w:rPr>
          <w:i/>
        </w:rPr>
        <w:t>Implementation of the DTV Delay Act</w:t>
      </w:r>
      <w:r w:rsidRPr="00225B62">
        <w:t xml:space="preserve">, MB Docket No. 09-17, Third Report and Order and Order on Reconsideration, 24 FCC </w:t>
      </w:r>
      <w:r w:rsidRPr="00225B62">
        <w:t>Rcd</w:t>
      </w:r>
      <w:r w:rsidRPr="00225B62">
        <w:t xml:space="preserve"> 3399, 3429</w:t>
      </w:r>
      <w:r>
        <w:t>,</w:t>
      </w:r>
      <w:r w:rsidRPr="00225B62">
        <w:t xml:space="preserve"> n.156 (2009).</w:t>
      </w:r>
      <w:r>
        <w:t xml:space="preserve">  </w:t>
      </w:r>
      <w:r w:rsidRPr="00D14EC6">
        <w:t>Stations may also seek a waiver of the tolling rule to receive additional time to construct in the case where “rare or exceptional circumstances” prevent construction, following the instructions for requesting tolling in the Appendix</w:t>
      </w:r>
      <w:r>
        <w:t>.</w:t>
      </w:r>
      <w:r w:rsidRPr="00D14EC6">
        <w:rPr>
          <w:rStyle w:val="FootnoteReference"/>
        </w:rPr>
        <w:t xml:space="preserve"> </w:t>
      </w:r>
      <w:r>
        <w:t xml:space="preserve"> </w:t>
      </w:r>
      <w:r w:rsidRPr="00225B62">
        <w:rPr>
          <w:i/>
        </w:rPr>
        <w:t>See 1998 Regulatory Review - Streamlining of Mass Media Applications, Rules and Processes</w:t>
      </w:r>
      <w:r w:rsidRPr="00225B62">
        <w:t xml:space="preserve">, Memorandum Opinion and Order, 14 FCC </w:t>
      </w:r>
      <w:r w:rsidRPr="00225B62">
        <w:t>Rcd</w:t>
      </w:r>
      <w:r w:rsidRPr="00225B62">
        <w:t xml:space="preserve"> 17525, 17536, para. 42 (1999).</w:t>
      </w:r>
      <w:r w:rsidRPr="00A93806">
        <w:t xml:space="preserve"> </w:t>
      </w:r>
      <w:r>
        <w:t xml:space="preserve"> Permittees</w:t>
      </w:r>
      <w:r w:rsidRPr="00A93806">
        <w:t xml:space="preserve"> must electronically file tolling</w:t>
      </w:r>
      <w:r>
        <w:t xml:space="preserve"> and tolling waiver</w:t>
      </w:r>
      <w:r w:rsidRPr="00A93806">
        <w:t xml:space="preserve"> requests via LMS, in accordance with the instructions in the Appendix.</w:t>
      </w:r>
    </w:p>
  </w:footnote>
  <w:footnote w:id="9">
    <w:p w:rsidR="008E3A56" w14:paraId="582B23C2" w14:textId="04BDBD9C">
      <w:pPr>
        <w:pStyle w:val="FootnoteText"/>
      </w:pPr>
      <w:r>
        <w:rPr>
          <w:rStyle w:val="FootnoteReference"/>
        </w:rPr>
        <w:footnoteRef/>
      </w:r>
      <w:r>
        <w:t xml:space="preserve"> </w:t>
      </w:r>
      <w:r w:rsidRPr="000D4FD7">
        <w:rPr>
          <w:i/>
          <w:iCs/>
        </w:rPr>
        <w:t>See</w:t>
      </w:r>
      <w:r w:rsidRPr="008E3A56">
        <w:t xml:space="preserve"> 47 CFR § 74.788(b)</w:t>
      </w:r>
      <w:r>
        <w:t xml:space="preserve"> and </w:t>
      </w:r>
      <w:r w:rsidRPr="00544305">
        <w:rPr>
          <w:i/>
          <w:iCs/>
        </w:rPr>
        <w:t>supra</w:t>
      </w:r>
      <w:r>
        <w:t xml:space="preserve"> note </w:t>
      </w:r>
      <w:r w:rsidR="00544305">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14:paraId="6CFD1555" w14:textId="04159502">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466BA3">
      <w:rPr>
        <w:rFonts w:ascii="Times New Roman" w:hAnsi="Times New Roman"/>
        <w:b/>
        <w:sz w:val="22"/>
        <w:szCs w:val="22"/>
      </w:rPr>
      <w:t>2</w:t>
    </w:r>
    <w:r w:rsidR="007D7A2A">
      <w:rPr>
        <w:rFonts w:ascii="Times New Roman" w:hAnsi="Times New Roman"/>
        <w:b/>
        <w:sz w:val="22"/>
        <w:szCs w:val="22"/>
      </w:rPr>
      <w:t>1</w:t>
    </w:r>
    <w:r w:rsidR="00F07853">
      <w:rPr>
        <w:rFonts w:ascii="Times New Roman" w:hAnsi="Times New Roman"/>
        <w:b/>
        <w:sz w:val="22"/>
        <w:szCs w:val="22"/>
      </w:rPr>
      <w:t>-683</w:t>
    </w:r>
  </w:p>
  <w:p w:rsidR="0046625D"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5">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2"/>
  </w:num>
  <w:num w:numId="3">
    <w:abstractNumId w:val="9"/>
  </w:num>
  <w:num w:numId="4">
    <w:abstractNumId w:val="4"/>
  </w:num>
  <w:num w:numId="5">
    <w:abstractNumId w:val="14"/>
  </w:num>
  <w:num w:numId="6">
    <w:abstractNumId w:val="3"/>
  </w:num>
  <w:num w:numId="7">
    <w:abstractNumId w:val="5"/>
  </w:num>
  <w:num w:numId="8">
    <w:abstractNumId w:val="0"/>
  </w:num>
  <w:num w:numId="9">
    <w:abstractNumId w:val="16"/>
  </w:num>
  <w:num w:numId="10">
    <w:abstractNumId w:val="8"/>
  </w:num>
  <w:num w:numId="11">
    <w:abstractNumId w:val="11"/>
  </w:num>
  <w:num w:numId="12">
    <w:abstractNumId w:val="2"/>
  </w:num>
  <w:num w:numId="13">
    <w:abstractNumId w:val="7"/>
  </w:num>
  <w:num w:numId="14">
    <w:abstractNumId w:val="1"/>
  </w:num>
  <w:num w:numId="15">
    <w:abstractNumId w:val="15"/>
  </w:num>
  <w:num w:numId="16">
    <w:abstractNumId w:val="6"/>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6DA"/>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5897"/>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4E90"/>
    <w:rsid w:val="000751FE"/>
    <w:rsid w:val="0007533D"/>
    <w:rsid w:val="000778DB"/>
    <w:rsid w:val="00080466"/>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4FD7"/>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765"/>
    <w:rsid w:val="00110907"/>
    <w:rsid w:val="00111DF0"/>
    <w:rsid w:val="0011208A"/>
    <w:rsid w:val="00112216"/>
    <w:rsid w:val="00113567"/>
    <w:rsid w:val="00113779"/>
    <w:rsid w:val="00113E3B"/>
    <w:rsid w:val="001155D6"/>
    <w:rsid w:val="00115F37"/>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18AD"/>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365"/>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6B1C"/>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39E"/>
    <w:rsid w:val="001B1584"/>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4F13"/>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505"/>
    <w:rsid w:val="001E2D1C"/>
    <w:rsid w:val="001E2EE1"/>
    <w:rsid w:val="001E5EBC"/>
    <w:rsid w:val="001E7A0A"/>
    <w:rsid w:val="001F064F"/>
    <w:rsid w:val="001F0734"/>
    <w:rsid w:val="001F07D4"/>
    <w:rsid w:val="001F12A3"/>
    <w:rsid w:val="001F42E6"/>
    <w:rsid w:val="001F5DBD"/>
    <w:rsid w:val="001F7603"/>
    <w:rsid w:val="001F767D"/>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5B62"/>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A9D"/>
    <w:rsid w:val="00243C3C"/>
    <w:rsid w:val="00243DE7"/>
    <w:rsid w:val="002441E3"/>
    <w:rsid w:val="00247084"/>
    <w:rsid w:val="00250349"/>
    <w:rsid w:val="00251896"/>
    <w:rsid w:val="002528C8"/>
    <w:rsid w:val="002537ED"/>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679BF"/>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2172"/>
    <w:rsid w:val="00282B8F"/>
    <w:rsid w:val="0028316B"/>
    <w:rsid w:val="00283650"/>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5FF0"/>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681"/>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503"/>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778FD"/>
    <w:rsid w:val="00380AD9"/>
    <w:rsid w:val="00380FE4"/>
    <w:rsid w:val="00381CCE"/>
    <w:rsid w:val="0038233F"/>
    <w:rsid w:val="00382DA9"/>
    <w:rsid w:val="00384E07"/>
    <w:rsid w:val="0038650F"/>
    <w:rsid w:val="00387003"/>
    <w:rsid w:val="00390531"/>
    <w:rsid w:val="00390612"/>
    <w:rsid w:val="00390F9D"/>
    <w:rsid w:val="003910BA"/>
    <w:rsid w:val="00391635"/>
    <w:rsid w:val="0039168B"/>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877"/>
    <w:rsid w:val="003A5AF2"/>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45C"/>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BA3"/>
    <w:rsid w:val="00466CFA"/>
    <w:rsid w:val="00466F4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5E61"/>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0FD"/>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2EF"/>
    <w:rsid w:val="004F2B13"/>
    <w:rsid w:val="004F5231"/>
    <w:rsid w:val="004F5651"/>
    <w:rsid w:val="004F5B8D"/>
    <w:rsid w:val="004F6727"/>
    <w:rsid w:val="004F713D"/>
    <w:rsid w:val="00500C25"/>
    <w:rsid w:val="00501464"/>
    <w:rsid w:val="00501721"/>
    <w:rsid w:val="005019D3"/>
    <w:rsid w:val="00501D8C"/>
    <w:rsid w:val="00502D79"/>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23"/>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32A8"/>
    <w:rsid w:val="00543705"/>
    <w:rsid w:val="005437BF"/>
    <w:rsid w:val="00544305"/>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722E"/>
    <w:rsid w:val="0056272C"/>
    <w:rsid w:val="00562DD7"/>
    <w:rsid w:val="00564D8D"/>
    <w:rsid w:val="005655C7"/>
    <w:rsid w:val="00565777"/>
    <w:rsid w:val="00565939"/>
    <w:rsid w:val="00565CE6"/>
    <w:rsid w:val="00566D0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767"/>
    <w:rsid w:val="00594DFB"/>
    <w:rsid w:val="005952FD"/>
    <w:rsid w:val="00595465"/>
    <w:rsid w:val="0059673B"/>
    <w:rsid w:val="00597C23"/>
    <w:rsid w:val="005A0418"/>
    <w:rsid w:val="005A0429"/>
    <w:rsid w:val="005A0AC8"/>
    <w:rsid w:val="005A0E39"/>
    <w:rsid w:val="005A1A54"/>
    <w:rsid w:val="005A1BC7"/>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4DA"/>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AA1"/>
    <w:rsid w:val="00634D62"/>
    <w:rsid w:val="00635D2F"/>
    <w:rsid w:val="00635E9F"/>
    <w:rsid w:val="0063663A"/>
    <w:rsid w:val="0063778D"/>
    <w:rsid w:val="00640AA9"/>
    <w:rsid w:val="006413DA"/>
    <w:rsid w:val="0064158B"/>
    <w:rsid w:val="006419BB"/>
    <w:rsid w:val="0064360F"/>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33C"/>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0B36"/>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73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3BC2"/>
    <w:rsid w:val="006F49BF"/>
    <w:rsid w:val="006F55D6"/>
    <w:rsid w:val="006F568D"/>
    <w:rsid w:val="006F75D3"/>
    <w:rsid w:val="0070076E"/>
    <w:rsid w:val="007007D5"/>
    <w:rsid w:val="00700830"/>
    <w:rsid w:val="00700912"/>
    <w:rsid w:val="00700C02"/>
    <w:rsid w:val="00701160"/>
    <w:rsid w:val="007014D7"/>
    <w:rsid w:val="00701B52"/>
    <w:rsid w:val="00701E90"/>
    <w:rsid w:val="00702013"/>
    <w:rsid w:val="00702245"/>
    <w:rsid w:val="00702CF7"/>
    <w:rsid w:val="00703A51"/>
    <w:rsid w:val="00703EBB"/>
    <w:rsid w:val="00704531"/>
    <w:rsid w:val="00705DD6"/>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983"/>
    <w:rsid w:val="007359F6"/>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31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2AB2"/>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8F7"/>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D7A2A"/>
    <w:rsid w:val="007E00E3"/>
    <w:rsid w:val="007E135D"/>
    <w:rsid w:val="007E1B0E"/>
    <w:rsid w:val="007E206D"/>
    <w:rsid w:val="007E24CA"/>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2856"/>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5D03"/>
    <w:rsid w:val="008163AD"/>
    <w:rsid w:val="00816F26"/>
    <w:rsid w:val="00817014"/>
    <w:rsid w:val="0081763B"/>
    <w:rsid w:val="00817900"/>
    <w:rsid w:val="008179C9"/>
    <w:rsid w:val="008203E3"/>
    <w:rsid w:val="0082042E"/>
    <w:rsid w:val="008204E0"/>
    <w:rsid w:val="0082071F"/>
    <w:rsid w:val="00820D3E"/>
    <w:rsid w:val="00820EF9"/>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6EAE"/>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9DD"/>
    <w:rsid w:val="008C5E57"/>
    <w:rsid w:val="008C69B4"/>
    <w:rsid w:val="008C6C1E"/>
    <w:rsid w:val="008C6FE3"/>
    <w:rsid w:val="008D0116"/>
    <w:rsid w:val="008D0305"/>
    <w:rsid w:val="008D0711"/>
    <w:rsid w:val="008D1113"/>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3A56"/>
    <w:rsid w:val="008E460A"/>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8C2"/>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69E"/>
    <w:rsid w:val="00925CBC"/>
    <w:rsid w:val="00926B4D"/>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26D"/>
    <w:rsid w:val="009617D5"/>
    <w:rsid w:val="009648D1"/>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2FC"/>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D9"/>
    <w:rsid w:val="009E2E52"/>
    <w:rsid w:val="009E3BD3"/>
    <w:rsid w:val="009E4594"/>
    <w:rsid w:val="009E5E2A"/>
    <w:rsid w:val="009E6035"/>
    <w:rsid w:val="009E6A15"/>
    <w:rsid w:val="009E6B88"/>
    <w:rsid w:val="009E7C85"/>
    <w:rsid w:val="009F0064"/>
    <w:rsid w:val="009F0B75"/>
    <w:rsid w:val="009F0F33"/>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176F8"/>
    <w:rsid w:val="00A2024D"/>
    <w:rsid w:val="00A2063D"/>
    <w:rsid w:val="00A20A5F"/>
    <w:rsid w:val="00A216D1"/>
    <w:rsid w:val="00A21A37"/>
    <w:rsid w:val="00A23964"/>
    <w:rsid w:val="00A246E4"/>
    <w:rsid w:val="00A247B7"/>
    <w:rsid w:val="00A24F32"/>
    <w:rsid w:val="00A259C5"/>
    <w:rsid w:val="00A264B7"/>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5464"/>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6B5D"/>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806"/>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67AB"/>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7CF"/>
    <w:rsid w:val="00AF7AA6"/>
    <w:rsid w:val="00AF7DC3"/>
    <w:rsid w:val="00B00293"/>
    <w:rsid w:val="00B00710"/>
    <w:rsid w:val="00B01370"/>
    <w:rsid w:val="00B02E13"/>
    <w:rsid w:val="00B03C57"/>
    <w:rsid w:val="00B048CD"/>
    <w:rsid w:val="00B05BCD"/>
    <w:rsid w:val="00B07503"/>
    <w:rsid w:val="00B07EBF"/>
    <w:rsid w:val="00B104E4"/>
    <w:rsid w:val="00B105D0"/>
    <w:rsid w:val="00B10BA0"/>
    <w:rsid w:val="00B10F4E"/>
    <w:rsid w:val="00B12006"/>
    <w:rsid w:val="00B12A5F"/>
    <w:rsid w:val="00B12BFB"/>
    <w:rsid w:val="00B12E02"/>
    <w:rsid w:val="00B13132"/>
    <w:rsid w:val="00B132DC"/>
    <w:rsid w:val="00B13B6C"/>
    <w:rsid w:val="00B14425"/>
    <w:rsid w:val="00B150B8"/>
    <w:rsid w:val="00B16055"/>
    <w:rsid w:val="00B163B6"/>
    <w:rsid w:val="00B16423"/>
    <w:rsid w:val="00B1721E"/>
    <w:rsid w:val="00B17D17"/>
    <w:rsid w:val="00B21F88"/>
    <w:rsid w:val="00B243AD"/>
    <w:rsid w:val="00B24B6E"/>
    <w:rsid w:val="00B2511A"/>
    <w:rsid w:val="00B258ED"/>
    <w:rsid w:val="00B27327"/>
    <w:rsid w:val="00B2776D"/>
    <w:rsid w:val="00B3115E"/>
    <w:rsid w:val="00B3158C"/>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52A"/>
    <w:rsid w:val="00B43039"/>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252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3B78"/>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36E8"/>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398D"/>
    <w:rsid w:val="00BC4B09"/>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D6E"/>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59CE"/>
    <w:rsid w:val="00C3647F"/>
    <w:rsid w:val="00C36492"/>
    <w:rsid w:val="00C40269"/>
    <w:rsid w:val="00C409A2"/>
    <w:rsid w:val="00C40AF1"/>
    <w:rsid w:val="00C40B37"/>
    <w:rsid w:val="00C40F0A"/>
    <w:rsid w:val="00C41C9A"/>
    <w:rsid w:val="00C430C0"/>
    <w:rsid w:val="00C43DA8"/>
    <w:rsid w:val="00C43DD0"/>
    <w:rsid w:val="00C44745"/>
    <w:rsid w:val="00C448E8"/>
    <w:rsid w:val="00C44CCC"/>
    <w:rsid w:val="00C4501A"/>
    <w:rsid w:val="00C4545F"/>
    <w:rsid w:val="00C47281"/>
    <w:rsid w:val="00C51021"/>
    <w:rsid w:val="00C51D82"/>
    <w:rsid w:val="00C51EF7"/>
    <w:rsid w:val="00C5230D"/>
    <w:rsid w:val="00C52DDA"/>
    <w:rsid w:val="00C5467B"/>
    <w:rsid w:val="00C546A9"/>
    <w:rsid w:val="00C55D9C"/>
    <w:rsid w:val="00C56760"/>
    <w:rsid w:val="00C57C53"/>
    <w:rsid w:val="00C60F16"/>
    <w:rsid w:val="00C61207"/>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0D40"/>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E7D82"/>
    <w:rsid w:val="00CF05AA"/>
    <w:rsid w:val="00CF07A6"/>
    <w:rsid w:val="00CF0F29"/>
    <w:rsid w:val="00CF16BE"/>
    <w:rsid w:val="00CF1D91"/>
    <w:rsid w:val="00CF1DC8"/>
    <w:rsid w:val="00CF1E39"/>
    <w:rsid w:val="00CF1F74"/>
    <w:rsid w:val="00CF325A"/>
    <w:rsid w:val="00CF3C7E"/>
    <w:rsid w:val="00CF3F16"/>
    <w:rsid w:val="00CF4858"/>
    <w:rsid w:val="00CF6416"/>
    <w:rsid w:val="00CF6AA8"/>
    <w:rsid w:val="00CF6EED"/>
    <w:rsid w:val="00CF70BA"/>
    <w:rsid w:val="00D00312"/>
    <w:rsid w:val="00D00988"/>
    <w:rsid w:val="00D01B3E"/>
    <w:rsid w:val="00D02F37"/>
    <w:rsid w:val="00D03876"/>
    <w:rsid w:val="00D03A13"/>
    <w:rsid w:val="00D03F96"/>
    <w:rsid w:val="00D04DCD"/>
    <w:rsid w:val="00D0538A"/>
    <w:rsid w:val="00D05623"/>
    <w:rsid w:val="00D057DE"/>
    <w:rsid w:val="00D05823"/>
    <w:rsid w:val="00D05C27"/>
    <w:rsid w:val="00D067D2"/>
    <w:rsid w:val="00D0680D"/>
    <w:rsid w:val="00D06CB7"/>
    <w:rsid w:val="00D07E8D"/>
    <w:rsid w:val="00D1038D"/>
    <w:rsid w:val="00D10FE3"/>
    <w:rsid w:val="00D119CD"/>
    <w:rsid w:val="00D11E05"/>
    <w:rsid w:val="00D13374"/>
    <w:rsid w:val="00D14E77"/>
    <w:rsid w:val="00D14EC6"/>
    <w:rsid w:val="00D1501B"/>
    <w:rsid w:val="00D1584B"/>
    <w:rsid w:val="00D15A42"/>
    <w:rsid w:val="00D16D9F"/>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B58"/>
    <w:rsid w:val="00D57E70"/>
    <w:rsid w:val="00D603AB"/>
    <w:rsid w:val="00D606D1"/>
    <w:rsid w:val="00D607CA"/>
    <w:rsid w:val="00D60D51"/>
    <w:rsid w:val="00D61BDD"/>
    <w:rsid w:val="00D62DE8"/>
    <w:rsid w:val="00D63C7D"/>
    <w:rsid w:val="00D64604"/>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0ACA"/>
    <w:rsid w:val="00DA167C"/>
    <w:rsid w:val="00DA1874"/>
    <w:rsid w:val="00DA2587"/>
    <w:rsid w:val="00DA25C1"/>
    <w:rsid w:val="00DA25EA"/>
    <w:rsid w:val="00DA2E60"/>
    <w:rsid w:val="00DA3892"/>
    <w:rsid w:val="00DA42E4"/>
    <w:rsid w:val="00DA481C"/>
    <w:rsid w:val="00DA4820"/>
    <w:rsid w:val="00DA49DD"/>
    <w:rsid w:val="00DA5154"/>
    <w:rsid w:val="00DA52C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2F21"/>
    <w:rsid w:val="00DD3404"/>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A81"/>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26F"/>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1195"/>
    <w:rsid w:val="00EE26E2"/>
    <w:rsid w:val="00EE38C3"/>
    <w:rsid w:val="00EE48F7"/>
    <w:rsid w:val="00EE525A"/>
    <w:rsid w:val="00EE52FD"/>
    <w:rsid w:val="00EE5A04"/>
    <w:rsid w:val="00EE6055"/>
    <w:rsid w:val="00EE6532"/>
    <w:rsid w:val="00EE657B"/>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853"/>
    <w:rsid w:val="00F07D37"/>
    <w:rsid w:val="00F10330"/>
    <w:rsid w:val="00F11864"/>
    <w:rsid w:val="00F11F5E"/>
    <w:rsid w:val="00F12066"/>
    <w:rsid w:val="00F12D74"/>
    <w:rsid w:val="00F12E15"/>
    <w:rsid w:val="00F135CD"/>
    <w:rsid w:val="00F1445A"/>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572"/>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70A"/>
    <w:rsid w:val="00F808CB"/>
    <w:rsid w:val="00F80B72"/>
    <w:rsid w:val="00F80B99"/>
    <w:rsid w:val="00F80C54"/>
    <w:rsid w:val="00F82D81"/>
    <w:rsid w:val="00F82D92"/>
    <w:rsid w:val="00F838E3"/>
    <w:rsid w:val="00F83BF2"/>
    <w:rsid w:val="00F83E26"/>
    <w:rsid w:val="00F83F84"/>
    <w:rsid w:val="00F84BF3"/>
    <w:rsid w:val="00F84F13"/>
    <w:rsid w:val="00F85A39"/>
    <w:rsid w:val="00F86BBC"/>
    <w:rsid w:val="00F87834"/>
    <w:rsid w:val="00F90AED"/>
    <w:rsid w:val="00F90B61"/>
    <w:rsid w:val="00F9231D"/>
    <w:rsid w:val="00F924BA"/>
    <w:rsid w:val="00F926AF"/>
    <w:rsid w:val="00F9290D"/>
    <w:rsid w:val="00F93201"/>
    <w:rsid w:val="00F93830"/>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5C42"/>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18A"/>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1A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0"/>
    <w:qFormat/>
    <w:rsid w:val="009061A0"/>
    <w:pPr>
      <w:keepNext/>
      <w:numPr>
        <w:ilvl w:val="2"/>
        <w:numId w:val="6"/>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0"/>
    <w:qFormat/>
    <w:rsid w:val="009061A0"/>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0"/>
    <w:qFormat/>
    <w:rsid w:val="009061A0"/>
    <w:pPr>
      <w:numPr>
        <w:ilvl w:val="5"/>
        <w:numId w:val="6"/>
      </w:numPr>
      <w:tabs>
        <w:tab w:val="left" w:pos="4320"/>
      </w:tabs>
      <w:spacing w:after="120"/>
      <w:outlineLvl w:val="5"/>
    </w:pPr>
    <w:rPr>
      <w:b/>
    </w:rPr>
  </w:style>
  <w:style w:type="paragraph" w:styleId="Heading7">
    <w:name w:val="heading 7"/>
    <w:aliases w:val="Heading 7 Char"/>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character" w:customStyle="1" w:styleId="UnresolvedMention">
    <w:name w:val="Unresolved Mention"/>
    <w:basedOn w:val="DefaultParagraphFont"/>
    <w:uiPriority w:val="99"/>
    <w:semiHidden/>
    <w:unhideWhenUsed/>
    <w:rsid w:val="00A7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login.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