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560CD" w:rsidRPr="004F7405" w:rsidP="009560CD" w14:paraId="0C398F0F" w14:textId="4D6E8DF9">
      <w:pPr>
        <w:widowControl/>
        <w:suppressAutoHyphens/>
        <w:jc w:val="right"/>
        <w:rPr>
          <w:b/>
          <w:color w:val="000000"/>
        </w:rPr>
      </w:pPr>
      <w:r>
        <w:rPr>
          <w:b/>
          <w:color w:val="000000"/>
        </w:rPr>
        <w:t xml:space="preserve"> </w:t>
      </w:r>
      <w:r w:rsidR="00D967AA">
        <w:rPr>
          <w:b/>
          <w:color w:val="000000"/>
        </w:rPr>
        <w:t xml:space="preserve"> </w:t>
      </w:r>
      <w:r w:rsidR="00B7151D">
        <w:rPr>
          <w:b/>
          <w:color w:val="000000"/>
        </w:rPr>
        <w:t xml:space="preserve"> </w:t>
      </w:r>
      <w:r w:rsidR="001F4EB1">
        <w:rPr>
          <w:b/>
          <w:color w:val="000000"/>
        </w:rPr>
        <w:t xml:space="preserve">DA </w:t>
      </w:r>
      <w:r w:rsidR="001F0972">
        <w:rPr>
          <w:b/>
          <w:color w:val="000000"/>
        </w:rPr>
        <w:t>21</w:t>
      </w:r>
      <w:r w:rsidR="001F4EB1">
        <w:rPr>
          <w:b/>
          <w:color w:val="000000"/>
        </w:rPr>
        <w:t>-</w:t>
      </w:r>
      <w:r w:rsidR="00047B5A">
        <w:rPr>
          <w:b/>
          <w:color w:val="000000"/>
        </w:rPr>
        <w:t>68</w:t>
      </w:r>
    </w:p>
    <w:p w:rsidR="009560CD" w:rsidRPr="004F7405" w:rsidP="009560CD" w14:paraId="1731E16F" w14:textId="02D3870C">
      <w:pPr>
        <w:widowControl/>
        <w:suppressAutoHyphens/>
        <w:spacing w:after="240"/>
        <w:jc w:val="right"/>
        <w:rPr>
          <w:b/>
          <w:color w:val="000000"/>
        </w:rPr>
      </w:pPr>
      <w:r>
        <w:rPr>
          <w:b/>
          <w:color w:val="000000"/>
        </w:rPr>
        <w:t xml:space="preserve"> Released: </w:t>
      </w:r>
      <w:r w:rsidR="001F0972">
        <w:rPr>
          <w:b/>
          <w:color w:val="000000"/>
        </w:rPr>
        <w:t>January</w:t>
      </w:r>
      <w:r w:rsidR="00F11B64">
        <w:rPr>
          <w:b/>
          <w:color w:val="000000"/>
        </w:rPr>
        <w:t xml:space="preserve"> </w:t>
      </w:r>
      <w:r w:rsidR="00324E21">
        <w:rPr>
          <w:b/>
          <w:color w:val="000000"/>
        </w:rPr>
        <w:t>15</w:t>
      </w:r>
      <w:r w:rsidR="00BA3E58">
        <w:rPr>
          <w:b/>
          <w:color w:val="000000"/>
        </w:rPr>
        <w:t xml:space="preserve"> </w:t>
      </w:r>
      <w:r>
        <w:rPr>
          <w:b/>
          <w:color w:val="000000"/>
        </w:rPr>
        <w:t>, 20</w:t>
      </w:r>
      <w:r w:rsidR="001F0972">
        <w:rPr>
          <w:b/>
          <w:color w:val="000000"/>
        </w:rPr>
        <w:t>21</w:t>
      </w:r>
    </w:p>
    <w:p w:rsidR="009560CD" w:rsidRPr="004F7405" w:rsidP="009560CD" w14:paraId="6FA20E87" w14:textId="77777777">
      <w:pPr>
        <w:widowControl/>
        <w:suppressAutoHyphens/>
        <w:jc w:val="center"/>
        <w:rPr>
          <w:b/>
          <w:szCs w:val="22"/>
        </w:rPr>
      </w:pPr>
      <w:r w:rsidRPr="004F7405">
        <w:rPr>
          <w:b/>
          <w:szCs w:val="22"/>
        </w:rPr>
        <w:t>DOMESTIC SECTION 214 APPLICATION</w:t>
      </w:r>
      <w:r w:rsidR="00F2676B">
        <w:rPr>
          <w:b/>
          <w:szCs w:val="22"/>
        </w:rPr>
        <w:t>S</w:t>
      </w:r>
      <w:r w:rsidRPr="004F7405">
        <w:rPr>
          <w:b/>
          <w:szCs w:val="22"/>
        </w:rPr>
        <w:t xml:space="preserve"> GRANTED</w:t>
      </w:r>
      <w:r>
        <w:rPr>
          <w:b/>
          <w:szCs w:val="22"/>
        </w:rPr>
        <w:t xml:space="preserve"> SUBJECT TO CONDITION</w:t>
      </w:r>
    </w:p>
    <w:p w:rsidR="009560CD" w:rsidRPr="004F7405" w:rsidP="009560CD" w14:paraId="37143B84" w14:textId="77777777">
      <w:pPr>
        <w:widowControl/>
        <w:suppressAutoHyphens/>
        <w:jc w:val="center"/>
        <w:rPr>
          <w:b/>
          <w:color w:val="000000"/>
          <w:szCs w:val="22"/>
        </w:rPr>
      </w:pPr>
    </w:p>
    <w:p w:rsidR="009560CD" w:rsidRPr="001761B2" w:rsidP="009560CD" w14:paraId="1E3C1524" w14:textId="56FA5805">
      <w:pPr>
        <w:widowControl/>
        <w:suppressAutoHyphens/>
        <w:spacing w:after="240"/>
        <w:jc w:val="center"/>
        <w:rPr>
          <w:b/>
          <w:color w:val="000000"/>
          <w:szCs w:val="22"/>
        </w:rPr>
      </w:pPr>
      <w:r w:rsidRPr="004F7405">
        <w:rPr>
          <w:b/>
          <w:color w:val="000000"/>
          <w:szCs w:val="22"/>
        </w:rPr>
        <w:t>WC Docket No</w:t>
      </w:r>
      <w:r>
        <w:rPr>
          <w:b/>
          <w:color w:val="000000"/>
          <w:szCs w:val="22"/>
        </w:rPr>
        <w:t>s</w:t>
      </w:r>
      <w:r w:rsidRPr="004F7405">
        <w:rPr>
          <w:b/>
          <w:color w:val="000000"/>
          <w:szCs w:val="22"/>
        </w:rPr>
        <w:t xml:space="preserve">. </w:t>
      </w:r>
      <w:r w:rsidR="001F0972">
        <w:rPr>
          <w:b/>
          <w:color w:val="000000"/>
          <w:szCs w:val="22"/>
        </w:rPr>
        <w:t>20</w:t>
      </w:r>
      <w:r>
        <w:rPr>
          <w:b/>
          <w:color w:val="000000"/>
          <w:szCs w:val="22"/>
        </w:rPr>
        <w:t>-</w:t>
      </w:r>
      <w:r w:rsidR="00422637">
        <w:rPr>
          <w:b/>
          <w:color w:val="000000"/>
          <w:szCs w:val="22"/>
        </w:rPr>
        <w:t>3</w:t>
      </w:r>
      <w:r w:rsidR="001F0972">
        <w:rPr>
          <w:b/>
          <w:color w:val="000000"/>
          <w:szCs w:val="22"/>
        </w:rPr>
        <w:t>8</w:t>
      </w:r>
      <w:r w:rsidR="00516145">
        <w:rPr>
          <w:b/>
          <w:color w:val="000000"/>
          <w:szCs w:val="22"/>
        </w:rPr>
        <w:t>8</w:t>
      </w:r>
      <w:r w:rsidR="004762AB">
        <w:rPr>
          <w:b/>
          <w:color w:val="000000"/>
          <w:szCs w:val="22"/>
        </w:rPr>
        <w:t>,</w:t>
      </w:r>
      <w:r w:rsidR="001F0972">
        <w:rPr>
          <w:b/>
          <w:color w:val="000000"/>
          <w:szCs w:val="22"/>
        </w:rPr>
        <w:t xml:space="preserve"> 20</w:t>
      </w:r>
      <w:r w:rsidR="004762AB">
        <w:rPr>
          <w:b/>
          <w:color w:val="000000"/>
          <w:szCs w:val="22"/>
        </w:rPr>
        <w:t>-3</w:t>
      </w:r>
      <w:r w:rsidR="001F0972">
        <w:rPr>
          <w:b/>
          <w:color w:val="000000"/>
          <w:szCs w:val="22"/>
        </w:rPr>
        <w:t>8</w:t>
      </w:r>
      <w:r w:rsidR="00516145">
        <w:rPr>
          <w:b/>
          <w:color w:val="000000"/>
          <w:szCs w:val="22"/>
        </w:rPr>
        <w:t>9</w:t>
      </w:r>
    </w:p>
    <w:p w:rsidR="007C69C8" w:rsidP="009560CD" w14:paraId="0203C5EC" w14:textId="77777777">
      <w:pPr>
        <w:widowControl/>
        <w:autoSpaceDE w:val="0"/>
        <w:autoSpaceDN w:val="0"/>
        <w:adjustRightInd w:val="0"/>
        <w:ind w:firstLine="720"/>
        <w:rPr>
          <w:snapToGrid/>
          <w:kern w:val="0"/>
          <w:szCs w:val="22"/>
        </w:rPr>
      </w:pPr>
      <w:r>
        <w:rPr>
          <w:snapToGrid/>
          <w:color w:val="231F20"/>
          <w:kern w:val="0"/>
          <w:szCs w:val="22"/>
        </w:rPr>
        <w:t xml:space="preserve">By this Public Notice, the Wireline Competition Bureau (Bureau) grants </w:t>
      </w:r>
      <w:r w:rsidR="004762AB">
        <w:rPr>
          <w:snapToGrid/>
          <w:color w:val="231F20"/>
          <w:kern w:val="0"/>
          <w:szCs w:val="22"/>
        </w:rPr>
        <w:t xml:space="preserve">the following </w:t>
      </w:r>
      <w:r>
        <w:rPr>
          <w:snapToGrid/>
          <w:color w:val="231F20"/>
          <w:kern w:val="0"/>
          <w:szCs w:val="22"/>
        </w:rPr>
        <w:t>application</w:t>
      </w:r>
      <w:r w:rsidR="004762AB">
        <w:rPr>
          <w:snapToGrid/>
          <w:color w:val="231F20"/>
          <w:kern w:val="0"/>
          <w:szCs w:val="22"/>
        </w:rPr>
        <w:t>s</w:t>
      </w:r>
      <w:r>
        <w:rPr>
          <w:snapToGrid/>
          <w:kern w:val="0"/>
          <w:szCs w:val="22"/>
        </w:rPr>
        <w:t>,</w:t>
      </w:r>
      <w:r w:rsidRPr="00C16D24">
        <w:rPr>
          <w:snapToGrid/>
          <w:kern w:val="0"/>
          <w:szCs w:val="22"/>
        </w:rPr>
        <w:t xml:space="preserve"> </w:t>
      </w:r>
      <w:r>
        <w:rPr>
          <w:snapToGrid/>
          <w:kern w:val="0"/>
          <w:szCs w:val="22"/>
        </w:rPr>
        <w:t>as conditioned</w:t>
      </w:r>
      <w:r w:rsidR="004B1DE5">
        <w:rPr>
          <w:snapToGrid/>
          <w:kern w:val="0"/>
          <w:szCs w:val="22"/>
        </w:rPr>
        <w:t>,</w:t>
      </w:r>
      <w:r>
        <w:rPr>
          <w:snapToGrid/>
          <w:kern w:val="0"/>
          <w:szCs w:val="22"/>
        </w:rPr>
        <w:t xml:space="preserve"> </w:t>
      </w:r>
      <w:r w:rsidR="004762AB">
        <w:rPr>
          <w:snapToGrid/>
          <w:kern w:val="0"/>
          <w:szCs w:val="22"/>
        </w:rPr>
        <w:t>and pursuant to s</w:t>
      </w:r>
      <w:r w:rsidRPr="00C16D24" w:rsidR="004762AB">
        <w:rPr>
          <w:snapToGrid/>
          <w:kern w:val="0"/>
          <w:szCs w:val="22"/>
        </w:rPr>
        <w:t>ection 214 of the Communication</w:t>
      </w:r>
      <w:r w:rsidR="004762AB">
        <w:rPr>
          <w:snapToGrid/>
          <w:kern w:val="0"/>
          <w:szCs w:val="22"/>
        </w:rPr>
        <w:t>s Act of 1934, as amended, and s</w:t>
      </w:r>
      <w:r w:rsidRPr="00C16D24" w:rsidR="004762AB">
        <w:rPr>
          <w:snapToGrid/>
          <w:kern w:val="0"/>
          <w:szCs w:val="22"/>
        </w:rPr>
        <w:t>ection</w:t>
      </w:r>
      <w:r w:rsidR="004762AB">
        <w:rPr>
          <w:snapToGrid/>
          <w:kern w:val="0"/>
          <w:szCs w:val="22"/>
        </w:rPr>
        <w:t>s</w:t>
      </w:r>
      <w:r w:rsidRPr="00C16D24" w:rsidR="004762AB">
        <w:rPr>
          <w:snapToGrid/>
          <w:kern w:val="0"/>
          <w:szCs w:val="22"/>
        </w:rPr>
        <w:t xml:space="preserve"> 63.03 </w:t>
      </w:r>
      <w:r w:rsidR="004762AB">
        <w:rPr>
          <w:snapToGrid/>
          <w:kern w:val="0"/>
          <w:szCs w:val="22"/>
        </w:rPr>
        <w:t xml:space="preserve">and 63.04 </w:t>
      </w:r>
      <w:r w:rsidRPr="00C16D24" w:rsidR="004762AB">
        <w:rPr>
          <w:snapToGrid/>
          <w:kern w:val="0"/>
          <w:szCs w:val="22"/>
        </w:rPr>
        <w:t>of the Commission’s rules</w:t>
      </w:r>
      <w:r w:rsidR="004762AB">
        <w:rPr>
          <w:snapToGrid/>
          <w:kern w:val="0"/>
          <w:szCs w:val="22"/>
        </w:rPr>
        <w:t>.</w:t>
      </w:r>
      <w:r>
        <w:rPr>
          <w:snapToGrid/>
          <w:kern w:val="0"/>
          <w:szCs w:val="22"/>
          <w:vertAlign w:val="superscript"/>
        </w:rPr>
        <w:footnoteReference w:id="3"/>
      </w:r>
      <w:r w:rsidR="004762AB">
        <w:rPr>
          <w:snapToGrid/>
          <w:kern w:val="0"/>
          <w:szCs w:val="22"/>
        </w:rPr>
        <w:t xml:space="preserve">  </w:t>
      </w:r>
      <w:r>
        <w:rPr>
          <w:snapToGrid/>
          <w:kern w:val="0"/>
          <w:szCs w:val="22"/>
        </w:rPr>
        <w:t>The Bureau received no comments in opposition to a grant of the Application</w:t>
      </w:r>
      <w:r w:rsidR="0011735A">
        <w:rPr>
          <w:snapToGrid/>
          <w:kern w:val="0"/>
          <w:szCs w:val="22"/>
        </w:rPr>
        <w:t>s</w:t>
      </w:r>
      <w:r>
        <w:rPr>
          <w:snapToGrid/>
          <w:kern w:val="0"/>
          <w:szCs w:val="22"/>
        </w:rPr>
        <w:t xml:space="preserve">. </w:t>
      </w:r>
    </w:p>
    <w:p w:rsidR="006A65D3" w:rsidP="009560CD" w14:paraId="65CC98EB" w14:textId="77777777">
      <w:pPr>
        <w:widowControl/>
        <w:autoSpaceDE w:val="0"/>
        <w:autoSpaceDN w:val="0"/>
        <w:adjustRightInd w:val="0"/>
        <w:ind w:firstLine="720"/>
        <w:rPr>
          <w:szCs w:val="22"/>
        </w:rPr>
      </w:pPr>
    </w:p>
    <w:p w:rsidR="003A4573" w:rsidP="003A4573" w14:paraId="6FE980B8" w14:textId="3C7E20A0">
      <w:pPr>
        <w:widowControl/>
        <w:autoSpaceDE w:val="0"/>
        <w:autoSpaceDN w:val="0"/>
        <w:adjustRightInd w:val="0"/>
        <w:ind w:firstLine="720"/>
        <w:rPr>
          <w:snapToGrid/>
          <w:color w:val="231F20"/>
          <w:kern w:val="0"/>
          <w:szCs w:val="22"/>
        </w:rPr>
      </w:pPr>
      <w:bookmarkStart w:id="2" w:name="_Hlk26972612"/>
      <w:r w:rsidRPr="0011735A">
        <w:rPr>
          <w:b/>
          <w:snapToGrid/>
          <w:color w:val="231F20"/>
          <w:kern w:val="0"/>
          <w:szCs w:val="22"/>
        </w:rPr>
        <w:t xml:space="preserve">Domestic Section 214 Application Filed for the Transfer of Control of </w:t>
      </w:r>
      <w:r>
        <w:rPr>
          <w:b/>
          <w:snapToGrid/>
          <w:color w:val="231F20"/>
          <w:kern w:val="0"/>
          <w:szCs w:val="22"/>
        </w:rPr>
        <w:t>Southern Kansas Telephone Company, Inc. and SKT, Inc. to Twin Valley Management, Inc.</w:t>
      </w:r>
      <w:r w:rsidRPr="0011735A">
        <w:rPr>
          <w:b/>
          <w:snapToGrid/>
          <w:color w:val="231F20"/>
          <w:kern w:val="0"/>
          <w:szCs w:val="22"/>
        </w:rPr>
        <w:t xml:space="preserve">, WC Docket No. </w:t>
      </w:r>
      <w:r>
        <w:rPr>
          <w:b/>
          <w:snapToGrid/>
          <w:color w:val="231F20"/>
          <w:kern w:val="0"/>
          <w:szCs w:val="22"/>
        </w:rPr>
        <w:t>20</w:t>
      </w:r>
      <w:r w:rsidRPr="0011735A">
        <w:rPr>
          <w:b/>
          <w:snapToGrid/>
          <w:color w:val="231F20"/>
          <w:kern w:val="0"/>
          <w:szCs w:val="22"/>
        </w:rPr>
        <w:t>-3</w:t>
      </w:r>
      <w:r>
        <w:rPr>
          <w:b/>
          <w:snapToGrid/>
          <w:color w:val="231F20"/>
          <w:kern w:val="0"/>
          <w:szCs w:val="22"/>
        </w:rPr>
        <w:t>88</w:t>
      </w:r>
      <w:r w:rsidRPr="0011735A">
        <w:rPr>
          <w:b/>
          <w:snapToGrid/>
          <w:color w:val="231F20"/>
          <w:kern w:val="0"/>
          <w:szCs w:val="22"/>
        </w:rPr>
        <w:t xml:space="preserve"> (filed </w:t>
      </w:r>
      <w:r>
        <w:rPr>
          <w:b/>
          <w:snapToGrid/>
          <w:color w:val="231F20"/>
          <w:kern w:val="0"/>
          <w:szCs w:val="22"/>
        </w:rPr>
        <w:t>Nov</w:t>
      </w:r>
      <w:r w:rsidR="00170171">
        <w:rPr>
          <w:b/>
          <w:snapToGrid/>
          <w:color w:val="231F20"/>
          <w:kern w:val="0"/>
          <w:szCs w:val="22"/>
        </w:rPr>
        <w:t>. 2</w:t>
      </w:r>
      <w:r>
        <w:rPr>
          <w:b/>
          <w:snapToGrid/>
          <w:color w:val="231F20"/>
          <w:kern w:val="0"/>
          <w:szCs w:val="22"/>
        </w:rPr>
        <w:t>0</w:t>
      </w:r>
      <w:r w:rsidRPr="0011735A">
        <w:rPr>
          <w:b/>
          <w:snapToGrid/>
          <w:color w:val="231F20"/>
          <w:kern w:val="0"/>
          <w:szCs w:val="22"/>
        </w:rPr>
        <w:t>, 20</w:t>
      </w:r>
      <w:r>
        <w:rPr>
          <w:b/>
          <w:snapToGrid/>
          <w:color w:val="231F20"/>
          <w:kern w:val="0"/>
          <w:szCs w:val="22"/>
        </w:rPr>
        <w:t>20</w:t>
      </w:r>
      <w:r w:rsidRPr="0011735A">
        <w:rPr>
          <w:b/>
          <w:snapToGrid/>
          <w:color w:val="231F20"/>
          <w:kern w:val="0"/>
          <w:szCs w:val="22"/>
        </w:rPr>
        <w:t>)</w:t>
      </w:r>
      <w:r>
        <w:rPr>
          <w:snapToGrid/>
          <w:color w:val="231F20"/>
          <w:kern w:val="0"/>
          <w:szCs w:val="22"/>
        </w:rPr>
        <w:t xml:space="preserve">:  </w:t>
      </w:r>
      <w:bookmarkEnd w:id="2"/>
      <w:r>
        <w:rPr>
          <w:snapToGrid/>
          <w:color w:val="231F20"/>
          <w:kern w:val="0"/>
          <w:szCs w:val="22"/>
        </w:rPr>
        <w:t xml:space="preserve">On November </w:t>
      </w:r>
      <w:r>
        <w:rPr>
          <w:snapToGrid/>
          <w:color w:val="231F20"/>
          <w:kern w:val="0"/>
          <w:szCs w:val="22"/>
        </w:rPr>
        <w:t>30</w:t>
      </w:r>
      <w:r>
        <w:rPr>
          <w:snapToGrid/>
          <w:color w:val="231F20"/>
          <w:kern w:val="0"/>
          <w:szCs w:val="22"/>
        </w:rPr>
        <w:t>, 20</w:t>
      </w:r>
      <w:r>
        <w:rPr>
          <w:snapToGrid/>
          <w:color w:val="231F20"/>
          <w:kern w:val="0"/>
          <w:szCs w:val="22"/>
        </w:rPr>
        <w:t>20</w:t>
      </w:r>
      <w:r>
        <w:rPr>
          <w:snapToGrid/>
          <w:color w:val="231F20"/>
          <w:kern w:val="0"/>
          <w:szCs w:val="22"/>
        </w:rPr>
        <w:t xml:space="preserve">, the Bureau released a Public Notice </w:t>
      </w:r>
      <w:r w:rsidR="008B4602">
        <w:rPr>
          <w:snapToGrid/>
          <w:color w:val="231F20"/>
          <w:kern w:val="0"/>
          <w:szCs w:val="22"/>
        </w:rPr>
        <w:t>seeking</w:t>
      </w:r>
      <w:r>
        <w:rPr>
          <w:snapToGrid/>
          <w:color w:val="231F20"/>
          <w:kern w:val="0"/>
          <w:szCs w:val="22"/>
        </w:rPr>
        <w:t xml:space="preserve"> </w:t>
      </w:r>
      <w:bookmarkStart w:id="3" w:name="_Hlk26972772"/>
      <w:r>
        <w:rPr>
          <w:snapToGrid/>
          <w:color w:val="231F20"/>
          <w:kern w:val="0"/>
          <w:szCs w:val="22"/>
        </w:rPr>
        <w:t xml:space="preserve">comment on an application filed by </w:t>
      </w:r>
      <w:bookmarkEnd w:id="3"/>
      <w:r w:rsidRPr="003A4573">
        <w:rPr>
          <w:snapToGrid/>
          <w:kern w:val="0"/>
          <w:szCs w:val="22"/>
        </w:rPr>
        <w:t>Southern Kansas Telephone Company, Inc. (Southern Kansas) and SKT, Inc. (SKT) on behalf of their current stockholders and Twin Valley Management, Inc. (TVM), pursuant to section 214 of the Communications Act of 1934, as amended, and sections 63.03-04 of the Commission’s rules, requesting consent to transfer control of Southern Kansas and SKT to TVM.</w:t>
      </w:r>
      <w:r>
        <w:rPr>
          <w:snapToGrid/>
          <w:kern w:val="0"/>
          <w:szCs w:val="22"/>
          <w:vertAlign w:val="superscript"/>
        </w:rPr>
        <w:footnoteReference w:id="4"/>
      </w:r>
      <w:r w:rsidR="0011735A">
        <w:rPr>
          <w:rFonts w:ascii="TimesNewRomanPSMT" w:hAnsi="TimesNewRomanPSMT" w:cs="TimesNewRomanPSMT"/>
          <w:szCs w:val="22"/>
        </w:rPr>
        <w:t xml:space="preserve"> </w:t>
      </w:r>
      <w:r>
        <w:rPr>
          <w:snapToGrid/>
          <w:color w:val="231F20"/>
          <w:kern w:val="0"/>
          <w:szCs w:val="22"/>
        </w:rPr>
        <w:t xml:space="preserve"> </w:t>
      </w:r>
    </w:p>
    <w:p w:rsidR="00C75CE6" w:rsidP="003A4573" w14:paraId="4DB672FD" w14:textId="77777777">
      <w:pPr>
        <w:widowControl/>
        <w:autoSpaceDE w:val="0"/>
        <w:autoSpaceDN w:val="0"/>
        <w:adjustRightInd w:val="0"/>
        <w:ind w:firstLine="720"/>
        <w:rPr>
          <w:snapToGrid/>
          <w:color w:val="231F20"/>
          <w:kern w:val="0"/>
          <w:szCs w:val="22"/>
        </w:rPr>
      </w:pPr>
    </w:p>
    <w:p w:rsidR="003A4573" w:rsidRPr="00681626" w:rsidP="00681626" w14:paraId="3CCA6F44" w14:textId="59978BDC">
      <w:pPr>
        <w:widowControl/>
        <w:autoSpaceDE w:val="0"/>
        <w:autoSpaceDN w:val="0"/>
        <w:adjustRightInd w:val="0"/>
        <w:spacing w:after="120"/>
        <w:ind w:firstLine="720"/>
        <w:rPr>
          <w:snapToGrid/>
          <w:kern w:val="0"/>
          <w:szCs w:val="22"/>
        </w:rPr>
      </w:pPr>
      <w:r w:rsidRPr="003A4573">
        <w:rPr>
          <w:snapToGrid/>
          <w:kern w:val="0"/>
          <w:szCs w:val="22"/>
        </w:rPr>
        <w:t>Southern Kansas, a Kansas corporation, provides telecommunications services as an incumbent local exchange carrier (LEC) to approximately 2,494 access lines in south central and southeastern Kansas.</w:t>
      </w:r>
      <w:r>
        <w:rPr>
          <w:snapToGrid/>
          <w:kern w:val="0"/>
          <w:szCs w:val="22"/>
          <w:vertAlign w:val="superscript"/>
        </w:rPr>
        <w:footnoteReference w:id="5"/>
      </w:r>
      <w:r w:rsidRPr="003A4573">
        <w:rPr>
          <w:snapToGrid/>
          <w:kern w:val="0"/>
          <w:szCs w:val="22"/>
        </w:rPr>
        <w:t xml:space="preserve">  </w:t>
      </w:r>
      <w:bookmarkStart w:id="4" w:name="_Hlk26973255"/>
      <w:r w:rsidR="000A26AA">
        <w:rPr>
          <w:snapToGrid/>
          <w:kern w:val="0"/>
          <w:szCs w:val="22"/>
        </w:rPr>
        <w:t xml:space="preserve">Southern Kansas </w:t>
      </w:r>
      <w:bookmarkStart w:id="5" w:name="_Hlk60834742"/>
      <w:r w:rsidR="000A26AA">
        <w:rPr>
          <w:snapToGrid/>
          <w:kern w:val="0"/>
          <w:szCs w:val="22"/>
        </w:rPr>
        <w:t xml:space="preserve">did not elect to receive model-based support and </w:t>
      </w:r>
      <w:r w:rsidR="000A26AA">
        <w:rPr>
          <w:szCs w:val="22"/>
        </w:rPr>
        <w:t xml:space="preserve">receives cost-based universal service support for </w:t>
      </w:r>
      <w:r w:rsidR="00867530">
        <w:rPr>
          <w:szCs w:val="22"/>
        </w:rPr>
        <w:t xml:space="preserve">voice and </w:t>
      </w:r>
      <w:r w:rsidR="00C71123">
        <w:rPr>
          <w:szCs w:val="22"/>
        </w:rPr>
        <w:t>broadband</w:t>
      </w:r>
      <w:r w:rsidR="000A26AA">
        <w:rPr>
          <w:szCs w:val="22"/>
        </w:rPr>
        <w:t xml:space="preserve"> services.</w:t>
      </w:r>
      <w:r>
        <w:rPr>
          <w:rStyle w:val="FootnoteReference"/>
          <w:szCs w:val="22"/>
        </w:rPr>
        <w:footnoteReference w:id="6"/>
      </w:r>
      <w:bookmarkEnd w:id="4"/>
      <w:bookmarkEnd w:id="5"/>
      <w:r w:rsidR="000A26AA">
        <w:rPr>
          <w:szCs w:val="22"/>
        </w:rPr>
        <w:t xml:space="preserve">  </w:t>
      </w:r>
      <w:r w:rsidRPr="003A4573">
        <w:rPr>
          <w:snapToGrid/>
          <w:kern w:val="0"/>
          <w:szCs w:val="22"/>
        </w:rPr>
        <w:t>SKT, a Kansas corporation and an affiliate of Southern Kansas, provides competitive LEC services to approximately 710 access lines in south central and southeastern Kansas.</w:t>
      </w:r>
      <w:r>
        <w:rPr>
          <w:rStyle w:val="FootnoteReference"/>
          <w:snapToGrid/>
          <w:kern w:val="0"/>
          <w:szCs w:val="22"/>
        </w:rPr>
        <w:footnoteReference w:id="7"/>
      </w:r>
      <w:r w:rsidRPr="003A4573">
        <w:rPr>
          <w:snapToGrid/>
          <w:kern w:val="0"/>
          <w:szCs w:val="22"/>
        </w:rPr>
        <w:t xml:space="preserve">  </w:t>
      </w:r>
    </w:p>
    <w:p w:rsidR="003A4573" w:rsidRPr="003A4573" w:rsidP="003A4573" w14:paraId="757B9E86" w14:textId="2BE4D450">
      <w:pPr>
        <w:widowControl/>
        <w:autoSpaceDE w:val="0"/>
        <w:autoSpaceDN w:val="0"/>
        <w:adjustRightInd w:val="0"/>
        <w:spacing w:after="120"/>
        <w:ind w:firstLine="720"/>
        <w:rPr>
          <w:snapToGrid/>
          <w:kern w:val="0"/>
          <w:szCs w:val="22"/>
        </w:rPr>
      </w:pPr>
      <w:r w:rsidRPr="003A4573">
        <w:rPr>
          <w:snapToGrid/>
          <w:kern w:val="0"/>
          <w:szCs w:val="22"/>
        </w:rPr>
        <w:t>TVM, a Kansas corporation, operates as a holding company.</w:t>
      </w:r>
      <w:r>
        <w:rPr>
          <w:rStyle w:val="FootnoteReference"/>
          <w:snapToGrid/>
          <w:kern w:val="0"/>
          <w:szCs w:val="22"/>
        </w:rPr>
        <w:footnoteReference w:id="8"/>
      </w:r>
      <w:r w:rsidRPr="003A4573">
        <w:rPr>
          <w:snapToGrid/>
          <w:kern w:val="0"/>
          <w:szCs w:val="22"/>
        </w:rPr>
        <w:t xml:space="preserve"> </w:t>
      </w:r>
      <w:r w:rsidR="00CE347A">
        <w:rPr>
          <w:snapToGrid/>
          <w:kern w:val="0"/>
          <w:szCs w:val="22"/>
        </w:rPr>
        <w:t xml:space="preserve"> </w:t>
      </w:r>
      <w:r w:rsidRPr="003A4573">
        <w:rPr>
          <w:snapToGrid/>
          <w:kern w:val="0"/>
          <w:szCs w:val="22"/>
        </w:rPr>
        <w:t>TVM wholly owns Twin Vall</w:t>
      </w:r>
      <w:bookmarkStart w:id="6" w:name="_GoBack"/>
      <w:bookmarkEnd w:id="6"/>
      <w:r w:rsidRPr="003A4573">
        <w:rPr>
          <w:snapToGrid/>
          <w:kern w:val="0"/>
          <w:szCs w:val="22"/>
        </w:rPr>
        <w:t>ey Telephone, Inc. (TVT), a Kansas corporation that provides telecommunications services as an incumbent LEC to approximately 3,306 access lines in north central Kansas.</w:t>
      </w:r>
      <w:r>
        <w:rPr>
          <w:snapToGrid/>
          <w:kern w:val="0"/>
          <w:szCs w:val="22"/>
          <w:vertAlign w:val="superscript"/>
        </w:rPr>
        <w:footnoteReference w:id="9"/>
      </w:r>
      <w:r w:rsidRPr="003A4573">
        <w:rPr>
          <w:snapToGrid/>
          <w:kern w:val="0"/>
          <w:szCs w:val="22"/>
        </w:rPr>
        <w:t xml:space="preserve">  </w:t>
      </w:r>
      <w:r w:rsidR="00691F10">
        <w:rPr>
          <w:snapToGrid/>
          <w:kern w:val="0"/>
          <w:szCs w:val="22"/>
        </w:rPr>
        <w:t>TVT</w:t>
      </w:r>
      <w:r w:rsidR="00D270BE">
        <w:rPr>
          <w:snapToGrid/>
          <w:kern w:val="0"/>
          <w:szCs w:val="22"/>
        </w:rPr>
        <w:t xml:space="preserve"> </w:t>
      </w:r>
      <w:bookmarkStart w:id="7" w:name="_Hlk60835109"/>
      <w:r w:rsidR="00D270BE">
        <w:rPr>
          <w:snapToGrid/>
          <w:kern w:val="0"/>
          <w:szCs w:val="22"/>
        </w:rPr>
        <w:t xml:space="preserve">elected to receive universal service support under the </w:t>
      </w:r>
      <w:r w:rsidRPr="006650A4" w:rsidR="00AD288C">
        <w:t xml:space="preserve">Alternative Connect America Cost Model (A-CAM) </w:t>
      </w:r>
      <w:r w:rsidRPr="00B37F79" w:rsidR="00B33332">
        <w:rPr>
          <w:snapToGrid/>
          <w:kern w:val="0"/>
          <w:szCs w:val="22"/>
        </w:rPr>
        <w:t>II</w:t>
      </w:r>
      <w:r w:rsidRPr="00B37F79" w:rsidR="00D270BE">
        <w:rPr>
          <w:snapToGrid/>
          <w:kern w:val="0"/>
          <w:szCs w:val="22"/>
        </w:rPr>
        <w:t>.</w:t>
      </w:r>
      <w:r>
        <w:rPr>
          <w:rStyle w:val="FootnoteReference"/>
          <w:snapToGrid/>
          <w:kern w:val="0"/>
          <w:szCs w:val="22"/>
        </w:rPr>
        <w:footnoteReference w:id="10"/>
      </w:r>
      <w:r w:rsidR="00D270BE">
        <w:rPr>
          <w:snapToGrid/>
          <w:kern w:val="0"/>
          <w:szCs w:val="22"/>
        </w:rPr>
        <w:t xml:space="preserve">  </w:t>
      </w:r>
      <w:bookmarkEnd w:id="7"/>
      <w:r w:rsidR="00AD288C">
        <w:rPr>
          <w:snapToGrid/>
          <w:kern w:val="0"/>
          <w:szCs w:val="22"/>
        </w:rPr>
        <w:t>Twin Valley Communications, Inc. (</w:t>
      </w:r>
      <w:r w:rsidRPr="003A4573">
        <w:rPr>
          <w:snapToGrid/>
          <w:kern w:val="0"/>
          <w:szCs w:val="22"/>
        </w:rPr>
        <w:t>TVC</w:t>
      </w:r>
      <w:r w:rsidR="00AD288C">
        <w:rPr>
          <w:snapToGrid/>
          <w:kern w:val="0"/>
          <w:szCs w:val="22"/>
        </w:rPr>
        <w:t>)</w:t>
      </w:r>
      <w:r w:rsidRPr="003A4573">
        <w:rPr>
          <w:snapToGrid/>
          <w:kern w:val="0"/>
          <w:szCs w:val="22"/>
        </w:rPr>
        <w:t>, a Kansas corporation and a wholly owned subsidiary of TVM, provides competitive LEC services to approximately 750 access lines in north central Kansas.</w:t>
      </w:r>
      <w:r>
        <w:rPr>
          <w:rStyle w:val="FootnoteReference"/>
          <w:snapToGrid/>
          <w:kern w:val="0"/>
          <w:szCs w:val="22"/>
        </w:rPr>
        <w:footnoteReference w:id="11"/>
      </w:r>
      <w:r w:rsidRPr="003A4573">
        <w:rPr>
          <w:snapToGrid/>
          <w:kern w:val="0"/>
          <w:szCs w:val="22"/>
        </w:rPr>
        <w:t xml:space="preserve">  </w:t>
      </w:r>
      <w:r w:rsidR="00D270BE">
        <w:rPr>
          <w:snapToGrid/>
          <w:kern w:val="0"/>
          <w:szCs w:val="22"/>
        </w:rPr>
        <w:t xml:space="preserve">TVC receives </w:t>
      </w:r>
      <w:r w:rsidR="00AD288C">
        <w:rPr>
          <w:snapToGrid/>
          <w:kern w:val="0"/>
          <w:szCs w:val="22"/>
        </w:rPr>
        <w:t>Connect America Fund (</w:t>
      </w:r>
      <w:r w:rsidR="00D270BE">
        <w:rPr>
          <w:snapToGrid/>
          <w:kern w:val="0"/>
          <w:szCs w:val="22"/>
        </w:rPr>
        <w:t>CAF</w:t>
      </w:r>
      <w:r w:rsidR="00AD288C">
        <w:rPr>
          <w:snapToGrid/>
          <w:kern w:val="0"/>
          <w:szCs w:val="22"/>
        </w:rPr>
        <w:t>)</w:t>
      </w:r>
      <w:r w:rsidR="00D270BE">
        <w:rPr>
          <w:snapToGrid/>
          <w:kern w:val="0"/>
          <w:szCs w:val="22"/>
        </w:rPr>
        <w:t xml:space="preserve"> Phase II support.</w:t>
      </w:r>
      <w:r>
        <w:rPr>
          <w:rStyle w:val="FootnoteReference"/>
          <w:snapToGrid/>
          <w:kern w:val="0"/>
          <w:szCs w:val="22"/>
        </w:rPr>
        <w:footnoteReference w:id="12"/>
      </w:r>
      <w:r w:rsidR="00D270BE">
        <w:rPr>
          <w:snapToGrid/>
          <w:kern w:val="0"/>
          <w:szCs w:val="22"/>
        </w:rPr>
        <w:t xml:space="preserve">  </w:t>
      </w:r>
      <w:r w:rsidRPr="003A4573">
        <w:rPr>
          <w:snapToGrid/>
          <w:kern w:val="0"/>
          <w:szCs w:val="22"/>
        </w:rPr>
        <w:t xml:space="preserve">The </w:t>
      </w:r>
      <w:bookmarkStart w:id="8" w:name="_Hlk57119187"/>
      <w:r w:rsidRPr="003A4573">
        <w:rPr>
          <w:snapToGrid/>
          <w:kern w:val="0"/>
          <w:szCs w:val="22"/>
        </w:rPr>
        <w:t>John G. Foster Trust No. 2</w:t>
      </w:r>
      <w:bookmarkEnd w:id="8"/>
      <w:r w:rsidRPr="003A4573">
        <w:rPr>
          <w:snapToGrid/>
          <w:kern w:val="0"/>
          <w:szCs w:val="22"/>
        </w:rPr>
        <w:t>, a Kansas Trust, holds a 26.57% interest in TVM.</w:t>
      </w:r>
      <w:r>
        <w:rPr>
          <w:rStyle w:val="FootnoteReference"/>
          <w:snapToGrid/>
          <w:kern w:val="0"/>
          <w:szCs w:val="22"/>
        </w:rPr>
        <w:footnoteReference w:id="13"/>
      </w:r>
      <w:r w:rsidRPr="003A4573">
        <w:rPr>
          <w:snapToGrid/>
          <w:kern w:val="0"/>
          <w:szCs w:val="22"/>
        </w:rPr>
        <w:t xml:space="preserve">  </w:t>
      </w:r>
      <w:r w:rsidR="006D0808">
        <w:rPr>
          <w:szCs w:val="22"/>
        </w:rPr>
        <w:t>Applicants state that TVT’s service area does not overlap with or have any adjacent borders with the service areas of Southern Kansas or SKT.</w:t>
      </w:r>
      <w:r>
        <w:rPr>
          <w:rStyle w:val="FootnoteReference"/>
          <w:snapToGrid/>
          <w:kern w:val="0"/>
          <w:szCs w:val="22"/>
        </w:rPr>
        <w:footnoteReference w:id="14"/>
      </w:r>
      <w:r w:rsidR="006932F7">
        <w:rPr>
          <w:snapToGrid/>
          <w:kern w:val="0"/>
          <w:szCs w:val="22"/>
        </w:rPr>
        <w:t xml:space="preserve"> </w:t>
      </w:r>
    </w:p>
    <w:p w:rsidR="006A65D3" w:rsidP="006D1EC3" w14:paraId="0BF12177" w14:textId="77777777">
      <w:pPr>
        <w:widowControl/>
        <w:rPr>
          <w:b/>
        </w:rPr>
      </w:pPr>
    </w:p>
    <w:p w:rsidR="00AD288C" w:rsidP="009518D3" w14:paraId="2532CAFA" w14:textId="75796B62">
      <w:pPr>
        <w:autoSpaceDE w:val="0"/>
        <w:autoSpaceDN w:val="0"/>
        <w:adjustRightInd w:val="0"/>
        <w:spacing w:after="120"/>
        <w:ind w:firstLine="720"/>
        <w:rPr>
          <w:snapToGrid/>
          <w:kern w:val="0"/>
          <w:szCs w:val="22"/>
        </w:rPr>
      </w:pPr>
      <w:r w:rsidRPr="0011735A">
        <w:rPr>
          <w:b/>
          <w:snapToGrid/>
          <w:color w:val="231F20"/>
          <w:kern w:val="0"/>
          <w:szCs w:val="22"/>
        </w:rPr>
        <w:t xml:space="preserve">Domestic Section 214 Application Filed for the Transfer of Control of </w:t>
      </w:r>
      <w:r w:rsidR="009518D3">
        <w:rPr>
          <w:b/>
          <w:snapToGrid/>
          <w:color w:val="231F20"/>
          <w:kern w:val="0"/>
          <w:szCs w:val="22"/>
        </w:rPr>
        <w:t>Lavaca</w:t>
      </w:r>
      <w:r w:rsidR="00961A50">
        <w:rPr>
          <w:b/>
          <w:snapToGrid/>
          <w:color w:val="231F20"/>
          <w:kern w:val="0"/>
          <w:szCs w:val="22"/>
        </w:rPr>
        <w:t xml:space="preserve"> Telephone Company, Inc.</w:t>
      </w:r>
      <w:r>
        <w:rPr>
          <w:b/>
          <w:snapToGrid/>
          <w:color w:val="231F20"/>
          <w:kern w:val="0"/>
          <w:szCs w:val="22"/>
        </w:rPr>
        <w:t xml:space="preserve"> to </w:t>
      </w:r>
      <w:r w:rsidR="00961A50">
        <w:rPr>
          <w:b/>
          <w:snapToGrid/>
          <w:color w:val="231F20"/>
          <w:kern w:val="0"/>
          <w:szCs w:val="22"/>
        </w:rPr>
        <w:t>Dobson Technologies, Inc.</w:t>
      </w:r>
      <w:r w:rsidRPr="0011735A">
        <w:rPr>
          <w:b/>
          <w:snapToGrid/>
          <w:color w:val="231F20"/>
          <w:kern w:val="0"/>
          <w:szCs w:val="22"/>
        </w:rPr>
        <w:t xml:space="preserve">, WC Docket No. </w:t>
      </w:r>
      <w:r w:rsidR="00961A50">
        <w:rPr>
          <w:b/>
          <w:snapToGrid/>
          <w:color w:val="231F20"/>
          <w:kern w:val="0"/>
          <w:szCs w:val="22"/>
        </w:rPr>
        <w:t>20</w:t>
      </w:r>
      <w:r w:rsidRPr="0011735A">
        <w:rPr>
          <w:b/>
          <w:snapToGrid/>
          <w:color w:val="231F20"/>
          <w:kern w:val="0"/>
          <w:szCs w:val="22"/>
        </w:rPr>
        <w:t>-3</w:t>
      </w:r>
      <w:r w:rsidR="00961A50">
        <w:rPr>
          <w:b/>
          <w:snapToGrid/>
          <w:color w:val="231F20"/>
          <w:kern w:val="0"/>
          <w:szCs w:val="22"/>
        </w:rPr>
        <w:t>89</w:t>
      </w:r>
      <w:r w:rsidRPr="0011735A">
        <w:rPr>
          <w:b/>
          <w:snapToGrid/>
          <w:color w:val="231F20"/>
          <w:kern w:val="0"/>
          <w:szCs w:val="22"/>
        </w:rPr>
        <w:t xml:space="preserve"> (filed </w:t>
      </w:r>
      <w:r>
        <w:rPr>
          <w:b/>
          <w:snapToGrid/>
          <w:color w:val="231F20"/>
          <w:kern w:val="0"/>
          <w:szCs w:val="22"/>
        </w:rPr>
        <w:t>Nov. 20, 2020</w:t>
      </w:r>
      <w:r w:rsidRPr="0011735A">
        <w:rPr>
          <w:b/>
          <w:snapToGrid/>
          <w:color w:val="231F20"/>
          <w:kern w:val="0"/>
          <w:szCs w:val="22"/>
        </w:rPr>
        <w:t>)</w:t>
      </w:r>
      <w:r>
        <w:rPr>
          <w:snapToGrid/>
          <w:color w:val="231F20"/>
          <w:kern w:val="0"/>
          <w:szCs w:val="22"/>
        </w:rPr>
        <w:t xml:space="preserve">:  </w:t>
      </w:r>
      <w:r w:rsidR="00493979">
        <w:rPr>
          <w:snapToGrid/>
          <w:color w:val="231F20"/>
          <w:kern w:val="0"/>
          <w:szCs w:val="22"/>
        </w:rPr>
        <w:t xml:space="preserve">On December 9, 2020, </w:t>
      </w:r>
      <w:r w:rsidR="006E6312">
        <w:rPr>
          <w:snapToGrid/>
          <w:color w:val="231F20"/>
          <w:kern w:val="0"/>
          <w:szCs w:val="22"/>
        </w:rPr>
        <w:t xml:space="preserve">the Bureau released a Public Notice </w:t>
      </w:r>
      <w:r w:rsidRPr="00F343D0" w:rsidR="00F343D0">
        <w:rPr>
          <w:snapToGrid/>
          <w:kern w:val="0"/>
          <w:szCs w:val="22"/>
        </w:rPr>
        <w:t>seek</w:t>
      </w:r>
      <w:r w:rsidR="004377A1">
        <w:rPr>
          <w:snapToGrid/>
          <w:kern w:val="0"/>
          <w:szCs w:val="22"/>
        </w:rPr>
        <w:t>ing</w:t>
      </w:r>
      <w:r w:rsidRPr="00F343D0" w:rsidR="00F343D0">
        <w:rPr>
          <w:snapToGrid/>
          <w:kern w:val="0"/>
          <w:szCs w:val="22"/>
        </w:rPr>
        <w:t xml:space="preserve"> comment on an application filed by Lavaca Telephone Company, Inc. d/b/a Pinnacle Communications (Lavaca) and Dobson Technologies, Inc. (Dobson), pursuant to section 214 of the Communications Act of 1934, as amended, and sections 63.03-04 of the Commission’s rules, requesting consent to transfer control of Lavaca and its subsidiaries, Pinnacle Telecom, LLC (Pinnacle) and Vantage Telecom LLC d/b/a Pinnacle Telecom (Vantage), to Dobson.</w:t>
      </w:r>
      <w:r>
        <w:rPr>
          <w:snapToGrid/>
          <w:kern w:val="0"/>
          <w:szCs w:val="22"/>
          <w:vertAlign w:val="superscript"/>
        </w:rPr>
        <w:footnoteReference w:id="15"/>
      </w:r>
      <w:r w:rsidR="008F66AA">
        <w:rPr>
          <w:snapToGrid/>
          <w:kern w:val="0"/>
          <w:szCs w:val="22"/>
        </w:rPr>
        <w:t xml:space="preserve">  </w:t>
      </w:r>
    </w:p>
    <w:p w:rsidR="009518D3" w:rsidRPr="009518D3" w:rsidP="009518D3" w14:paraId="4C73CF04" w14:textId="51859933">
      <w:pPr>
        <w:autoSpaceDE w:val="0"/>
        <w:autoSpaceDN w:val="0"/>
        <w:adjustRightInd w:val="0"/>
        <w:spacing w:after="120"/>
        <w:ind w:firstLine="720"/>
        <w:rPr>
          <w:rFonts w:ascii="TimesNewRomanPSMT" w:hAnsi="TimesNewRomanPSMT" w:cs="TimesNewRomanPSMT"/>
          <w:snapToGrid/>
          <w:kern w:val="0"/>
          <w:szCs w:val="22"/>
        </w:rPr>
      </w:pPr>
      <w:r w:rsidRPr="009518D3">
        <w:rPr>
          <w:rFonts w:ascii="TimesNewRomanPSMT" w:hAnsi="TimesNewRomanPSMT" w:cs="TimesNewRomanPSMT"/>
          <w:snapToGrid/>
          <w:kern w:val="0"/>
          <w:szCs w:val="22"/>
        </w:rPr>
        <w:t>Lavaca, an Arkansas corporation, provides service as an incumbent LEC to approximately 1,748 access lines in the Lavaca exchange in rural western Arkansas and the Panama/Shady Point exchange in rural eastern Oklahoma.</w:t>
      </w:r>
      <w:r>
        <w:rPr>
          <w:rStyle w:val="FootnoteReference"/>
          <w:rFonts w:cs="TimesNewRomanPSMT"/>
          <w:snapToGrid/>
          <w:kern w:val="0"/>
          <w:szCs w:val="22"/>
        </w:rPr>
        <w:footnoteReference w:id="16"/>
      </w:r>
      <w:r w:rsidR="00961A50">
        <w:rPr>
          <w:rFonts w:ascii="TimesNewRomanPSMT" w:hAnsi="TimesNewRomanPSMT" w:cs="TimesNewRomanPSMT"/>
          <w:snapToGrid/>
          <w:kern w:val="0"/>
          <w:szCs w:val="22"/>
        </w:rPr>
        <w:t xml:space="preserve">  Lavaca</w:t>
      </w:r>
      <w:r w:rsidRPr="009518D3">
        <w:rPr>
          <w:rFonts w:ascii="TimesNewRomanPSMT" w:hAnsi="TimesNewRomanPSMT" w:cs="TimesNewRomanPSMT"/>
          <w:snapToGrid/>
          <w:kern w:val="0"/>
          <w:szCs w:val="22"/>
        </w:rPr>
        <w:t xml:space="preserve"> </w:t>
      </w:r>
      <w:bookmarkStart w:id="9" w:name="_Hlk60835843"/>
      <w:r w:rsidR="00961A50">
        <w:rPr>
          <w:snapToGrid/>
          <w:kern w:val="0"/>
          <w:szCs w:val="22"/>
        </w:rPr>
        <w:t xml:space="preserve">did not elect to receive model-based support and </w:t>
      </w:r>
      <w:r w:rsidR="00961A50">
        <w:rPr>
          <w:szCs w:val="22"/>
        </w:rPr>
        <w:t>receives cost-based universal service support for</w:t>
      </w:r>
      <w:r w:rsidR="00B62D18">
        <w:rPr>
          <w:szCs w:val="22"/>
        </w:rPr>
        <w:t xml:space="preserve"> voice and broadband services</w:t>
      </w:r>
      <w:r w:rsidR="00961A50">
        <w:rPr>
          <w:szCs w:val="22"/>
        </w:rPr>
        <w:t>.</w:t>
      </w:r>
      <w:bookmarkStart w:id="10" w:name="_Hlk60835886"/>
      <w:bookmarkEnd w:id="9"/>
      <w:r>
        <w:rPr>
          <w:rStyle w:val="FootnoteReference"/>
          <w:szCs w:val="22"/>
        </w:rPr>
        <w:footnoteReference w:id="17"/>
      </w:r>
      <w:r w:rsidR="00961A50">
        <w:rPr>
          <w:szCs w:val="22"/>
        </w:rPr>
        <w:t xml:space="preserve"> </w:t>
      </w:r>
      <w:bookmarkEnd w:id="10"/>
      <w:r w:rsidR="00961A50">
        <w:rPr>
          <w:szCs w:val="22"/>
        </w:rPr>
        <w:t xml:space="preserve"> </w:t>
      </w:r>
      <w:r w:rsidRPr="009518D3">
        <w:rPr>
          <w:rFonts w:ascii="TimesNewRomanPSMT" w:hAnsi="TimesNewRomanPSMT" w:cs="TimesNewRomanPSMT"/>
          <w:snapToGrid/>
          <w:kern w:val="0"/>
          <w:szCs w:val="22"/>
        </w:rPr>
        <w:t>Pinnacle, an Arkansas limited liability company and wholly owned subsidiary of Lavaca, is authorized to provide service as a competitive LEC in Arkansas in areas where it has obtained interconnection agreements, and in limited areas in Oklahoma.</w:t>
      </w:r>
      <w:r>
        <w:rPr>
          <w:rFonts w:ascii="TimesNewRomanPSMT" w:hAnsi="TimesNewRomanPSMT" w:cs="TimesNewRomanPSMT"/>
          <w:snapToGrid/>
          <w:kern w:val="0"/>
          <w:szCs w:val="22"/>
          <w:vertAlign w:val="superscript"/>
        </w:rPr>
        <w:footnoteReference w:id="18"/>
      </w:r>
      <w:r w:rsidRPr="009518D3">
        <w:rPr>
          <w:rFonts w:ascii="TimesNewRomanPSMT" w:hAnsi="TimesNewRomanPSMT" w:cs="TimesNewRomanPSMT"/>
          <w:snapToGrid/>
          <w:kern w:val="0"/>
          <w:szCs w:val="22"/>
        </w:rPr>
        <w:t xml:space="preserve">  Pinnacle holds a 51% membership interest in Vantage, an Arkansas limited liability company, which provides service as a competitive LEC in Arkansas and Oklahoma, as well as wholesale </w:t>
      </w:r>
      <w:r w:rsidRPr="009518D3">
        <w:rPr>
          <w:rFonts w:ascii="TimesNewRomanPSMT" w:hAnsi="TimesNewRomanPSMT" w:cs="TimesNewRomanPSMT"/>
          <w:snapToGrid/>
          <w:kern w:val="0"/>
          <w:szCs w:val="22"/>
        </w:rPr>
        <w:t>telecommunications services in Missouri.</w:t>
      </w:r>
      <w:r>
        <w:rPr>
          <w:rStyle w:val="FootnoteReference"/>
          <w:rFonts w:cs="TimesNewRomanPSMT"/>
          <w:snapToGrid/>
          <w:kern w:val="0"/>
          <w:szCs w:val="22"/>
        </w:rPr>
        <w:footnoteReference w:id="19"/>
      </w:r>
      <w:r w:rsidRPr="009518D3">
        <w:rPr>
          <w:snapToGrid/>
          <w:kern w:val="0"/>
          <w:szCs w:val="22"/>
        </w:rPr>
        <w:t xml:space="preserve"> </w:t>
      </w:r>
    </w:p>
    <w:p w:rsidR="009518D3" w:rsidRPr="009518D3" w:rsidP="009518D3" w14:paraId="11D99E34" w14:textId="53136A87">
      <w:pPr>
        <w:widowControl/>
        <w:autoSpaceDE w:val="0"/>
        <w:autoSpaceDN w:val="0"/>
        <w:adjustRightInd w:val="0"/>
        <w:spacing w:after="120"/>
        <w:ind w:firstLine="720"/>
        <w:rPr>
          <w:snapToGrid/>
          <w:kern w:val="0"/>
          <w:szCs w:val="22"/>
        </w:rPr>
      </w:pPr>
      <w:r w:rsidRPr="009518D3">
        <w:rPr>
          <w:snapToGrid/>
          <w:kern w:val="0"/>
          <w:szCs w:val="22"/>
        </w:rPr>
        <w:t>Dobson, an Oklahoma corporation, through its wholly owned subsidiaries, owns and operates a 4,000-mile fiber optic network in Oklahoma/Texas.</w:t>
      </w:r>
      <w:r>
        <w:rPr>
          <w:rStyle w:val="FootnoteReference"/>
          <w:snapToGrid/>
          <w:kern w:val="0"/>
          <w:szCs w:val="22"/>
        </w:rPr>
        <w:footnoteReference w:id="20"/>
      </w:r>
      <w:r w:rsidRPr="009518D3">
        <w:rPr>
          <w:snapToGrid/>
          <w:kern w:val="0"/>
          <w:szCs w:val="22"/>
        </w:rPr>
        <w:t xml:space="preserve">  Dobson Telephone Company (Dobson Telephone), an Oklahoma corporation and wholly owned subsidiary of Dobson, provides service as an incumbent LEC to approximately 7</w:t>
      </w:r>
      <w:r w:rsidR="00D778C4">
        <w:rPr>
          <w:snapToGrid/>
          <w:kern w:val="0"/>
          <w:szCs w:val="22"/>
        </w:rPr>
        <w:t>,</w:t>
      </w:r>
      <w:r w:rsidRPr="009518D3">
        <w:rPr>
          <w:snapToGrid/>
          <w:kern w:val="0"/>
          <w:szCs w:val="22"/>
        </w:rPr>
        <w:t>291 access lines in western and eastern Oklahoma.</w:t>
      </w:r>
      <w:r>
        <w:rPr>
          <w:rStyle w:val="FootnoteReference"/>
          <w:snapToGrid/>
          <w:kern w:val="0"/>
          <w:szCs w:val="22"/>
        </w:rPr>
        <w:footnoteReference w:id="21"/>
      </w:r>
      <w:r w:rsidRPr="009518D3">
        <w:rPr>
          <w:snapToGrid/>
          <w:kern w:val="0"/>
          <w:szCs w:val="22"/>
        </w:rPr>
        <w:t xml:space="preserve">  </w:t>
      </w:r>
      <w:r w:rsidRPr="00174B4D" w:rsidR="007961F1">
        <w:rPr>
          <w:snapToGrid/>
          <w:kern w:val="0"/>
          <w:szCs w:val="22"/>
        </w:rPr>
        <w:t>Dobson Telephone elected to receive universal service support under the A-CAM</w:t>
      </w:r>
      <w:r w:rsidR="007961F1">
        <w:rPr>
          <w:snapToGrid/>
          <w:kern w:val="0"/>
          <w:szCs w:val="22"/>
        </w:rPr>
        <w:t>.</w:t>
      </w:r>
      <w:r>
        <w:rPr>
          <w:rStyle w:val="FootnoteReference"/>
          <w:snapToGrid/>
          <w:kern w:val="0"/>
          <w:szCs w:val="22"/>
        </w:rPr>
        <w:footnoteReference w:id="22"/>
      </w:r>
      <w:r w:rsidR="007961F1">
        <w:rPr>
          <w:snapToGrid/>
          <w:kern w:val="0"/>
          <w:szCs w:val="22"/>
        </w:rPr>
        <w:t xml:space="preserve">  </w:t>
      </w:r>
      <w:r w:rsidRPr="009518D3">
        <w:rPr>
          <w:snapToGrid/>
          <w:kern w:val="0"/>
          <w:szCs w:val="22"/>
        </w:rPr>
        <w:t xml:space="preserve">Dobson </w:t>
      </w:r>
      <w:bookmarkStart w:id="11" w:name="_Hlk57632695"/>
      <w:r w:rsidRPr="009518D3">
        <w:rPr>
          <w:snapToGrid/>
          <w:kern w:val="0"/>
          <w:szCs w:val="22"/>
        </w:rPr>
        <w:t xml:space="preserve">Technologies-Transport and Telecom Solutions, LLC </w:t>
      </w:r>
      <w:bookmarkEnd w:id="11"/>
      <w:r w:rsidRPr="009518D3">
        <w:rPr>
          <w:snapToGrid/>
          <w:kern w:val="0"/>
          <w:szCs w:val="22"/>
        </w:rPr>
        <w:t>(Dobson Transport), an Oklahoma limited liability company and wholly owned subsidiary of Dobson, provides fiber-based competitive LEC services in Oklahoma and Texas.</w:t>
      </w:r>
      <w:r>
        <w:rPr>
          <w:rStyle w:val="FootnoteReference"/>
          <w:snapToGrid/>
          <w:kern w:val="0"/>
          <w:szCs w:val="22"/>
        </w:rPr>
        <w:footnoteReference w:id="23"/>
      </w:r>
      <w:r w:rsidRPr="009518D3">
        <w:rPr>
          <w:snapToGrid/>
          <w:kern w:val="0"/>
          <w:szCs w:val="22"/>
        </w:rPr>
        <w:t xml:space="preserve"> </w:t>
      </w:r>
      <w:r w:rsidR="00E36E26">
        <w:rPr>
          <w:snapToGrid/>
          <w:kern w:val="0"/>
          <w:szCs w:val="22"/>
        </w:rPr>
        <w:t xml:space="preserve"> </w:t>
      </w:r>
      <w:r w:rsidRPr="009518D3">
        <w:rPr>
          <w:snapToGrid/>
          <w:kern w:val="0"/>
          <w:szCs w:val="22"/>
        </w:rPr>
        <w:t>Applicants state that, post consummation, the following Oklahoma limited partnership and Cayman Islands entity will hold a 10% or greater direct interest in Dobson:  Dobson CC, L.P. (Dobson CC) (77.12% equity and 100% voting interest) and Eight Bar Financial Partners I, L.P. (Eight Bar) (22.88</w:t>
      </w:r>
      <w:r w:rsidR="008D7417">
        <w:rPr>
          <w:snapToGrid/>
          <w:kern w:val="0"/>
          <w:szCs w:val="22"/>
        </w:rPr>
        <w:t>%</w:t>
      </w:r>
      <w:r w:rsidRPr="009518D3">
        <w:rPr>
          <w:snapToGrid/>
          <w:kern w:val="0"/>
          <w:szCs w:val="22"/>
        </w:rPr>
        <w:t xml:space="preserve"> equity interest).</w:t>
      </w:r>
      <w:r>
        <w:rPr>
          <w:snapToGrid/>
          <w:kern w:val="0"/>
          <w:szCs w:val="22"/>
          <w:vertAlign w:val="superscript"/>
        </w:rPr>
        <w:footnoteReference w:id="24"/>
      </w:r>
      <w:r w:rsidRPr="009518D3">
        <w:rPr>
          <w:snapToGrid/>
          <w:kern w:val="0"/>
          <w:szCs w:val="22"/>
        </w:rPr>
        <w:t xml:space="preserve"> </w:t>
      </w:r>
      <w:r w:rsidR="00C31625">
        <w:rPr>
          <w:snapToGrid/>
          <w:kern w:val="0"/>
          <w:szCs w:val="22"/>
        </w:rPr>
        <w:t xml:space="preserve"> </w:t>
      </w:r>
      <w:r w:rsidRPr="007961F1" w:rsidR="007961F1">
        <w:rPr>
          <w:szCs w:val="22"/>
        </w:rPr>
        <w:t>Applicants further state that Dobson CC holds a 32.34% indirect interest in Fort Mojave Telecommunications, Inc.</w:t>
      </w:r>
      <w:r w:rsidR="00B33332">
        <w:rPr>
          <w:szCs w:val="22"/>
        </w:rPr>
        <w:t xml:space="preserve"> (Fort Mojave)</w:t>
      </w:r>
      <w:r w:rsidRPr="007961F1" w:rsidR="007961F1">
        <w:rPr>
          <w:szCs w:val="22"/>
        </w:rPr>
        <w:t>, an incumbent LEC serving the Fort Mojave Indian Tribe in Arizona, California, and Nevada.</w:t>
      </w:r>
      <w:r>
        <w:rPr>
          <w:rStyle w:val="FootnoteReference"/>
          <w:szCs w:val="22"/>
        </w:rPr>
        <w:footnoteReference w:id="25"/>
      </w:r>
      <w:r w:rsidR="007961F1">
        <w:rPr>
          <w:sz w:val="20"/>
        </w:rPr>
        <w:t xml:space="preserve">  </w:t>
      </w:r>
      <w:r w:rsidRPr="00B33332" w:rsidR="00B33332">
        <w:rPr>
          <w:szCs w:val="22"/>
        </w:rPr>
        <w:t>Fort Mojave</w:t>
      </w:r>
      <w:r w:rsidR="00B33332">
        <w:rPr>
          <w:sz w:val="20"/>
        </w:rPr>
        <w:t xml:space="preserve"> </w:t>
      </w:r>
      <w:r w:rsidR="00B33332">
        <w:rPr>
          <w:snapToGrid/>
          <w:kern w:val="0"/>
          <w:szCs w:val="22"/>
        </w:rPr>
        <w:t xml:space="preserve">did not elect to receive model-based support and </w:t>
      </w:r>
      <w:r w:rsidR="00B33332">
        <w:rPr>
          <w:szCs w:val="22"/>
        </w:rPr>
        <w:t xml:space="preserve">receives cost-based universal service support for its </w:t>
      </w:r>
      <w:r w:rsidR="00E94AC3">
        <w:rPr>
          <w:szCs w:val="22"/>
        </w:rPr>
        <w:t>for voice and broadband services.</w:t>
      </w:r>
      <w:r>
        <w:rPr>
          <w:rStyle w:val="FootnoteReference"/>
          <w:szCs w:val="22"/>
        </w:rPr>
        <w:footnoteReference w:id="26"/>
      </w:r>
      <w:r w:rsidR="00701E4C">
        <w:rPr>
          <w:szCs w:val="22"/>
        </w:rPr>
        <w:t xml:space="preserve">  </w:t>
      </w:r>
    </w:p>
    <w:p w:rsidR="0047633D" w:rsidRPr="00A530A3" w:rsidP="0047633D" w14:paraId="50DF67E5" w14:textId="77777777">
      <w:pPr>
        <w:tabs>
          <w:tab w:val="left" w:pos="3210"/>
        </w:tabs>
        <w:ind w:firstLine="720"/>
        <w:rPr>
          <w:snapToGrid/>
          <w:kern w:val="0"/>
          <w:szCs w:val="22"/>
        </w:rPr>
      </w:pPr>
      <w:r w:rsidRPr="00034BE8">
        <w:rPr>
          <w:rFonts w:ascii="TimesNewRomanPSMT" w:hAnsi="TimesNewRomanPSMT" w:cs="TimesNewRomanPSMT"/>
          <w:i/>
          <w:szCs w:val="22"/>
          <w:u w:val="single"/>
        </w:rPr>
        <w:t>Discussion</w:t>
      </w:r>
      <w:r>
        <w:rPr>
          <w:rFonts w:ascii="TimesNewRomanPSMT" w:hAnsi="TimesNewRomanPSMT" w:cs="TimesNewRomanPSMT"/>
          <w:szCs w:val="22"/>
        </w:rPr>
        <w:t xml:space="preserve">.  </w:t>
      </w:r>
      <w:r w:rsidRPr="00A530A3">
        <w:rPr>
          <w:szCs w:val="22"/>
        </w:rPr>
        <w:t>The Applicants request approval to consummate transaction</w:t>
      </w:r>
      <w:r w:rsidR="007069DD">
        <w:rPr>
          <w:szCs w:val="22"/>
        </w:rPr>
        <w:t>s</w:t>
      </w:r>
      <w:r w:rsidRPr="00A530A3">
        <w:rPr>
          <w:szCs w:val="22"/>
        </w:rPr>
        <w:t xml:space="preserve"> involving companies that receive high-cost universal service support under the different mechanisms of fixed model-based support and cost-based support.  The Commission has found that th</w:t>
      </w:r>
      <w:r w:rsidR="00714BDA">
        <w:rPr>
          <w:szCs w:val="22"/>
        </w:rPr>
        <w:t>i</w:t>
      </w:r>
      <w:r w:rsidRPr="00A530A3">
        <w:rPr>
          <w:szCs w:val="22"/>
        </w:rPr>
        <w:t>s type of mixed support transaction could result in potential harm to its goal of ensuring that limited universal service funding is distributed efficiently and effectively.</w:t>
      </w:r>
      <w:r>
        <w:rPr>
          <w:szCs w:val="22"/>
          <w:vertAlign w:val="superscript"/>
        </w:rPr>
        <w:footnoteReference w:id="27"/>
      </w:r>
      <w:r w:rsidRPr="00A530A3">
        <w:rPr>
          <w:szCs w:val="22"/>
        </w:rPr>
        <w:t xml:space="preserve">  </w:t>
      </w:r>
      <w:r w:rsidRPr="00A530A3">
        <w:t>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rStyle w:val="FootnoteReference"/>
        </w:rPr>
        <w:footnoteReference w:id="28"/>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not because of any new investment, expense, or buildout, but rather solely because of the application of accounting procedures.</w:t>
      </w:r>
      <w:r>
        <w:rPr>
          <w:rStyle w:val="FootnoteReference"/>
          <w:snapToGrid/>
          <w:kern w:val="0"/>
          <w:szCs w:val="22"/>
        </w:rPr>
        <w:footnoteReference w:id="29"/>
      </w:r>
      <w:r w:rsidRPr="00A530A3">
        <w:rPr>
          <w:snapToGrid/>
          <w:kern w:val="0"/>
          <w:szCs w:val="22"/>
        </w:rPr>
        <w:t xml:space="preserve">  Such an outcome is inconsistent with the Commission’s general expectation that transactions generate efficiencies that reduce the combined company’s costs.</w:t>
      </w:r>
      <w:r>
        <w:rPr>
          <w:rStyle w:val="FootnoteReference"/>
          <w:snapToGrid/>
          <w:kern w:val="0"/>
          <w:szCs w:val="22"/>
        </w:rPr>
        <w:footnoteReference w:id="30"/>
      </w:r>
      <w:r w:rsidRPr="00A530A3">
        <w:rPr>
          <w:snapToGrid/>
          <w:kern w:val="0"/>
          <w:sz w:val="13"/>
          <w:szCs w:val="13"/>
        </w:rPr>
        <w:t xml:space="preserve">  </w:t>
      </w:r>
      <w:r w:rsidRPr="00A530A3">
        <w:rPr>
          <w:snapToGrid/>
          <w:kern w:val="0"/>
          <w:szCs w:val="22"/>
        </w:rPr>
        <w:t xml:space="preserve"> </w:t>
      </w:r>
      <w:r w:rsidRPr="00A530A3">
        <w:rPr>
          <w:snapToGrid/>
          <w:kern w:val="0"/>
          <w:szCs w:val="22"/>
        </w:rPr>
        <w:t>Moreover, 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31"/>
      </w:r>
    </w:p>
    <w:p w:rsidR="0047633D" w:rsidP="0047633D" w14:paraId="25A1A505" w14:textId="77777777">
      <w:pPr>
        <w:widowControl/>
        <w:autoSpaceDE w:val="0"/>
        <w:autoSpaceDN w:val="0"/>
        <w:adjustRightInd w:val="0"/>
        <w:rPr>
          <w:rFonts w:ascii="TimesNewRomanPSMT" w:hAnsi="TimesNewRomanPSMT" w:cs="TimesNewRomanPSMT"/>
          <w:snapToGrid/>
          <w:kern w:val="0"/>
          <w:szCs w:val="22"/>
        </w:rPr>
      </w:pPr>
    </w:p>
    <w:p w:rsidR="003F2288" w:rsidP="003F2288" w14:paraId="454468B7" w14:textId="77777777">
      <w:pPr>
        <w:tabs>
          <w:tab w:val="left" w:pos="3210"/>
        </w:tabs>
        <w:ind w:firstLine="720"/>
        <w:rPr>
          <w:szCs w:val="22"/>
        </w:rPr>
      </w:pPr>
      <w:r>
        <w:rPr>
          <w:szCs w:val="22"/>
        </w:rPr>
        <w:t xml:space="preserve">In the </w:t>
      </w:r>
      <w:r w:rsidRPr="00496424">
        <w:rPr>
          <w:i/>
          <w:szCs w:val="22"/>
        </w:rPr>
        <w:t>Hargray/ComSouth Order</w:t>
      </w:r>
      <w:r>
        <w:rPr>
          <w:szCs w:val="22"/>
        </w:rPr>
        <w:t xml:space="preserve">, in which the Commission approved a mixed support transaction, it sought to </w:t>
      </w:r>
      <w:r w:rsidRPr="008B3790">
        <w:rPr>
          <w:szCs w:val="22"/>
        </w:rPr>
        <w:t>pr</w:t>
      </w:r>
      <w:r>
        <w:rPr>
          <w:szCs w:val="22"/>
        </w:rPr>
        <w:t>event cost shifting and to pr</w:t>
      </w:r>
      <w:r w:rsidRPr="008B3790">
        <w:rPr>
          <w:szCs w:val="22"/>
        </w:rPr>
        <w:t xml:space="preserve">otect the </w:t>
      </w:r>
      <w:r>
        <w:rPr>
          <w:szCs w:val="22"/>
        </w:rPr>
        <w:t>finite resources of the high-cost universal service fund by imposing a limited condition that capped high-cost universal service support based on the operating expenses of the entity receiving cost-based support.</w:t>
      </w:r>
      <w:r>
        <w:rPr>
          <w:rStyle w:val="FootnoteReference"/>
          <w:szCs w:val="22"/>
        </w:rPr>
        <w:footnoteReference w:id="32"/>
      </w:r>
      <w:r>
        <w:rPr>
          <w:szCs w:val="22"/>
        </w:rPr>
        <w:t xml:space="preserve">  The Commission also </w:t>
      </w:r>
      <w:r w:rsidRPr="008B3790">
        <w:rPr>
          <w:szCs w:val="22"/>
        </w:rPr>
        <w:t xml:space="preserve">directed the Bureau to </w:t>
      </w:r>
      <w:r>
        <w:rPr>
          <w:szCs w:val="22"/>
        </w:rPr>
        <w:t>impose the same limited condition on future transactions between parties receiving different types of high-cost universal service support.</w:t>
      </w:r>
      <w:r>
        <w:rPr>
          <w:szCs w:val="22"/>
          <w:vertAlign w:val="superscript"/>
        </w:rPr>
        <w:footnoteReference w:id="33"/>
      </w:r>
      <w:r w:rsidRPr="008B3790">
        <w:rPr>
          <w:szCs w:val="22"/>
        </w:rPr>
        <w:t xml:space="preserve">  </w:t>
      </w:r>
    </w:p>
    <w:p w:rsidR="003F2288" w:rsidP="003F2288" w14:paraId="6C71FB49" w14:textId="77777777">
      <w:pPr>
        <w:tabs>
          <w:tab w:val="left" w:pos="3210"/>
        </w:tabs>
        <w:ind w:firstLine="720"/>
        <w:rPr>
          <w:szCs w:val="22"/>
        </w:rPr>
      </w:pPr>
    </w:p>
    <w:p w:rsidR="003F2288" w:rsidP="003F2288" w14:paraId="6BC2124F" w14:textId="45FDD7AB">
      <w:pPr>
        <w:tabs>
          <w:tab w:val="left" w:pos="3210"/>
        </w:tabs>
        <w:ind w:firstLine="720"/>
      </w:pPr>
      <w:r>
        <w:rPr>
          <w:szCs w:val="22"/>
        </w:rPr>
        <w:t xml:space="preserve">In the </w:t>
      </w:r>
      <w:r w:rsidR="003E576D">
        <w:rPr>
          <w:szCs w:val="22"/>
        </w:rPr>
        <w:t>TVM</w:t>
      </w:r>
      <w:r w:rsidR="007069DD">
        <w:rPr>
          <w:szCs w:val="22"/>
        </w:rPr>
        <w:t>/</w:t>
      </w:r>
      <w:r w:rsidR="003E576D">
        <w:rPr>
          <w:szCs w:val="22"/>
        </w:rPr>
        <w:t>Southern</w:t>
      </w:r>
      <w:r w:rsidR="0040128A">
        <w:rPr>
          <w:szCs w:val="22"/>
        </w:rPr>
        <w:t xml:space="preserve"> Kansas</w:t>
      </w:r>
      <w:r w:rsidR="007069DD">
        <w:rPr>
          <w:szCs w:val="22"/>
        </w:rPr>
        <w:t xml:space="preserve"> transaction, </w:t>
      </w:r>
      <w:r w:rsidR="0040128A">
        <w:rPr>
          <w:szCs w:val="22"/>
        </w:rPr>
        <w:t>TVM</w:t>
      </w:r>
      <w:r w:rsidR="007069DD">
        <w:rPr>
          <w:szCs w:val="22"/>
        </w:rPr>
        <w:t>, which is affiliated with a</w:t>
      </w:r>
      <w:r w:rsidR="00871124">
        <w:rPr>
          <w:szCs w:val="22"/>
        </w:rPr>
        <w:t xml:space="preserve"> fixed model-based support company</w:t>
      </w:r>
      <w:r w:rsidR="007069DD">
        <w:rPr>
          <w:szCs w:val="22"/>
        </w:rPr>
        <w:t xml:space="preserve">, </w:t>
      </w:r>
      <w:r w:rsidR="00A40A50">
        <w:rPr>
          <w:szCs w:val="22"/>
        </w:rPr>
        <w:t>T</w:t>
      </w:r>
      <w:r w:rsidR="00E56922">
        <w:rPr>
          <w:szCs w:val="22"/>
        </w:rPr>
        <w:t>VT</w:t>
      </w:r>
      <w:r w:rsidR="007069DD">
        <w:rPr>
          <w:szCs w:val="22"/>
        </w:rPr>
        <w:t xml:space="preserve">, seeks to acquire </w:t>
      </w:r>
      <w:r w:rsidR="008448B4">
        <w:rPr>
          <w:szCs w:val="22"/>
        </w:rPr>
        <w:t>Southern Kansas</w:t>
      </w:r>
      <w:r w:rsidR="007069DD">
        <w:rPr>
          <w:szCs w:val="22"/>
        </w:rPr>
        <w:t xml:space="preserve">, </w:t>
      </w:r>
      <w:bookmarkStart w:id="12" w:name="_Hlk60936696"/>
      <w:r w:rsidR="007069DD">
        <w:rPr>
          <w:szCs w:val="22"/>
        </w:rPr>
        <w:t xml:space="preserve">a </w:t>
      </w:r>
      <w:r w:rsidR="008448B4">
        <w:rPr>
          <w:szCs w:val="22"/>
        </w:rPr>
        <w:t>cost-based support company</w:t>
      </w:r>
      <w:bookmarkEnd w:id="12"/>
      <w:r w:rsidR="007069DD">
        <w:rPr>
          <w:szCs w:val="22"/>
        </w:rPr>
        <w:t xml:space="preserve">.  In the </w:t>
      </w:r>
      <w:r w:rsidR="00A8781C">
        <w:rPr>
          <w:szCs w:val="22"/>
        </w:rPr>
        <w:t>Dobson</w:t>
      </w:r>
      <w:r w:rsidR="007069DD">
        <w:rPr>
          <w:szCs w:val="22"/>
        </w:rPr>
        <w:t>/</w:t>
      </w:r>
      <w:r w:rsidR="0070003F">
        <w:rPr>
          <w:szCs w:val="22"/>
        </w:rPr>
        <w:t>Lavaca</w:t>
      </w:r>
      <w:r w:rsidR="007069DD">
        <w:rPr>
          <w:szCs w:val="22"/>
        </w:rPr>
        <w:t xml:space="preserve"> transaction, </w:t>
      </w:r>
      <w:r w:rsidR="0070003F">
        <w:rPr>
          <w:szCs w:val="22"/>
        </w:rPr>
        <w:t>Dobson</w:t>
      </w:r>
      <w:r w:rsidR="007069DD">
        <w:rPr>
          <w:szCs w:val="22"/>
        </w:rPr>
        <w:t xml:space="preserve">, </w:t>
      </w:r>
      <w:r w:rsidR="00E56922">
        <w:rPr>
          <w:szCs w:val="22"/>
        </w:rPr>
        <w:t xml:space="preserve">which is affiliated with </w:t>
      </w:r>
      <w:r w:rsidR="007069DD">
        <w:rPr>
          <w:szCs w:val="22"/>
        </w:rPr>
        <w:t xml:space="preserve">a model-based support company, </w:t>
      </w:r>
      <w:r w:rsidR="00E56922">
        <w:rPr>
          <w:szCs w:val="22"/>
        </w:rPr>
        <w:t xml:space="preserve">Dobson Telephone, and a cost-based support company, Fort Mojave, </w:t>
      </w:r>
      <w:r w:rsidR="007069DD">
        <w:rPr>
          <w:szCs w:val="22"/>
        </w:rPr>
        <w:t xml:space="preserve">seeks to acquire </w:t>
      </w:r>
      <w:r w:rsidR="00C65C75">
        <w:rPr>
          <w:szCs w:val="22"/>
        </w:rPr>
        <w:t>Lavaca</w:t>
      </w:r>
      <w:r w:rsidR="007069DD">
        <w:rPr>
          <w:szCs w:val="22"/>
        </w:rPr>
        <w:t>, a cost-based support company.  T</w:t>
      </w:r>
      <w:r>
        <w:rPr>
          <w:szCs w:val="22"/>
        </w:rPr>
        <w:t>he</w:t>
      </w:r>
      <w:r w:rsidR="007069DD">
        <w:rPr>
          <w:szCs w:val="22"/>
        </w:rPr>
        <w:t>refore, the</w:t>
      </w:r>
      <w:r>
        <w:rPr>
          <w:szCs w:val="22"/>
        </w:rPr>
        <w:t xml:space="preserve"> potential for harm caused by cost-shifting is </w:t>
      </w:r>
      <w:r w:rsidR="007069DD">
        <w:rPr>
          <w:szCs w:val="22"/>
        </w:rPr>
        <w:t xml:space="preserve">specific to both </w:t>
      </w:r>
      <w:r>
        <w:rPr>
          <w:szCs w:val="22"/>
        </w:rPr>
        <w:t>transaction</w:t>
      </w:r>
      <w:r w:rsidR="007069DD">
        <w:rPr>
          <w:szCs w:val="22"/>
        </w:rPr>
        <w:t>s</w:t>
      </w:r>
      <w:r>
        <w:rPr>
          <w:szCs w:val="22"/>
        </w:rPr>
        <w:t xml:space="preserve">.  </w:t>
      </w:r>
      <w:r w:rsidRPr="00C0281C">
        <w:rPr>
          <w:szCs w:val="22"/>
        </w:rPr>
        <w:t>Accordingly, to mitigate the potential for cost shifting, we grant the Application</w:t>
      </w:r>
      <w:r w:rsidR="007069DD">
        <w:rPr>
          <w:szCs w:val="22"/>
        </w:rPr>
        <w:t>s</w:t>
      </w:r>
      <w:r w:rsidRPr="00C0281C">
        <w:rPr>
          <w:szCs w:val="22"/>
        </w:rPr>
        <w:t xml:space="preserve"> subject to the condition adopted in the </w:t>
      </w:r>
      <w:r w:rsidRPr="00C0281C">
        <w:rPr>
          <w:i/>
          <w:szCs w:val="22"/>
        </w:rPr>
        <w:t>Hargray/ComSouth Order</w:t>
      </w:r>
      <w:r w:rsidRPr="00C0281C">
        <w:rPr>
          <w:szCs w:val="22"/>
        </w:rPr>
        <w:t>.</w:t>
      </w:r>
      <w:r>
        <w:rPr>
          <w:rStyle w:val="FootnoteReference"/>
        </w:rPr>
        <w:footnoteReference w:id="34"/>
      </w:r>
      <w:r w:rsidRPr="00C0281C">
        <w:t xml:space="preserve">  </w:t>
      </w:r>
      <w:r w:rsidRPr="00C0281C">
        <w:rPr>
          <w:szCs w:val="22"/>
        </w:rPr>
        <w:t>The combined operating expense</w:t>
      </w:r>
      <w:r>
        <w:rPr>
          <w:szCs w:val="22"/>
        </w:rPr>
        <w:t>s</w:t>
      </w:r>
      <w:r w:rsidRPr="00C0281C">
        <w:rPr>
          <w:szCs w:val="22"/>
        </w:rPr>
        <w:t xml:space="preserve"> of </w:t>
      </w:r>
      <w:r w:rsidR="007069DD">
        <w:rPr>
          <w:szCs w:val="22"/>
        </w:rPr>
        <w:t>each</w:t>
      </w:r>
      <w:r>
        <w:rPr>
          <w:szCs w:val="22"/>
        </w:rPr>
        <w:t xml:space="preserve"> post-consummation company’s </w:t>
      </w:r>
      <w:r w:rsidRPr="00C0281C">
        <w:rPr>
          <w:szCs w:val="22"/>
        </w:rPr>
        <w:t xml:space="preserve">rate-of-return </w:t>
      </w:r>
      <w:r>
        <w:rPr>
          <w:szCs w:val="22"/>
        </w:rPr>
        <w:t>affiliates</w:t>
      </w:r>
      <w:r>
        <w:rPr>
          <w:rStyle w:val="FootnoteReference"/>
          <w:szCs w:val="22"/>
        </w:rPr>
        <w:footnoteReference w:id="35"/>
      </w:r>
      <w:r w:rsidRPr="00C0281C">
        <w:rPr>
          <w:szCs w:val="22"/>
        </w:rPr>
        <w:t xml:space="preserve"> shall be capped</w:t>
      </w:r>
      <w:r w:rsidRPr="00647A6E">
        <w:rPr>
          <w:szCs w:val="22"/>
        </w:rPr>
        <w:t xml:space="preserve"> at the averaged combined operating expense</w:t>
      </w:r>
      <w:r>
        <w:rPr>
          <w:szCs w:val="22"/>
        </w:rPr>
        <w:t>s</w:t>
      </w:r>
      <w:r w:rsidRPr="00647A6E">
        <w:rPr>
          <w:szCs w:val="22"/>
        </w:rPr>
        <w:t xml:space="preserve"> of the three calendar years preceding the transaction</w:t>
      </w:r>
      <w:r w:rsidR="001D1964">
        <w:rPr>
          <w:szCs w:val="22"/>
        </w:rPr>
        <w:t>s</w:t>
      </w:r>
      <w:r>
        <w:rPr>
          <w:szCs w:val="22"/>
        </w:rPr>
        <w:t>’</w:t>
      </w:r>
      <w:r w:rsidRPr="00647A6E">
        <w:rPr>
          <w:szCs w:val="22"/>
        </w:rPr>
        <w:t xml:space="preserve"> closing date for which the operating expense data are available</w:t>
      </w:r>
      <w:r w:rsidRPr="00C0281C">
        <w:t>.</w:t>
      </w:r>
      <w:r>
        <w:rPr>
          <w:rStyle w:val="FootnoteReference"/>
        </w:rPr>
        <w:footnoteReference w:id="36"/>
      </w:r>
      <w:r w:rsidRPr="00C0281C">
        <w:t xml:space="preserve">  </w:t>
      </w:r>
    </w:p>
    <w:p w:rsidR="003F2288" w:rsidP="003F2288" w14:paraId="0F454508" w14:textId="77777777">
      <w:pPr>
        <w:tabs>
          <w:tab w:val="left" w:pos="3210"/>
        </w:tabs>
        <w:ind w:firstLine="720"/>
      </w:pPr>
    </w:p>
    <w:p w:rsidR="003F2288" w:rsidRPr="00A530A3" w:rsidP="003F2288" w14:paraId="6F75FFC5" w14:textId="73DF8AE3">
      <w:pPr>
        <w:autoSpaceDE w:val="0"/>
        <w:autoSpaceDN w:val="0"/>
        <w:adjustRightInd w:val="0"/>
        <w:ind w:firstLine="720"/>
      </w:pPr>
      <w:r w:rsidRPr="00A530A3">
        <w:t>The cap will apply to cost recovery under both HCLS and CAF-BLS and will be applied proportionately to each affiliate’s accounts used to determine the affiliate’s eligible operating expense for HCLS and CAF-BLS.</w:t>
      </w:r>
      <w:r>
        <w:rPr>
          <w:rStyle w:val="FootnoteReference"/>
        </w:rPr>
        <w:footnoteReference w:id="37"/>
      </w:r>
      <w:r w:rsidRPr="00A530A3">
        <w:t xml:space="preserve">  For example, if the cap requires that a post-consummation </w:t>
      </w:r>
      <w:r w:rsidRPr="00A530A3">
        <w:rPr>
          <w:szCs w:val="22"/>
        </w:rPr>
        <w:t>company’s</w:t>
      </w:r>
      <w:r w:rsidRPr="00A530A3">
        <w:t xml:space="preserve"> eligible operating expense be reduced by 10</w:t>
      </w:r>
      <w:r w:rsidR="00E56922">
        <w:t>%</w:t>
      </w:r>
      <w:r w:rsidRPr="00A530A3">
        <w:t>, then each account used to determine each rate-of-return affiliate’s eligible operating expense</w:t>
      </w:r>
      <w:r>
        <w:t>s</w:t>
      </w:r>
      <w:r w:rsidRPr="00A530A3">
        <w:t xml:space="preserve"> shall be reduced by 10</w:t>
      </w:r>
      <w:r w:rsidR="00E56922">
        <w:t>%</w:t>
      </w:r>
      <w:r w:rsidRPr="00A530A3">
        <w:t>.</w:t>
      </w:r>
      <w:r>
        <w:rPr>
          <w:rStyle w:val="FootnoteReference"/>
        </w:rPr>
        <w:footnoteReference w:id="38"/>
      </w:r>
      <w:r w:rsidRPr="00A530A3">
        <w:t xml:space="preserve">  For purposes of this cap, operating expense</w:t>
      </w:r>
      <w:r>
        <w:t>s</w:t>
      </w:r>
      <w:r w:rsidRPr="00A530A3">
        <w:t xml:space="preserve"> shall include maintenance, network support/network operations/general, benefits, rent expenses, and corporate </w:t>
      </w:r>
      <w:r w:rsidRPr="00A530A3">
        <w:t>operations, while depreciation, return on investment, and taxes shall be excluded.</w:t>
      </w:r>
      <w:r>
        <w:rPr>
          <w:rStyle w:val="FootnoteReference"/>
        </w:rPr>
        <w:footnoteReference w:id="39"/>
      </w:r>
    </w:p>
    <w:p w:rsidR="003F2288" w:rsidP="003F2288" w14:paraId="1CE22DCB" w14:textId="77777777">
      <w:pPr>
        <w:autoSpaceDE w:val="0"/>
        <w:autoSpaceDN w:val="0"/>
        <w:adjustRightInd w:val="0"/>
        <w:ind w:firstLine="720"/>
      </w:pPr>
    </w:p>
    <w:p w:rsidR="003F2288" w:rsidP="003F2288" w14:paraId="2C0376BA" w14:textId="77777777">
      <w:pPr>
        <w:autoSpaceDE w:val="0"/>
        <w:autoSpaceDN w:val="0"/>
        <w:adjustRightInd w:val="0"/>
        <w:ind w:firstLine="720"/>
      </w:pPr>
      <w:r>
        <w:t>For all covered entities,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40"/>
      </w:r>
      <w:r w:rsidRPr="00A44430">
        <w:t xml:space="preserve">  </w:t>
      </w:r>
      <w:r w:rsidRPr="006650A4">
        <w:t>This cap shall remain in effect for seven years from the consummation of the transaction</w:t>
      </w:r>
      <w:r w:rsidR="001D1964">
        <w:t>s</w:t>
      </w:r>
      <w:r w:rsidRPr="006650A4">
        <w:t>.</w:t>
      </w:r>
      <w:r>
        <w:rPr>
          <w:rStyle w:val="FootnoteReference"/>
        </w:rPr>
        <w:footnoteReference w:id="41"/>
      </w:r>
      <w:r w:rsidRPr="006650A4">
        <w:t xml:space="preserve">  The condition will </w:t>
      </w:r>
      <w:r>
        <w:t xml:space="preserve">also </w:t>
      </w:r>
      <w:r w:rsidRPr="006650A4">
        <w:t>sunset if</w:t>
      </w:r>
      <w:r>
        <w:t xml:space="preserve"> all of a post-consummation company’s </w:t>
      </w:r>
      <w:r w:rsidRPr="006650A4">
        <w:t xml:space="preserve">rate-of-return </w:t>
      </w:r>
      <w:r>
        <w:t>affiliates</w:t>
      </w:r>
      <w:r w:rsidRPr="006650A4">
        <w:t xml:space="preserve"> become model-based support companies at any point during the seven-year period.</w:t>
      </w:r>
      <w:r>
        <w:rPr>
          <w:rStyle w:val="FootnoteReference"/>
        </w:rPr>
        <w:footnoteReference w:id="42"/>
      </w:r>
    </w:p>
    <w:p w:rsidR="003F2288" w:rsidP="003F2288" w14:paraId="1BEE76F8" w14:textId="77777777">
      <w:pPr>
        <w:ind w:firstLine="720"/>
        <w:rPr>
          <w:color w:val="000000"/>
          <w:szCs w:val="22"/>
        </w:rPr>
      </w:pPr>
    </w:p>
    <w:p w:rsidR="003F2288" w:rsidRPr="00E415F4" w:rsidP="003F2288" w14:paraId="2656C0D1" w14:textId="77777777">
      <w:pPr>
        <w:ind w:firstLine="720"/>
        <w:rPr>
          <w:color w:val="000000"/>
          <w:szCs w:val="22"/>
        </w:rPr>
      </w:pPr>
      <w:r>
        <w:rPr>
          <w:color w:val="000000"/>
          <w:szCs w:val="22"/>
        </w:rPr>
        <w:t xml:space="preserve">We </w:t>
      </w:r>
      <w:r w:rsidRPr="00E415F4">
        <w:rPr>
          <w:color w:val="000000"/>
          <w:szCs w:val="22"/>
        </w:rPr>
        <w:t xml:space="preserve">find, upon consideration of the record, that grant of the </w:t>
      </w:r>
      <w:r>
        <w:rPr>
          <w:color w:val="000000"/>
          <w:szCs w:val="22"/>
        </w:rPr>
        <w:t>A</w:t>
      </w:r>
      <w:r w:rsidRPr="00E415F4">
        <w:rPr>
          <w:color w:val="000000"/>
          <w:szCs w:val="22"/>
        </w:rPr>
        <w:t>pplication</w:t>
      </w:r>
      <w:r w:rsidR="006A65D3">
        <w:rPr>
          <w:color w:val="000000"/>
          <w:szCs w:val="22"/>
        </w:rPr>
        <w:t>s</w:t>
      </w:r>
      <w:r>
        <w:rPr>
          <w:color w:val="000000"/>
          <w:szCs w:val="22"/>
        </w:rPr>
        <w:t xml:space="preserve"> listed above</w:t>
      </w:r>
      <w:r w:rsidRPr="00E415F4">
        <w:rPr>
          <w:color w:val="000000"/>
          <w:szCs w:val="22"/>
        </w:rPr>
        <w:t>, subject to compliance with the</w:t>
      </w:r>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43"/>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pplication</w:t>
      </w:r>
      <w:r w:rsidR="001D1964">
        <w:rPr>
          <w:color w:val="000000"/>
          <w:szCs w:val="22"/>
        </w:rPr>
        <w:t>s</w:t>
      </w:r>
      <w:r w:rsidRPr="00E415F4">
        <w:rPr>
          <w:color w:val="000000"/>
          <w:szCs w:val="22"/>
        </w:rPr>
        <w:t xml:space="preserve">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44"/>
      </w:r>
      <w:r w:rsidRPr="00E415F4">
        <w:rPr>
          <w:color w:val="000000"/>
          <w:szCs w:val="22"/>
        </w:rPr>
        <w:t xml:space="preserve">  </w:t>
      </w:r>
    </w:p>
    <w:p w:rsidR="003F2288" w:rsidRPr="004F7405" w:rsidP="003F2288" w14:paraId="692FD8A8" w14:textId="77777777">
      <w:pPr>
        <w:rPr>
          <w:color w:val="000000"/>
          <w:szCs w:val="22"/>
        </w:rPr>
      </w:pPr>
    </w:p>
    <w:p w:rsidR="003F2288" w:rsidP="003F2288" w14:paraId="6B9790DA" w14:textId="77777777">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r>
        <w:rPr>
          <w:color w:val="000000"/>
          <w:szCs w:val="22"/>
        </w:rPr>
        <w:t xml:space="preserve">  </w:t>
      </w:r>
      <w:r w:rsidRPr="00834342">
        <w:rPr>
          <w:color w:val="000000"/>
          <w:szCs w:val="22"/>
        </w:rPr>
        <w:t xml:space="preserve">For further information, please contact </w:t>
      </w:r>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p w:rsidR="003F2288" w:rsidP="003F2288" w14:paraId="309CE3A6" w14:textId="77777777">
      <w:pPr>
        <w:ind w:firstLine="720"/>
        <w:rPr>
          <w:color w:val="000000"/>
          <w:szCs w:val="22"/>
        </w:rPr>
      </w:pPr>
    </w:p>
    <w:p w:rsidR="009560CD" w:rsidRPr="0073741A" w:rsidP="009560CD" w14:paraId="0DD612E0" w14:textId="77777777">
      <w:pPr>
        <w:jc w:val="center"/>
        <w:rPr>
          <w:color w:val="000000"/>
          <w:szCs w:val="22"/>
        </w:rPr>
      </w:pPr>
      <w:r>
        <w:rPr>
          <w:color w:val="000000"/>
          <w:szCs w:val="22"/>
        </w:rPr>
        <w:t>-FCC-</w:t>
      </w:r>
    </w:p>
    <w:p w:rsidR="009560CD" w:rsidRPr="00930ECF" w:rsidP="009560CD" w14:paraId="689EDE5C" w14:textId="77777777">
      <w:pPr>
        <w:jc w:val="right"/>
        <w:rPr>
          <w:sz w:val="24"/>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7A0403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560CD" w14:paraId="07187A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4E676166"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14:paraId="51770A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4055" w14:paraId="4A86D579" w14:textId="77777777">
      <w:r>
        <w:separator/>
      </w:r>
    </w:p>
  </w:footnote>
  <w:footnote w:type="continuationSeparator" w:id="1">
    <w:p w:rsidR="00F34055" w14:paraId="07A4BD1B" w14:textId="77777777">
      <w:pPr>
        <w:rPr>
          <w:sz w:val="20"/>
        </w:rPr>
      </w:pPr>
      <w:r>
        <w:rPr>
          <w:sz w:val="20"/>
        </w:rPr>
        <w:t xml:space="preserve">(Continued from previous page)  </w:t>
      </w:r>
      <w:r>
        <w:rPr>
          <w:sz w:val="20"/>
        </w:rPr>
        <w:separator/>
      </w:r>
    </w:p>
  </w:footnote>
  <w:footnote w:type="continuationNotice" w:id="2">
    <w:p w:rsidR="00F34055" w:rsidP="009560CD" w14:paraId="0FB626B4" w14:textId="77777777">
      <w:pPr>
        <w:jc w:val="right"/>
        <w:rPr>
          <w:sz w:val="20"/>
        </w:rPr>
      </w:pPr>
      <w:r>
        <w:rPr>
          <w:sz w:val="20"/>
        </w:rPr>
        <w:t>(continued….)</w:t>
      </w:r>
    </w:p>
  </w:footnote>
  <w:footnote w:id="3">
    <w:p w:rsidR="004762AB" w:rsidRPr="00E42AEE" w:rsidP="004762AB" w14:paraId="667065BF" w14:textId="57C77DBD">
      <w:pPr>
        <w:pStyle w:val="FootnoteText"/>
      </w:pPr>
      <w:r w:rsidRPr="00E42AEE">
        <w:rPr>
          <w:rStyle w:val="FootnoteReference"/>
          <w:sz w:val="20"/>
        </w:rPr>
        <w:footnoteRef/>
      </w:r>
      <w:r w:rsidRPr="00E42AEE">
        <w:t xml:space="preserve"> </w:t>
      </w:r>
      <w:r w:rsidRPr="00E42AEE">
        <w:rPr>
          <w:i/>
        </w:rPr>
        <w:t xml:space="preserve">See </w:t>
      </w:r>
      <w:r w:rsidRPr="00E42AEE">
        <w:t xml:space="preserve">47 U.S.C. § 214; 47 CFR </w:t>
      </w:r>
      <w:bookmarkStart w:id="0" w:name="_Hlk515884438"/>
      <w:r w:rsidRPr="00E42AEE">
        <w:t>§</w:t>
      </w:r>
      <w:bookmarkEnd w:id="0"/>
      <w:r w:rsidRPr="00E42AEE">
        <w:t xml:space="preserve">§ 63.03-63.04.  Application of </w:t>
      </w:r>
      <w:r w:rsidRPr="00E42AEE" w:rsidR="00516145">
        <w:t>The Southern Kansas Telephone Company, Inc.</w:t>
      </w:r>
      <w:r w:rsidRPr="00E42AEE" w:rsidR="00E8024F">
        <w:t>,</w:t>
      </w:r>
      <w:r w:rsidRPr="00E42AEE" w:rsidR="00516145">
        <w:t xml:space="preserve"> SKT, Inc. </w:t>
      </w:r>
      <w:r w:rsidRPr="00E42AEE" w:rsidR="00E8024F">
        <w:t>and</w:t>
      </w:r>
      <w:r w:rsidRPr="00E42AEE" w:rsidR="00516145">
        <w:t xml:space="preserve"> Twin Valley Management, Inc.</w:t>
      </w:r>
      <w:r w:rsidRPr="00E42AEE" w:rsidR="00E8024F">
        <w:t xml:space="preserve"> for Consent to Transfer Control</w:t>
      </w:r>
      <w:r w:rsidRPr="00E42AEE">
        <w:t xml:space="preserve">, WC Docket No. </w:t>
      </w:r>
      <w:r w:rsidRPr="00E42AEE" w:rsidR="00734D42">
        <w:t>20</w:t>
      </w:r>
      <w:r w:rsidRPr="00E42AEE">
        <w:t>-3</w:t>
      </w:r>
      <w:r w:rsidRPr="00E42AEE" w:rsidR="00734D42">
        <w:t>88</w:t>
      </w:r>
      <w:r w:rsidRPr="00E42AEE">
        <w:t xml:space="preserve"> (filed </w:t>
      </w:r>
      <w:r w:rsidRPr="00E42AEE" w:rsidR="00073243">
        <w:t>Nov. 20, 2020</w:t>
      </w:r>
      <w:r w:rsidRPr="00E42AEE">
        <w:t>) (</w:t>
      </w:r>
      <w:bookmarkStart w:id="1" w:name="_Hlk60827068"/>
      <w:r w:rsidRPr="00E42AEE" w:rsidR="006612B9">
        <w:t>Twin Valley</w:t>
      </w:r>
      <w:r w:rsidRPr="00E42AEE">
        <w:t>/</w:t>
      </w:r>
      <w:r w:rsidRPr="00E42AEE" w:rsidR="006612B9">
        <w:t>Southern Kansas</w:t>
      </w:r>
      <w:r w:rsidRPr="00E42AEE">
        <w:t xml:space="preserve"> </w:t>
      </w:r>
      <w:bookmarkEnd w:id="1"/>
      <w:r w:rsidRPr="00E42AEE">
        <w:t xml:space="preserve">Application); Application of </w:t>
      </w:r>
      <w:r w:rsidRPr="00E42AEE" w:rsidR="006612B9">
        <w:t>Lavaca Telephone Company, Inc. and</w:t>
      </w:r>
      <w:r w:rsidRPr="00E42AEE">
        <w:t xml:space="preserve"> </w:t>
      </w:r>
      <w:r w:rsidRPr="00E42AEE" w:rsidR="006612B9">
        <w:t xml:space="preserve">Dobson Technologies, Inc. </w:t>
      </w:r>
      <w:r w:rsidRPr="00E42AEE">
        <w:t xml:space="preserve">for </w:t>
      </w:r>
      <w:r w:rsidRPr="00E42AEE" w:rsidR="006612B9">
        <w:t>Grant of Authority</w:t>
      </w:r>
      <w:r w:rsidRPr="00E42AEE">
        <w:t xml:space="preserve">, WC Docket No. </w:t>
      </w:r>
      <w:r w:rsidRPr="00E42AEE" w:rsidR="006612B9">
        <w:t>20</w:t>
      </w:r>
      <w:r w:rsidRPr="00E42AEE">
        <w:t>-3</w:t>
      </w:r>
      <w:r w:rsidRPr="00E42AEE" w:rsidR="006612B9">
        <w:t>89</w:t>
      </w:r>
      <w:r w:rsidRPr="00E42AEE">
        <w:t xml:space="preserve"> (filed Nov. </w:t>
      </w:r>
      <w:r w:rsidRPr="00E42AEE" w:rsidR="00691F10">
        <w:t>20</w:t>
      </w:r>
      <w:r w:rsidRPr="00E42AEE">
        <w:t>, 20</w:t>
      </w:r>
      <w:r w:rsidRPr="00E42AEE" w:rsidR="006612B9">
        <w:t>20</w:t>
      </w:r>
      <w:r w:rsidRPr="00E42AEE">
        <w:t>) (</w:t>
      </w:r>
      <w:r w:rsidRPr="00E42AEE" w:rsidR="006612B9">
        <w:t>Dobson</w:t>
      </w:r>
      <w:r w:rsidRPr="00E42AEE">
        <w:t>/</w:t>
      </w:r>
      <w:r w:rsidRPr="00E42AEE" w:rsidR="006612B9">
        <w:t>Lavaca</w:t>
      </w:r>
      <w:r w:rsidRPr="00E42AEE">
        <w:t xml:space="preserve"> Application, together with </w:t>
      </w:r>
      <w:r w:rsidRPr="00E42AEE" w:rsidR="002719B7">
        <w:t>Twin Valley/Southern Kansas</w:t>
      </w:r>
      <w:r w:rsidRPr="00E42AEE">
        <w:t xml:space="preserve">, Applications).  </w:t>
      </w:r>
      <w:r w:rsidRPr="00E42AEE" w:rsidR="00D87FCE">
        <w:t xml:space="preserve">A supplement was filed to the Dobson/Lavaca Application </w:t>
      </w:r>
      <w:r w:rsidRPr="00E42AEE" w:rsidR="00120337">
        <w:t xml:space="preserve">on December 4, 2020.  </w:t>
      </w:r>
      <w:r w:rsidRPr="00E42AEE" w:rsidR="00A07493">
        <w:t>Letter from Joshua M. Bobeck, Counsel for Dobson Technologies, Inc.</w:t>
      </w:r>
      <w:r w:rsidRPr="00E42AEE" w:rsidR="003E0497">
        <w:t xml:space="preserve">, to Marlene H. Dortch, Secretary, FCC, </w:t>
      </w:r>
      <w:r w:rsidRPr="00E42AEE" w:rsidR="00832D4C">
        <w:t>WC Docket No. 20-389</w:t>
      </w:r>
      <w:r w:rsidRPr="00E42AEE" w:rsidR="00443ECF">
        <w:t xml:space="preserve"> </w:t>
      </w:r>
      <w:r w:rsidRPr="00E42AEE" w:rsidR="003B1211">
        <w:t xml:space="preserve">(Dec. 4, 2020) </w:t>
      </w:r>
      <w:r w:rsidRPr="00E42AEE" w:rsidR="00443ECF">
        <w:t>(on file in WC Docket No. 20-389)</w:t>
      </w:r>
      <w:r w:rsidRPr="00E42AEE" w:rsidR="00314E1C">
        <w:t xml:space="preserve"> </w:t>
      </w:r>
      <w:r w:rsidRPr="00E42AEE" w:rsidR="0025400A">
        <w:t>(Dobson/Lavaca Supplement)</w:t>
      </w:r>
      <w:r w:rsidRPr="00E42AEE" w:rsidR="00443ECF">
        <w:t xml:space="preserve">.  </w:t>
      </w:r>
      <w:r w:rsidRPr="00E42AEE">
        <w:t xml:space="preserve">Any action on the Applications is without prejudice to Commission action on other related, pending applications. </w:t>
      </w:r>
    </w:p>
  </w:footnote>
  <w:footnote w:id="4">
    <w:p w:rsidR="003A4573" w:rsidRPr="00D22738" w:rsidP="003A4573" w14:paraId="679672E3" w14:textId="37DA76FC">
      <w:pPr>
        <w:spacing w:after="120"/>
        <w:rPr>
          <w:sz w:val="20"/>
        </w:rPr>
      </w:pPr>
      <w:r w:rsidRPr="0008381D">
        <w:rPr>
          <w:rStyle w:val="FootnoteReference"/>
          <w:sz w:val="20"/>
        </w:rPr>
        <w:footnoteRef/>
      </w:r>
      <w:r w:rsidRPr="0008381D">
        <w:rPr>
          <w:sz w:val="20"/>
        </w:rPr>
        <w:t xml:space="preserve"> </w:t>
      </w:r>
      <w:r w:rsidRPr="00D22738">
        <w:rPr>
          <w:i/>
          <w:sz w:val="20"/>
        </w:rPr>
        <w:t>See</w:t>
      </w:r>
      <w:r w:rsidRPr="00D22738">
        <w:rPr>
          <w:sz w:val="20"/>
        </w:rPr>
        <w:t xml:space="preserve"> 47 U.S.C. § 214; 47 CFR §§ 63.03-04.  </w:t>
      </w:r>
      <w:r w:rsidRPr="00540D13" w:rsidR="00681626">
        <w:rPr>
          <w:i/>
          <w:iCs/>
          <w:sz w:val="20"/>
        </w:rPr>
        <w:t xml:space="preserve">Domestic Section 214 Application Filed </w:t>
      </w:r>
      <w:r w:rsidRPr="00540D13" w:rsidR="00681626">
        <w:rPr>
          <w:i/>
          <w:iCs/>
          <w:sz w:val="20"/>
        </w:rPr>
        <w:t>For</w:t>
      </w:r>
      <w:r w:rsidRPr="00540D13" w:rsidR="00681626">
        <w:rPr>
          <w:i/>
          <w:iCs/>
          <w:sz w:val="20"/>
        </w:rPr>
        <w:t xml:space="preserve"> The Transfer of Control of Southern Kansas Telephone Company, Inc. and SKT, Inc. to Twin Valley Management, Inc.</w:t>
      </w:r>
      <w:r w:rsidR="00681626">
        <w:rPr>
          <w:sz w:val="20"/>
        </w:rPr>
        <w:t xml:space="preserve">, </w:t>
      </w:r>
      <w:r w:rsidR="008D7417">
        <w:rPr>
          <w:sz w:val="20"/>
        </w:rPr>
        <w:t xml:space="preserve">WC Docket No. </w:t>
      </w:r>
      <w:r w:rsidR="00681626">
        <w:rPr>
          <w:sz w:val="20"/>
        </w:rPr>
        <w:t>20-388, Public Notice, DA 20-1416 (</w:t>
      </w:r>
      <w:r w:rsidR="00691F10">
        <w:rPr>
          <w:sz w:val="20"/>
        </w:rPr>
        <w:t xml:space="preserve">WCB </w:t>
      </w:r>
      <w:r w:rsidR="00681626">
        <w:rPr>
          <w:sz w:val="20"/>
        </w:rPr>
        <w:t xml:space="preserve">2020).  </w:t>
      </w:r>
    </w:p>
  </w:footnote>
  <w:footnote w:id="5">
    <w:p w:rsidR="003A4573" w:rsidRPr="00DF2528" w:rsidP="003A4573" w14:paraId="49925B30" w14:textId="77777777">
      <w:pPr>
        <w:pStyle w:val="FootnoteText"/>
      </w:pPr>
      <w:r w:rsidRPr="00DF2528">
        <w:rPr>
          <w:rStyle w:val="FootnoteReference"/>
          <w:sz w:val="20"/>
        </w:rPr>
        <w:footnoteRef/>
      </w:r>
      <w:r w:rsidRPr="00DF2528">
        <w:t xml:space="preserve"> Southern Kansas provides incumbent LEC services in 13 local exchanges in the counties of Butler, Chautauqua, Cowley, Elk, Greenwood, Sedgwick, Sumner, and Wilson.</w:t>
      </w:r>
    </w:p>
  </w:footnote>
  <w:footnote w:id="6">
    <w:p w:rsidR="000A26AA" w:rsidRPr="00F46420" w:rsidP="000A26AA" w14:paraId="641D3DD2" w14:textId="77777777">
      <w:pPr>
        <w:pStyle w:val="FootnoteText"/>
      </w:pPr>
      <w:r w:rsidRPr="00F46420">
        <w:rPr>
          <w:rStyle w:val="FootnoteReference"/>
          <w:sz w:val="20"/>
        </w:rPr>
        <w:footnoteRef/>
      </w:r>
      <w:r w:rsidRPr="00F46420">
        <w:t xml:space="preserve"> Universal Service Administrative Co., Tools, </w:t>
      </w:r>
      <w:hyperlink r:id="rId1" w:history="1">
        <w:r w:rsidRPr="00F142E2">
          <w:rPr>
            <w:snapToGrid w:val="0"/>
            <w:color w:val="0000FF"/>
            <w:kern w:val="28"/>
            <w:u w:val="single"/>
          </w:rPr>
          <w:t>https://www.usac.org/high-cost/resources/tools/</w:t>
        </w:r>
      </w:hyperlink>
      <w:r w:rsidRPr="00F46420">
        <w:t xml:space="preserve">.    </w:t>
      </w:r>
    </w:p>
  </w:footnote>
  <w:footnote w:id="7">
    <w:p w:rsidR="00E719BC" w14:paraId="546E5494" w14:textId="5CA7B38C">
      <w:pPr>
        <w:pStyle w:val="FootnoteText"/>
      </w:pPr>
      <w:r>
        <w:rPr>
          <w:rStyle w:val="FootnoteReference"/>
        </w:rPr>
        <w:footnoteRef/>
      </w:r>
      <w:r>
        <w:t xml:space="preserve"> </w:t>
      </w:r>
      <w:r w:rsidR="005476C6">
        <w:t>Twin Valley/Southern Kansas Application at 1.</w:t>
      </w:r>
    </w:p>
  </w:footnote>
  <w:footnote w:id="8">
    <w:p w:rsidR="009363C5" w14:paraId="10760C8D" w14:textId="7E9CCD17">
      <w:pPr>
        <w:pStyle w:val="FootnoteText"/>
      </w:pPr>
      <w:r>
        <w:rPr>
          <w:rStyle w:val="FootnoteReference"/>
        </w:rPr>
        <w:footnoteRef/>
      </w:r>
      <w:r>
        <w:t xml:space="preserve"> </w:t>
      </w:r>
      <w:r w:rsidRPr="00FB5BDD" w:rsidR="00FB5BDD">
        <w:rPr>
          <w:i/>
          <w:iCs/>
        </w:rPr>
        <w:t>Id.</w:t>
      </w:r>
      <w:r w:rsidR="00946D23">
        <w:t xml:space="preserve"> at 2.</w:t>
      </w:r>
    </w:p>
  </w:footnote>
  <w:footnote w:id="9">
    <w:p w:rsidR="003A4573" w:rsidRPr="00E07574" w:rsidP="003A4573" w14:paraId="227D61EF" w14:textId="6239E1C8">
      <w:pPr>
        <w:pStyle w:val="FootnoteText"/>
      </w:pPr>
      <w:r w:rsidRPr="00E07574">
        <w:rPr>
          <w:rStyle w:val="FootnoteReference"/>
        </w:rPr>
        <w:footnoteRef/>
      </w:r>
      <w:r w:rsidRPr="00E07574">
        <w:t xml:space="preserve"> </w:t>
      </w:r>
      <w:r w:rsidRPr="003206BE" w:rsidR="003206BE">
        <w:rPr>
          <w:i/>
          <w:iCs/>
        </w:rPr>
        <w:t>Id.</w:t>
      </w:r>
      <w:r w:rsidR="003206BE">
        <w:t xml:space="preserve"> </w:t>
      </w:r>
      <w:r w:rsidR="00016344">
        <w:t xml:space="preserve"> </w:t>
      </w:r>
      <w:r w:rsidRPr="00E07574">
        <w:t>TVT provides incumbent LEC services in 19 local exchanges in the counties of Clay, Cloud, Dickinson, Geary, Lincoln, Mitchell, Pottawatomie, Republic</w:t>
      </w:r>
      <w:r>
        <w:t>,</w:t>
      </w:r>
      <w:r w:rsidRPr="00E07574">
        <w:t xml:space="preserve"> Riley, Saline, and Washington.</w:t>
      </w:r>
      <w:r w:rsidR="003206BE">
        <w:t xml:space="preserve">  </w:t>
      </w:r>
      <w:r w:rsidRPr="003206BE" w:rsidR="003206BE">
        <w:rPr>
          <w:i/>
          <w:iCs/>
        </w:rPr>
        <w:t>Id.</w:t>
      </w:r>
      <w:r w:rsidR="003206BE">
        <w:t xml:space="preserve"> at 9.</w:t>
      </w:r>
    </w:p>
  </w:footnote>
  <w:footnote w:id="10">
    <w:p w:rsidR="00D270BE" w:rsidP="00D270BE" w14:paraId="1989EAD1" w14:textId="77777777">
      <w:pPr>
        <w:pStyle w:val="FootnoteText"/>
      </w:pPr>
      <w:r>
        <w:rPr>
          <w:rStyle w:val="FootnoteReference"/>
        </w:rPr>
        <w:footnoteRef/>
      </w:r>
      <w:r>
        <w:t xml:space="preserve"> </w:t>
      </w:r>
      <w:r w:rsidRPr="006650A4">
        <w:t>Universal Service Administrative Co., Tools,</w:t>
      </w:r>
      <w:r w:rsidRPr="00F142E2">
        <w:rPr>
          <w:snapToGrid w:val="0"/>
          <w:kern w:val="28"/>
          <w:sz w:val="22"/>
        </w:rPr>
        <w:t xml:space="preserve"> </w:t>
      </w:r>
      <w:hyperlink r:id="rId1" w:history="1">
        <w:r w:rsidRPr="00F142E2">
          <w:rPr>
            <w:rStyle w:val="Hyperlink"/>
          </w:rPr>
          <w:t>https://www.usac.org/high-cost/resources/tools/</w:t>
        </w:r>
      </w:hyperlink>
      <w:r>
        <w:rPr>
          <w:rStyle w:val="Hyperlink"/>
          <w:color w:val="auto"/>
          <w:u w:val="none"/>
        </w:rPr>
        <w:t xml:space="preserve">; </w:t>
      </w:r>
      <w:hyperlink r:id="rId2" w:history="1">
        <w:r w:rsidRPr="00346506">
          <w:rPr>
            <w:rStyle w:val="Hyperlink"/>
          </w:rPr>
          <w:t xml:space="preserve">https://docs.fcc.gov/public/attachments/DOC-359222A1.xlsx </w:t>
        </w:r>
        <w:r w:rsidRPr="001D4DD9">
          <w:rPr>
            <w:rStyle w:val="Hyperlink"/>
            <w:color w:val="auto"/>
            <w:u w:val="none"/>
          </w:rPr>
          <w:t>(Authorization Report 6.0).</w:t>
        </w:r>
      </w:hyperlink>
    </w:p>
  </w:footnote>
  <w:footnote w:id="11">
    <w:p w:rsidR="00510281" w14:paraId="7A8EE583" w14:textId="0CA20497">
      <w:pPr>
        <w:pStyle w:val="FootnoteText"/>
      </w:pPr>
      <w:r>
        <w:rPr>
          <w:rStyle w:val="FootnoteReference"/>
        </w:rPr>
        <w:footnoteRef/>
      </w:r>
      <w:r>
        <w:t xml:space="preserve"> Twin</w:t>
      </w:r>
      <w:r w:rsidR="002719E7">
        <w:t xml:space="preserve"> </w:t>
      </w:r>
      <w:r>
        <w:t>Valley/Southern Kansas Application at 9.</w:t>
      </w:r>
    </w:p>
  </w:footnote>
  <w:footnote w:id="12">
    <w:p w:rsidR="00D270BE" w14:paraId="33867ACB" w14:textId="2631E276">
      <w:pPr>
        <w:pStyle w:val="FootnoteText"/>
      </w:pPr>
      <w:r>
        <w:rPr>
          <w:rStyle w:val="FootnoteReference"/>
        </w:rPr>
        <w:footnoteRef/>
      </w:r>
      <w:r>
        <w:t xml:space="preserve"> </w:t>
      </w:r>
      <w:r w:rsidRPr="00970A6F" w:rsidR="00970A6F">
        <w:rPr>
          <w:i/>
          <w:iCs/>
        </w:rPr>
        <w:t>Id.</w:t>
      </w:r>
      <w:r w:rsidR="00970A6F">
        <w:t xml:space="preserve"> </w:t>
      </w:r>
      <w:r w:rsidR="009C5710">
        <w:t>at 3</w:t>
      </w:r>
      <w:r w:rsidR="00AD288C">
        <w:t xml:space="preserve">; </w:t>
      </w:r>
      <w:r w:rsidR="00AD288C">
        <w:rPr>
          <w:i/>
          <w:iCs/>
        </w:rPr>
        <w:t>FCC Authorizes Over $61.8 Million in Funding for Rural Broadband</w:t>
      </w:r>
      <w:r w:rsidR="00AD288C">
        <w:t>, News Release (Oct. 10, 2019) (listing providers receiving support from the 2018 CAF Phase II auction)</w:t>
      </w:r>
      <w:r w:rsidR="009C5710">
        <w:t>.</w:t>
      </w:r>
    </w:p>
  </w:footnote>
  <w:footnote w:id="13">
    <w:p w:rsidR="009E4C1B" w14:paraId="43FA61A1" w14:textId="74EF217B">
      <w:pPr>
        <w:pStyle w:val="FootnoteText"/>
      </w:pPr>
      <w:r>
        <w:rPr>
          <w:rStyle w:val="FootnoteReference"/>
        </w:rPr>
        <w:footnoteRef/>
      </w:r>
      <w:r w:rsidR="00F65B1B">
        <w:t>Twin Valley/Southern Kansas Application</w:t>
      </w:r>
      <w:r w:rsidR="000A5FD1">
        <w:t xml:space="preserve"> at 8.</w:t>
      </w:r>
    </w:p>
  </w:footnote>
  <w:footnote w:id="14">
    <w:p w:rsidR="009518D3" w:rsidP="009518D3" w14:paraId="07B43BBE" w14:textId="12CCE787">
      <w:pPr>
        <w:pStyle w:val="FootnoteText"/>
      </w:pPr>
      <w:r>
        <w:rPr>
          <w:rStyle w:val="FootnoteReference"/>
        </w:rPr>
        <w:footnoteRef/>
      </w:r>
      <w:r>
        <w:t xml:space="preserve"> </w:t>
      </w:r>
      <w:r w:rsidRPr="00B76D5C">
        <w:rPr>
          <w:i/>
        </w:rPr>
        <w:t>Id</w:t>
      </w:r>
      <w:r w:rsidRPr="00B76D5C">
        <w:t xml:space="preserve">. at 2. </w:t>
      </w:r>
    </w:p>
  </w:footnote>
  <w:footnote w:id="15">
    <w:p w:rsidR="00F343D0" w:rsidRPr="00A836C3" w:rsidP="00F343D0" w14:paraId="5DF2B8E9" w14:textId="164E805B">
      <w:pPr>
        <w:spacing w:after="120"/>
        <w:rPr>
          <w:snapToGrid/>
          <w:kern w:val="0"/>
          <w:sz w:val="20"/>
        </w:rPr>
      </w:pPr>
      <w:r w:rsidRPr="00F13E8E">
        <w:rPr>
          <w:rStyle w:val="FootnoteReference"/>
          <w:sz w:val="20"/>
        </w:rPr>
        <w:footnoteRef/>
      </w:r>
      <w:r w:rsidRPr="00F13E8E">
        <w:rPr>
          <w:sz w:val="20"/>
        </w:rPr>
        <w:t xml:space="preserve"> </w:t>
      </w:r>
      <w:r w:rsidRPr="00F13E8E">
        <w:rPr>
          <w:i/>
          <w:sz w:val="20"/>
        </w:rPr>
        <w:t>Se</w:t>
      </w:r>
      <w:r w:rsidRPr="00095E72">
        <w:rPr>
          <w:i/>
          <w:sz w:val="20"/>
        </w:rPr>
        <w:t>e</w:t>
      </w:r>
      <w:r w:rsidRPr="00095E72">
        <w:rPr>
          <w:sz w:val="20"/>
        </w:rPr>
        <w:t xml:space="preserve"> 47 U.S.C. § 214; 47 CFR §§ 63.03-04.  </w:t>
      </w:r>
      <w:r w:rsidRPr="009D2E12" w:rsidR="00DB7229">
        <w:rPr>
          <w:i/>
          <w:iCs/>
          <w:sz w:val="20"/>
        </w:rPr>
        <w:t>Domestic Section 214 Application Filed for the Transfer of Control of Lavaca Telephone Company, Inc. to Dobson Technologies, Inc.</w:t>
      </w:r>
      <w:r w:rsidR="004556CC">
        <w:rPr>
          <w:sz w:val="20"/>
        </w:rPr>
        <w:t xml:space="preserve">, </w:t>
      </w:r>
      <w:r w:rsidR="00827843">
        <w:rPr>
          <w:sz w:val="20"/>
        </w:rPr>
        <w:t>WC Docket No. 20-389, Public Notice, DA 20-1467</w:t>
      </w:r>
      <w:r w:rsidR="00D865A6">
        <w:rPr>
          <w:sz w:val="20"/>
        </w:rPr>
        <w:t xml:space="preserve"> (</w:t>
      </w:r>
      <w:r w:rsidR="00691F10">
        <w:rPr>
          <w:sz w:val="20"/>
        </w:rPr>
        <w:t>WCB</w:t>
      </w:r>
      <w:r w:rsidR="00B10062">
        <w:rPr>
          <w:sz w:val="20"/>
        </w:rPr>
        <w:t xml:space="preserve"> 2020)</w:t>
      </w:r>
      <w:r w:rsidR="009D2E12">
        <w:rPr>
          <w:sz w:val="20"/>
        </w:rPr>
        <w:t>.</w:t>
      </w:r>
      <w:r w:rsidRPr="00095E72">
        <w:rPr>
          <w:rFonts w:eastAsia="Calibri"/>
          <w:sz w:val="20"/>
        </w:rPr>
        <w:t xml:space="preserve">  </w:t>
      </w:r>
    </w:p>
  </w:footnote>
  <w:footnote w:id="16">
    <w:p w:rsidR="003E425C" w14:paraId="37BAF606" w14:textId="4646C4DF">
      <w:pPr>
        <w:pStyle w:val="FootnoteText"/>
      </w:pPr>
      <w:r>
        <w:rPr>
          <w:rStyle w:val="FootnoteReference"/>
        </w:rPr>
        <w:footnoteRef/>
      </w:r>
      <w:r>
        <w:t xml:space="preserve"> </w:t>
      </w:r>
      <w:r w:rsidR="008F3A61">
        <w:t>Dobson/Lavaca Application at 11</w:t>
      </w:r>
      <w:r w:rsidR="00801A9E">
        <w:t>.</w:t>
      </w:r>
    </w:p>
  </w:footnote>
  <w:footnote w:id="17">
    <w:p w:rsidR="00961A50" w:rsidRPr="00F46420" w:rsidP="00961A50" w14:paraId="655DF262" w14:textId="77777777">
      <w:pPr>
        <w:pStyle w:val="FootnoteText"/>
      </w:pPr>
      <w:r w:rsidRPr="00F46420">
        <w:rPr>
          <w:rStyle w:val="FootnoteReference"/>
          <w:sz w:val="20"/>
        </w:rPr>
        <w:footnoteRef/>
      </w:r>
      <w:r w:rsidRPr="00F46420">
        <w:t xml:space="preserve"> Universal Service Administrative Co., Tools, </w:t>
      </w:r>
      <w:hyperlink r:id="rId1" w:history="1">
        <w:r w:rsidRPr="00F142E2">
          <w:rPr>
            <w:snapToGrid w:val="0"/>
            <w:color w:val="0000FF"/>
            <w:kern w:val="28"/>
            <w:u w:val="single"/>
          </w:rPr>
          <w:t>https://www.usac.org/high-cost/resources/tools/</w:t>
        </w:r>
      </w:hyperlink>
      <w:r w:rsidRPr="00F46420">
        <w:t xml:space="preserve">.    </w:t>
      </w:r>
    </w:p>
  </w:footnote>
  <w:footnote w:id="18">
    <w:p w:rsidR="009518D3" w:rsidRPr="00F65B1B" w:rsidP="009518D3" w14:paraId="0CBDD093" w14:textId="2F5BFCBB">
      <w:pPr>
        <w:pStyle w:val="FootnoteText"/>
      </w:pPr>
      <w:r w:rsidRPr="00095E72">
        <w:rPr>
          <w:rStyle w:val="FootnoteReference"/>
        </w:rPr>
        <w:footnoteRef/>
      </w:r>
      <w:r w:rsidRPr="00095E72">
        <w:t xml:space="preserve"> </w:t>
      </w:r>
      <w:r w:rsidR="00F65B1B">
        <w:t xml:space="preserve">Dobson/Lavaca Application at 11-12.  </w:t>
      </w:r>
      <w:r w:rsidRPr="00095E72">
        <w:t xml:space="preserve">Applicants state that Pinnacle is limited initially to the service territories in Oklahoma of Southwestern Bell Telephone Company, d/b/a AT&amp;T Oklahoma and Valor Communications of Texas, LP d/b/a Windstream Communications Southwest.  Applicants also state </w:t>
      </w:r>
      <w:r>
        <w:t xml:space="preserve">that </w:t>
      </w:r>
      <w:r w:rsidRPr="00095E72">
        <w:t xml:space="preserve">Pinnacle currently does not provide telecommunications services to any customers.  </w:t>
      </w:r>
      <w:r w:rsidR="00F65B1B">
        <w:rPr>
          <w:i/>
          <w:iCs/>
        </w:rPr>
        <w:t>Id</w:t>
      </w:r>
      <w:r w:rsidR="00F65B1B">
        <w:t>.</w:t>
      </w:r>
    </w:p>
  </w:footnote>
  <w:footnote w:id="19">
    <w:p w:rsidR="00633DF5" w14:paraId="783D1C2B" w14:textId="5C9EDB41">
      <w:pPr>
        <w:pStyle w:val="FootnoteText"/>
      </w:pPr>
      <w:r>
        <w:rPr>
          <w:rStyle w:val="FootnoteReference"/>
        </w:rPr>
        <w:footnoteRef/>
      </w:r>
      <w:r>
        <w:t xml:space="preserve"> </w:t>
      </w:r>
      <w:r w:rsidR="00F65B1B">
        <w:rPr>
          <w:i/>
          <w:iCs/>
        </w:rPr>
        <w:t>Id.</w:t>
      </w:r>
      <w:r w:rsidR="00D97C65">
        <w:t xml:space="preserve"> at 3.</w:t>
      </w:r>
    </w:p>
  </w:footnote>
  <w:footnote w:id="20">
    <w:p w:rsidR="00633DF5" w14:paraId="6DE60A80" w14:textId="5748BC32">
      <w:pPr>
        <w:pStyle w:val="FootnoteText"/>
      </w:pPr>
      <w:r>
        <w:rPr>
          <w:rStyle w:val="FootnoteReference"/>
        </w:rPr>
        <w:footnoteRef/>
      </w:r>
      <w:r>
        <w:t xml:space="preserve"> </w:t>
      </w:r>
      <w:r w:rsidRPr="00A676CF" w:rsidR="00A676CF">
        <w:rPr>
          <w:i/>
          <w:iCs/>
        </w:rPr>
        <w:t>Id.</w:t>
      </w:r>
      <w:r w:rsidR="00A676CF">
        <w:t xml:space="preserve"> at 2.</w:t>
      </w:r>
    </w:p>
  </w:footnote>
  <w:footnote w:id="21">
    <w:p w:rsidR="004224AC" w:rsidRPr="00E23DB3" w14:paraId="5029CCD8" w14:textId="68AA92BA">
      <w:pPr>
        <w:pStyle w:val="FootnoteText"/>
      </w:pPr>
      <w:r w:rsidRPr="00E23DB3">
        <w:rPr>
          <w:rStyle w:val="FootnoteReference"/>
          <w:sz w:val="20"/>
        </w:rPr>
        <w:footnoteRef/>
      </w:r>
      <w:r w:rsidRPr="00E23DB3">
        <w:t xml:space="preserve"> </w:t>
      </w:r>
      <w:r w:rsidRPr="00E23DB3" w:rsidR="00E23DB3">
        <w:rPr>
          <w:i/>
          <w:iCs/>
        </w:rPr>
        <w:t>Id.</w:t>
      </w:r>
      <w:r w:rsidRPr="00E23DB3" w:rsidR="00E23DB3">
        <w:t xml:space="preserve"> at 10.</w:t>
      </w:r>
      <w:r w:rsidR="007B05A6">
        <w:t xml:space="preserve">  </w:t>
      </w:r>
      <w:r w:rsidR="00073243">
        <w:t xml:space="preserve">Dobson provides incumbent LEC services in </w:t>
      </w:r>
      <w:r w:rsidR="00073243">
        <w:rPr>
          <w:szCs w:val="22"/>
        </w:rPr>
        <w:t xml:space="preserve">the </w:t>
      </w:r>
      <w:r w:rsidRPr="006823D9" w:rsidR="00073243">
        <w:rPr>
          <w:szCs w:val="22"/>
        </w:rPr>
        <w:t>Taloga</w:t>
      </w:r>
      <w:r w:rsidRPr="006823D9" w:rsidR="00073243">
        <w:rPr>
          <w:szCs w:val="22"/>
        </w:rPr>
        <w:t>, Leedey, Cheyenne, Erick</w:t>
      </w:r>
      <w:r w:rsidR="00073243">
        <w:rPr>
          <w:szCs w:val="22"/>
        </w:rPr>
        <w:t>,</w:t>
      </w:r>
      <w:r w:rsidRPr="006823D9" w:rsidR="00073243">
        <w:rPr>
          <w:szCs w:val="22"/>
        </w:rPr>
        <w:t xml:space="preserve"> </w:t>
      </w:r>
      <w:r w:rsidRPr="006823D9" w:rsidR="00073243">
        <w:rPr>
          <w:szCs w:val="22"/>
        </w:rPr>
        <w:t>Reydon</w:t>
      </w:r>
      <w:r w:rsidRPr="006823D9" w:rsidR="00073243">
        <w:rPr>
          <w:szCs w:val="22"/>
        </w:rPr>
        <w:t xml:space="preserve">, Camargo, Roger Mills, Vici, </w:t>
      </w:r>
      <w:r w:rsidRPr="006823D9" w:rsidR="00073243">
        <w:rPr>
          <w:szCs w:val="22"/>
        </w:rPr>
        <w:t>McLoud</w:t>
      </w:r>
      <w:r w:rsidRPr="006823D9" w:rsidR="00073243">
        <w:rPr>
          <w:szCs w:val="22"/>
        </w:rPr>
        <w:t>, Newalla, Sweetwater, and Stella</w:t>
      </w:r>
      <w:r w:rsidR="00073243">
        <w:rPr>
          <w:szCs w:val="22"/>
        </w:rPr>
        <w:t xml:space="preserve"> exchanges</w:t>
      </w:r>
      <w:r w:rsidR="00073243">
        <w:t>.</w:t>
      </w:r>
      <w:r w:rsidRPr="00095E72" w:rsidR="007B05A6">
        <w:t xml:space="preserve"> </w:t>
      </w:r>
      <w:r w:rsidR="00073243">
        <w:t xml:space="preserve"> </w:t>
      </w:r>
      <w:r w:rsidRPr="00095E72" w:rsidR="007B05A6">
        <w:t>Dobson serves a single cell site in Lavaca’s incumbent LEC territory.  In the markets served by Lavaca’s competitive LEC affiliates</w:t>
      </w:r>
      <w:r w:rsidR="007B05A6">
        <w:t>,</w:t>
      </w:r>
      <w:r w:rsidRPr="00095E72" w:rsidR="007B05A6">
        <w:t xml:space="preserve"> Pinnacle and Vantage, Dobson has fiber facilities in Poteau</w:t>
      </w:r>
      <w:r w:rsidR="007B05A6">
        <w:t>, Oklahoma,</w:t>
      </w:r>
      <w:r w:rsidRPr="00095E72" w:rsidR="007B05A6">
        <w:t xml:space="preserve"> and Muskogee</w:t>
      </w:r>
      <w:r w:rsidR="007B05A6">
        <w:t>, Oklahoma</w:t>
      </w:r>
      <w:r w:rsidRPr="00095E72" w:rsidR="007B05A6">
        <w:t xml:space="preserve">.  </w:t>
      </w:r>
      <w:r w:rsidRPr="005E3095" w:rsidR="005E3095">
        <w:rPr>
          <w:i/>
          <w:iCs/>
        </w:rPr>
        <w:t>Id.</w:t>
      </w:r>
      <w:r w:rsidR="005E3095">
        <w:t xml:space="preserve"> at 13. </w:t>
      </w:r>
    </w:p>
  </w:footnote>
  <w:footnote w:id="22">
    <w:p w:rsidR="007961F1" w:rsidP="007961F1" w14:paraId="19AB46A4" w14:textId="77777777">
      <w:pPr>
        <w:pStyle w:val="FootnoteText"/>
      </w:pPr>
      <w:r>
        <w:rPr>
          <w:rStyle w:val="FootnoteReference"/>
        </w:rPr>
        <w:footnoteRef/>
      </w:r>
      <w:r>
        <w:t xml:space="preserve"> </w:t>
      </w:r>
      <w:r w:rsidRPr="006650A4">
        <w:t>Universal Service Administrative Co., Tools,</w:t>
      </w:r>
      <w:r w:rsidRPr="00F142E2">
        <w:rPr>
          <w:snapToGrid w:val="0"/>
          <w:kern w:val="28"/>
          <w:sz w:val="22"/>
        </w:rPr>
        <w:t xml:space="preserve"> </w:t>
      </w:r>
      <w:hyperlink r:id="rId1" w:history="1">
        <w:r w:rsidRPr="00F142E2">
          <w:rPr>
            <w:rStyle w:val="Hyperlink"/>
          </w:rPr>
          <w:t>https://www.usac.org/high-cost/resources/tools/</w:t>
        </w:r>
      </w:hyperlink>
      <w:r>
        <w:rPr>
          <w:rStyle w:val="Hyperlink"/>
          <w:color w:val="auto"/>
          <w:u w:val="none"/>
        </w:rPr>
        <w:t xml:space="preserve">; </w:t>
      </w:r>
      <w:hyperlink r:id="rId2" w:history="1">
        <w:r w:rsidRPr="00346506">
          <w:rPr>
            <w:rStyle w:val="Hyperlink"/>
          </w:rPr>
          <w:t xml:space="preserve">https://docs.fcc.gov/public/attachments/DOC-359222A1.xlsx </w:t>
        </w:r>
        <w:r w:rsidRPr="001D4DD9">
          <w:rPr>
            <w:rStyle w:val="Hyperlink"/>
            <w:color w:val="auto"/>
            <w:u w:val="none"/>
          </w:rPr>
          <w:t>(Authorization Report 6.0).</w:t>
        </w:r>
      </w:hyperlink>
    </w:p>
  </w:footnote>
  <w:footnote w:id="23">
    <w:p w:rsidR="004224AC" w14:paraId="3EAC3421" w14:textId="48CC9623">
      <w:pPr>
        <w:pStyle w:val="FootnoteText"/>
      </w:pPr>
      <w:r>
        <w:rPr>
          <w:rStyle w:val="FootnoteReference"/>
        </w:rPr>
        <w:footnoteRef/>
      </w:r>
      <w:r>
        <w:t xml:space="preserve"> </w:t>
      </w:r>
      <w:r w:rsidR="00521E90">
        <w:t xml:space="preserve">Dobson/Lavaca Application at </w:t>
      </w:r>
      <w:r w:rsidR="002350E8">
        <w:t>2</w:t>
      </w:r>
      <w:r w:rsidR="00521E90">
        <w:t>.</w:t>
      </w:r>
    </w:p>
  </w:footnote>
  <w:footnote w:id="24">
    <w:p w:rsidR="009518D3" w:rsidRPr="00095E72" w:rsidP="009518D3" w14:paraId="6FF26313" w14:textId="09118DB1">
      <w:pPr>
        <w:pStyle w:val="FootnoteText"/>
      </w:pPr>
      <w:r w:rsidRPr="00095E72">
        <w:rPr>
          <w:rStyle w:val="FootnoteReference"/>
        </w:rPr>
        <w:footnoteRef/>
      </w:r>
      <w:r w:rsidRPr="00095E72">
        <w:t xml:space="preserve"> </w:t>
      </w:r>
      <w:r w:rsidRPr="00F65B1B" w:rsidR="00073243">
        <w:rPr>
          <w:i/>
          <w:iCs/>
        </w:rPr>
        <w:t>Id</w:t>
      </w:r>
      <w:r w:rsidR="00073243">
        <w:t>. at 8 and Exh. A (Post-Transaction Corporate Structure)</w:t>
      </w:r>
      <w:r w:rsidRPr="00AB35BE">
        <w:t xml:space="preserve">.  </w:t>
      </w:r>
    </w:p>
  </w:footnote>
  <w:footnote w:id="25">
    <w:p w:rsidR="004224AC" w14:paraId="070728B8" w14:textId="4077D78E">
      <w:pPr>
        <w:pStyle w:val="FootnoteText"/>
      </w:pPr>
      <w:r>
        <w:rPr>
          <w:rStyle w:val="FootnoteReference"/>
        </w:rPr>
        <w:footnoteRef/>
      </w:r>
      <w:r>
        <w:t xml:space="preserve"> </w:t>
      </w:r>
      <w:r w:rsidR="00C620AB">
        <w:t>Dobson/Lavaca Supplement</w:t>
      </w:r>
      <w:r w:rsidR="00D32C1F">
        <w:t xml:space="preserve"> at 1.</w:t>
      </w:r>
    </w:p>
  </w:footnote>
  <w:footnote w:id="26">
    <w:p w:rsidR="00B33332" w:rsidRPr="00F46420" w:rsidP="00B33332" w14:paraId="74FA6FD3" w14:textId="77777777">
      <w:pPr>
        <w:pStyle w:val="FootnoteText"/>
      </w:pPr>
      <w:r w:rsidRPr="00F46420">
        <w:rPr>
          <w:rStyle w:val="FootnoteReference"/>
          <w:sz w:val="20"/>
        </w:rPr>
        <w:footnoteRef/>
      </w:r>
      <w:r w:rsidRPr="00F46420">
        <w:t xml:space="preserve"> Universal Service Administrative Co., Tools, </w:t>
      </w:r>
      <w:hyperlink r:id="rId1" w:history="1">
        <w:r w:rsidRPr="00F142E2">
          <w:rPr>
            <w:snapToGrid w:val="0"/>
            <w:color w:val="0000FF"/>
            <w:kern w:val="28"/>
            <w:u w:val="single"/>
          </w:rPr>
          <w:t>https://www.usac.org/high-cost/resources/tools/</w:t>
        </w:r>
      </w:hyperlink>
      <w:r w:rsidRPr="00F46420">
        <w:t xml:space="preserve">.    </w:t>
      </w:r>
    </w:p>
  </w:footnote>
  <w:footnote w:id="27">
    <w:p w:rsidR="0047633D" w:rsidRPr="00265992" w:rsidP="0047633D" w14:paraId="0B3C7F28" w14:textId="01756452">
      <w:pPr>
        <w:pStyle w:val="FootnoteText"/>
      </w:pPr>
      <w:r w:rsidRPr="00265992">
        <w:rPr>
          <w:rStyle w:val="FootnoteReference"/>
          <w:sz w:val="20"/>
        </w:rPr>
        <w:footnoteRef/>
      </w:r>
      <w:r w:rsidRPr="00265992">
        <w:t xml:space="preserve"> </w:t>
      </w:r>
      <w:r w:rsidRPr="00265992">
        <w:rPr>
          <w:i/>
        </w:rPr>
        <w:t>Joint Application of W. Mansfield Jennings Limited Partnership and Har</w:t>
      </w:r>
      <w:r>
        <w:rPr>
          <w:i/>
        </w:rPr>
        <w:t>gray Communications Group, Inc.</w:t>
      </w:r>
      <w:r w:rsidRPr="00265992">
        <w:rPr>
          <w:i/>
        </w:rPr>
        <w:t xml:space="preserve"> for Consent to the Transfer of Control of ComSouth Corporation Pursuant to Section 214 of the Communications Act of 1934</w:t>
      </w:r>
      <w:r w:rsidRPr="00265992">
        <w:t xml:space="preserve">, WC Docket 18-52, Memorandum Opinion and Order, </w:t>
      </w:r>
      <w:r w:rsidR="00341E18">
        <w:t>33 FCC Rcd 478</w:t>
      </w:r>
      <w:r w:rsidR="00D92B9C">
        <w:t>0, 4784</w:t>
      </w:r>
      <w:r w:rsidRPr="00265992">
        <w:t>, para. 19 (2018). (</w:t>
      </w:r>
      <w:r w:rsidRPr="00265992">
        <w:rPr>
          <w:i/>
        </w:rPr>
        <w:t>Hargray/ComSouth Order</w:t>
      </w:r>
      <w:r w:rsidRPr="00265992">
        <w:t>).</w:t>
      </w:r>
    </w:p>
  </w:footnote>
  <w:footnote w:id="28">
    <w:p w:rsidR="0047633D" w:rsidRPr="00265992" w:rsidP="0047633D" w14:paraId="2AE6E1E5"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4785-86, para. 20.</w:t>
      </w:r>
    </w:p>
  </w:footnote>
  <w:footnote w:id="29">
    <w:p w:rsidR="0047633D" w:rsidRPr="00265992" w:rsidP="0047633D" w14:paraId="7674E927" w14:textId="77777777">
      <w:pPr>
        <w:pStyle w:val="FootnoteText"/>
      </w:pPr>
      <w:r w:rsidRPr="00265992">
        <w:rPr>
          <w:rStyle w:val="FootnoteReference"/>
          <w:sz w:val="20"/>
        </w:rPr>
        <w:footnoteRef/>
      </w:r>
      <w:r w:rsidRPr="00265992">
        <w:t xml:space="preserve"> </w:t>
      </w:r>
      <w:r w:rsidRPr="00265992">
        <w:rPr>
          <w:i/>
        </w:rPr>
        <w:t>Id</w:t>
      </w:r>
      <w:r w:rsidRPr="00265992">
        <w:t>.</w:t>
      </w:r>
    </w:p>
  </w:footnote>
  <w:footnote w:id="30">
    <w:p w:rsidR="0047633D" w:rsidRPr="00265992" w:rsidP="0047633D" w14:paraId="7E216AA2" w14:textId="77777777">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31">
    <w:p w:rsidR="0047633D" w:rsidRPr="00265992" w:rsidP="0047633D" w14:paraId="6304D797"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4786, para. 21.</w:t>
      </w:r>
    </w:p>
  </w:footnote>
  <w:footnote w:id="32">
    <w:p w:rsidR="003F2288" w:rsidRPr="00F46420" w:rsidP="003F2288" w14:paraId="4BCF96BE" w14:textId="77777777">
      <w:pPr>
        <w:pStyle w:val="FootnoteText"/>
      </w:pPr>
      <w:r w:rsidRPr="00F46420">
        <w:rPr>
          <w:rStyle w:val="FootnoteReference"/>
          <w:sz w:val="20"/>
        </w:rPr>
        <w:footnoteRef/>
      </w:r>
      <w:r w:rsidRPr="00F46420">
        <w:t xml:space="preserve"> </w:t>
      </w:r>
      <w:r w:rsidRPr="00F46420">
        <w:rPr>
          <w:i/>
        </w:rPr>
        <w:t>Id</w:t>
      </w:r>
      <w:r w:rsidRPr="00F46420">
        <w:t>. at 4788-90, paras. 26-31.</w:t>
      </w:r>
    </w:p>
  </w:footnote>
  <w:footnote w:id="33">
    <w:p w:rsidR="003F2288" w:rsidRPr="00F46420" w:rsidP="003F2288" w14:paraId="75D6DD86" w14:textId="77777777">
      <w:pPr>
        <w:pStyle w:val="FootnoteText"/>
      </w:pPr>
      <w:r w:rsidRPr="00F46420">
        <w:rPr>
          <w:rStyle w:val="FootnoteReference"/>
          <w:sz w:val="20"/>
        </w:rPr>
        <w:footnoteRef/>
      </w:r>
      <w:r w:rsidRPr="00F46420">
        <w:t xml:space="preserve"> </w:t>
      </w:r>
      <w:r w:rsidRPr="00F46420">
        <w:rPr>
          <w:i/>
        </w:rPr>
        <w:t>Id</w:t>
      </w:r>
      <w:r w:rsidRPr="00F46420">
        <w:t xml:space="preserve">. at 4789, para. 27, n.72.   </w:t>
      </w:r>
    </w:p>
  </w:footnote>
  <w:footnote w:id="34">
    <w:p w:rsidR="003F2288" w:rsidRPr="00F46420" w:rsidP="003F2288" w14:paraId="4EFD4A1A" w14:textId="77777777">
      <w:pPr>
        <w:pStyle w:val="FootnoteText"/>
      </w:pPr>
      <w:r w:rsidRPr="00F46420">
        <w:rPr>
          <w:rStyle w:val="FootnoteReference"/>
          <w:sz w:val="20"/>
        </w:rPr>
        <w:footnoteRef/>
      </w:r>
      <w:r w:rsidRPr="00F46420">
        <w:t xml:space="preserve"> </w:t>
      </w:r>
      <w:r w:rsidRPr="00F46420">
        <w:rPr>
          <w:i/>
        </w:rPr>
        <w:t>Id.</w:t>
      </w:r>
      <w:r w:rsidRPr="00F46420">
        <w:t xml:space="preserve"> at 4788-90, paras. 26-31.</w:t>
      </w:r>
    </w:p>
  </w:footnote>
  <w:footnote w:id="35">
    <w:p w:rsidR="003F2288" w:rsidRPr="00F46420" w:rsidP="003F2288" w14:paraId="66109AFD" w14:textId="77777777">
      <w:pPr>
        <w:pStyle w:val="FootnoteText"/>
      </w:pPr>
      <w:r w:rsidRPr="00F46420">
        <w:rPr>
          <w:rStyle w:val="FootnoteReference"/>
          <w:sz w:val="20"/>
        </w:rPr>
        <w:footnoteRef/>
      </w:r>
      <w:r w:rsidRPr="00F46420">
        <w:t xml:space="preserve"> </w:t>
      </w:r>
      <w:r w:rsidRPr="00F46420">
        <w:rPr>
          <w:i/>
        </w:rPr>
        <w:t>See</w:t>
      </w:r>
      <w:r w:rsidRPr="00F46420">
        <w:t xml:space="preserve"> 47 U.S.C. § 153(1).</w:t>
      </w:r>
    </w:p>
  </w:footnote>
  <w:footnote w:id="36">
    <w:p w:rsidR="003F2288" w:rsidRPr="00F46420" w:rsidP="003F2288" w14:paraId="2616CA0F" w14:textId="77777777">
      <w:pPr>
        <w:pStyle w:val="FootnoteText"/>
      </w:pPr>
      <w:r w:rsidRPr="00F46420">
        <w:rPr>
          <w:rStyle w:val="FootnoteReference"/>
          <w:sz w:val="20"/>
        </w:rPr>
        <w:footnoteRef/>
      </w:r>
      <w:r w:rsidRPr="00F46420">
        <w:t xml:space="preserve"> </w:t>
      </w:r>
      <w:r w:rsidRPr="00F46420">
        <w:rPr>
          <w:i/>
        </w:rPr>
        <w:t xml:space="preserve">Hargray/ComSouth Order </w:t>
      </w:r>
      <w:r w:rsidRPr="00F46420">
        <w:t xml:space="preserve">at 4788-89, para. 27.  The cap will apply to the combined operating expenses of the post-consummation companies and any other existing rate-of-return affiliates that they may acquire during the time in which the condition is in effect (together, covered entities).  To monitor compliance with the condition adopted herein, to the extent it does not already do so, </w:t>
      </w:r>
      <w:r w:rsidRPr="00F46420">
        <w:rPr>
          <w:color w:val="000000"/>
        </w:rPr>
        <w:t xml:space="preserve">we direct the covered entities </w:t>
      </w:r>
      <w:r w:rsidRPr="00F46420">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46420">
        <w:rPr>
          <w:i/>
        </w:rPr>
        <w:t>Id</w:t>
      </w:r>
      <w:r w:rsidRPr="00F46420">
        <w:t xml:space="preserve">. at 4790, para. 31.      </w:t>
      </w:r>
    </w:p>
  </w:footnote>
  <w:footnote w:id="37">
    <w:p w:rsidR="003F2288" w:rsidRPr="00F46420" w:rsidP="003F2288" w14:paraId="53525560" w14:textId="0F9646EE">
      <w:pPr>
        <w:pStyle w:val="FootnoteText"/>
      </w:pPr>
      <w:r w:rsidRPr="00F46420">
        <w:rPr>
          <w:rStyle w:val="FootnoteReference"/>
          <w:sz w:val="20"/>
        </w:rPr>
        <w:footnoteRef/>
      </w:r>
      <w:r w:rsidRPr="00F46420">
        <w:t xml:space="preserve"> </w:t>
      </w:r>
      <w:r w:rsidR="00F65B1B">
        <w:rPr>
          <w:i/>
          <w:iCs/>
        </w:rPr>
        <w:t>Id</w:t>
      </w:r>
      <w:r w:rsidR="00F65B1B">
        <w:t>.</w:t>
      </w:r>
      <w:r w:rsidRPr="00F46420">
        <w:t xml:space="preserve"> at 4789, para. 28.</w:t>
      </w:r>
    </w:p>
  </w:footnote>
  <w:footnote w:id="38">
    <w:p w:rsidR="003F2288" w:rsidRPr="00F46420" w:rsidP="003F2288" w14:paraId="18A218FF" w14:textId="77777777">
      <w:pPr>
        <w:pStyle w:val="FootnoteText"/>
      </w:pPr>
      <w:r w:rsidRPr="00F46420">
        <w:rPr>
          <w:rStyle w:val="FootnoteReference"/>
          <w:sz w:val="20"/>
        </w:rPr>
        <w:footnoteRef/>
      </w:r>
      <w:r w:rsidRPr="00F46420">
        <w:t xml:space="preserve"> </w:t>
      </w:r>
      <w:r w:rsidRPr="00F46420">
        <w:rPr>
          <w:i/>
        </w:rPr>
        <w:t>Id.</w:t>
      </w:r>
      <w:r w:rsidRPr="00F46420">
        <w:t xml:space="preserve"> </w:t>
      </w:r>
    </w:p>
  </w:footnote>
  <w:footnote w:id="39">
    <w:p w:rsidR="003F2288" w:rsidRPr="00F46420" w:rsidP="003F2288" w14:paraId="1DA5AF4D" w14:textId="77777777">
      <w:pPr>
        <w:pStyle w:val="FootnoteText"/>
      </w:pPr>
      <w:r w:rsidRPr="00F46420">
        <w:rPr>
          <w:rStyle w:val="FootnoteReference"/>
          <w:sz w:val="20"/>
        </w:rPr>
        <w:footnoteRef/>
      </w:r>
      <w:r w:rsidRPr="00F46420">
        <w:t xml:space="preserve"> </w:t>
      </w:r>
      <w:r w:rsidRPr="00F46420">
        <w:rPr>
          <w:i/>
        </w:rPr>
        <w:t>Id.</w:t>
      </w:r>
    </w:p>
  </w:footnote>
  <w:footnote w:id="40">
    <w:p w:rsidR="003F2288" w:rsidRPr="00F46420" w:rsidP="003F2288" w14:paraId="7842ED71" w14:textId="77777777">
      <w:pPr>
        <w:pStyle w:val="FootnoteText"/>
      </w:pPr>
      <w:r w:rsidRPr="00F46420">
        <w:rPr>
          <w:rStyle w:val="FootnoteReference"/>
          <w:sz w:val="20"/>
        </w:rPr>
        <w:footnoteRef/>
      </w:r>
      <w:r w:rsidRPr="00F46420">
        <w:t xml:space="preserve"> </w:t>
      </w:r>
      <w:r w:rsidRPr="00F46420">
        <w:rPr>
          <w:i/>
        </w:rPr>
        <w:t>Id.</w:t>
      </w:r>
      <w:r w:rsidRPr="00F46420">
        <w:t xml:space="preserve"> at 4790, para. 30.</w:t>
      </w:r>
    </w:p>
  </w:footnote>
  <w:footnote w:id="41">
    <w:p w:rsidR="003F2288" w:rsidRPr="00F46420" w:rsidP="003F2288" w14:paraId="3A9C0B67" w14:textId="77777777">
      <w:pPr>
        <w:pStyle w:val="FootnoteText"/>
      </w:pPr>
      <w:r w:rsidRPr="00F46420">
        <w:rPr>
          <w:rStyle w:val="FootnoteReference"/>
          <w:sz w:val="20"/>
        </w:rPr>
        <w:footnoteRef/>
      </w:r>
      <w:r w:rsidRPr="00F46420">
        <w:t xml:space="preserve"> The Commission has found seven years to be an appropriate period over which to monitor enforcement of the condition and to ensure that the combined entity, which will continue to receive support, does not shift costs from year-to-year.  </w:t>
      </w:r>
      <w:r w:rsidRPr="00F46420">
        <w:rPr>
          <w:i/>
        </w:rPr>
        <w:t>Id</w:t>
      </w:r>
      <w:r w:rsidRPr="00F46420">
        <w:t>. at 4789-90, para. 29, fn.78.  The cap will not apply if the parties do not consummate the proposed transaction</w:t>
      </w:r>
      <w:r w:rsidR="00557F9A">
        <w:t>s</w:t>
      </w:r>
      <w:r w:rsidRPr="00F46420">
        <w:t>.</w:t>
      </w:r>
    </w:p>
  </w:footnote>
  <w:footnote w:id="42">
    <w:p w:rsidR="003F2288" w:rsidRPr="00F46420" w:rsidP="003F2288" w14:paraId="0F6E31EF" w14:textId="77777777">
      <w:pPr>
        <w:pStyle w:val="FootnoteText"/>
      </w:pPr>
      <w:r w:rsidRPr="00F46420">
        <w:rPr>
          <w:rStyle w:val="FootnoteReference"/>
          <w:sz w:val="20"/>
        </w:rPr>
        <w:footnoteRef/>
      </w:r>
      <w:r w:rsidRPr="00F46420">
        <w:t xml:space="preserve"> </w:t>
      </w:r>
      <w:r w:rsidRPr="00F46420">
        <w:rPr>
          <w:i/>
        </w:rPr>
        <w:t>Id</w:t>
      </w:r>
      <w:r w:rsidRPr="00F46420">
        <w:t>. at 4789-90, para. 29.</w:t>
      </w:r>
    </w:p>
  </w:footnote>
  <w:footnote w:id="43">
    <w:p w:rsidR="003F2288" w:rsidRPr="00F46420" w:rsidP="003F2288" w14:paraId="117E4431" w14:textId="12409382">
      <w:pPr>
        <w:pStyle w:val="FootnoteText"/>
        <w:rPr>
          <w:iCs/>
          <w:color w:val="212121"/>
        </w:rPr>
      </w:pPr>
      <w:r w:rsidRPr="00F46420">
        <w:rPr>
          <w:rStyle w:val="FootnoteReference"/>
          <w:sz w:val="20"/>
        </w:rPr>
        <w:footnoteRef/>
      </w:r>
      <w:r w:rsidRPr="00F46420">
        <w:t xml:space="preserve"> </w:t>
      </w:r>
      <w:r w:rsidRPr="0025072B" w:rsidR="00093E8D">
        <w:rPr>
          <w:i/>
        </w:rPr>
        <w:t>See</w:t>
      </w:r>
      <w:r w:rsidR="00093E8D">
        <w:rPr>
          <w:i/>
        </w:rPr>
        <w:t>, e.g</w:t>
      </w:r>
      <w:r w:rsidR="00093E8D">
        <w:t xml:space="preserve">., </w:t>
      </w:r>
      <w:r w:rsidRPr="004F4239" w:rsidR="00093E8D">
        <w:rPr>
          <w:i/>
        </w:rPr>
        <w:t>Applications of Level 3 Communications, Inc. and CenturyLink, Inc. for Consent to Transfer Control of Licenses and Authorizations</w:t>
      </w:r>
      <w:r w:rsidR="00093E8D">
        <w:t xml:space="preserve">, Memorandum Opinion and Order, 32 FCC </w:t>
      </w:r>
      <w:r w:rsidR="00093E8D">
        <w:t>Rcd</w:t>
      </w:r>
      <w:r w:rsidR="00093E8D">
        <w:t xml:space="preserve"> 9581, 9594, 9605, paras. 26 and 52 (2017) (finding no harm to competition in CenturyLink’s incumbent LEC territory, nor outside of CenturyLink’s incumbent LEC territory, where applicants operate as competitive LECs, and further finding that the t</w:t>
      </w:r>
      <w:r w:rsidRPr="00516C98" w:rsidR="00093E8D">
        <w:t xml:space="preserve">ransaction </w:t>
      </w:r>
      <w:r w:rsidR="00093E8D">
        <w:t>“</w:t>
      </w:r>
      <w:r w:rsidRPr="00516C98" w:rsidR="00093E8D">
        <w:t>will expand the on-net reach of the newly combined firm resulting in a more effective</w:t>
      </w:r>
      <w:r w:rsidR="00093E8D">
        <w:t xml:space="preserve"> </w:t>
      </w:r>
      <w:r w:rsidRPr="00516C98" w:rsidR="00093E8D">
        <w:t>and stronger competitor against larger cable and incumbent LEC competitors, among others, particularly outside of Century Link's incumbent LEC region, where it, like </w:t>
      </w:r>
      <w:r w:rsidRPr="004F4239" w:rsidR="00093E8D">
        <w:rPr>
          <w:bCs/>
        </w:rPr>
        <w:t>Level</w:t>
      </w:r>
      <w:r w:rsidRPr="001415BA" w:rsidR="00093E8D">
        <w:t> </w:t>
      </w:r>
      <w:r w:rsidRPr="004F4239" w:rsidR="00093E8D">
        <w:rPr>
          <w:bCs/>
        </w:rPr>
        <w:t>3</w:t>
      </w:r>
      <w:r w:rsidRPr="00516C98" w:rsidR="00093E8D">
        <w:t>, operates as a competitive LEC.</w:t>
      </w:r>
      <w:r w:rsidR="00093E8D">
        <w:t>”).</w:t>
      </w:r>
      <w:r w:rsidRPr="00516C98" w:rsidR="00093E8D">
        <w:t> </w:t>
      </w:r>
      <w:r w:rsidRPr="002F2EF7" w:rsidR="00093E8D">
        <w:t> </w:t>
      </w:r>
    </w:p>
  </w:footnote>
  <w:footnote w:id="44">
    <w:p w:rsidR="003F2288" w:rsidRPr="00F46420" w:rsidP="003F2288" w14:paraId="340ABF47" w14:textId="77777777">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in th</w:t>
      </w:r>
      <w:r w:rsidR="00557F9A">
        <w:t>ese</w:t>
      </w:r>
      <w:r w:rsidRPr="00F46420">
        <w:t xml:space="preserve"> proceeding</w:t>
      </w:r>
      <w:r w:rsidR="00557F9A">
        <w:t>s</w:t>
      </w:r>
      <w:r w:rsidRPr="00F46420">
        <w:t xml:space="preserve"> provide incumbent LEC services in their respective study areas.  Within 30 days of closing the proposed transaction</w:t>
      </w:r>
      <w:r w:rsidR="006A65D3">
        <w:t>s</w:t>
      </w:r>
      <w:r w:rsidRPr="00F46420">
        <w:t>,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14:paraId="7AEDDE58" w14:textId="421EFB88">
    <w:pPr>
      <w:tabs>
        <w:tab w:val="center" w:pos="4680"/>
        <w:tab w:val="right" w:pos="9360"/>
      </w:tabs>
    </w:pPr>
    <w:r w:rsidRPr="009838BC">
      <w:rPr>
        <w:b/>
      </w:rPr>
      <w:tab/>
      <w:t>Federal Communications Commission</w:t>
    </w:r>
    <w:r w:rsidRPr="009838BC">
      <w:rPr>
        <w:b/>
      </w:rPr>
      <w:tab/>
    </w:r>
    <w:r>
      <w:rPr>
        <w:b/>
      </w:rPr>
      <w:t xml:space="preserve">DA </w:t>
    </w:r>
    <w:r w:rsidR="00047B5A">
      <w:rPr>
        <w:b/>
      </w:rPr>
      <w:t>21</w:t>
    </w:r>
    <w:r>
      <w:rPr>
        <w:b/>
      </w:rPr>
      <w:t>-</w:t>
    </w:r>
    <w:r w:rsidR="00047B5A">
      <w:rPr>
        <w:b/>
      </w:rPr>
      <w:t>68</w:t>
    </w:r>
  </w:p>
  <w:p w:rsidR="009560CD" w:rsidRPr="009838BC" w:rsidP="009560CD" w14:paraId="1277CDD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560CD" w:rsidRPr="009838BC" w:rsidP="009560CD" w14:paraId="1921160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14:paraId="6121F28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rPr>
                              <w:rFonts w:ascii="Arial" w:hAnsi="Arial"/>
                              <w:b/>
                            </w:rPr>
                          </w:pPr>
                          <w:r>
                            <w:rPr>
                              <w:rFonts w:ascii="Arial" w:hAnsi="Arial"/>
                              <w:b/>
                            </w:rPr>
                            <w:t>Federal Communications Commission</w:t>
                          </w:r>
                        </w:p>
                        <w:p w:rsidR="009560CD" w:rsidP="009560C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560CD" w:rsidP="009560CD" w14:paraId="3A75269F" w14:textId="77777777">
                    <w:pPr>
                      <w:rPr>
                        <w:rFonts w:ascii="Arial" w:hAnsi="Arial"/>
                        <w:b/>
                      </w:rPr>
                    </w:pPr>
                    <w:r>
                      <w:rPr>
                        <w:rFonts w:ascii="Arial" w:hAnsi="Arial"/>
                        <w:b/>
                      </w:rPr>
                      <w:t>Federal Communications Commission</w:t>
                    </w:r>
                  </w:p>
                  <w:p w:rsidR="009560CD" w:rsidP="009560CD" w14:paraId="3B576FF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paraId="247008A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31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1F4EB1">
      <w:rPr>
        <w:rFonts w:ascii="Arial" w:hAnsi="Arial" w:cs="Arial"/>
        <w:b/>
        <w:sz w:val="96"/>
      </w:rPr>
      <w:t>PUBLIC NOTICE</w:t>
    </w:r>
  </w:p>
  <w:p w:rsidR="009560CD" w:rsidRPr="00357D50" w:rsidP="009560CD" w14:paraId="6E625F6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spacing w:before="40"/>
                            <w:jc w:val="right"/>
                            <w:rPr>
                              <w:rFonts w:ascii="Arial" w:hAnsi="Arial"/>
                              <w:b/>
                              <w:sz w:val="16"/>
                            </w:rPr>
                          </w:pPr>
                          <w:r>
                            <w:rPr>
                              <w:rFonts w:ascii="Arial" w:hAnsi="Arial"/>
                              <w:b/>
                              <w:sz w:val="16"/>
                            </w:rPr>
                            <w:t>News Media Information 202 / 418-0500</w:t>
                          </w:r>
                        </w:p>
                        <w:p w:rsidR="009560CD" w:rsidP="009560CD"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560CD" w:rsidP="009560C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560CD" w:rsidP="009560CD" w14:paraId="702C662D" w14:textId="77777777">
                    <w:pPr>
                      <w:spacing w:before="40"/>
                      <w:jc w:val="right"/>
                      <w:rPr>
                        <w:rFonts w:ascii="Arial" w:hAnsi="Arial"/>
                        <w:b/>
                        <w:sz w:val="16"/>
                      </w:rPr>
                    </w:pPr>
                    <w:r>
                      <w:rPr>
                        <w:rFonts w:ascii="Arial" w:hAnsi="Arial"/>
                        <w:b/>
                        <w:sz w:val="16"/>
                      </w:rPr>
                      <w:t>News Media Information 202 / 418-0500</w:t>
                    </w:r>
                  </w:p>
                  <w:p w:rsidR="009560CD" w:rsidP="009560CD" w14:paraId="7258C74D"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560CD" w:rsidP="009560CD" w14:paraId="52E2D805" w14:textId="77777777">
                    <w:pPr>
                      <w:jc w:val="right"/>
                    </w:pPr>
                    <w:r>
                      <w:rPr>
                        <w:rFonts w:ascii="Arial" w:hAnsi="Arial"/>
                        <w:b/>
                        <w:sz w:val="16"/>
                      </w:rPr>
                      <w:t>TTY: 1-888-835-5322</w:t>
                    </w:r>
                  </w:p>
                </w:txbxContent>
              </v:textbox>
            </v:shape>
          </w:pict>
        </mc:Fallback>
      </mc:AlternateContent>
    </w:r>
  </w:p>
  <w:p w:rsidR="009560CD" w:rsidRPr="009838BC" w:rsidP="009560CD" w14:paraId="4EF24F3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5"/>
    <w:rsid w:val="00016344"/>
    <w:rsid w:val="00034AE5"/>
    <w:rsid w:val="00034BE8"/>
    <w:rsid w:val="000372E6"/>
    <w:rsid w:val="000418D2"/>
    <w:rsid w:val="0004613C"/>
    <w:rsid w:val="00047B5A"/>
    <w:rsid w:val="00050449"/>
    <w:rsid w:val="000524B4"/>
    <w:rsid w:val="00062A4F"/>
    <w:rsid w:val="0006462C"/>
    <w:rsid w:val="0006543D"/>
    <w:rsid w:val="000731B2"/>
    <w:rsid w:val="00073243"/>
    <w:rsid w:val="00081548"/>
    <w:rsid w:val="0008381D"/>
    <w:rsid w:val="00093E8D"/>
    <w:rsid w:val="00095E72"/>
    <w:rsid w:val="00097664"/>
    <w:rsid w:val="000A26AA"/>
    <w:rsid w:val="000A4D44"/>
    <w:rsid w:val="000A5FD1"/>
    <w:rsid w:val="000A6021"/>
    <w:rsid w:val="000B0AF7"/>
    <w:rsid w:val="000D6AF4"/>
    <w:rsid w:val="000E4E7D"/>
    <w:rsid w:val="000E7034"/>
    <w:rsid w:val="000E78BD"/>
    <w:rsid w:val="000F4074"/>
    <w:rsid w:val="000F5D40"/>
    <w:rsid w:val="00105A80"/>
    <w:rsid w:val="001073F8"/>
    <w:rsid w:val="00113574"/>
    <w:rsid w:val="00113EE1"/>
    <w:rsid w:val="0011735A"/>
    <w:rsid w:val="00120337"/>
    <w:rsid w:val="00134C28"/>
    <w:rsid w:val="001401F3"/>
    <w:rsid w:val="001407B1"/>
    <w:rsid w:val="001415BA"/>
    <w:rsid w:val="00141A16"/>
    <w:rsid w:val="001512B8"/>
    <w:rsid w:val="001539FC"/>
    <w:rsid w:val="00163C91"/>
    <w:rsid w:val="00170171"/>
    <w:rsid w:val="00174B4D"/>
    <w:rsid w:val="001761B2"/>
    <w:rsid w:val="00177B81"/>
    <w:rsid w:val="00191F3D"/>
    <w:rsid w:val="001A31B3"/>
    <w:rsid w:val="001B262D"/>
    <w:rsid w:val="001D1964"/>
    <w:rsid w:val="001D4DD9"/>
    <w:rsid w:val="001E44A8"/>
    <w:rsid w:val="001E6D45"/>
    <w:rsid w:val="001F0972"/>
    <w:rsid w:val="001F14C6"/>
    <w:rsid w:val="001F4EB1"/>
    <w:rsid w:val="001F6A0C"/>
    <w:rsid w:val="0020405A"/>
    <w:rsid w:val="00205454"/>
    <w:rsid w:val="002142F7"/>
    <w:rsid w:val="0023170B"/>
    <w:rsid w:val="0023369C"/>
    <w:rsid w:val="002350E8"/>
    <w:rsid w:val="002470F8"/>
    <w:rsid w:val="0025072B"/>
    <w:rsid w:val="0025145A"/>
    <w:rsid w:val="0025269E"/>
    <w:rsid w:val="002538EE"/>
    <w:rsid w:val="0025400A"/>
    <w:rsid w:val="002574B7"/>
    <w:rsid w:val="00257C5D"/>
    <w:rsid w:val="00264EFA"/>
    <w:rsid w:val="00265992"/>
    <w:rsid w:val="002707E1"/>
    <w:rsid w:val="00270A54"/>
    <w:rsid w:val="002719B7"/>
    <w:rsid w:val="002719E7"/>
    <w:rsid w:val="002738F1"/>
    <w:rsid w:val="00277A7E"/>
    <w:rsid w:val="00286FDD"/>
    <w:rsid w:val="00292AE8"/>
    <w:rsid w:val="00292C9A"/>
    <w:rsid w:val="002940B4"/>
    <w:rsid w:val="002A13B7"/>
    <w:rsid w:val="002B13E2"/>
    <w:rsid w:val="002B3A65"/>
    <w:rsid w:val="002E44D9"/>
    <w:rsid w:val="002F0235"/>
    <w:rsid w:val="002F2EF7"/>
    <w:rsid w:val="00306EEF"/>
    <w:rsid w:val="00314E1C"/>
    <w:rsid w:val="003206BE"/>
    <w:rsid w:val="00324E21"/>
    <w:rsid w:val="00325C8A"/>
    <w:rsid w:val="00325FA0"/>
    <w:rsid w:val="003338CD"/>
    <w:rsid w:val="00341E18"/>
    <w:rsid w:val="00346506"/>
    <w:rsid w:val="00356188"/>
    <w:rsid w:val="00357D50"/>
    <w:rsid w:val="00360A25"/>
    <w:rsid w:val="00361E29"/>
    <w:rsid w:val="00367B3A"/>
    <w:rsid w:val="00373C2C"/>
    <w:rsid w:val="00386B01"/>
    <w:rsid w:val="003870E8"/>
    <w:rsid w:val="00391D67"/>
    <w:rsid w:val="00392396"/>
    <w:rsid w:val="0039473A"/>
    <w:rsid w:val="003A1822"/>
    <w:rsid w:val="003A4573"/>
    <w:rsid w:val="003B1211"/>
    <w:rsid w:val="003C564B"/>
    <w:rsid w:val="003D22F9"/>
    <w:rsid w:val="003E0497"/>
    <w:rsid w:val="003E0942"/>
    <w:rsid w:val="003E425C"/>
    <w:rsid w:val="003E576D"/>
    <w:rsid w:val="003E5F04"/>
    <w:rsid w:val="003F2288"/>
    <w:rsid w:val="003F5C32"/>
    <w:rsid w:val="003F5FD5"/>
    <w:rsid w:val="0040128A"/>
    <w:rsid w:val="0041513E"/>
    <w:rsid w:val="00417394"/>
    <w:rsid w:val="004224AC"/>
    <w:rsid w:val="00422637"/>
    <w:rsid w:val="00427EB3"/>
    <w:rsid w:val="00431D07"/>
    <w:rsid w:val="004377A1"/>
    <w:rsid w:val="0044021E"/>
    <w:rsid w:val="0044046E"/>
    <w:rsid w:val="00443ECF"/>
    <w:rsid w:val="00445585"/>
    <w:rsid w:val="004556CC"/>
    <w:rsid w:val="00472D8C"/>
    <w:rsid w:val="004762AB"/>
    <w:rsid w:val="0047633D"/>
    <w:rsid w:val="00485F44"/>
    <w:rsid w:val="00493979"/>
    <w:rsid w:val="00496424"/>
    <w:rsid w:val="004A0B35"/>
    <w:rsid w:val="004B1DE5"/>
    <w:rsid w:val="004B5558"/>
    <w:rsid w:val="004B6CF4"/>
    <w:rsid w:val="004B7EBD"/>
    <w:rsid w:val="004C3980"/>
    <w:rsid w:val="004C39E4"/>
    <w:rsid w:val="004C52B2"/>
    <w:rsid w:val="004E02FE"/>
    <w:rsid w:val="004E3E33"/>
    <w:rsid w:val="004F0B5B"/>
    <w:rsid w:val="004F340A"/>
    <w:rsid w:val="004F37A3"/>
    <w:rsid w:val="004F4239"/>
    <w:rsid w:val="004F659A"/>
    <w:rsid w:val="004F7405"/>
    <w:rsid w:val="00510281"/>
    <w:rsid w:val="00516145"/>
    <w:rsid w:val="00516504"/>
    <w:rsid w:val="00516C98"/>
    <w:rsid w:val="00521E90"/>
    <w:rsid w:val="0053246B"/>
    <w:rsid w:val="00533D3B"/>
    <w:rsid w:val="0054080B"/>
    <w:rsid w:val="00540D13"/>
    <w:rsid w:val="005476C6"/>
    <w:rsid w:val="00554A55"/>
    <w:rsid w:val="00557F9A"/>
    <w:rsid w:val="00561173"/>
    <w:rsid w:val="00565A49"/>
    <w:rsid w:val="00566466"/>
    <w:rsid w:val="005708F1"/>
    <w:rsid w:val="00576F3C"/>
    <w:rsid w:val="00577720"/>
    <w:rsid w:val="005812EE"/>
    <w:rsid w:val="0058534C"/>
    <w:rsid w:val="005874E5"/>
    <w:rsid w:val="005B1800"/>
    <w:rsid w:val="005B75B3"/>
    <w:rsid w:val="005C3880"/>
    <w:rsid w:val="005C4B42"/>
    <w:rsid w:val="005C5609"/>
    <w:rsid w:val="005C7D71"/>
    <w:rsid w:val="005E3095"/>
    <w:rsid w:val="005F278D"/>
    <w:rsid w:val="005F4E54"/>
    <w:rsid w:val="0060049F"/>
    <w:rsid w:val="00600899"/>
    <w:rsid w:val="00611481"/>
    <w:rsid w:val="0061344C"/>
    <w:rsid w:val="00613C3A"/>
    <w:rsid w:val="006141A6"/>
    <w:rsid w:val="00622DF5"/>
    <w:rsid w:val="00626DE6"/>
    <w:rsid w:val="00633DF5"/>
    <w:rsid w:val="00640931"/>
    <w:rsid w:val="00647A6E"/>
    <w:rsid w:val="00653788"/>
    <w:rsid w:val="00654741"/>
    <w:rsid w:val="006612B9"/>
    <w:rsid w:val="006614C1"/>
    <w:rsid w:val="006650A4"/>
    <w:rsid w:val="006657C3"/>
    <w:rsid w:val="00677C03"/>
    <w:rsid w:val="00681626"/>
    <w:rsid w:val="006823D9"/>
    <w:rsid w:val="00683952"/>
    <w:rsid w:val="0068538C"/>
    <w:rsid w:val="00691F10"/>
    <w:rsid w:val="006932F7"/>
    <w:rsid w:val="00696C93"/>
    <w:rsid w:val="006A65D3"/>
    <w:rsid w:val="006B0317"/>
    <w:rsid w:val="006B6FEB"/>
    <w:rsid w:val="006C3C92"/>
    <w:rsid w:val="006D0808"/>
    <w:rsid w:val="006D1EC3"/>
    <w:rsid w:val="006D2EA5"/>
    <w:rsid w:val="006D5E3A"/>
    <w:rsid w:val="006E6312"/>
    <w:rsid w:val="0070003F"/>
    <w:rsid w:val="00701E4C"/>
    <w:rsid w:val="00702592"/>
    <w:rsid w:val="00706977"/>
    <w:rsid w:val="007069DD"/>
    <w:rsid w:val="00711614"/>
    <w:rsid w:val="00714BDA"/>
    <w:rsid w:val="007305E9"/>
    <w:rsid w:val="00734D42"/>
    <w:rsid w:val="0073741A"/>
    <w:rsid w:val="00737DE4"/>
    <w:rsid w:val="00750859"/>
    <w:rsid w:val="00756CF7"/>
    <w:rsid w:val="00762CDC"/>
    <w:rsid w:val="00766B73"/>
    <w:rsid w:val="00767932"/>
    <w:rsid w:val="0077087C"/>
    <w:rsid w:val="007961F1"/>
    <w:rsid w:val="007B05A6"/>
    <w:rsid w:val="007C69C8"/>
    <w:rsid w:val="00801A9E"/>
    <w:rsid w:val="00804B0E"/>
    <w:rsid w:val="008075CC"/>
    <w:rsid w:val="008103A8"/>
    <w:rsid w:val="0081347F"/>
    <w:rsid w:val="0082446B"/>
    <w:rsid w:val="00827491"/>
    <w:rsid w:val="00827843"/>
    <w:rsid w:val="008305F7"/>
    <w:rsid w:val="00832D4C"/>
    <w:rsid w:val="0083415B"/>
    <w:rsid w:val="00834342"/>
    <w:rsid w:val="008448B4"/>
    <w:rsid w:val="008454A4"/>
    <w:rsid w:val="008473D9"/>
    <w:rsid w:val="00867530"/>
    <w:rsid w:val="00870737"/>
    <w:rsid w:val="00871124"/>
    <w:rsid w:val="00871BB1"/>
    <w:rsid w:val="00871F43"/>
    <w:rsid w:val="00872C6A"/>
    <w:rsid w:val="0087682A"/>
    <w:rsid w:val="008A5C2D"/>
    <w:rsid w:val="008A5FEF"/>
    <w:rsid w:val="008B1967"/>
    <w:rsid w:val="008B3790"/>
    <w:rsid w:val="008B4602"/>
    <w:rsid w:val="008C2A51"/>
    <w:rsid w:val="008C7AD1"/>
    <w:rsid w:val="008D2EB0"/>
    <w:rsid w:val="008D7417"/>
    <w:rsid w:val="008E09B6"/>
    <w:rsid w:val="008E4CC6"/>
    <w:rsid w:val="008F04B1"/>
    <w:rsid w:val="008F3A61"/>
    <w:rsid w:val="008F66AA"/>
    <w:rsid w:val="009061CF"/>
    <w:rsid w:val="00921FFC"/>
    <w:rsid w:val="00926478"/>
    <w:rsid w:val="00930423"/>
    <w:rsid w:val="00930ECF"/>
    <w:rsid w:val="009322C0"/>
    <w:rsid w:val="0093271C"/>
    <w:rsid w:val="009363C5"/>
    <w:rsid w:val="00945B79"/>
    <w:rsid w:val="00946D23"/>
    <w:rsid w:val="00950931"/>
    <w:rsid w:val="009518D3"/>
    <w:rsid w:val="009560CD"/>
    <w:rsid w:val="00957524"/>
    <w:rsid w:val="00960E82"/>
    <w:rsid w:val="00961A50"/>
    <w:rsid w:val="00970A6F"/>
    <w:rsid w:val="009838BC"/>
    <w:rsid w:val="00994314"/>
    <w:rsid w:val="009A0A07"/>
    <w:rsid w:val="009B0F0C"/>
    <w:rsid w:val="009B5A07"/>
    <w:rsid w:val="009C5710"/>
    <w:rsid w:val="009C7271"/>
    <w:rsid w:val="009D2E12"/>
    <w:rsid w:val="009D2F73"/>
    <w:rsid w:val="009D361F"/>
    <w:rsid w:val="009E4C1B"/>
    <w:rsid w:val="009E703B"/>
    <w:rsid w:val="00A04201"/>
    <w:rsid w:val="00A07493"/>
    <w:rsid w:val="00A40A50"/>
    <w:rsid w:val="00A44430"/>
    <w:rsid w:val="00A530A3"/>
    <w:rsid w:val="00A53330"/>
    <w:rsid w:val="00A65DF7"/>
    <w:rsid w:val="00A676CF"/>
    <w:rsid w:val="00A82512"/>
    <w:rsid w:val="00A836C3"/>
    <w:rsid w:val="00A866AC"/>
    <w:rsid w:val="00A8781C"/>
    <w:rsid w:val="00A90863"/>
    <w:rsid w:val="00AB35BE"/>
    <w:rsid w:val="00AB699D"/>
    <w:rsid w:val="00AC00DB"/>
    <w:rsid w:val="00AC5680"/>
    <w:rsid w:val="00AD18BA"/>
    <w:rsid w:val="00AD288C"/>
    <w:rsid w:val="00AE12BC"/>
    <w:rsid w:val="00AE3359"/>
    <w:rsid w:val="00AE4FED"/>
    <w:rsid w:val="00AE5FA3"/>
    <w:rsid w:val="00AF68EB"/>
    <w:rsid w:val="00B02010"/>
    <w:rsid w:val="00B027B7"/>
    <w:rsid w:val="00B038EB"/>
    <w:rsid w:val="00B10062"/>
    <w:rsid w:val="00B144C5"/>
    <w:rsid w:val="00B16ACF"/>
    <w:rsid w:val="00B17585"/>
    <w:rsid w:val="00B33332"/>
    <w:rsid w:val="00B368C8"/>
    <w:rsid w:val="00B37F79"/>
    <w:rsid w:val="00B45C5D"/>
    <w:rsid w:val="00B62D18"/>
    <w:rsid w:val="00B7151D"/>
    <w:rsid w:val="00B76D5C"/>
    <w:rsid w:val="00B80854"/>
    <w:rsid w:val="00B9233A"/>
    <w:rsid w:val="00BA3E58"/>
    <w:rsid w:val="00BA5A2F"/>
    <w:rsid w:val="00BA5EC1"/>
    <w:rsid w:val="00BB23E9"/>
    <w:rsid w:val="00BB5719"/>
    <w:rsid w:val="00BC767F"/>
    <w:rsid w:val="00BD076D"/>
    <w:rsid w:val="00BD7197"/>
    <w:rsid w:val="00BE1D98"/>
    <w:rsid w:val="00BF492A"/>
    <w:rsid w:val="00C021C8"/>
    <w:rsid w:val="00C0281C"/>
    <w:rsid w:val="00C0409C"/>
    <w:rsid w:val="00C05D47"/>
    <w:rsid w:val="00C06EE4"/>
    <w:rsid w:val="00C16154"/>
    <w:rsid w:val="00C16D24"/>
    <w:rsid w:val="00C23F1A"/>
    <w:rsid w:val="00C24C5F"/>
    <w:rsid w:val="00C3081E"/>
    <w:rsid w:val="00C31625"/>
    <w:rsid w:val="00C36C57"/>
    <w:rsid w:val="00C373AB"/>
    <w:rsid w:val="00C44427"/>
    <w:rsid w:val="00C460C9"/>
    <w:rsid w:val="00C50EBF"/>
    <w:rsid w:val="00C576F0"/>
    <w:rsid w:val="00C620AB"/>
    <w:rsid w:val="00C65C75"/>
    <w:rsid w:val="00C66D1D"/>
    <w:rsid w:val="00C710E0"/>
    <w:rsid w:val="00C71123"/>
    <w:rsid w:val="00C75CE6"/>
    <w:rsid w:val="00C8359B"/>
    <w:rsid w:val="00CA12B8"/>
    <w:rsid w:val="00CA1BA1"/>
    <w:rsid w:val="00CA316D"/>
    <w:rsid w:val="00CA51C2"/>
    <w:rsid w:val="00CA753C"/>
    <w:rsid w:val="00CB6D42"/>
    <w:rsid w:val="00CC4A75"/>
    <w:rsid w:val="00CC4C1E"/>
    <w:rsid w:val="00CC62D8"/>
    <w:rsid w:val="00CD4064"/>
    <w:rsid w:val="00CD40D8"/>
    <w:rsid w:val="00CE347A"/>
    <w:rsid w:val="00CF4485"/>
    <w:rsid w:val="00CF5D99"/>
    <w:rsid w:val="00D00C2E"/>
    <w:rsid w:val="00D01D05"/>
    <w:rsid w:val="00D115F7"/>
    <w:rsid w:val="00D116C2"/>
    <w:rsid w:val="00D216CD"/>
    <w:rsid w:val="00D22738"/>
    <w:rsid w:val="00D260D4"/>
    <w:rsid w:val="00D270BE"/>
    <w:rsid w:val="00D32C1F"/>
    <w:rsid w:val="00D438C7"/>
    <w:rsid w:val="00D5278C"/>
    <w:rsid w:val="00D54847"/>
    <w:rsid w:val="00D60708"/>
    <w:rsid w:val="00D62701"/>
    <w:rsid w:val="00D62FBC"/>
    <w:rsid w:val="00D708CD"/>
    <w:rsid w:val="00D778C4"/>
    <w:rsid w:val="00D865A6"/>
    <w:rsid w:val="00D87FCE"/>
    <w:rsid w:val="00D92B9C"/>
    <w:rsid w:val="00D967AA"/>
    <w:rsid w:val="00D97C65"/>
    <w:rsid w:val="00DA34DD"/>
    <w:rsid w:val="00DA6514"/>
    <w:rsid w:val="00DB7229"/>
    <w:rsid w:val="00DC32C3"/>
    <w:rsid w:val="00DC3725"/>
    <w:rsid w:val="00DD066F"/>
    <w:rsid w:val="00DE4ABF"/>
    <w:rsid w:val="00DE5A50"/>
    <w:rsid w:val="00DE7B1E"/>
    <w:rsid w:val="00DF2528"/>
    <w:rsid w:val="00E0389F"/>
    <w:rsid w:val="00E07574"/>
    <w:rsid w:val="00E20623"/>
    <w:rsid w:val="00E2331D"/>
    <w:rsid w:val="00E23DB3"/>
    <w:rsid w:val="00E25C28"/>
    <w:rsid w:val="00E36E26"/>
    <w:rsid w:val="00E415F4"/>
    <w:rsid w:val="00E42AEE"/>
    <w:rsid w:val="00E432B8"/>
    <w:rsid w:val="00E50942"/>
    <w:rsid w:val="00E51A89"/>
    <w:rsid w:val="00E56922"/>
    <w:rsid w:val="00E572E9"/>
    <w:rsid w:val="00E619D6"/>
    <w:rsid w:val="00E6719E"/>
    <w:rsid w:val="00E679CD"/>
    <w:rsid w:val="00E70943"/>
    <w:rsid w:val="00E719BC"/>
    <w:rsid w:val="00E7470B"/>
    <w:rsid w:val="00E8024F"/>
    <w:rsid w:val="00E94AC3"/>
    <w:rsid w:val="00EB3799"/>
    <w:rsid w:val="00ED2AC4"/>
    <w:rsid w:val="00ED32C7"/>
    <w:rsid w:val="00EE03EA"/>
    <w:rsid w:val="00EE2E0B"/>
    <w:rsid w:val="00EE3B42"/>
    <w:rsid w:val="00EE568B"/>
    <w:rsid w:val="00EE65ED"/>
    <w:rsid w:val="00EF279F"/>
    <w:rsid w:val="00EF299B"/>
    <w:rsid w:val="00F10C9D"/>
    <w:rsid w:val="00F11B64"/>
    <w:rsid w:val="00F13E8E"/>
    <w:rsid w:val="00F142E2"/>
    <w:rsid w:val="00F2676B"/>
    <w:rsid w:val="00F336F1"/>
    <w:rsid w:val="00F34055"/>
    <w:rsid w:val="00F343D0"/>
    <w:rsid w:val="00F42F13"/>
    <w:rsid w:val="00F4563A"/>
    <w:rsid w:val="00F46084"/>
    <w:rsid w:val="00F46420"/>
    <w:rsid w:val="00F61613"/>
    <w:rsid w:val="00F65B1B"/>
    <w:rsid w:val="00F70187"/>
    <w:rsid w:val="00F87033"/>
    <w:rsid w:val="00F9008E"/>
    <w:rsid w:val="00F9389F"/>
    <w:rsid w:val="00FA3C30"/>
    <w:rsid w:val="00FB2BBF"/>
    <w:rsid w:val="00FB5BDD"/>
    <w:rsid w:val="00FD3FFD"/>
    <w:rsid w:val="00FD42AF"/>
    <w:rsid w:val="00FE0C05"/>
    <w:rsid w:val="00FE3C9F"/>
    <w:rsid w:val="00FE52EB"/>
    <w:rsid w:val="00FF0304"/>
    <w:rsid w:val="00FF473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34DD6D-D3DC-4985-BE38-9C6D572C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5A"/>
    <w:pPr>
      <w:widowControl w:val="0"/>
    </w:pPr>
    <w:rPr>
      <w:snapToGrid w:val="0"/>
      <w:kern w:val="28"/>
      <w:sz w:val="22"/>
      <w:lang w:eastAsia="en-US"/>
    </w:rPr>
  </w:style>
  <w:style w:type="paragraph" w:styleId="Heading1">
    <w:name w:val="heading 1"/>
    <w:basedOn w:val="Normal"/>
    <w:next w:val="ParaNum"/>
    <w:qFormat/>
    <w:rsid w:val="00047B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7B5A"/>
    <w:pPr>
      <w:keepNext/>
      <w:numPr>
        <w:ilvl w:val="1"/>
        <w:numId w:val="3"/>
      </w:numPr>
      <w:spacing w:after="120"/>
      <w:outlineLvl w:val="1"/>
    </w:pPr>
    <w:rPr>
      <w:b/>
    </w:rPr>
  </w:style>
  <w:style w:type="paragraph" w:styleId="Heading3">
    <w:name w:val="heading 3"/>
    <w:basedOn w:val="Normal"/>
    <w:next w:val="ParaNum"/>
    <w:qFormat/>
    <w:rsid w:val="00047B5A"/>
    <w:pPr>
      <w:keepNext/>
      <w:numPr>
        <w:ilvl w:val="2"/>
        <w:numId w:val="3"/>
      </w:numPr>
      <w:tabs>
        <w:tab w:val="left" w:pos="2160"/>
      </w:tabs>
      <w:spacing w:after="120"/>
      <w:outlineLvl w:val="2"/>
    </w:pPr>
    <w:rPr>
      <w:b/>
    </w:rPr>
  </w:style>
  <w:style w:type="paragraph" w:styleId="Heading4">
    <w:name w:val="heading 4"/>
    <w:basedOn w:val="Normal"/>
    <w:next w:val="ParaNum"/>
    <w:qFormat/>
    <w:rsid w:val="00047B5A"/>
    <w:pPr>
      <w:keepNext/>
      <w:numPr>
        <w:ilvl w:val="3"/>
        <w:numId w:val="3"/>
      </w:numPr>
      <w:tabs>
        <w:tab w:val="left" w:pos="2880"/>
      </w:tabs>
      <w:spacing w:after="120"/>
      <w:outlineLvl w:val="3"/>
    </w:pPr>
    <w:rPr>
      <w:b/>
    </w:rPr>
  </w:style>
  <w:style w:type="paragraph" w:styleId="Heading5">
    <w:name w:val="heading 5"/>
    <w:basedOn w:val="Normal"/>
    <w:next w:val="ParaNum"/>
    <w:qFormat/>
    <w:rsid w:val="00047B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47B5A"/>
    <w:pPr>
      <w:numPr>
        <w:ilvl w:val="5"/>
        <w:numId w:val="3"/>
      </w:numPr>
      <w:tabs>
        <w:tab w:val="left" w:pos="4320"/>
      </w:tabs>
      <w:spacing w:after="120"/>
      <w:outlineLvl w:val="5"/>
    </w:pPr>
    <w:rPr>
      <w:b/>
    </w:rPr>
  </w:style>
  <w:style w:type="paragraph" w:styleId="Heading7">
    <w:name w:val="heading 7"/>
    <w:basedOn w:val="Normal"/>
    <w:next w:val="ParaNum"/>
    <w:qFormat/>
    <w:rsid w:val="00047B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47B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47B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47B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7B5A"/>
  </w:style>
  <w:style w:type="paragraph" w:customStyle="1" w:styleId="ParaNum">
    <w:name w:val="ParaNum"/>
    <w:basedOn w:val="Normal"/>
    <w:rsid w:val="00047B5A"/>
    <w:pPr>
      <w:numPr>
        <w:numId w:val="2"/>
      </w:numPr>
      <w:tabs>
        <w:tab w:val="clear" w:pos="1080"/>
        <w:tab w:val="num" w:pos="1440"/>
      </w:tabs>
      <w:spacing w:after="120"/>
    </w:pPr>
  </w:style>
  <w:style w:type="paragraph" w:styleId="EndnoteText">
    <w:name w:val="endnote text"/>
    <w:basedOn w:val="Normal"/>
    <w:semiHidden/>
    <w:rsid w:val="00047B5A"/>
    <w:rPr>
      <w:sz w:val="20"/>
    </w:rPr>
  </w:style>
  <w:style w:type="character" w:styleId="EndnoteReference">
    <w:name w:val="endnote reference"/>
    <w:semiHidden/>
    <w:rsid w:val="00047B5A"/>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47B5A"/>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47B5A"/>
    <w:rPr>
      <w:rFonts w:ascii="Times New Roman" w:hAnsi="Times New Roman"/>
      <w:dstrike w:val="0"/>
      <w:color w:val="auto"/>
      <w:sz w:val="22"/>
      <w:vertAlign w:val="superscript"/>
    </w:rPr>
  </w:style>
  <w:style w:type="paragraph" w:styleId="TOC1">
    <w:name w:val="toc 1"/>
    <w:basedOn w:val="Normal"/>
    <w:next w:val="Normal"/>
    <w:uiPriority w:val="39"/>
    <w:rsid w:val="00047B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7B5A"/>
    <w:pPr>
      <w:tabs>
        <w:tab w:val="left" w:pos="720"/>
        <w:tab w:val="right" w:leader="dot" w:pos="9360"/>
      </w:tabs>
      <w:suppressAutoHyphens/>
      <w:ind w:left="720" w:right="720" w:hanging="360"/>
    </w:pPr>
    <w:rPr>
      <w:noProof/>
    </w:rPr>
  </w:style>
  <w:style w:type="paragraph" w:styleId="TOC3">
    <w:name w:val="toc 3"/>
    <w:basedOn w:val="Normal"/>
    <w:next w:val="Normal"/>
    <w:semiHidden/>
    <w:rsid w:val="00047B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7B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7B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7B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7B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7B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7B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7B5A"/>
    <w:pPr>
      <w:tabs>
        <w:tab w:val="right" w:pos="9360"/>
      </w:tabs>
      <w:suppressAutoHyphens/>
    </w:pPr>
  </w:style>
  <w:style w:type="character" w:customStyle="1" w:styleId="EquationCaption">
    <w:name w:val="_Equation Caption"/>
    <w:rsid w:val="00047B5A"/>
  </w:style>
  <w:style w:type="paragraph" w:styleId="Header">
    <w:name w:val="header"/>
    <w:basedOn w:val="Normal"/>
    <w:autoRedefine/>
    <w:rsid w:val="00047B5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47B5A"/>
    <w:pPr>
      <w:tabs>
        <w:tab w:val="center" w:pos="4320"/>
        <w:tab w:val="right" w:pos="8640"/>
      </w:tabs>
    </w:pPr>
  </w:style>
  <w:style w:type="character" w:styleId="PageNumber">
    <w:name w:val="page number"/>
    <w:basedOn w:val="DefaultParagraphFont"/>
    <w:rsid w:val="00047B5A"/>
  </w:style>
  <w:style w:type="paragraph" w:styleId="BlockText">
    <w:name w:val="Block Text"/>
    <w:basedOn w:val="Normal"/>
    <w:rsid w:val="00047B5A"/>
    <w:pPr>
      <w:spacing w:after="240"/>
      <w:ind w:left="1440" w:right="1440"/>
    </w:pPr>
  </w:style>
  <w:style w:type="paragraph" w:customStyle="1" w:styleId="Paratitle">
    <w:name w:val="Para title"/>
    <w:basedOn w:val="Normal"/>
    <w:rsid w:val="00047B5A"/>
    <w:pPr>
      <w:tabs>
        <w:tab w:val="center" w:pos="9270"/>
      </w:tabs>
      <w:spacing w:after="240"/>
    </w:pPr>
    <w:rPr>
      <w:spacing w:val="-2"/>
    </w:rPr>
  </w:style>
  <w:style w:type="paragraph" w:customStyle="1" w:styleId="Bullet">
    <w:name w:val="Bullet"/>
    <w:basedOn w:val="Normal"/>
    <w:rsid w:val="00047B5A"/>
    <w:pPr>
      <w:numPr>
        <w:numId w:val="1"/>
      </w:numPr>
      <w:tabs>
        <w:tab w:val="clear" w:pos="360"/>
        <w:tab w:val="left" w:pos="2160"/>
      </w:tabs>
      <w:spacing w:after="220"/>
      <w:ind w:left="2160" w:hanging="720"/>
    </w:pPr>
  </w:style>
  <w:style w:type="paragraph" w:customStyle="1" w:styleId="TableFormat">
    <w:name w:val="TableFormat"/>
    <w:basedOn w:val="Bullet"/>
    <w:rsid w:val="00047B5A"/>
    <w:pPr>
      <w:numPr>
        <w:numId w:val="0"/>
      </w:numPr>
      <w:tabs>
        <w:tab w:val="clear" w:pos="2160"/>
        <w:tab w:val="left" w:pos="5040"/>
      </w:tabs>
      <w:ind w:left="5040" w:hanging="3600"/>
    </w:pPr>
  </w:style>
  <w:style w:type="paragraph" w:customStyle="1" w:styleId="TOCTitle">
    <w:name w:val="TOC Title"/>
    <w:basedOn w:val="Normal"/>
    <w:rsid w:val="00047B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7B5A"/>
    <w:pPr>
      <w:jc w:val="center"/>
    </w:pPr>
    <w:rPr>
      <w:rFonts w:ascii="Times New Roman Bold" w:hAnsi="Times New Roman Bold"/>
      <w:b/>
      <w:bCs/>
      <w:caps/>
      <w:szCs w:val="22"/>
    </w:rPr>
  </w:style>
  <w:style w:type="character" w:styleId="Hyperlink">
    <w:name w:val="Hyperlink"/>
    <w:rsid w:val="00047B5A"/>
    <w:rPr>
      <w:color w:val="0000FF"/>
      <w:u w:val="single"/>
    </w:rPr>
  </w:style>
  <w:style w:type="character" w:customStyle="1" w:styleId="FooterChar">
    <w:name w:val="Footer Char"/>
    <w:link w:val="Footer"/>
    <w:uiPriority w:val="99"/>
    <w:rsid w:val="00047B5A"/>
    <w:rPr>
      <w:snapToGrid w:val="0"/>
      <w:kern w:val="28"/>
      <w:sz w:val="22"/>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rPr>
      <w:lang w:eastAsia="en-US"/>
    </w:rPr>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1">
    <w:name w:val="Unresolved Mention1"/>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docs.fcc.gov/public/attachments/DOC-359222A1.xlsx%20(Authorization%20Report%206.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