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C41C4" w:rsidP="002C41C4" w14:paraId="1C6F426B" w14:textId="77777777">
      <w:pPr>
        <w:jc w:val="center"/>
        <w:rPr>
          <w:b/>
        </w:rPr>
      </w:pPr>
      <w:r>
        <w:rPr>
          <w:rFonts w:ascii="Times New Roman Bold" w:hAnsi="Times New Roman Bold"/>
          <w:b/>
          <w:kern w:val="0"/>
          <w:szCs w:val="22"/>
        </w:rPr>
        <w:t>Before</w:t>
      </w:r>
      <w:r>
        <w:rPr>
          <w:b/>
        </w:rPr>
        <w:t xml:space="preserve"> the</w:t>
      </w:r>
    </w:p>
    <w:p w:rsidR="002C41C4" w:rsidP="002C41C4" w14:paraId="7353D2E4" w14:textId="77777777">
      <w:pPr>
        <w:pStyle w:val="StyleBoldCentered"/>
      </w:pPr>
      <w:r>
        <w:t>F</w:t>
      </w:r>
      <w:r>
        <w:rPr>
          <w:caps w:val="0"/>
        </w:rPr>
        <w:t>ederal Communications Commission</w:t>
      </w:r>
    </w:p>
    <w:p w:rsidR="002C41C4" w:rsidP="005C521E" w14:paraId="71CE74BA" w14:textId="77777777">
      <w:pPr>
        <w:pStyle w:val="StyleBoldCentered"/>
      </w:pPr>
      <w:r>
        <w:rPr>
          <w:caps w:val="0"/>
        </w:rPr>
        <w:t>Washington, D.C. 20554</w:t>
      </w:r>
    </w:p>
    <w:p w:rsidR="002C41C4" w:rsidP="002C41C4" w14:paraId="1861062C" w14:textId="77777777"/>
    <w:tbl>
      <w:tblPr>
        <w:tblW w:w="0" w:type="auto"/>
        <w:tblLayout w:type="fixed"/>
        <w:tblLook w:val="0000"/>
      </w:tblPr>
      <w:tblGrid>
        <w:gridCol w:w="4698"/>
        <w:gridCol w:w="630"/>
        <w:gridCol w:w="4248"/>
      </w:tblGrid>
      <w:tr w14:paraId="444FC975" w14:textId="77777777" w:rsidTr="00C5034F">
        <w:tblPrEx>
          <w:tblW w:w="0" w:type="auto"/>
          <w:tblLayout w:type="fixed"/>
          <w:tblLook w:val="0000"/>
        </w:tblPrEx>
        <w:tc>
          <w:tcPr>
            <w:tcW w:w="4698" w:type="dxa"/>
          </w:tcPr>
          <w:p w:rsidR="002C41C4" w:rsidP="00C5034F" w14:paraId="5D369089" w14:textId="77777777">
            <w:pPr>
              <w:tabs>
                <w:tab w:val="center" w:pos="4680"/>
              </w:tabs>
              <w:suppressAutoHyphens/>
              <w:rPr>
                <w:spacing w:val="-2"/>
              </w:rPr>
            </w:pPr>
            <w:r>
              <w:rPr>
                <w:spacing w:val="-2"/>
              </w:rPr>
              <w:t>In the Matter of</w:t>
            </w:r>
          </w:p>
          <w:p w:rsidR="002C41C4" w:rsidP="00C5034F" w14:paraId="1153CDB6" w14:textId="77777777">
            <w:pPr>
              <w:tabs>
                <w:tab w:val="center" w:pos="4680"/>
              </w:tabs>
              <w:suppressAutoHyphens/>
              <w:rPr>
                <w:spacing w:val="-2"/>
              </w:rPr>
            </w:pPr>
          </w:p>
          <w:p w:rsidR="002C41C4" w:rsidP="00C5034F" w14:paraId="57076ED8" w14:textId="6A98768A">
            <w:pPr>
              <w:tabs>
                <w:tab w:val="center" w:pos="4680"/>
              </w:tabs>
              <w:suppressAutoHyphens/>
              <w:rPr>
                <w:spacing w:val="-2"/>
              </w:rPr>
            </w:pPr>
            <w:r>
              <w:rPr>
                <w:spacing w:val="-2"/>
              </w:rPr>
              <w:t>Amendment of Section 73.622(</w:t>
            </w:r>
            <w:r>
              <w:rPr>
                <w:spacing w:val="-2"/>
              </w:rPr>
              <w:t>i</w:t>
            </w:r>
            <w:r>
              <w:rPr>
                <w:spacing w:val="-2"/>
              </w:rPr>
              <w:t>),</w:t>
            </w:r>
            <w:r>
              <w:t xml:space="preserve"> </w:t>
            </w:r>
            <w:r>
              <w:rPr>
                <w:spacing w:val="-2"/>
              </w:rPr>
              <w:t>Post-Transition Table of DTV Allotments,</w:t>
            </w:r>
            <w:r>
              <w:t xml:space="preserve"> </w:t>
            </w:r>
            <w:r>
              <w:rPr>
                <w:spacing w:val="-2"/>
              </w:rPr>
              <w:t>Television Broadcast Stations (</w:t>
            </w:r>
            <w:r w:rsidR="00D82715">
              <w:rPr>
                <w:spacing w:val="-2"/>
              </w:rPr>
              <w:t>Staunton, Virginia</w:t>
            </w:r>
            <w:r>
              <w:rPr>
                <w:spacing w:val="-2"/>
              </w:rPr>
              <w:t>)</w:t>
            </w:r>
          </w:p>
          <w:p w:rsidR="002C41C4" w:rsidP="00C5034F" w14:paraId="5334495B" w14:textId="77777777">
            <w:pPr>
              <w:tabs>
                <w:tab w:val="center" w:pos="4680"/>
              </w:tabs>
              <w:suppressAutoHyphens/>
              <w:rPr>
                <w:spacing w:val="-2"/>
              </w:rPr>
            </w:pPr>
          </w:p>
        </w:tc>
        <w:tc>
          <w:tcPr>
            <w:tcW w:w="630" w:type="dxa"/>
          </w:tcPr>
          <w:p w:rsidR="002C41C4" w:rsidP="00C5034F" w14:paraId="17EF0FB0" w14:textId="77777777">
            <w:pPr>
              <w:tabs>
                <w:tab w:val="center" w:pos="4680"/>
              </w:tabs>
              <w:suppressAutoHyphens/>
              <w:rPr>
                <w:b/>
                <w:spacing w:val="-2"/>
              </w:rPr>
            </w:pPr>
            <w:r>
              <w:rPr>
                <w:b/>
                <w:spacing w:val="-2"/>
              </w:rPr>
              <w:t>)</w:t>
            </w:r>
          </w:p>
          <w:p w:rsidR="002C41C4" w:rsidP="00C5034F" w14:paraId="49398E6E" w14:textId="77777777">
            <w:pPr>
              <w:tabs>
                <w:tab w:val="center" w:pos="4680"/>
              </w:tabs>
              <w:suppressAutoHyphens/>
              <w:rPr>
                <w:b/>
                <w:spacing w:val="-2"/>
              </w:rPr>
            </w:pPr>
            <w:r>
              <w:rPr>
                <w:b/>
                <w:spacing w:val="-2"/>
              </w:rPr>
              <w:t>)</w:t>
            </w:r>
          </w:p>
          <w:p w:rsidR="002C41C4" w:rsidP="00C5034F" w14:paraId="4019F458" w14:textId="77777777">
            <w:pPr>
              <w:tabs>
                <w:tab w:val="center" w:pos="4680"/>
              </w:tabs>
              <w:suppressAutoHyphens/>
              <w:rPr>
                <w:b/>
                <w:spacing w:val="-2"/>
              </w:rPr>
            </w:pPr>
            <w:r>
              <w:rPr>
                <w:b/>
                <w:spacing w:val="-2"/>
              </w:rPr>
              <w:t>)</w:t>
            </w:r>
          </w:p>
          <w:p w:rsidR="002C41C4" w:rsidP="00C5034F" w14:paraId="3EBF9A67" w14:textId="77777777">
            <w:pPr>
              <w:tabs>
                <w:tab w:val="center" w:pos="4680"/>
              </w:tabs>
              <w:suppressAutoHyphens/>
              <w:rPr>
                <w:b/>
                <w:spacing w:val="-2"/>
              </w:rPr>
            </w:pPr>
            <w:r>
              <w:rPr>
                <w:b/>
                <w:spacing w:val="-2"/>
              </w:rPr>
              <w:t>)</w:t>
            </w:r>
          </w:p>
          <w:p w:rsidR="002C41C4" w:rsidP="00C5034F" w14:paraId="5793315E" w14:textId="77777777">
            <w:pPr>
              <w:tabs>
                <w:tab w:val="center" w:pos="4680"/>
              </w:tabs>
              <w:suppressAutoHyphens/>
              <w:rPr>
                <w:b/>
                <w:spacing w:val="-2"/>
              </w:rPr>
            </w:pPr>
            <w:r>
              <w:rPr>
                <w:b/>
                <w:spacing w:val="-2"/>
              </w:rPr>
              <w:t>)</w:t>
            </w:r>
          </w:p>
        </w:tc>
        <w:tc>
          <w:tcPr>
            <w:tcW w:w="4248" w:type="dxa"/>
          </w:tcPr>
          <w:p w:rsidR="002C41C4" w:rsidP="00C5034F" w14:paraId="44D9B5B8" w14:textId="77777777">
            <w:pPr>
              <w:tabs>
                <w:tab w:val="center" w:pos="4680"/>
              </w:tabs>
              <w:suppressAutoHyphens/>
              <w:rPr>
                <w:spacing w:val="-2"/>
              </w:rPr>
            </w:pPr>
          </w:p>
          <w:p w:rsidR="002C41C4" w:rsidP="00C5034F" w14:paraId="6F1D3420" w14:textId="77777777">
            <w:pPr>
              <w:pStyle w:val="TOAHeading"/>
              <w:tabs>
                <w:tab w:val="center" w:pos="4680"/>
                <w:tab w:val="clear" w:pos="9360"/>
              </w:tabs>
              <w:rPr>
                <w:spacing w:val="-2"/>
              </w:rPr>
            </w:pPr>
          </w:p>
          <w:p w:rsidR="002C41C4" w:rsidP="00C5034F" w14:paraId="4E659920" w14:textId="18E59C29">
            <w:pPr>
              <w:pStyle w:val="TOAHeading"/>
              <w:tabs>
                <w:tab w:val="center" w:pos="4680"/>
              </w:tabs>
              <w:rPr>
                <w:spacing w:val="-2"/>
              </w:rPr>
            </w:pPr>
            <w:r>
              <w:rPr>
                <w:spacing w:val="-2"/>
              </w:rPr>
              <w:t>MB Docket No. 21-</w:t>
            </w:r>
            <w:r w:rsidR="00A74E19">
              <w:rPr>
                <w:spacing w:val="-2"/>
              </w:rPr>
              <w:t>248</w:t>
            </w:r>
          </w:p>
          <w:p w:rsidR="002C41C4" w:rsidP="00C5034F" w14:paraId="2AB030E0" w14:textId="06779F36">
            <w:pPr>
              <w:tabs>
                <w:tab w:val="center" w:pos="4680"/>
              </w:tabs>
              <w:suppressAutoHyphens/>
              <w:rPr>
                <w:spacing w:val="-2"/>
              </w:rPr>
            </w:pPr>
            <w:r>
              <w:rPr>
                <w:spacing w:val="-2"/>
              </w:rPr>
              <w:t>RM-11</w:t>
            </w:r>
            <w:r w:rsidR="00B625C0">
              <w:rPr>
                <w:spacing w:val="-2"/>
              </w:rPr>
              <w:t>9</w:t>
            </w:r>
            <w:r w:rsidR="00A74E19">
              <w:rPr>
                <w:spacing w:val="-2"/>
              </w:rPr>
              <w:t>10</w:t>
            </w:r>
          </w:p>
        </w:tc>
      </w:tr>
    </w:tbl>
    <w:p w:rsidR="002C41C4" w:rsidP="002C41C4" w14:paraId="43F05D4D" w14:textId="77777777">
      <w:pPr>
        <w:pStyle w:val="StyleBoldCentered"/>
      </w:pPr>
      <w:r>
        <w:t>Notice of proposed rulemaking</w:t>
      </w:r>
    </w:p>
    <w:p w:rsidR="002C41C4" w:rsidP="002C41C4" w14:paraId="77383DF8" w14:textId="77777777">
      <w:pPr>
        <w:tabs>
          <w:tab w:val="left" w:pos="-720"/>
        </w:tabs>
        <w:suppressAutoHyphens/>
        <w:spacing w:line="227" w:lineRule="auto"/>
        <w:rPr>
          <w:spacing w:val="-2"/>
        </w:rPr>
      </w:pPr>
    </w:p>
    <w:p w:rsidR="002C41C4" w:rsidP="002C41C4" w14:paraId="43AE3B9E" w14:textId="5EDA385C">
      <w:pPr>
        <w:tabs>
          <w:tab w:val="left" w:pos="720"/>
          <w:tab w:val="right" w:pos="9360"/>
        </w:tabs>
        <w:suppressAutoHyphens/>
        <w:spacing w:line="227" w:lineRule="auto"/>
        <w:rPr>
          <w:b/>
          <w:spacing w:val="-2"/>
        </w:rPr>
      </w:pPr>
      <w:r>
        <w:rPr>
          <w:b/>
          <w:spacing w:val="-2"/>
        </w:rPr>
        <w:t xml:space="preserve">Adopted:  </w:t>
      </w:r>
      <w:r w:rsidR="00D82715">
        <w:rPr>
          <w:b/>
          <w:spacing w:val="-2"/>
        </w:rPr>
        <w:t xml:space="preserve">June </w:t>
      </w:r>
      <w:r w:rsidR="00132790">
        <w:rPr>
          <w:b/>
          <w:spacing w:val="-2"/>
        </w:rPr>
        <w:t>15</w:t>
      </w:r>
      <w:r>
        <w:rPr>
          <w:b/>
          <w:spacing w:val="-2"/>
        </w:rPr>
        <w:t>, 2021</w:t>
      </w:r>
      <w:r>
        <w:rPr>
          <w:b/>
          <w:spacing w:val="-2"/>
        </w:rPr>
        <w:tab/>
        <w:t xml:space="preserve">Released: </w:t>
      </w:r>
      <w:r w:rsidR="000826D1">
        <w:rPr>
          <w:b/>
          <w:spacing w:val="-2"/>
        </w:rPr>
        <w:t xml:space="preserve"> </w:t>
      </w:r>
      <w:r w:rsidR="00D82715">
        <w:rPr>
          <w:b/>
          <w:spacing w:val="-2"/>
        </w:rPr>
        <w:t xml:space="preserve">June </w:t>
      </w:r>
      <w:r w:rsidR="00132790">
        <w:rPr>
          <w:b/>
          <w:spacing w:val="-2"/>
        </w:rPr>
        <w:t>15</w:t>
      </w:r>
      <w:r>
        <w:rPr>
          <w:b/>
          <w:spacing w:val="-2"/>
        </w:rPr>
        <w:t>, 2021</w:t>
      </w:r>
    </w:p>
    <w:p w:rsidR="002C41C4" w:rsidP="002C41C4" w14:paraId="0E32053A" w14:textId="77777777">
      <w:pPr>
        <w:tabs>
          <w:tab w:val="left" w:pos="720"/>
          <w:tab w:val="right" w:pos="9360"/>
        </w:tabs>
        <w:suppressAutoHyphens/>
        <w:spacing w:line="227" w:lineRule="auto"/>
        <w:rPr>
          <w:b/>
          <w:spacing w:val="-2"/>
        </w:rPr>
      </w:pPr>
    </w:p>
    <w:p w:rsidR="002C41C4" w:rsidP="002C41C4" w14:paraId="2FFF39F8"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2C41C4" w:rsidP="002C41C4" w14:paraId="6D5FA5E6" w14:textId="77777777">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2C41C4" w:rsidP="002C41C4" w14:paraId="096C5B59" w14:textId="77777777"/>
    <w:p w:rsidR="002C41C4" w:rsidP="002C41C4" w14:paraId="1CF9234D" w14:textId="77777777">
      <w:pPr>
        <w:rPr>
          <w:spacing w:val="-2"/>
        </w:rPr>
      </w:pPr>
      <w:r>
        <w:t xml:space="preserve">By the </w:t>
      </w:r>
      <w:r>
        <w:rPr>
          <w:spacing w:val="-2"/>
        </w:rPr>
        <w:t>Chief, Video Division, Media Bureau:</w:t>
      </w:r>
    </w:p>
    <w:p w:rsidR="002C41C4" w:rsidP="002C41C4" w14:paraId="1CCBFCC5" w14:textId="77777777">
      <w:pPr>
        <w:rPr>
          <w:spacing w:val="-2"/>
        </w:rPr>
      </w:pPr>
    </w:p>
    <w:p w:rsidR="002C41C4" w:rsidP="002C41C4" w14:paraId="58ACC318" w14:textId="77777777">
      <w:pPr>
        <w:pStyle w:val="Heading1"/>
        <w:keepNext w:val="0"/>
        <w:suppressAutoHyphens w:val="0"/>
      </w:pPr>
      <w:r>
        <w:t>Introduction</w:t>
      </w:r>
    </w:p>
    <w:p w:rsidR="002C41C4" w:rsidP="002C41C4" w14:paraId="76C54C07" w14:textId="3A38A17C">
      <w:pPr>
        <w:pStyle w:val="ParaNum"/>
        <w:tabs>
          <w:tab w:val="clear" w:pos="1440"/>
        </w:tabs>
      </w:pPr>
      <w:r>
        <w:t xml:space="preserve">The Video Division, Media Bureau (Bureau), has before it a petition for rulemaking filed </w:t>
      </w:r>
      <w:r w:rsidR="004A3F4E">
        <w:t xml:space="preserve">May </w:t>
      </w:r>
      <w:r w:rsidR="00280689">
        <w:t>27</w:t>
      </w:r>
      <w:r>
        <w:t>, 202</w:t>
      </w:r>
      <w:r w:rsidR="004A3F4E">
        <w:t>1</w:t>
      </w:r>
      <w:r>
        <w:t>, by</w:t>
      </w:r>
      <w:r w:rsidR="00280689">
        <w:t xml:space="preserve"> VPM Media Corporation</w:t>
      </w:r>
      <w:r>
        <w:t xml:space="preserve"> (Petitioner), the licensee of </w:t>
      </w:r>
      <w:r w:rsidR="00280689">
        <w:t>noncommercial educational television station WVPT</w:t>
      </w:r>
      <w:r>
        <w:t>, channel</w:t>
      </w:r>
      <w:r w:rsidR="000826D1">
        <w:t xml:space="preserve"> </w:t>
      </w:r>
      <w:r w:rsidR="00280689">
        <w:t>*11</w:t>
      </w:r>
      <w:r w:rsidR="009D41BF">
        <w:t xml:space="preserve"> (PBS)</w:t>
      </w:r>
      <w:r>
        <w:t xml:space="preserve">, </w:t>
      </w:r>
      <w:r w:rsidR="00280689">
        <w:t>Staunton, Virginia</w:t>
      </w:r>
      <w:r>
        <w:t>.</w:t>
      </w:r>
      <w:r>
        <w:rPr>
          <w:rStyle w:val="FootnoteReference"/>
        </w:rPr>
        <w:footnoteReference w:id="3"/>
      </w:r>
      <w:r>
        <w:t xml:space="preserve">  The Petitioner requests the substitution of channel </w:t>
      </w:r>
      <w:r w:rsidR="00280689">
        <w:t>*15</w:t>
      </w:r>
      <w:r>
        <w:t xml:space="preserve"> for channel </w:t>
      </w:r>
      <w:r w:rsidR="00280689">
        <w:t>*11</w:t>
      </w:r>
      <w:r>
        <w:t xml:space="preserve"> at </w:t>
      </w:r>
      <w:r w:rsidR="00280689">
        <w:t>Staunton</w:t>
      </w:r>
      <w:r w:rsidR="009C325D">
        <w:t>, Virginia,</w:t>
      </w:r>
      <w:r>
        <w:t xml:space="preserve"> in the DTV Table of Allotments.</w:t>
      </w:r>
      <w:r>
        <w:rPr>
          <w:rStyle w:val="FootnoteReference"/>
        </w:rPr>
        <w:footnoteReference w:id="4"/>
      </w:r>
      <w:r>
        <w:t xml:space="preserve"> </w:t>
      </w:r>
    </w:p>
    <w:p w:rsidR="002C41C4" w:rsidP="005C521E" w14:paraId="0A02A05B" w14:textId="77777777">
      <w:pPr>
        <w:pStyle w:val="Heading1"/>
        <w:keepNext w:val="0"/>
        <w:suppressAutoHyphens w:val="0"/>
      </w:pPr>
      <w:r>
        <w:t>Background</w:t>
      </w:r>
    </w:p>
    <w:p w:rsidR="002C41C4" w:rsidP="005C521E" w14:paraId="21CE879F" w14:textId="0A4D6059">
      <w:pPr>
        <w:pStyle w:val="ParaNum"/>
      </w:pPr>
      <w:r w:rsidRPr="00BF1B4B">
        <w:t>In support of its channel substitution request, the Petitioner</w:t>
      </w:r>
      <w:r>
        <w:t xml:space="preserve"> states that</w:t>
      </w:r>
      <w:r w:rsidR="007A5596">
        <w:t xml:space="preserve"> the proposed channel substitution will serve the public interest in two ways.  First, it would resolve significant over</w:t>
      </w:r>
      <w:r w:rsidR="009C325D">
        <w:t>-</w:t>
      </w:r>
      <w:r w:rsidR="007A5596">
        <w:t>the</w:t>
      </w:r>
      <w:r w:rsidR="009C325D">
        <w:t>-</w:t>
      </w:r>
      <w:r w:rsidR="007A5596">
        <w:t>air reception problems in the WVPT service area.</w:t>
      </w:r>
      <w:r>
        <w:rPr>
          <w:rStyle w:val="FootnoteReference"/>
        </w:rPr>
        <w:footnoteReference w:id="5"/>
      </w:r>
      <w:r w:rsidR="007A5596">
        <w:t xml:space="preserve">   The Petitioner states that the challenges of digital reception are well-documented, and that </w:t>
      </w:r>
      <w:r>
        <w:t xml:space="preserve">the Commission has recognized </w:t>
      </w:r>
      <w:r w:rsidR="007A5596">
        <w:t>the deleterious effects of manmade noise on the reception of digital VHF signals</w:t>
      </w:r>
      <w:r w:rsidR="00C225F9">
        <w:t>,</w:t>
      </w:r>
      <w:r w:rsidR="00034252">
        <w:t xml:space="preserve"> </w:t>
      </w:r>
      <w:r w:rsidR="00C560F8">
        <w:t>including</w:t>
      </w:r>
      <w:r w:rsidR="006D6689">
        <w:t xml:space="preserve"> </w:t>
      </w:r>
      <w:r w:rsidR="00A02E4D">
        <w:t xml:space="preserve">VHF channel </w:t>
      </w:r>
      <w:r w:rsidR="006D6689">
        <w:t>prop</w:t>
      </w:r>
      <w:r w:rsidR="00B825F9">
        <w:t>agation character</w:t>
      </w:r>
      <w:r w:rsidR="00C560F8">
        <w:t>istics</w:t>
      </w:r>
      <w:r w:rsidR="005B2EDD">
        <w:t xml:space="preserve"> t</w:t>
      </w:r>
      <w:r w:rsidR="00750411">
        <w:t>hat</w:t>
      </w:r>
      <w:r w:rsidR="00B825F9">
        <w:t xml:space="preserve"> allow</w:t>
      </w:r>
      <w:r w:rsidR="001E2F73">
        <w:t xml:space="preserve"> undesired signals and noise to be receivable </w:t>
      </w:r>
      <w:r w:rsidR="00750411">
        <w:t>at</w:t>
      </w:r>
      <w:r w:rsidR="001E2F73">
        <w:t xml:space="preserve"> relatively far distances</w:t>
      </w:r>
      <w:r w:rsidR="00C560F8">
        <w:t xml:space="preserve"> and </w:t>
      </w:r>
      <w:r w:rsidR="001E2F73">
        <w:t>near</w:t>
      </w:r>
      <w:r w:rsidR="005B2EDD">
        <w:t>by</w:t>
      </w:r>
      <w:r w:rsidR="001E2F73">
        <w:t xml:space="preserve"> electrical devices </w:t>
      </w:r>
      <w:r w:rsidR="005B2EDD">
        <w:t>to</w:t>
      </w:r>
      <w:r w:rsidR="001E2F73">
        <w:t xml:space="preserve"> cause interferenc</w:t>
      </w:r>
      <w:r w:rsidR="00034252">
        <w:t>e.</w:t>
      </w:r>
      <w:r>
        <w:rPr>
          <w:rStyle w:val="FootnoteReference"/>
        </w:rPr>
        <w:footnoteReference w:id="6"/>
      </w:r>
      <w:r>
        <w:t xml:space="preserve">  </w:t>
      </w:r>
      <w:r w:rsidR="009F69B2">
        <w:t xml:space="preserve">The </w:t>
      </w:r>
      <w:r w:rsidR="009D41BF">
        <w:t>Petitioner states that WVPT routinely receives call</w:t>
      </w:r>
      <w:r w:rsidR="00790957">
        <w:t>s</w:t>
      </w:r>
      <w:r w:rsidR="009D41BF">
        <w:t xml:space="preserve"> from viewers with reception issues based on its VHF channel.</w:t>
      </w:r>
      <w:r>
        <w:rPr>
          <w:rStyle w:val="FootnoteReference"/>
        </w:rPr>
        <w:footnoteReference w:id="7"/>
      </w:r>
      <w:r>
        <w:t xml:space="preserve"> </w:t>
      </w:r>
      <w:r w:rsidR="009F69B2">
        <w:t xml:space="preserve">  Secondly, the</w:t>
      </w:r>
      <w:r>
        <w:t xml:space="preserve"> </w:t>
      </w:r>
      <w:r w:rsidR="009F69B2">
        <w:t xml:space="preserve">Petitioner believes that the channel substitution will allow for more efficient construction of WVPT’s post-incentive auction facilities.  The Petitioner explains </w:t>
      </w:r>
      <w:r w:rsidR="00A02E4D">
        <w:t>that it initially planned to retune WVPT’s existing Distributed Transmission System (DTS) transmitters from channel *11 to channel *12.  The transmitter manufacturer, however,</w:t>
      </w:r>
      <w:r w:rsidR="00410E77">
        <w:t xml:space="preserve"> declared bankruptcy, and that manufacturer, as well as the antenna manufacturer, were unable to support the planned retuning effort.</w:t>
      </w:r>
      <w:r>
        <w:rPr>
          <w:rStyle w:val="FootnoteReference"/>
        </w:rPr>
        <w:footnoteReference w:id="8"/>
      </w:r>
      <w:r w:rsidR="00410E77">
        <w:t xml:space="preserve">  Meanwhile, a structural analysis of WVPT’s existing tower revealed that it could not support a replacement antenna on VHF channel 12</w:t>
      </w:r>
      <w:r w:rsidR="00790957">
        <w:t>.</w:t>
      </w:r>
      <w:r w:rsidR="00410E77">
        <w:t xml:space="preserve">  According to </w:t>
      </w:r>
      <w:r w:rsidR="00790957">
        <w:t xml:space="preserve">the </w:t>
      </w:r>
      <w:r w:rsidR="00410E77">
        <w:t>Petitioner, the tower can support a lighter weight UHF antenna, and thus, allowing WVPT to move to channel *15 will obviate the need to construct a new tower, saving both time and money.</w:t>
      </w:r>
      <w:r>
        <w:rPr>
          <w:rStyle w:val="FootnoteReference"/>
        </w:rPr>
        <w:footnoteReference w:id="9"/>
      </w:r>
    </w:p>
    <w:p w:rsidR="008C4833" w:rsidP="005C521E" w14:paraId="053B9C36" w14:textId="159D40A4">
      <w:pPr>
        <w:pStyle w:val="ParaNum"/>
      </w:pPr>
      <w:r>
        <w:t xml:space="preserve">The Engineering Statement provided with the Petition </w:t>
      </w:r>
      <w:r w:rsidR="00AB7A89">
        <w:t>states that WVPT</w:t>
      </w:r>
      <w:r>
        <w:t xml:space="preserve"> </w:t>
      </w:r>
      <w:r w:rsidR="00911714">
        <w:t>has experience</w:t>
      </w:r>
      <w:r w:rsidR="004F2041">
        <w:t>d</w:t>
      </w:r>
      <w:r w:rsidR="00911714">
        <w:t xml:space="preserve">    a substantial loss of viewer</w:t>
      </w:r>
      <w:r w:rsidR="00AA0194">
        <w:t>s</w:t>
      </w:r>
      <w:r w:rsidR="00911714">
        <w:t xml:space="preserve"> in its service area due to the propagation characteristics of its VHF digital channel, exacerbated by rugged terrain.</w:t>
      </w:r>
      <w:r>
        <w:rPr>
          <w:rStyle w:val="FootnoteReference"/>
        </w:rPr>
        <w:footnoteReference w:id="10"/>
      </w:r>
      <w:r>
        <w:t xml:space="preserve"> </w:t>
      </w:r>
      <w:r w:rsidR="008F1CC0">
        <w:t xml:space="preserve"> It further states that the proposed channel *15 facility will result in a net gain of 56,814 people.</w:t>
      </w:r>
      <w:r>
        <w:rPr>
          <w:rStyle w:val="FootnoteReference"/>
        </w:rPr>
        <w:footnoteReference w:id="11"/>
      </w:r>
      <w:r w:rsidR="008F1CC0">
        <w:t xml:space="preserve">  While there is a loss area of 27,033 people, the Petition</w:t>
      </w:r>
      <w:r w:rsidR="00C56126">
        <w:t>er</w:t>
      </w:r>
      <w:r w:rsidR="008F1CC0">
        <w:t xml:space="preserve"> asserts that most of the loss area is in the southwest portion of WVPT’s service area, where seven to ten television services will remain, including service from noncommercial educational station WBRA-TV</w:t>
      </w:r>
      <w:r w:rsidR="00AA0194">
        <w:t xml:space="preserve"> (PBS)</w:t>
      </w:r>
      <w:r w:rsidR="008F1CC0">
        <w:t>,</w:t>
      </w:r>
      <w:r>
        <w:rPr>
          <w:rStyle w:val="FootnoteReference"/>
        </w:rPr>
        <w:footnoteReference w:id="12"/>
      </w:r>
      <w:r w:rsidR="008F1CC0">
        <w:t xml:space="preserve"> and that the only areas that will receive fewer than five full power television services d</w:t>
      </w:r>
      <w:r w:rsidR="00445AA6">
        <w:t>id</w:t>
      </w:r>
      <w:r w:rsidR="008F1CC0">
        <w:t xml:space="preserve"> not receive a</w:t>
      </w:r>
      <w:r w:rsidR="00790957">
        <w:t xml:space="preserve"> terrain-limited</w:t>
      </w:r>
      <w:r w:rsidR="008F1CC0">
        <w:t xml:space="preserve"> sign</w:t>
      </w:r>
      <w:r w:rsidR="00445AA6">
        <w:t>al</w:t>
      </w:r>
      <w:r w:rsidR="008F1CC0">
        <w:t xml:space="preserve"> from</w:t>
      </w:r>
      <w:r w:rsidR="00445AA6">
        <w:t xml:space="preserve"> W</w:t>
      </w:r>
      <w:r w:rsidR="00790957">
        <w:t>V</w:t>
      </w:r>
      <w:r w:rsidR="00445AA6">
        <w:t>PT on channel *11</w:t>
      </w:r>
      <w:r w:rsidR="008F1CC0">
        <w:t>.</w:t>
      </w:r>
      <w:r>
        <w:rPr>
          <w:rStyle w:val="FootnoteReference"/>
        </w:rPr>
        <w:footnoteReference w:id="13"/>
      </w:r>
      <w:r w:rsidR="00445AA6">
        <w:t xml:space="preserve">  In its Amended Engineering Statement, the Petitioner’s engineering consultant</w:t>
      </w:r>
      <w:r w:rsidR="0049616F">
        <w:t xml:space="preserve"> clarified that only seven people would lose their only PBS noncommercial education</w:t>
      </w:r>
      <w:r w:rsidR="004F2041">
        <w:t>al</w:t>
      </w:r>
      <w:r w:rsidR="0049616F">
        <w:t xml:space="preserve"> service.</w:t>
      </w:r>
      <w:r>
        <w:rPr>
          <w:rStyle w:val="FootnoteReference"/>
        </w:rPr>
        <w:footnoteReference w:id="14"/>
      </w:r>
    </w:p>
    <w:p w:rsidR="002C41C4" w:rsidP="005C521E" w14:paraId="0B3599F5" w14:textId="77777777">
      <w:pPr>
        <w:pStyle w:val="Heading1"/>
        <w:keepNext w:val="0"/>
        <w:suppressAutoHyphens w:val="0"/>
      </w:pPr>
      <w:r>
        <w:t>DISCUSSION</w:t>
      </w:r>
    </w:p>
    <w:p w:rsidR="002C41C4" w:rsidP="005C521E" w14:paraId="22601283" w14:textId="6E0F4D3D">
      <w:pPr>
        <w:pStyle w:val="ParaNum"/>
      </w:pPr>
      <w:r>
        <w:t xml:space="preserve">We believe that the Petitioner’s channel substitution proposal warrants consideration.  Channel </w:t>
      </w:r>
      <w:r w:rsidR="00F941E3">
        <w:t>*15</w:t>
      </w:r>
      <w:r>
        <w:t xml:space="preserve"> can be substituted for channel </w:t>
      </w:r>
      <w:r w:rsidR="00F941E3">
        <w:t>*11</w:t>
      </w:r>
      <w:r>
        <w:t xml:space="preserve"> at </w:t>
      </w:r>
      <w:r w:rsidR="00F941E3">
        <w:t>Staunton, Virginia</w:t>
      </w:r>
      <w:r>
        <w:t>, as proposed, in compliance with the principal community coverage requirements of section 73.625(a) of the Commission’s rules</w:t>
      </w:r>
      <w:r w:rsidR="005C521E">
        <w:t xml:space="preserve"> (rules)</w:t>
      </w:r>
      <w:r>
        <w:t>,</w:t>
      </w:r>
      <w:r>
        <w:rPr>
          <w:vertAlign w:val="superscript"/>
        </w:rPr>
        <w:footnoteReference w:id="15"/>
      </w:r>
      <w:r>
        <w:t xml:space="preserve"> at </w:t>
      </w:r>
      <w:r w:rsidRPr="00BF1B4B">
        <w:t>coordinates</w:t>
      </w:r>
      <w:r w:rsidR="008D7D10">
        <w:t xml:space="preserve"> </w:t>
      </w:r>
      <w:r w:rsidR="00F941E3">
        <w:t>38-09-54.4 N and 79-18-50.1 W</w:t>
      </w:r>
      <w:r w:rsidRPr="00BF1B4B">
        <w:t>.  In addition, we find that this channel change meets the</w:t>
      </w:r>
      <w:r>
        <w:t xml:space="preserve"> technical requirements set forth in sections 73.616 and 73.623 of the rules.</w:t>
      </w:r>
      <w:r>
        <w:rPr>
          <w:vertAlign w:val="superscript"/>
        </w:rPr>
        <w:footnoteReference w:id="16"/>
      </w:r>
      <w:r>
        <w:t xml:space="preserve"> </w:t>
      </w:r>
      <w:r w:rsidR="00DC2AFE">
        <w:t xml:space="preserve"> </w:t>
      </w:r>
      <w:r w:rsidR="003E173A">
        <w:t xml:space="preserve">While the Petitioner’s proposal would result in the loss of noncommercial educational television service (PBS) to seven people, the Commission considers that number to be </w:t>
      </w:r>
      <w:r w:rsidRPr="00C56126" w:rsidR="003E173A">
        <w:rPr>
          <w:i/>
          <w:iCs/>
        </w:rPr>
        <w:t>de minimis</w:t>
      </w:r>
      <w:r w:rsidR="003E173A">
        <w:t>.</w:t>
      </w:r>
      <w:r>
        <w:rPr>
          <w:rStyle w:val="FootnoteReference"/>
        </w:rPr>
        <w:footnoteReference w:id="17"/>
      </w:r>
    </w:p>
    <w:p w:rsidR="002C41C4" w:rsidP="005C521E" w14:paraId="5AB30281" w14:textId="5B9D2650">
      <w:pPr>
        <w:pStyle w:val="ParaNum"/>
      </w:pPr>
      <w:r>
        <w:t xml:space="preserve">We propose to substitute channel </w:t>
      </w:r>
      <w:r w:rsidR="008F1CC0">
        <w:t>*15</w:t>
      </w:r>
      <w:r>
        <w:t xml:space="preserve"> for channel </w:t>
      </w:r>
      <w:r w:rsidR="008F1CC0">
        <w:t>*11</w:t>
      </w:r>
      <w:r>
        <w:t xml:space="preserve"> for </w:t>
      </w:r>
      <w:r w:rsidR="008F1CC0">
        <w:t>WVPT</w:t>
      </w:r>
      <w:r>
        <w:t xml:space="preserve"> with the following specifications:</w:t>
      </w:r>
      <w:r>
        <w:rPr>
          <w:rStyle w:val="FootnoteReference"/>
        </w:rPr>
        <w:footnoteReference w:id="18"/>
      </w:r>
    </w:p>
    <w:p w:rsidR="002C41C4" w:rsidP="005C521E" w14:paraId="207403AE" w14:textId="77777777">
      <w:pPr>
        <w:pStyle w:val="ParaNum"/>
        <w:numPr>
          <w:ilvl w:val="0"/>
          <w:numId w:val="0"/>
        </w:numPr>
        <w:ind w:firstLine="720"/>
      </w:pPr>
      <w:r>
        <w:rPr>
          <w:u w:val="single"/>
        </w:rPr>
        <w:t>City and State</w:t>
      </w:r>
      <w:r>
        <w:tab/>
      </w:r>
      <w:r>
        <w:tab/>
      </w:r>
      <w:r>
        <w:tab/>
      </w:r>
      <w:r>
        <w:rPr>
          <w:u w:val="single"/>
        </w:rPr>
        <w:t>DTV Channel</w:t>
      </w:r>
      <w:r>
        <w:tab/>
      </w:r>
      <w:r>
        <w:rPr>
          <w:u w:val="single"/>
        </w:rPr>
        <w:t>DTV Power (kW)</w:t>
      </w:r>
      <w:r>
        <w:tab/>
      </w:r>
      <w:r>
        <w:rPr>
          <w:u w:val="single"/>
        </w:rPr>
        <w:t>Antenna HAAT (m)</w:t>
      </w:r>
    </w:p>
    <w:p w:rsidR="002C41C4" w:rsidP="005C521E" w14:paraId="1DBDE482" w14:textId="1C17FB44">
      <w:pPr>
        <w:pStyle w:val="ParaNum"/>
        <w:numPr>
          <w:ilvl w:val="0"/>
          <w:numId w:val="0"/>
        </w:numPr>
        <w:ind w:firstLine="720"/>
      </w:pPr>
      <w:r>
        <w:t>Staunton, Virginia</w:t>
      </w:r>
      <w:r w:rsidR="002C2AF9">
        <w:tab/>
      </w:r>
      <w:r w:rsidR="002C2AF9">
        <w:tab/>
      </w:r>
      <w:r>
        <w:t xml:space="preserve">     *15</w:t>
      </w:r>
      <w:r w:rsidR="002C2AF9">
        <w:tab/>
      </w:r>
      <w:r w:rsidR="002C2AF9">
        <w:tab/>
      </w:r>
      <w:r>
        <w:t xml:space="preserve">      </w:t>
      </w:r>
      <w:r w:rsidR="00790957">
        <w:t>263</w:t>
      </w:r>
      <w:r w:rsidR="002C2AF9">
        <w:tab/>
      </w:r>
      <w:r w:rsidR="002C2AF9">
        <w:tab/>
      </w:r>
      <w:r w:rsidR="002C2AF9">
        <w:tab/>
      </w:r>
      <w:r>
        <w:t xml:space="preserve">          </w:t>
      </w:r>
      <w:r w:rsidR="00790957">
        <w:t>689</w:t>
      </w:r>
    </w:p>
    <w:p w:rsidR="002C41C4" w:rsidP="005C521E" w14:paraId="18F40ED8" w14:textId="659BEFEA">
      <w:pPr>
        <w:pStyle w:val="ParaNum"/>
      </w:pPr>
      <w:r>
        <w:t>Accordingly, we seek comment on the proposed amendment of the Post-Transition Table of DTV Allotments, section 73.622(</w:t>
      </w:r>
      <w:r>
        <w:t>i</w:t>
      </w:r>
      <w:r>
        <w:t>) of the rules,</w:t>
      </w:r>
      <w:r>
        <w:rPr>
          <w:rStyle w:val="FootnoteReference"/>
          <w:spacing w:val="-3"/>
          <w:szCs w:val="22"/>
        </w:rPr>
        <w:footnoteReference w:id="19"/>
      </w:r>
      <w:r>
        <w:t xml:space="preserve"> for the community listed below, to read as follows:</w:t>
      </w:r>
      <w:r>
        <w:rPr>
          <w:rStyle w:val="FootnoteReference"/>
        </w:rPr>
        <w:footnoteReference w:id="20"/>
      </w:r>
    </w:p>
    <w:p w:rsidR="002C41C4" w:rsidP="005C521E" w14:paraId="65EA301C"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2C41C4" w:rsidP="005C521E" w14:paraId="6444927D"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rPr>
        <w:tab/>
      </w:r>
    </w:p>
    <w:p w:rsidR="002C41C4" w:rsidP="005C521E" w14:paraId="35B4A9F7" w14:textId="0C6274D6">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Staunton, Virginia</w:t>
      </w:r>
      <w:r w:rsidR="002C2AF9">
        <w:rPr>
          <w:rFonts w:ascii="Times New Roman" w:hAnsi="Times New Roman"/>
          <w:spacing w:val="-3"/>
          <w:sz w:val="22"/>
          <w:szCs w:val="22"/>
        </w:rPr>
        <w:tab/>
      </w:r>
      <w:r w:rsidR="002C2AF9">
        <w:rPr>
          <w:rFonts w:ascii="Times New Roman" w:hAnsi="Times New Roman"/>
          <w:spacing w:val="-3"/>
          <w:sz w:val="22"/>
          <w:szCs w:val="22"/>
        </w:rPr>
        <w:tab/>
      </w:r>
      <w:r w:rsidR="002C2AF9">
        <w:rPr>
          <w:rFonts w:ascii="Times New Roman" w:hAnsi="Times New Roman"/>
          <w:spacing w:val="-3"/>
          <w:sz w:val="22"/>
          <w:szCs w:val="22"/>
        </w:rPr>
        <w:tab/>
      </w:r>
      <w:r w:rsidR="008D7D10">
        <w:rPr>
          <w:rFonts w:ascii="Times New Roman" w:hAnsi="Times New Roman"/>
          <w:spacing w:val="-3"/>
          <w:sz w:val="22"/>
          <w:szCs w:val="22"/>
        </w:rPr>
        <w:t xml:space="preserve">    *11</w:t>
      </w:r>
      <w:r w:rsidR="002C2AF9">
        <w:rPr>
          <w:rFonts w:ascii="Times New Roman" w:hAnsi="Times New Roman"/>
          <w:spacing w:val="-3"/>
          <w:sz w:val="22"/>
          <w:szCs w:val="22"/>
        </w:rPr>
        <w:tab/>
      </w:r>
      <w:r w:rsidR="002C2AF9">
        <w:rPr>
          <w:rFonts w:ascii="Times New Roman" w:hAnsi="Times New Roman"/>
          <w:spacing w:val="-3"/>
          <w:sz w:val="22"/>
          <w:szCs w:val="22"/>
        </w:rPr>
        <w:tab/>
      </w:r>
      <w:r w:rsidR="002C2AF9">
        <w:rPr>
          <w:rFonts w:ascii="Times New Roman" w:hAnsi="Times New Roman"/>
          <w:spacing w:val="-3"/>
          <w:sz w:val="22"/>
          <w:szCs w:val="22"/>
        </w:rPr>
        <w:tab/>
      </w:r>
      <w:r w:rsidR="008D7D10">
        <w:rPr>
          <w:rFonts w:ascii="Times New Roman" w:hAnsi="Times New Roman"/>
          <w:spacing w:val="-3"/>
          <w:sz w:val="22"/>
          <w:szCs w:val="22"/>
        </w:rPr>
        <w:tab/>
        <w:t xml:space="preserve">    *15</w:t>
      </w:r>
    </w:p>
    <w:bookmarkEnd w:id="1"/>
    <w:p w:rsidR="002C41C4" w:rsidP="005C521E" w14:paraId="6EE9396D" w14:textId="77777777">
      <w:pPr>
        <w:pStyle w:val="Heading1"/>
      </w:pPr>
      <w:r>
        <w:t>Procedural matters</w:t>
      </w:r>
    </w:p>
    <w:p w:rsidR="002C41C4" w:rsidP="005C521E" w14:paraId="044CFC7E" w14:textId="77777777">
      <w:pPr>
        <w:pStyle w:val="ParaNum"/>
      </w:pPr>
      <w:r>
        <w:rPr>
          <w:i/>
          <w:iCs/>
        </w:rPr>
        <w:t>Showings Required</w:t>
      </w:r>
      <w:r>
        <w:t>.  Comments are invited on the proposal discussed in this Notice of Proposed Rulemaking (</w:t>
      </w:r>
      <w:r>
        <w:rPr>
          <w:i/>
          <w:iCs/>
        </w:rPr>
        <w:t>NPRM</w:t>
      </w:r>
      <w:r>
        <w:t>).  The Petitioner or any proponent that expresses interest in the allotment will be expected to answer whatever questions are presented in initial comments.  The petitioner of a proposed allotment is required to file comments even if it only resubmits or incorporates by reference its former pleadings.  The petitioner must restate its present intention to apply for the channel if it is allotted and, if authorized, to build a station promptly.</w:t>
      </w:r>
      <w:r>
        <w:rPr>
          <w:rStyle w:val="FootnoteReference"/>
        </w:rPr>
        <w:footnoteReference w:id="21"/>
      </w:r>
      <w:r>
        <w:t xml:space="preserve">  Failure to file may lead to denial of the request.  Any requests by a proponent for withdrawal or dismissal of an allotment request must be filed with the Commission in accordance with section 1.420(j) of the rules.</w:t>
      </w:r>
      <w:r>
        <w:rPr>
          <w:rStyle w:val="FootnoteReference"/>
        </w:rPr>
        <w:footnoteReference w:id="22"/>
      </w:r>
    </w:p>
    <w:p w:rsidR="002C41C4" w:rsidP="005C521E" w14:paraId="187F24D9" w14:textId="77777777">
      <w:pPr>
        <w:pStyle w:val="ParaNum"/>
      </w:pPr>
      <w:r>
        <w:rPr>
          <w:i/>
          <w:iCs/>
        </w:rPr>
        <w:t>Cut-off Protection</w:t>
      </w:r>
      <w:r>
        <w:t>.  The following procedures will govern the consideration of the filings in this proceeding:</w:t>
      </w:r>
    </w:p>
    <w:p w:rsidR="002C41C4" w:rsidP="00752815" w14:paraId="60B55FB6" w14:textId="77777777">
      <w:pPr>
        <w:widowControl/>
        <w:numPr>
          <w:ilvl w:val="0"/>
          <w:numId w:val="7"/>
        </w:numPr>
        <w:spacing w:after="120"/>
      </w:pPr>
      <w:r>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23"/>
      </w:r>
      <w:r>
        <w:t xml:space="preserve">  </w:t>
      </w:r>
    </w:p>
    <w:p w:rsidR="002C41C4" w:rsidP="005C521E" w14:paraId="2925C2E1" w14:textId="77777777">
      <w:pPr>
        <w:widowControl/>
        <w:numPr>
          <w:ilvl w:val="0"/>
          <w:numId w:val="7"/>
        </w:numPr>
        <w:spacing w:after="120"/>
      </w:pPr>
      <w:r>
        <w:t>The filing of a counterproposal may lead the Commission to allot a different channel than was requested in the Petition.</w:t>
      </w:r>
      <w:r>
        <w:rPr>
          <w:rStyle w:val="FootnoteReference"/>
        </w:rPr>
        <w:footnoteReference w:id="24"/>
      </w:r>
    </w:p>
    <w:p w:rsidR="002C41C4" w:rsidP="005C521E" w14:paraId="28B1EB96" w14:textId="77777777">
      <w:pPr>
        <w:pStyle w:val="ParaNum"/>
      </w:pPr>
      <w:r>
        <w:rPr>
          <w:i/>
          <w:iCs/>
        </w:rPr>
        <w:t>Comments and Reply Comments</w:t>
      </w:r>
      <w:r>
        <w:t xml:space="preserve">.  Pursuant to </w:t>
      </w:r>
      <w:r>
        <w:rPr>
          <w:szCs w:val="22"/>
        </w:rPr>
        <w:t>sections 1.415, 1.419, and 1.420 of the rules,</w:t>
      </w:r>
      <w:r>
        <w:rPr>
          <w:rStyle w:val="FootnoteReference"/>
          <w:szCs w:val="22"/>
        </w:rPr>
        <w:footnoteReference w:id="25"/>
      </w:r>
      <w:r>
        <w:rPr>
          <w:szCs w:val="22"/>
        </w:rPr>
        <w:t xml:space="preserve"> interested parties may file comments and reply </w:t>
      </w:r>
      <w:r w:rsidRPr="00A97B35">
        <w:t>comments</w:t>
      </w:r>
      <w:r>
        <w:rPr>
          <w:szCs w:val="22"/>
        </w:rPr>
        <w:t xml:space="preserve"> on or before the dates indicated on the first page of this document.  Comments may be filed using the Commission’s Electronic Comment Filing System (ECFS)</w:t>
      </w:r>
      <w:r>
        <w:t>.</w:t>
      </w:r>
      <w:r>
        <w:rPr>
          <w:rStyle w:val="FootnoteReference"/>
        </w:rPr>
        <w:footnoteReference w:id="26"/>
      </w:r>
    </w:p>
    <w:p w:rsidR="002C41C4" w:rsidP="005C521E" w14:paraId="4CA795A9"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2C41C4" w:rsidP="005C521E" w14:paraId="542548C3" w14:textId="77777777">
      <w:pPr>
        <w:numPr>
          <w:ilvl w:val="0"/>
          <w:numId w:val="9"/>
        </w:numPr>
        <w:spacing w:after="120"/>
        <w:ind w:left="108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2C41C4" w:rsidP="005C521E" w14:paraId="35654EE9"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2C41C4" w:rsidP="005C521E" w14:paraId="0A9113F8" w14:textId="77777777">
      <w:pPr>
        <w:numPr>
          <w:ilvl w:val="0"/>
          <w:numId w:val="10"/>
        </w:numPr>
        <w:spacing w:after="120"/>
        <w:rPr>
          <w:szCs w:val="22"/>
        </w:rPr>
      </w:pPr>
      <w:r>
        <w:rPr>
          <w:szCs w:val="22"/>
        </w:rPr>
        <w:t>U.S. Postal Service first-class, Express, and Priority mail must be addressed to 45 L Street, NE, Washington D.C. 20554.</w:t>
      </w:r>
    </w:p>
    <w:p w:rsidR="002C41C4" w:rsidP="005C521E" w14:paraId="7AB7C3F8"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7"/>
      </w:r>
    </w:p>
    <w:p w:rsidR="002C41C4" w:rsidP="005C521E" w14:paraId="76E5E7BE" w14:textId="77777777">
      <w:pPr>
        <w:pStyle w:val="ListParagraph"/>
        <w:numPr>
          <w:ilvl w:val="0"/>
          <w:numId w:val="10"/>
        </w:numPr>
        <w:spacing w:after="12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2C41C4" w:rsidP="00752815" w14:paraId="6CF85E87" w14:textId="77777777">
      <w:pPr>
        <w:pStyle w:val="ParaNum"/>
        <w:widowControl/>
      </w:pPr>
      <w:r>
        <w:rPr>
          <w:i/>
          <w:iCs/>
        </w:rPr>
        <w:t>Service.</w:t>
      </w:r>
      <w:r>
        <w:t xml:space="preserve">  Pursuant </w:t>
      </w:r>
      <w:r w:rsidR="00336D5F">
        <w:t xml:space="preserve">to </w:t>
      </w:r>
      <w:r>
        <w:t>section 1.420 of the rules,</w:t>
      </w:r>
      <w:r>
        <w:rPr>
          <w:rStyle w:val="FootnoteReference"/>
        </w:rPr>
        <w:footnoteReference w:id="28"/>
      </w:r>
      <w:r>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w:t>
      </w:r>
      <w:r>
        <w:t>directed.  A certificate of service shall accompany such comments and reply comments.</w:t>
      </w:r>
      <w:r>
        <w:rPr>
          <w:rStyle w:val="FootnoteReference"/>
        </w:rPr>
        <w:footnoteReference w:id="29"/>
      </w:r>
      <w:r>
        <w:t xml:space="preserve">  Additionally, a copy of such comments should be served on counsel for </w:t>
      </w:r>
      <w:r w:rsidR="006D6AC4">
        <w:t>the P</w:t>
      </w:r>
      <w:r>
        <w:t>etitioner, as follows:</w:t>
      </w:r>
    </w:p>
    <w:p w:rsidR="002C41C4" w:rsidP="005C521E" w14:paraId="0F4F60A6" w14:textId="33620C47">
      <w:pPr>
        <w:pStyle w:val="ParaNum"/>
        <w:numPr>
          <w:ilvl w:val="0"/>
          <w:numId w:val="0"/>
        </w:numPr>
        <w:spacing w:after="0"/>
        <w:ind w:left="720"/>
      </w:pPr>
      <w:r>
        <w:t>Ari Meltzer</w:t>
      </w:r>
      <w:r w:rsidR="002C2AF9">
        <w:t xml:space="preserve">, Esq. </w:t>
      </w:r>
    </w:p>
    <w:p w:rsidR="002C41C4" w:rsidP="005C521E" w14:paraId="733B80AA" w14:textId="537DC480">
      <w:pPr>
        <w:pStyle w:val="ParaNum"/>
        <w:numPr>
          <w:ilvl w:val="0"/>
          <w:numId w:val="0"/>
        </w:numPr>
        <w:spacing w:after="0"/>
        <w:ind w:left="720"/>
      </w:pPr>
      <w:r>
        <w:t>Wiley Rein LLP</w:t>
      </w:r>
    </w:p>
    <w:p w:rsidR="002C41C4" w:rsidP="005C521E" w14:paraId="4CC3FB15" w14:textId="1AE851FF">
      <w:pPr>
        <w:pStyle w:val="ParaNum"/>
        <w:numPr>
          <w:ilvl w:val="0"/>
          <w:numId w:val="0"/>
        </w:numPr>
        <w:spacing w:after="0"/>
        <w:ind w:left="720"/>
      </w:pPr>
      <w:r>
        <w:t>1776 K Street, NW</w:t>
      </w:r>
    </w:p>
    <w:p w:rsidR="002C41C4" w:rsidP="005C521E" w14:paraId="15844240" w14:textId="5D9E61E7">
      <w:pPr>
        <w:pStyle w:val="ParaNum"/>
        <w:numPr>
          <w:ilvl w:val="0"/>
          <w:numId w:val="0"/>
        </w:numPr>
        <w:spacing w:after="0"/>
        <w:ind w:firstLine="720"/>
      </w:pPr>
      <w:r>
        <w:t>Washington, D.C.  20006</w:t>
      </w:r>
    </w:p>
    <w:p w:rsidR="00F941E3" w:rsidP="005C521E" w14:paraId="06E6D345" w14:textId="77777777">
      <w:pPr>
        <w:pStyle w:val="ParaNum"/>
        <w:numPr>
          <w:ilvl w:val="0"/>
          <w:numId w:val="0"/>
        </w:numPr>
        <w:spacing w:after="0"/>
        <w:ind w:firstLine="720"/>
      </w:pPr>
    </w:p>
    <w:p w:rsidR="002C41C4" w:rsidP="005C521E" w14:paraId="0DEE6120" w14:textId="77777777">
      <w:pPr>
        <w:pStyle w:val="ParaNum"/>
      </w:pPr>
      <w:r>
        <w:rPr>
          <w:i/>
          <w:iCs/>
          <w:szCs w:val="22"/>
        </w:rPr>
        <w:t xml:space="preserve">Ex </w:t>
      </w:r>
      <w:r>
        <w:rPr>
          <w:i/>
          <w:iCs/>
          <w:szCs w:val="22"/>
        </w:rPr>
        <w:t>Parte</w:t>
      </w:r>
      <w:r>
        <w:rPr>
          <w:i/>
          <w:iCs/>
          <w:szCs w:val="22"/>
        </w:rPr>
        <w:t xml:space="preserve"> Notices</w:t>
      </w:r>
      <w:r>
        <w:rPr>
          <w:i/>
          <w:szCs w:val="22"/>
        </w:rPr>
        <w:t>– Restricted</w:t>
      </w:r>
      <w:r>
        <w:rPr>
          <w:szCs w:val="22"/>
        </w:rPr>
        <w:t xml:space="preserve">.  The </w:t>
      </w:r>
      <w:r w:rsidRPr="00A97B35">
        <w:t>proceeding</w:t>
      </w:r>
      <w:r>
        <w:rPr>
          <w:szCs w:val="22"/>
        </w:rPr>
        <w:t xml:space="preserve"> this Notice initiates shall be treated as a “restricted” proceeding in accordance with the Commission’s </w:t>
      </w:r>
      <w:r>
        <w:rPr>
          <w:i/>
          <w:iCs/>
          <w:szCs w:val="22"/>
        </w:rPr>
        <w:t xml:space="preserve">ex </w:t>
      </w:r>
      <w:r>
        <w:rPr>
          <w:i/>
          <w:iCs/>
          <w:szCs w:val="22"/>
        </w:rPr>
        <w:t>parte</w:t>
      </w:r>
      <w:r>
        <w:rPr>
          <w:i/>
          <w:iCs/>
          <w:szCs w:val="22"/>
        </w:rPr>
        <w:t xml:space="preserve"> </w:t>
      </w:r>
      <w:r>
        <w:rPr>
          <w:szCs w:val="22"/>
        </w:rPr>
        <w:t>rules.</w:t>
      </w:r>
      <w:r>
        <w:rPr>
          <w:szCs w:val="22"/>
          <w:vertAlign w:val="superscript"/>
        </w:rPr>
        <w:footnoteReference w:id="30"/>
      </w:r>
      <w:r>
        <w:rPr>
          <w:szCs w:val="22"/>
        </w:rPr>
        <w:t xml:space="preserve">  </w:t>
      </w:r>
      <w:r>
        <w:t xml:space="preserve">For purposes of this restricted notice and comment rulemaking proceeding, members of the public are advised that no </w:t>
      </w:r>
      <w:r>
        <w:rPr>
          <w:i/>
          <w:iCs/>
        </w:rPr>
        <w:t xml:space="preserve">ex </w:t>
      </w:r>
      <w:r>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31"/>
      </w:r>
      <w:r>
        <w:t xml:space="preserve">  An </w:t>
      </w:r>
      <w:r>
        <w:rPr>
          <w:i/>
          <w:iCs/>
        </w:rPr>
        <w:t xml:space="preserve">ex </w:t>
      </w:r>
      <w:r>
        <w:rPr>
          <w:i/>
          <w:iCs/>
        </w:rPr>
        <w:t>parte</w:t>
      </w:r>
      <w:r>
        <w:t xml:space="preserve"> presentation is not prohibited if specifically requested by the Commission or staff for the clarification or adduction of evidence or resolution of issues in the proceeding.</w:t>
      </w:r>
      <w:r>
        <w:rPr>
          <w:rStyle w:val="FootnoteReference"/>
        </w:rPr>
        <w:t xml:space="preserve"> </w:t>
      </w:r>
      <w:r>
        <w:rPr>
          <w:rStyle w:val="FootnoteReference"/>
        </w:rPr>
        <w:footnoteReference w:id="32"/>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33"/>
      </w:r>
      <w:r>
        <w:t xml:space="preserve">  Any comment that has not been served on the petitioner constitutes an </w:t>
      </w:r>
      <w:r>
        <w:rPr>
          <w:i/>
          <w:iCs/>
        </w:rPr>
        <w:t xml:space="preserve">ex </w:t>
      </w:r>
      <w:r>
        <w:rPr>
          <w:i/>
          <w:iCs/>
        </w:rPr>
        <w:t>parte</w:t>
      </w:r>
      <w:r>
        <w:t xml:space="preserve"> presentation and shall not be considered in the proceeding.  Any reply comment which has not been served on the person(s) who filed the comment, to which the reply is directed, constitutes an </w:t>
      </w:r>
      <w:r>
        <w:rPr>
          <w:i/>
          <w:iCs/>
        </w:rPr>
        <w:t xml:space="preserve">ex </w:t>
      </w:r>
      <w:r>
        <w:rPr>
          <w:i/>
          <w:iCs/>
        </w:rPr>
        <w:t>parte</w:t>
      </w:r>
      <w:r>
        <w:t xml:space="preserve"> </w:t>
      </w:r>
      <w:r>
        <w:t>presentation</w:t>
      </w:r>
      <w:r>
        <w:t xml:space="preserve"> and shall not be considered in the proceeding. </w:t>
      </w:r>
    </w:p>
    <w:p w:rsidR="002C41C4" w:rsidP="005C521E" w14:paraId="0D10D43B" w14:textId="77777777">
      <w:pPr>
        <w:pStyle w:val="ParaNum"/>
      </w:pPr>
      <w:r>
        <w:rPr>
          <w:i/>
          <w:iCs/>
        </w:rPr>
        <w:t xml:space="preserve">Availability of Documents.  </w:t>
      </w:r>
      <w:r>
        <w:t xml:space="preserve">Comments, reply comments, and </w:t>
      </w:r>
      <w:r>
        <w:rPr>
          <w:i/>
          <w:iCs/>
        </w:rPr>
        <w:t xml:space="preserve">ex </w:t>
      </w:r>
      <w:r>
        <w:rPr>
          <w:i/>
          <w:iCs/>
        </w:rPr>
        <w:t>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2C41C4" w:rsidP="005C521E" w14:paraId="59AA9979" w14:textId="77777777">
      <w:pPr>
        <w:pStyle w:val="ParaNum"/>
      </w:pPr>
      <w:r>
        <w:rPr>
          <w:i/>
          <w:iCs/>
        </w:rPr>
        <w:t>Paperwork Reduction and Regulatory Flexibility</w:t>
      </w:r>
      <w:r>
        <w:t>.  The Commission has determined that the relevant provisions of the Regulatory Flexibility Act of 1980, as amended,</w:t>
      </w:r>
      <w:r>
        <w:rPr>
          <w:rStyle w:val="FootnoteReference"/>
        </w:rPr>
        <w:footnoteReference w:id="34"/>
      </w:r>
      <w:r>
        <w:t xml:space="preserve"> do not apply to a rulemaking proceeding to amend the DTV Table of Allotments, section 73.622(</w:t>
      </w:r>
      <w:r>
        <w:t>i</w:t>
      </w:r>
      <w:r>
        <w:t>) of the rules.</w:t>
      </w:r>
      <w:r>
        <w:rPr>
          <w:rStyle w:val="FootnoteReference"/>
        </w:rPr>
        <w:footnoteReference w:id="35"/>
      </w:r>
      <w:r>
        <w:t xml:space="preserve">  This document does not contain proposed information collection requirements subject to the Paperwork Reduction Act of 1995.</w:t>
      </w:r>
      <w:r>
        <w:rPr>
          <w:rStyle w:val="FootnoteReference"/>
        </w:rPr>
        <w:footnoteReference w:id="36"/>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37"/>
      </w:r>
    </w:p>
    <w:p w:rsidR="002C41C4" w:rsidP="005C521E" w14:paraId="00CEA016"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w:t>
      </w:r>
      <w:r>
        <w:rPr>
          <w:szCs w:val="22"/>
        </w:rPr>
        <w:t>tty</w:t>
      </w:r>
      <w:r>
        <w:rPr>
          <w:szCs w:val="22"/>
        </w:rPr>
        <w:t>).</w:t>
      </w:r>
    </w:p>
    <w:p w:rsidR="002C41C4" w:rsidP="005C521E" w14:paraId="11E01967"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2C41C4" w:rsidP="005C521E" w14:paraId="5D3B3ABE" w14:textId="77777777">
      <w:pPr>
        <w:pStyle w:val="Heading1"/>
        <w:keepLines/>
        <w:suppressAutoHyphens w:val="0"/>
      </w:pPr>
      <w:r>
        <w:t>Ordering clauses</w:t>
      </w:r>
    </w:p>
    <w:p w:rsidR="002C41C4" w:rsidP="005C521E" w14:paraId="44496473" w14:textId="7185BB32">
      <w:pPr>
        <w:pStyle w:val="ParaNum"/>
        <w:keepNext/>
        <w:keepLines/>
        <w:rPr>
          <w:szCs w:val="22"/>
        </w:rPr>
      </w:pPr>
      <w:r>
        <w:rPr>
          <w:b/>
          <w:bCs/>
        </w:rPr>
        <w:t>IT IS ORDERED</w:t>
      </w:r>
      <w:r w:rsidR="00260B8D">
        <w:rPr>
          <w:b/>
          <w:bCs/>
        </w:rPr>
        <w:t>,</w:t>
      </w:r>
      <w:r>
        <w:t xml:space="preserve"> </w:t>
      </w:r>
      <w:r w:rsidR="00260B8D">
        <w:t>T</w:t>
      </w:r>
      <w:r>
        <w:t>hat pursuant to authority found in 47 U.S.C. sections 4(</w:t>
      </w:r>
      <w:r>
        <w:t>i</w:t>
      </w:r>
      <w:r>
        <w:t>), 5(c)(1), 303(g) and (r), and 307(b) of the Communications Act of 1934, as amended, 47 U.S.C. §§ 154(</w:t>
      </w:r>
      <w:r>
        <w:t>i</w:t>
      </w:r>
      <w:r>
        <w:t xml:space="preserve">), 155(c)(1), 303(g), (r), and 307(b) and sections 0.61, 0.204(b), and 0.283 of the rules, 47 CFR §§ 0.61, 0.204(b), and 0.283, </w:t>
      </w:r>
      <w:r>
        <w:rPr>
          <w:b/>
          <w:bCs/>
        </w:rPr>
        <w:t>IT IS PROPOSED TO AMEND</w:t>
      </w:r>
      <w:r>
        <w:t xml:space="preserve"> the Post-Transition Table of DTV Allotments, section 73.622(</w:t>
      </w:r>
      <w:r>
        <w:t>i</w:t>
      </w:r>
      <w:r>
        <w:t>) of the rules, 47 CFR § 73.622(</w:t>
      </w:r>
      <w:r>
        <w:t>i</w:t>
      </w:r>
      <w:r>
        <w:t xml:space="preserve">), as set forth in this </w:t>
      </w:r>
      <w:r>
        <w:rPr>
          <w:i/>
          <w:iCs/>
        </w:rPr>
        <w:t>NPRM</w:t>
      </w:r>
      <w:r>
        <w:t xml:space="preserve">, and </w:t>
      </w:r>
      <w:r>
        <w:rPr>
          <w:szCs w:val="22"/>
        </w:rPr>
        <w:t xml:space="preserve">this </w:t>
      </w:r>
      <w:r>
        <w:rPr>
          <w:i/>
          <w:iCs/>
          <w:szCs w:val="22"/>
        </w:rPr>
        <w:t>NPRM</w:t>
      </w:r>
      <w:r>
        <w:rPr>
          <w:szCs w:val="22"/>
        </w:rPr>
        <w:t xml:space="preserve"> </w:t>
      </w:r>
      <w:r>
        <w:rPr>
          <w:b/>
          <w:szCs w:val="22"/>
        </w:rPr>
        <w:t xml:space="preserve">IS ADOPTED.  </w:t>
      </w:r>
    </w:p>
    <w:p w:rsidR="002C41C4" w:rsidP="005C521E" w14:paraId="4E9F74A1" w14:textId="41435DE8">
      <w:pPr>
        <w:pStyle w:val="ParaNum"/>
        <w:rPr>
          <w:szCs w:val="22"/>
        </w:rPr>
      </w:pPr>
      <w:r>
        <w:rPr>
          <w:b/>
          <w:szCs w:val="22"/>
        </w:rPr>
        <w:t>IT IS FURTHER ORDERED</w:t>
      </w:r>
      <w:r w:rsidR="00260B8D">
        <w:rPr>
          <w:b/>
          <w:szCs w:val="22"/>
        </w:rPr>
        <w:t>,</w:t>
      </w:r>
      <w:r>
        <w:rPr>
          <w:szCs w:val="22"/>
        </w:rPr>
        <w:t xml:space="preserve"> </w:t>
      </w:r>
      <w:r w:rsidR="00260B8D">
        <w:rPr>
          <w:szCs w:val="22"/>
        </w:rPr>
        <w:t>T</w:t>
      </w:r>
      <w:r>
        <w:rPr>
          <w:szCs w:val="22"/>
        </w:rPr>
        <w:t xml:space="preserve">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w:t>
      </w:r>
      <w:r w:rsidR="00BE25D4">
        <w:rPr>
          <w:szCs w:val="22"/>
        </w:rPr>
        <w:t>21-</w:t>
      </w:r>
      <w:r w:rsidR="00132790">
        <w:rPr>
          <w:szCs w:val="22"/>
        </w:rPr>
        <w:t>248</w:t>
      </w:r>
      <w:r>
        <w:rPr>
          <w:szCs w:val="22"/>
        </w:rPr>
        <w:t xml:space="preserve"> and </w:t>
      </w:r>
      <w:r w:rsidRPr="00B625C0">
        <w:rPr>
          <w:szCs w:val="22"/>
        </w:rPr>
        <w:t>RM-</w:t>
      </w:r>
      <w:r w:rsidR="00BE25D4">
        <w:rPr>
          <w:szCs w:val="22"/>
        </w:rPr>
        <w:t>119</w:t>
      </w:r>
      <w:r w:rsidR="00132790">
        <w:rPr>
          <w:szCs w:val="22"/>
        </w:rPr>
        <w:t>10</w:t>
      </w:r>
      <w:r>
        <w:rPr>
          <w:szCs w:val="22"/>
        </w:rPr>
        <w:t xml:space="preserve"> on or before thirty (30) days after publication in the </w:t>
      </w:r>
      <w:r>
        <w:rPr>
          <w:iCs/>
          <w:szCs w:val="22"/>
        </w:rPr>
        <w:t>Federal Register</w:t>
      </w:r>
      <w:r>
        <w:rPr>
          <w:szCs w:val="22"/>
        </w:rPr>
        <w:t xml:space="preserve"> and reply comments on or before forty five (45) days after publication in the </w:t>
      </w:r>
      <w:r>
        <w:rPr>
          <w:iCs/>
          <w:szCs w:val="22"/>
        </w:rPr>
        <w:t>Federal Register</w:t>
      </w:r>
      <w:r>
        <w:rPr>
          <w:szCs w:val="22"/>
        </w:rPr>
        <w:t>.</w:t>
      </w:r>
    </w:p>
    <w:p w:rsidR="002C41C4" w:rsidP="005C521E" w14:paraId="564A310F" w14:textId="77777777">
      <w:r>
        <w:tab/>
      </w:r>
      <w:r>
        <w:tab/>
      </w:r>
      <w:r>
        <w:tab/>
      </w:r>
      <w:r>
        <w:tab/>
      </w:r>
      <w:r>
        <w:tab/>
      </w:r>
      <w:r>
        <w:tab/>
        <w:t>FEDERAL COMMUNICATIONS COMMISSION</w:t>
      </w:r>
    </w:p>
    <w:p w:rsidR="002C41C4" w:rsidP="005C521E" w14:paraId="7748EDDA" w14:textId="77777777"/>
    <w:p w:rsidR="002C41C4" w:rsidP="005C521E" w14:paraId="43D9C97E" w14:textId="77777777"/>
    <w:p w:rsidR="002C41C4" w:rsidP="005C521E" w14:paraId="1513C603" w14:textId="77777777"/>
    <w:p w:rsidR="002C41C4" w:rsidP="005C521E" w14:paraId="32A00F66" w14:textId="77777777"/>
    <w:p w:rsidR="002C41C4" w:rsidP="005C521E" w14:paraId="417B7945" w14:textId="77777777">
      <w:r>
        <w:tab/>
      </w:r>
      <w:r>
        <w:tab/>
      </w:r>
      <w:r>
        <w:tab/>
      </w:r>
      <w:r>
        <w:tab/>
      </w:r>
      <w:r>
        <w:tab/>
      </w:r>
      <w:r>
        <w:tab/>
        <w:t>Barbara A. Kreisman</w:t>
      </w:r>
    </w:p>
    <w:p w:rsidR="002C41C4" w:rsidP="005C521E" w14:paraId="38E83544" w14:textId="77777777">
      <w:r>
        <w:tab/>
      </w:r>
      <w:r>
        <w:tab/>
      </w:r>
      <w:r>
        <w:tab/>
      </w:r>
      <w:r>
        <w:tab/>
      </w:r>
      <w:r>
        <w:tab/>
      </w:r>
      <w:r>
        <w:tab/>
        <w:t>Chief, Video Division</w:t>
      </w:r>
    </w:p>
    <w:p w:rsidR="00412FC5" w:rsidRPr="002C41C4" w:rsidP="005C521E" w14:paraId="3F504C71" w14:textId="77777777">
      <w:r>
        <w:tab/>
      </w:r>
      <w:r>
        <w:tab/>
      </w:r>
      <w:r>
        <w:tab/>
      </w:r>
      <w:r>
        <w:tab/>
      </w:r>
      <w:r>
        <w:tab/>
      </w:r>
      <w:r>
        <w:tab/>
        <w:t>Media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CECF1D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9062D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C521E" w14:paraId="6E53021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12379D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7CC1" w14:paraId="0691639F" w14:textId="77777777">
      <w:r>
        <w:separator/>
      </w:r>
    </w:p>
  </w:footnote>
  <w:footnote w:type="continuationSeparator" w:id="1">
    <w:p w:rsidR="00477CC1" w:rsidP="00C721AC" w14:paraId="3CE80FC0" w14:textId="77777777">
      <w:pPr>
        <w:spacing w:before="120"/>
        <w:rPr>
          <w:sz w:val="20"/>
        </w:rPr>
      </w:pPr>
      <w:r>
        <w:rPr>
          <w:sz w:val="20"/>
        </w:rPr>
        <w:t xml:space="preserve">(Continued from previous page)  </w:t>
      </w:r>
      <w:r>
        <w:rPr>
          <w:sz w:val="20"/>
        </w:rPr>
        <w:separator/>
      </w:r>
    </w:p>
  </w:footnote>
  <w:footnote w:type="continuationNotice" w:id="2">
    <w:p w:rsidR="00477CC1" w:rsidP="00C721AC" w14:paraId="7A711B90" w14:textId="77777777">
      <w:pPr>
        <w:jc w:val="right"/>
        <w:rPr>
          <w:sz w:val="20"/>
        </w:rPr>
      </w:pPr>
      <w:r>
        <w:rPr>
          <w:sz w:val="20"/>
        </w:rPr>
        <w:t>(continued….)</w:t>
      </w:r>
    </w:p>
  </w:footnote>
  <w:footnote w:id="3">
    <w:p w:rsidR="002C41C4" w:rsidP="005C521E" w14:paraId="05FB0418" w14:textId="0D708489">
      <w:pPr>
        <w:pStyle w:val="FootnoteText"/>
        <w:widowControl w:val="0"/>
      </w:pPr>
      <w:r>
        <w:rPr>
          <w:rStyle w:val="FootnoteReference"/>
        </w:rPr>
        <w:footnoteRef/>
      </w:r>
      <w:r>
        <w:t xml:space="preserve"> Petition of </w:t>
      </w:r>
      <w:r w:rsidR="00280689">
        <w:t>VPM Media Corporation</w:t>
      </w:r>
      <w:r>
        <w:t xml:space="preserve"> for Rulemaking (filed </w:t>
      </w:r>
      <w:r w:rsidR="004A3F4E">
        <w:t xml:space="preserve">May </w:t>
      </w:r>
      <w:r w:rsidR="00280689">
        <w:t>27</w:t>
      </w:r>
      <w:r>
        <w:t>, 202</w:t>
      </w:r>
      <w:r w:rsidR="004A3F4E">
        <w:t>1</w:t>
      </w:r>
      <w:r>
        <w:t xml:space="preserve">), </w:t>
      </w:r>
      <w:r w:rsidRPr="002B7587">
        <w:t>LMS File No. 0000</w:t>
      </w:r>
      <w:r w:rsidRPr="002B7587" w:rsidR="004A3F4E">
        <w:t>14</w:t>
      </w:r>
      <w:r w:rsidR="002B7587">
        <w:t>9712</w:t>
      </w:r>
      <w:r>
        <w:t xml:space="preserve"> (Petition).  </w:t>
      </w:r>
      <w:r w:rsidR="00B81385">
        <w:t>The Petitioner</w:t>
      </w:r>
      <w:r w:rsidR="002B7587">
        <w:t xml:space="preserve"> amended its Petition on June 4, 202</w:t>
      </w:r>
      <w:r w:rsidR="00F941E3">
        <w:t>1</w:t>
      </w:r>
      <w:r w:rsidRPr="00395FEE" w:rsidR="00F941E3">
        <w:t xml:space="preserve"> (Amended Engineering Statement) </w:t>
      </w:r>
      <w:r w:rsidR="002B7587">
        <w:t xml:space="preserve">at the staff’s request to provide additional information </w:t>
      </w:r>
      <w:r w:rsidR="00F941E3">
        <w:t>regarding</w:t>
      </w:r>
      <w:r w:rsidR="002B7587">
        <w:t xml:space="preserve"> predicted loss areas.</w:t>
      </w:r>
    </w:p>
  </w:footnote>
  <w:footnote w:id="4">
    <w:p w:rsidR="002C41C4" w:rsidP="00DF0035" w14:paraId="09D8ADEA" w14:textId="1B65F9CA">
      <w:pPr>
        <w:pStyle w:val="FootnoteText"/>
        <w:widowControl w:val="0"/>
      </w:pPr>
      <w:r>
        <w:rPr>
          <w:rStyle w:val="FootnoteReference"/>
        </w:rPr>
        <w:footnoteRef/>
      </w:r>
      <w:r>
        <w:t xml:space="preserve"> On April 13, 2017, the Commission completed the incentive auction and broadcast television spectrum repacking authorized by the Spectrum Act.  </w:t>
      </w:r>
      <w:r>
        <w:rPr>
          <w:rStyle w:val="Emphasis"/>
        </w:rPr>
        <w:t>See</w:t>
      </w:r>
      <w:r>
        <w:t xml:space="preserve"> Middle Class Tax Relief and Job Creation Act of 2012, Pub. L. No. 112-96, §§ 6402 (codified at 47 U.S.C. § 309(j)(8)(G)), 6403 (codified at 47 U.S.C. § 1452), 126 Stat. 156 (2012) (Spectrum Act);</w:t>
      </w:r>
      <w:r>
        <w:rPr>
          <w:i/>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t xml:space="preserve">, GN Docket No. 12-268, Public Notice, 32 FCC </w:t>
      </w:r>
      <w:r>
        <w:t>Rcd</w:t>
      </w:r>
      <w:r>
        <w:t xml:space="preserve"> 2786 (2017).  The post-incentive auction transition period ended on July 13, 2020</w:t>
      </w:r>
      <w:r w:rsidR="00A02E4D">
        <w:t>, and</w:t>
      </w:r>
      <w:r>
        <w:t xml:space="preserve"> </w:t>
      </w:r>
      <w:r w:rsidR="00A02E4D">
        <w:t>t</w:t>
      </w:r>
      <w:r>
        <w:t xml:space="preserve">he Bureau will amend the rules to reflect all new full power channel assignments in a revised Table of Allotments.  </w:t>
      </w:r>
      <w:r w:rsidR="00DF0035">
        <w:t>WVPT was repacked to channel *12</w:t>
      </w:r>
      <w:r w:rsidR="00836311">
        <w:t xml:space="preserve"> and</w:t>
      </w:r>
      <w:r w:rsidR="00DF0035">
        <w:t xml:space="preserve"> has not yet constructed</w:t>
      </w:r>
      <w:r w:rsidR="00A02E4D">
        <w:t xml:space="preserve"> or licensed</w:t>
      </w:r>
      <w:r w:rsidR="00DF0035">
        <w:t xml:space="preserve"> that facility.  </w:t>
      </w:r>
      <w:r w:rsidRPr="00DF0035" w:rsidR="00DF0035">
        <w:rPr>
          <w:i/>
          <w:iCs/>
        </w:rPr>
        <w:t>See</w:t>
      </w:r>
      <w:r w:rsidR="00DF0035">
        <w:t xml:space="preserve"> Petition at 4 and n.2.  Accordingly, for the purpose of this proceeding we will refer to the Petitioner’s licensed channel *11 facility.  We also note that pursuant to the incentive auction bidding process, WVPT is sharing its</w:t>
      </w:r>
      <w:r w:rsidR="00C062EB">
        <w:t xml:space="preserve"> facility with noncommercial educational station WVPY, Front Royal, Virginia</w:t>
      </w:r>
      <w:r w:rsidR="00836311">
        <w:t>, which relinquished its channel</w:t>
      </w:r>
      <w:r w:rsidR="00C062EB">
        <w:t xml:space="preserve">.  </w:t>
      </w:r>
      <w:r w:rsidRPr="00836311" w:rsidR="00C062EB">
        <w:rPr>
          <w:i/>
          <w:iCs/>
        </w:rPr>
        <w:t>See</w:t>
      </w:r>
      <w:r w:rsidR="00C062EB">
        <w:t xml:space="preserve"> LMS File No. 0000055362.  Because the two stations are commonly owned, the Petitioner is not required to provide the separate consent of WVPY to the proposed channel change.</w:t>
      </w:r>
    </w:p>
  </w:footnote>
  <w:footnote w:id="5">
    <w:p w:rsidR="007A5596" w14:paraId="3BDC247F" w14:textId="36CA698E">
      <w:pPr>
        <w:pStyle w:val="FootnoteText"/>
      </w:pPr>
      <w:r>
        <w:rPr>
          <w:rStyle w:val="FootnoteReference"/>
        </w:rPr>
        <w:footnoteRef/>
      </w:r>
      <w:r>
        <w:t xml:space="preserve"> Petition at 2.</w:t>
      </w:r>
    </w:p>
  </w:footnote>
  <w:footnote w:id="6">
    <w:p w:rsidR="001F339C" w:rsidP="005C521E" w14:paraId="5894AF64" w14:textId="09DC9552">
      <w:pPr>
        <w:pStyle w:val="FootnoteText"/>
        <w:widowControl w:val="0"/>
      </w:pPr>
      <w:r>
        <w:rPr>
          <w:rStyle w:val="FootnoteReference"/>
        </w:rPr>
        <w:footnoteRef/>
      </w:r>
      <w:r>
        <w:t xml:space="preserve"> </w:t>
      </w:r>
      <w:r w:rsidRPr="007A5596" w:rsidR="007A5596">
        <w:rPr>
          <w:i/>
          <w:iCs/>
        </w:rPr>
        <w:t>Id</w:t>
      </w:r>
      <w:r w:rsidR="007A5596">
        <w:t>.</w:t>
      </w:r>
      <w:r>
        <w:t xml:space="preserve"> at 2, citing </w:t>
      </w:r>
      <w:r>
        <w:rPr>
          <w:i/>
          <w:iCs/>
        </w:rPr>
        <w:t>Innovation in the Broadcast Television Bands: Allocations, Channel Sharing and Improvements to VHF</w:t>
      </w:r>
      <w:r>
        <w:t xml:space="preserve">, ET Docket No. 10-235, Notice of Proposed Rulemaking, 25 FCC </w:t>
      </w:r>
      <w:r>
        <w:t>Rcd</w:t>
      </w:r>
      <w:r>
        <w:t xml:space="preserve"> 16498, 16511, paras. 42, 44 (2010).</w:t>
      </w:r>
    </w:p>
  </w:footnote>
  <w:footnote w:id="7">
    <w:p w:rsidR="009D41BF" w14:paraId="6A2CE843" w14:textId="471F5C90">
      <w:pPr>
        <w:pStyle w:val="FootnoteText"/>
      </w:pPr>
      <w:r>
        <w:rPr>
          <w:rStyle w:val="FootnoteReference"/>
        </w:rPr>
        <w:footnoteRef/>
      </w:r>
      <w:r>
        <w:t xml:space="preserve"> Petition at 3.  These include viewers </w:t>
      </w:r>
      <w:r w:rsidR="009F69B2">
        <w:t xml:space="preserve">with </w:t>
      </w:r>
      <w:r>
        <w:t>antenna system</w:t>
      </w:r>
      <w:r w:rsidR="009F69B2">
        <w:t>s</w:t>
      </w:r>
      <w:r>
        <w:t xml:space="preserve"> that can receive the UHF signals in the market, but not </w:t>
      </w:r>
      <w:r w:rsidR="00DC2AFE">
        <w:t>VHF signals</w:t>
      </w:r>
      <w:r>
        <w:t xml:space="preserve">, </w:t>
      </w:r>
      <w:r w:rsidR="00DC2AFE">
        <w:t xml:space="preserve">and </w:t>
      </w:r>
      <w:r>
        <w:t>interference from devices that use electricity, including LED and C</w:t>
      </w:r>
      <w:r w:rsidR="0081406C">
        <w:t>F</w:t>
      </w:r>
      <w:r>
        <w:t xml:space="preserve"> lighting, motors, and kitchen appliances.  </w:t>
      </w:r>
      <w:r w:rsidRPr="009F69B2">
        <w:rPr>
          <w:i/>
          <w:iCs/>
        </w:rPr>
        <w:t>Id</w:t>
      </w:r>
      <w:r>
        <w:t>. at 3-4.  The Petition</w:t>
      </w:r>
      <w:r w:rsidR="00DC2AFE">
        <w:t>er</w:t>
      </w:r>
      <w:r>
        <w:t xml:space="preserve"> also states</w:t>
      </w:r>
      <w:r w:rsidR="009F69B2">
        <w:t xml:space="preserve"> that when there is lightning activity in the area, WVPT’s VHF signal can be unwatchable for hours at a time.  </w:t>
      </w:r>
      <w:r w:rsidRPr="009F69B2" w:rsidR="009F69B2">
        <w:rPr>
          <w:i/>
          <w:iCs/>
        </w:rPr>
        <w:t>Id</w:t>
      </w:r>
      <w:r w:rsidR="009F69B2">
        <w:t>. at 4.</w:t>
      </w:r>
      <w:r>
        <w:t xml:space="preserve"> </w:t>
      </w:r>
    </w:p>
  </w:footnote>
  <w:footnote w:id="8">
    <w:p w:rsidR="00410E77" w14:paraId="701889E5" w14:textId="1ADF4D91">
      <w:pPr>
        <w:pStyle w:val="FootnoteText"/>
      </w:pPr>
      <w:r>
        <w:rPr>
          <w:rStyle w:val="FootnoteReference"/>
        </w:rPr>
        <w:footnoteRef/>
      </w:r>
      <w:r>
        <w:t xml:space="preserve"> </w:t>
      </w:r>
      <w:r w:rsidRPr="00410E77">
        <w:rPr>
          <w:i/>
          <w:iCs/>
        </w:rPr>
        <w:t>Id</w:t>
      </w:r>
      <w:r>
        <w:t xml:space="preserve">. at 4.  </w:t>
      </w:r>
      <w:r w:rsidR="009C325D">
        <w:t xml:space="preserve">The Station’s construction permit currently expires on June 28, 2021.  It has requested tolling of its post-auction construction permit through December 2021.  </w:t>
      </w:r>
      <w:r w:rsidRPr="00410E77">
        <w:rPr>
          <w:i/>
          <w:iCs/>
        </w:rPr>
        <w:t xml:space="preserve">See </w:t>
      </w:r>
      <w:r>
        <w:t>Petitioner’s Request for Tolling Waiver, LMS File No. 0000129932.</w:t>
      </w:r>
    </w:p>
  </w:footnote>
  <w:footnote w:id="9">
    <w:p w:rsidR="00410E77" w14:paraId="6B2BC178" w14:textId="60324A4F">
      <w:pPr>
        <w:pStyle w:val="FootnoteText"/>
      </w:pPr>
      <w:r>
        <w:rPr>
          <w:rStyle w:val="FootnoteReference"/>
        </w:rPr>
        <w:footnoteRef/>
      </w:r>
      <w:r>
        <w:t xml:space="preserve"> Petition at 4-5.</w:t>
      </w:r>
      <w:r w:rsidR="009C325D">
        <w:t xml:space="preserve">  </w:t>
      </w:r>
    </w:p>
  </w:footnote>
  <w:footnote w:id="10">
    <w:p w:rsidR="00911714" w14:paraId="482FF16F" w14:textId="01333947">
      <w:pPr>
        <w:pStyle w:val="FootnoteText"/>
      </w:pPr>
      <w:r>
        <w:rPr>
          <w:rStyle w:val="FootnoteReference"/>
        </w:rPr>
        <w:footnoteRef/>
      </w:r>
      <w:r>
        <w:t xml:space="preserve"> Engineering Statement at 1.</w:t>
      </w:r>
    </w:p>
  </w:footnote>
  <w:footnote w:id="11">
    <w:p w:rsidR="008F1CC0" w14:paraId="5D1A228D" w14:textId="28DD3A38">
      <w:pPr>
        <w:pStyle w:val="FootnoteText"/>
      </w:pPr>
      <w:r>
        <w:rPr>
          <w:rStyle w:val="FootnoteReference"/>
        </w:rPr>
        <w:footnoteRef/>
      </w:r>
      <w:r>
        <w:t xml:space="preserve"> </w:t>
      </w:r>
      <w:r w:rsidRPr="008F1CC0">
        <w:rPr>
          <w:i/>
          <w:iCs/>
        </w:rPr>
        <w:t>Id</w:t>
      </w:r>
      <w:r>
        <w:t>.</w:t>
      </w:r>
    </w:p>
  </w:footnote>
  <w:footnote w:id="12">
    <w:p w:rsidR="00C56126" w14:paraId="239D5697" w14:textId="062C9080">
      <w:pPr>
        <w:pStyle w:val="FootnoteText"/>
      </w:pPr>
      <w:r>
        <w:rPr>
          <w:rStyle w:val="FootnoteReference"/>
        </w:rPr>
        <w:footnoteRef/>
      </w:r>
      <w:r>
        <w:t xml:space="preserve"> </w:t>
      </w:r>
      <w:r w:rsidR="004F2041">
        <w:t xml:space="preserve">In this regard, the Petitioner cites to the </w:t>
      </w:r>
      <w:r w:rsidRPr="00CD430C">
        <w:rPr>
          <w:i/>
          <w:iCs/>
        </w:rPr>
        <w:t>Third Periodic</w:t>
      </w:r>
      <w:r w:rsidR="004F2041">
        <w:rPr>
          <w:i/>
          <w:iCs/>
        </w:rPr>
        <w:t xml:space="preserve"> Review of the Commission’s Rules and Policies Affecting the Conversion to Digital Television,</w:t>
      </w:r>
      <w:r w:rsidR="00DC2AFE">
        <w:t xml:space="preserve"> MB Docket No. 07-91, Notice of Proposed Rulemaking, 22 FCC </w:t>
      </w:r>
      <w:r w:rsidR="00DC2AFE">
        <w:t>Rcd</w:t>
      </w:r>
      <w:r w:rsidR="00DC2AFE">
        <w:t xml:space="preserve"> 9478, 9493-94, para. 38 (2007) (“The Commission is generally most concerned where there is a loss of an area’s only network or NCE TV service, or where the loss area results in an area becoming less than well-served, i.e., served by fewer than five full-power over-the-air signals.”)</w:t>
      </w:r>
      <w:r w:rsidR="000050F7">
        <w:t>.</w:t>
      </w:r>
    </w:p>
  </w:footnote>
  <w:footnote w:id="13">
    <w:p w:rsidR="008F1CC0" w14:paraId="2CA18620" w14:textId="52AD7F9C">
      <w:pPr>
        <w:pStyle w:val="FootnoteText"/>
      </w:pPr>
      <w:r>
        <w:rPr>
          <w:rStyle w:val="FootnoteReference"/>
        </w:rPr>
        <w:footnoteRef/>
      </w:r>
      <w:r>
        <w:t xml:space="preserve"> Petition at 5</w:t>
      </w:r>
      <w:r w:rsidR="00445AA6">
        <w:t>-6</w:t>
      </w:r>
      <w:r>
        <w:t>; Engineering Statement at 1-2.</w:t>
      </w:r>
      <w:r w:rsidR="00445AA6">
        <w:t xml:space="preserve">  The Petition also maintains that any losses resulting from the channel substitution are offset by WVPT’s increased coverage to the north, providing a second, third, fourth, and fifth service, and a first noncommercial educational service, to </w:t>
      </w:r>
      <w:r w:rsidR="0049616F">
        <w:t>a number of</w:t>
      </w:r>
      <w:r w:rsidR="00445AA6">
        <w:t xml:space="preserve"> viewers.  Petition at 6; Engineering </w:t>
      </w:r>
      <w:r w:rsidR="0049616F">
        <w:t>Statement</w:t>
      </w:r>
      <w:r w:rsidR="00445AA6">
        <w:t xml:space="preserve"> at</w:t>
      </w:r>
      <w:r w:rsidR="0049616F">
        <w:t xml:space="preserve"> Exhibit 4.</w:t>
      </w:r>
    </w:p>
  </w:footnote>
  <w:footnote w:id="14">
    <w:p w:rsidR="0049616F" w14:paraId="66056AE1" w14:textId="423F3D8D">
      <w:pPr>
        <w:pStyle w:val="FootnoteText"/>
      </w:pPr>
      <w:r>
        <w:rPr>
          <w:rStyle w:val="FootnoteReference"/>
        </w:rPr>
        <w:footnoteRef/>
      </w:r>
      <w:r>
        <w:t xml:space="preserve"> Amended Engineering Statement at 2.</w:t>
      </w:r>
    </w:p>
  </w:footnote>
  <w:footnote w:id="15">
    <w:p w:rsidR="002C41C4" w:rsidP="005C521E" w14:paraId="7AAED632" w14:textId="77777777">
      <w:pPr>
        <w:pStyle w:val="FootnoteText"/>
        <w:widowControl w:val="0"/>
      </w:pPr>
      <w:r>
        <w:rPr>
          <w:rStyle w:val="FootnoteReference"/>
        </w:rPr>
        <w:footnoteRef/>
      </w:r>
      <w:r>
        <w:t xml:space="preserve"> 47 CFR § 73.625(a).</w:t>
      </w:r>
      <w:bookmarkStart w:id="0" w:name="SR;334"/>
      <w:bookmarkEnd w:id="0"/>
    </w:p>
  </w:footnote>
  <w:footnote w:id="16">
    <w:p w:rsidR="002C41C4" w:rsidP="005C521E" w14:paraId="205C2750" w14:textId="77777777">
      <w:pPr>
        <w:pStyle w:val="FootnoteText"/>
        <w:widowControl w:val="0"/>
      </w:pPr>
      <w:r>
        <w:rPr>
          <w:rStyle w:val="FootnoteReference"/>
        </w:rPr>
        <w:footnoteRef/>
      </w:r>
      <w:r>
        <w:t xml:space="preserve"> 47 CFR §§ 73.616, 73.623.</w:t>
      </w:r>
    </w:p>
  </w:footnote>
  <w:footnote w:id="17">
    <w:p w:rsidR="003E173A" w14:paraId="7358C78E" w14:textId="63228A8E">
      <w:pPr>
        <w:pStyle w:val="FootnoteText"/>
      </w:pPr>
      <w:r>
        <w:rPr>
          <w:rStyle w:val="FootnoteReference"/>
        </w:rPr>
        <w:footnoteRef/>
      </w:r>
      <w:r>
        <w:t xml:space="preserve"> </w:t>
      </w:r>
      <w:r w:rsidRPr="00C56126" w:rsidR="00C2328A">
        <w:rPr>
          <w:i/>
          <w:iCs/>
        </w:rPr>
        <w:t>See WSET, Inc</w:t>
      </w:r>
      <w:r w:rsidR="00C2328A">
        <w:t xml:space="preserve">., 80 FCC </w:t>
      </w:r>
      <w:r w:rsidR="00C2328A">
        <w:t>Rcd</w:t>
      </w:r>
      <w:r w:rsidR="00C2328A">
        <w:t xml:space="preserve"> 233, 246 (1980) (finding loss area population of 500 people to be </w:t>
      </w:r>
      <w:r w:rsidRPr="00C56126" w:rsidR="00C2328A">
        <w:rPr>
          <w:i/>
          <w:iCs/>
        </w:rPr>
        <w:t>de minimis</w:t>
      </w:r>
      <w:r w:rsidR="00C2328A">
        <w:t>.).</w:t>
      </w:r>
    </w:p>
  </w:footnote>
  <w:footnote w:id="18">
    <w:p w:rsidR="00825F35" w14:paraId="3A8C21C9" w14:textId="354DD483">
      <w:pPr>
        <w:pStyle w:val="FootnoteText"/>
      </w:pPr>
      <w:r>
        <w:rPr>
          <w:rStyle w:val="FootnoteReference"/>
        </w:rPr>
        <w:footnoteRef/>
      </w:r>
      <w:r>
        <w:t xml:space="preserve"> WVPT is located within the National Radio Quiet Zone, an area of approximately 13,000 square miles which was created to minimize possible harmful interference at the National Radio Astronomy Observation (NRAO) site located at Green Bank, West Virginia</w:t>
      </w:r>
      <w:r w:rsidR="00260B8D">
        <w:t>,</w:t>
      </w:r>
      <w:r>
        <w:t xml:space="preserve"> and the Naval Radio Research Observatory site at Sugar Grove, West Virginia.  Section 1.924(a) of the Commission’s rules, 47 CFR § 1.924(a), requires that the NRAO be notified, in writing, of any proposed construction and operation of a new or modified station at a permanent fixed location in the Quiet Zone</w:t>
      </w:r>
      <w:r w:rsidR="00A66F77">
        <w:t>, including the technical details of the proposed operation.  47 CFR § 1.924(a)(1).  Since WVPT is located within the Quiet Zone, the Petitioner is required to comply with all pertinent sections of 47 CFR § 1.924</w:t>
      </w:r>
      <w:r w:rsidR="00DC2AFE">
        <w:t xml:space="preserve"> with regard to modification of </w:t>
      </w:r>
      <w:r w:rsidR="00523F03">
        <w:t>WVPT’s</w:t>
      </w:r>
      <w:r w:rsidR="00DC2AFE">
        <w:t xml:space="preserve"> </w:t>
      </w:r>
      <w:r w:rsidR="00523F03">
        <w:t>facilities, such as a change in channel</w:t>
      </w:r>
      <w:r w:rsidR="00A66F77">
        <w:t>.</w:t>
      </w:r>
      <w:r w:rsidR="00911714">
        <w:t xml:space="preserve">  Petitioner states that it has designed its proposed channel *15 facility with a deep null to the west to protect the Green Bank Observatory site.  Engineering Statement at 1.</w:t>
      </w:r>
    </w:p>
  </w:footnote>
  <w:footnote w:id="19">
    <w:p w:rsidR="002C41C4" w:rsidP="005C521E" w14:paraId="0A5CF850" w14:textId="77777777">
      <w:pPr>
        <w:pStyle w:val="FootnoteText"/>
        <w:widowControl w:val="0"/>
      </w:pPr>
      <w:r>
        <w:rPr>
          <w:rStyle w:val="FootnoteReference"/>
        </w:rPr>
        <w:footnoteRef/>
      </w:r>
      <w:r>
        <w:t xml:space="preserve"> 47 CFR § 73.622(</w:t>
      </w:r>
      <w:r>
        <w:t>i</w:t>
      </w:r>
      <w:r>
        <w:t>).</w:t>
      </w:r>
    </w:p>
  </w:footnote>
  <w:footnote w:id="20">
    <w:p w:rsidR="008D7D10" w14:paraId="2A4FC51E" w14:textId="383DAB44">
      <w:pPr>
        <w:pStyle w:val="FootnoteText"/>
      </w:pPr>
      <w:r>
        <w:rPr>
          <w:rStyle w:val="FootnoteReference"/>
        </w:rPr>
        <w:footnoteRef/>
      </w:r>
      <w:r>
        <w:t xml:space="preserve"> </w:t>
      </w:r>
      <w:r w:rsidRPr="00A66F77">
        <w:rPr>
          <w:i/>
          <w:iCs/>
        </w:rPr>
        <w:t>See supra</w:t>
      </w:r>
      <w:r>
        <w:t xml:space="preserve"> n.2.</w:t>
      </w:r>
    </w:p>
  </w:footnote>
  <w:footnote w:id="21">
    <w:p w:rsidR="002C41C4" w:rsidP="005C521E" w14:paraId="2BAEDD25" w14:textId="77777777">
      <w:pPr>
        <w:pStyle w:val="FootnoteText"/>
        <w:widowControl w:val="0"/>
      </w:pPr>
      <w:r>
        <w:rPr>
          <w:rStyle w:val="FootnoteReference"/>
        </w:rPr>
        <w:footnoteRef/>
      </w:r>
      <w:r>
        <w:t xml:space="preserve"> </w:t>
      </w:r>
      <w:r w:rsidRPr="00C43C45" w:rsidR="001B714C">
        <w:rPr>
          <w:i/>
          <w:iCs/>
        </w:rPr>
        <w:t>See, e.g., Buffalo, Io</w:t>
      </w:r>
      <w:r w:rsidR="001B714C">
        <w:rPr>
          <w:i/>
          <w:iCs/>
        </w:rPr>
        <w:t>l</w:t>
      </w:r>
      <w:r w:rsidRPr="00C43C45" w:rsidR="001B714C">
        <w:rPr>
          <w:i/>
          <w:iCs/>
        </w:rPr>
        <w:t>a, Normangee, and Madisonville, Texas</w:t>
      </w:r>
      <w:r w:rsidRPr="00C43C45" w:rsidR="001B714C">
        <w:t xml:space="preserve">, </w:t>
      </w:r>
      <w:r w:rsidR="001B714C">
        <w:t xml:space="preserve">MB Docket No. 07-729, </w:t>
      </w:r>
      <w:r w:rsidRPr="00C43C45" w:rsidR="001B714C">
        <w:t>Report and Order</w:t>
      </w:r>
      <w:r w:rsidR="001B714C">
        <w:t>,</w:t>
      </w:r>
      <w:r w:rsidRPr="00C43C45" w:rsidR="001B714C">
        <w:t xml:space="preserve"> 24 FCC </w:t>
      </w:r>
      <w:r w:rsidRPr="00C43C45" w:rsidR="001B714C">
        <w:t>Rcd</w:t>
      </w:r>
      <w:r w:rsidRPr="00C43C45" w:rsidR="001B714C">
        <w:t xml:space="preserve"> 8192, 8194</w:t>
      </w:r>
      <w:r w:rsidR="001B714C">
        <w:t>, para. 9</w:t>
      </w:r>
      <w:r w:rsidRPr="00C43C45" w:rsidR="001B714C">
        <w:t xml:space="preserve"> (</w:t>
      </w:r>
      <w:r w:rsidR="00C87627">
        <w:t xml:space="preserve">Aud. Div. </w:t>
      </w:r>
      <w:r w:rsidRPr="00C43C45" w:rsidR="001B714C">
        <w:t>2009).</w:t>
      </w:r>
    </w:p>
  </w:footnote>
  <w:footnote w:id="22">
    <w:p w:rsidR="002C41C4" w:rsidP="005C521E" w14:paraId="6E66A43D" w14:textId="77777777">
      <w:pPr>
        <w:pStyle w:val="FootnoteText"/>
        <w:widowControl w:val="0"/>
      </w:pPr>
      <w:r>
        <w:rPr>
          <w:rStyle w:val="FootnoteReference"/>
        </w:rPr>
        <w:footnoteRef/>
      </w:r>
      <w:r>
        <w:t xml:space="preserve"> 47 CFR § 1.420(j).</w:t>
      </w:r>
    </w:p>
  </w:footnote>
  <w:footnote w:id="23">
    <w:p w:rsidR="002C41C4" w:rsidP="005C521E" w14:paraId="72B7A328" w14:textId="77777777">
      <w:pPr>
        <w:pStyle w:val="FootnoteText"/>
        <w:widowControl w:val="0"/>
      </w:pPr>
      <w:r>
        <w:rPr>
          <w:rStyle w:val="FootnoteReference"/>
        </w:rPr>
        <w:footnoteRef/>
      </w:r>
      <w:r>
        <w:t xml:space="preserve"> 47 CFR §</w:t>
      </w:r>
      <w:r w:rsidR="006D6AC4">
        <w:t xml:space="preserve"> </w:t>
      </w:r>
      <w:r>
        <w:t>1.420(d).</w:t>
      </w:r>
    </w:p>
  </w:footnote>
  <w:footnote w:id="24">
    <w:p w:rsidR="002C41C4" w:rsidP="005C521E" w14:paraId="09FB1E0F" w14:textId="77777777">
      <w:pPr>
        <w:pStyle w:val="FootnoteText"/>
        <w:widowControl w:val="0"/>
      </w:pPr>
      <w:r>
        <w:rPr>
          <w:rStyle w:val="FootnoteReference"/>
        </w:rPr>
        <w:footnoteRef/>
      </w:r>
      <w:r>
        <w:t xml:space="preserve"> 47 CFR § 1.420(g)(2).</w:t>
      </w:r>
    </w:p>
  </w:footnote>
  <w:footnote w:id="25">
    <w:p w:rsidR="002C41C4" w:rsidP="005C521E" w14:paraId="01BCE7EA" w14:textId="77777777">
      <w:pPr>
        <w:pStyle w:val="FootnoteText"/>
        <w:widowControl w:val="0"/>
      </w:pPr>
      <w:r>
        <w:rPr>
          <w:rStyle w:val="FootnoteReference"/>
        </w:rPr>
        <w:footnoteRef/>
      </w:r>
      <w:r>
        <w:t xml:space="preserve"> 47 CFR §§ 1.415, 1.419, and 1.420.</w:t>
      </w:r>
    </w:p>
  </w:footnote>
  <w:footnote w:id="26">
    <w:p w:rsidR="002C41C4" w:rsidP="005C521E" w14:paraId="4719B3E7" w14:textId="77777777">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27">
    <w:p w:rsidR="002C41C4" w:rsidP="005C521E" w14:paraId="40179217"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xml:space="preserve">, Public Notice, 35 FCC </w:t>
      </w:r>
      <w:r>
        <w:rPr>
          <w:spacing w:val="-3"/>
        </w:rPr>
        <w:t>Rcd</w:t>
      </w:r>
      <w:r>
        <w:rPr>
          <w:spacing w:val="-3"/>
        </w:rPr>
        <w:t xml:space="preserve"> 2788 (2020).</w:t>
      </w:r>
    </w:p>
  </w:footnote>
  <w:footnote w:id="28">
    <w:p w:rsidR="002C41C4" w:rsidP="005C521E" w14:paraId="634C5FC9" w14:textId="77777777">
      <w:pPr>
        <w:pStyle w:val="FootnoteText"/>
        <w:widowControl w:val="0"/>
      </w:pPr>
      <w:r>
        <w:rPr>
          <w:rStyle w:val="FootnoteReference"/>
        </w:rPr>
        <w:footnoteRef/>
      </w:r>
      <w:r>
        <w:t xml:space="preserve"> 47 CFR § 1.420.</w:t>
      </w:r>
    </w:p>
  </w:footnote>
  <w:footnote w:id="29">
    <w:p w:rsidR="002C41C4" w:rsidP="005C521E" w14:paraId="04037D49" w14:textId="77777777">
      <w:pPr>
        <w:pStyle w:val="FootnoteText"/>
        <w:widowControl w:val="0"/>
      </w:pPr>
      <w:r>
        <w:rPr>
          <w:rStyle w:val="FootnoteReference"/>
        </w:rPr>
        <w:footnoteRef/>
      </w:r>
      <w:r>
        <w:t xml:space="preserve"> </w:t>
      </w:r>
      <w:r>
        <w:rPr>
          <w:i/>
          <w:iCs/>
        </w:rPr>
        <w:t>See</w:t>
      </w:r>
      <w:r>
        <w:t xml:space="preserve"> 47 CFR §</w:t>
      </w:r>
      <w:r w:rsidR="0038788F">
        <w:t xml:space="preserve"> </w:t>
      </w:r>
      <w:r>
        <w:t>1.420(a), (b) and (c).</w:t>
      </w:r>
    </w:p>
  </w:footnote>
  <w:footnote w:id="30">
    <w:p w:rsidR="002C41C4" w:rsidP="005C521E" w14:paraId="14EA1624" w14:textId="77777777">
      <w:pPr>
        <w:pStyle w:val="FootnoteText"/>
        <w:widowControl w:val="0"/>
        <w:rPr>
          <w:i/>
          <w:iCs/>
        </w:rPr>
      </w:pPr>
      <w:r>
        <w:rPr>
          <w:rStyle w:val="FootnoteReference"/>
        </w:rPr>
        <w:footnoteRef/>
      </w:r>
      <w:r>
        <w:t xml:space="preserve"> 47 CFR §§ 1.1200 </w:t>
      </w:r>
      <w:r>
        <w:rPr>
          <w:i/>
          <w:iCs/>
        </w:rPr>
        <w:t>et seq.</w:t>
      </w:r>
    </w:p>
  </w:footnote>
  <w:footnote w:id="31">
    <w:p w:rsidR="002C41C4" w:rsidP="005C521E" w14:paraId="73601487" w14:textId="77777777">
      <w:pPr>
        <w:pStyle w:val="FootnoteText"/>
        <w:widowControl w:val="0"/>
      </w:pPr>
      <w:r>
        <w:rPr>
          <w:rStyle w:val="FootnoteReference"/>
        </w:rPr>
        <w:footnoteRef/>
      </w:r>
      <w:r>
        <w:t xml:space="preserve"> 47 CFR § 1.1208.</w:t>
      </w:r>
    </w:p>
  </w:footnote>
  <w:footnote w:id="32">
    <w:p w:rsidR="002C41C4" w:rsidP="005C521E" w14:paraId="48007AC0" w14:textId="77777777">
      <w:pPr>
        <w:pStyle w:val="FootnoteText"/>
        <w:widowControl w:val="0"/>
      </w:pPr>
      <w:r>
        <w:rPr>
          <w:rStyle w:val="FootnoteReference"/>
        </w:rPr>
        <w:footnoteRef/>
      </w:r>
      <w:r>
        <w:t xml:space="preserve"> 47 CFR § 1.1204(a)(10).</w:t>
      </w:r>
    </w:p>
  </w:footnote>
  <w:footnote w:id="33">
    <w:p w:rsidR="002C41C4" w:rsidP="005C521E" w14:paraId="5571ED64" w14:textId="77777777">
      <w:pPr>
        <w:pStyle w:val="FootnoteText"/>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 xml:space="preserve">ex </w:t>
      </w:r>
      <w:r>
        <w:rPr>
          <w:i/>
          <w:iCs/>
        </w:rPr>
        <w:t>parte</w:t>
      </w:r>
      <w:r>
        <w:t xml:space="preserve"> presentation, subject to the same service requirement.  47 CFR § 1.1204(a)(11).</w:t>
      </w:r>
    </w:p>
  </w:footnote>
  <w:footnote w:id="34">
    <w:p w:rsidR="002C41C4" w:rsidP="005C521E" w14:paraId="0EAD06C6" w14:textId="77777777">
      <w:pPr>
        <w:pStyle w:val="FootnoteText"/>
        <w:widowControl w:val="0"/>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35">
    <w:p w:rsidR="002C41C4" w:rsidP="005C521E" w14:paraId="1EE98D8F" w14:textId="77777777">
      <w:pPr>
        <w:pStyle w:val="FootnoteText"/>
        <w:widowControl w:val="0"/>
      </w:pPr>
      <w:r>
        <w:rPr>
          <w:rStyle w:val="FootnoteReference"/>
        </w:rPr>
        <w:footnoteRef/>
      </w:r>
      <w:r>
        <w:t xml:space="preserve"> 47 CFR § 73.622(</w:t>
      </w:r>
      <w:r>
        <w:t>i</w:t>
      </w:r>
      <w:r>
        <w:t>).</w:t>
      </w:r>
    </w:p>
  </w:footnote>
  <w:footnote w:id="36">
    <w:p w:rsidR="002C41C4" w:rsidP="005C521E" w14:paraId="00E86033"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37">
    <w:p w:rsidR="002C41C4" w:rsidP="005C521E" w14:paraId="6DBF2F4F"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0A2069D" w14:textId="59DAC9FA">
    <w:pPr>
      <w:pStyle w:val="Header"/>
      <w:rPr>
        <w:b w:val="0"/>
      </w:rPr>
    </w:pPr>
    <w:r>
      <w:tab/>
      <w:t>Federal Communications Commission</w:t>
    </w:r>
    <w:r>
      <w:tab/>
    </w:r>
    <w:r w:rsidR="008671E1">
      <w:t>DA 21-</w:t>
    </w:r>
    <w:r w:rsidR="00132790">
      <w:t>694</w:t>
    </w:r>
  </w:p>
  <w:p w:rsidR="00D25FB5" w14:paraId="42E4B0D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A601E7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09841CA" w14:textId="09568C7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671E1">
      <w:rPr>
        <w:spacing w:val="-2"/>
      </w:rPr>
      <w:t>DA 21-</w:t>
    </w:r>
    <w:r w:rsidR="00132790">
      <w:rPr>
        <w:spacing w:val="-2"/>
      </w:rPr>
      <w:t>694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92042E2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C4"/>
    <w:rsid w:val="000050F7"/>
    <w:rsid w:val="00010D18"/>
    <w:rsid w:val="00034252"/>
    <w:rsid w:val="00036039"/>
    <w:rsid w:val="00037F90"/>
    <w:rsid w:val="00047FF8"/>
    <w:rsid w:val="00073FFF"/>
    <w:rsid w:val="00081A21"/>
    <w:rsid w:val="000826D1"/>
    <w:rsid w:val="000875BF"/>
    <w:rsid w:val="00096D8C"/>
    <w:rsid w:val="000C0B65"/>
    <w:rsid w:val="000E0154"/>
    <w:rsid w:val="000E05FE"/>
    <w:rsid w:val="000E3D42"/>
    <w:rsid w:val="0010278A"/>
    <w:rsid w:val="00105AB9"/>
    <w:rsid w:val="00122BD5"/>
    <w:rsid w:val="00132790"/>
    <w:rsid w:val="00133F79"/>
    <w:rsid w:val="00194A66"/>
    <w:rsid w:val="001B3094"/>
    <w:rsid w:val="001B714C"/>
    <w:rsid w:val="001D6BCF"/>
    <w:rsid w:val="001E01CA"/>
    <w:rsid w:val="001E2F73"/>
    <w:rsid w:val="001F339C"/>
    <w:rsid w:val="00246BE0"/>
    <w:rsid w:val="00260B8D"/>
    <w:rsid w:val="00275CF5"/>
    <w:rsid w:val="00280689"/>
    <w:rsid w:val="0028301F"/>
    <w:rsid w:val="00285017"/>
    <w:rsid w:val="002A2D2E"/>
    <w:rsid w:val="002B7587"/>
    <w:rsid w:val="002C00E8"/>
    <w:rsid w:val="002C2AF9"/>
    <w:rsid w:val="002C41C4"/>
    <w:rsid w:val="00336D5F"/>
    <w:rsid w:val="00343749"/>
    <w:rsid w:val="003660ED"/>
    <w:rsid w:val="0038442D"/>
    <w:rsid w:val="0038788F"/>
    <w:rsid w:val="0039399B"/>
    <w:rsid w:val="00395FEE"/>
    <w:rsid w:val="003B0550"/>
    <w:rsid w:val="003B2442"/>
    <w:rsid w:val="003B694F"/>
    <w:rsid w:val="003C4B92"/>
    <w:rsid w:val="003E173A"/>
    <w:rsid w:val="003F171C"/>
    <w:rsid w:val="00402C42"/>
    <w:rsid w:val="00410E77"/>
    <w:rsid w:val="00412FC5"/>
    <w:rsid w:val="00422276"/>
    <w:rsid w:val="004242F1"/>
    <w:rsid w:val="00445A00"/>
    <w:rsid w:val="00445AA6"/>
    <w:rsid w:val="00451B0F"/>
    <w:rsid w:val="00477CC1"/>
    <w:rsid w:val="0049616F"/>
    <w:rsid w:val="004A2B13"/>
    <w:rsid w:val="004A3F4E"/>
    <w:rsid w:val="004C2EE3"/>
    <w:rsid w:val="004E4A22"/>
    <w:rsid w:val="004E7382"/>
    <w:rsid w:val="004F2041"/>
    <w:rsid w:val="004F4061"/>
    <w:rsid w:val="00511968"/>
    <w:rsid w:val="00523F03"/>
    <w:rsid w:val="00535B91"/>
    <w:rsid w:val="0055614C"/>
    <w:rsid w:val="00566D06"/>
    <w:rsid w:val="005B2EDD"/>
    <w:rsid w:val="005B7C2F"/>
    <w:rsid w:val="005C521E"/>
    <w:rsid w:val="005C6CFE"/>
    <w:rsid w:val="005E14C2"/>
    <w:rsid w:val="0060329F"/>
    <w:rsid w:val="00606691"/>
    <w:rsid w:val="00607BA5"/>
    <w:rsid w:val="0061180A"/>
    <w:rsid w:val="00622F0E"/>
    <w:rsid w:val="00626EB6"/>
    <w:rsid w:val="00655D03"/>
    <w:rsid w:val="00683388"/>
    <w:rsid w:val="00683F84"/>
    <w:rsid w:val="006A6A81"/>
    <w:rsid w:val="006D6689"/>
    <w:rsid w:val="006D6AC4"/>
    <w:rsid w:val="006D7755"/>
    <w:rsid w:val="006E1F24"/>
    <w:rsid w:val="006F7393"/>
    <w:rsid w:val="0070224F"/>
    <w:rsid w:val="007115F7"/>
    <w:rsid w:val="00750411"/>
    <w:rsid w:val="00752815"/>
    <w:rsid w:val="00785689"/>
    <w:rsid w:val="00790957"/>
    <w:rsid w:val="0079754B"/>
    <w:rsid w:val="007A1E6D"/>
    <w:rsid w:val="007A5596"/>
    <w:rsid w:val="007B0EB2"/>
    <w:rsid w:val="00810B6F"/>
    <w:rsid w:val="0081406C"/>
    <w:rsid w:val="00822CE0"/>
    <w:rsid w:val="00825F35"/>
    <w:rsid w:val="00836311"/>
    <w:rsid w:val="00841AB1"/>
    <w:rsid w:val="008671E1"/>
    <w:rsid w:val="008C3F4D"/>
    <w:rsid w:val="008C4833"/>
    <w:rsid w:val="008C68F1"/>
    <w:rsid w:val="008D7D10"/>
    <w:rsid w:val="008F1CC0"/>
    <w:rsid w:val="00911714"/>
    <w:rsid w:val="00921803"/>
    <w:rsid w:val="00926503"/>
    <w:rsid w:val="00961260"/>
    <w:rsid w:val="00961859"/>
    <w:rsid w:val="009726D8"/>
    <w:rsid w:val="009925D1"/>
    <w:rsid w:val="009C325D"/>
    <w:rsid w:val="009D41BF"/>
    <w:rsid w:val="009D7308"/>
    <w:rsid w:val="009F69B2"/>
    <w:rsid w:val="009F76DB"/>
    <w:rsid w:val="00A02E4D"/>
    <w:rsid w:val="00A32C3B"/>
    <w:rsid w:val="00A45F4F"/>
    <w:rsid w:val="00A50D70"/>
    <w:rsid w:val="00A600A9"/>
    <w:rsid w:val="00A66F77"/>
    <w:rsid w:val="00A74E19"/>
    <w:rsid w:val="00A75ACB"/>
    <w:rsid w:val="00A97B35"/>
    <w:rsid w:val="00AA0194"/>
    <w:rsid w:val="00AA55B7"/>
    <w:rsid w:val="00AA5B9E"/>
    <w:rsid w:val="00AB2407"/>
    <w:rsid w:val="00AB53DF"/>
    <w:rsid w:val="00AB7A89"/>
    <w:rsid w:val="00AD024F"/>
    <w:rsid w:val="00B07E5C"/>
    <w:rsid w:val="00B625C0"/>
    <w:rsid w:val="00B811F7"/>
    <w:rsid w:val="00B81385"/>
    <w:rsid w:val="00B825F9"/>
    <w:rsid w:val="00BA5DC6"/>
    <w:rsid w:val="00BA6196"/>
    <w:rsid w:val="00BC4BE1"/>
    <w:rsid w:val="00BC6D8C"/>
    <w:rsid w:val="00BE25D4"/>
    <w:rsid w:val="00BF1032"/>
    <w:rsid w:val="00BF1B4B"/>
    <w:rsid w:val="00C062EB"/>
    <w:rsid w:val="00C225F9"/>
    <w:rsid w:val="00C2328A"/>
    <w:rsid w:val="00C34006"/>
    <w:rsid w:val="00C36B4C"/>
    <w:rsid w:val="00C426B1"/>
    <w:rsid w:val="00C43C45"/>
    <w:rsid w:val="00C5034F"/>
    <w:rsid w:val="00C51F65"/>
    <w:rsid w:val="00C560F8"/>
    <w:rsid w:val="00C56126"/>
    <w:rsid w:val="00C629C1"/>
    <w:rsid w:val="00C65232"/>
    <w:rsid w:val="00C66160"/>
    <w:rsid w:val="00C721AC"/>
    <w:rsid w:val="00C87627"/>
    <w:rsid w:val="00C90D6A"/>
    <w:rsid w:val="00CA247E"/>
    <w:rsid w:val="00CA6D21"/>
    <w:rsid w:val="00CB1915"/>
    <w:rsid w:val="00CC72B6"/>
    <w:rsid w:val="00CD430C"/>
    <w:rsid w:val="00D0218D"/>
    <w:rsid w:val="00D25FB5"/>
    <w:rsid w:val="00D44223"/>
    <w:rsid w:val="00D6194D"/>
    <w:rsid w:val="00D670F5"/>
    <w:rsid w:val="00D82715"/>
    <w:rsid w:val="00DA2529"/>
    <w:rsid w:val="00DB130A"/>
    <w:rsid w:val="00DB2EBB"/>
    <w:rsid w:val="00DC10A1"/>
    <w:rsid w:val="00DC2AFE"/>
    <w:rsid w:val="00DC655F"/>
    <w:rsid w:val="00DD0B59"/>
    <w:rsid w:val="00DD7EBD"/>
    <w:rsid w:val="00DE5368"/>
    <w:rsid w:val="00DF0035"/>
    <w:rsid w:val="00DF40E1"/>
    <w:rsid w:val="00DF62B6"/>
    <w:rsid w:val="00E02754"/>
    <w:rsid w:val="00E07225"/>
    <w:rsid w:val="00E434C0"/>
    <w:rsid w:val="00E5409F"/>
    <w:rsid w:val="00E55ABC"/>
    <w:rsid w:val="00E727BF"/>
    <w:rsid w:val="00E807B9"/>
    <w:rsid w:val="00EB77AA"/>
    <w:rsid w:val="00EE6488"/>
    <w:rsid w:val="00EF38E5"/>
    <w:rsid w:val="00F021FA"/>
    <w:rsid w:val="00F62E97"/>
    <w:rsid w:val="00F64209"/>
    <w:rsid w:val="00F73A13"/>
    <w:rsid w:val="00F77830"/>
    <w:rsid w:val="00F93BF5"/>
    <w:rsid w:val="00F941E3"/>
    <w:rsid w:val="00FB3577"/>
    <w:rsid w:val="00FF0804"/>
    <w:rsid w:val="00FF2D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A3702F"/>
  <w15:chartTrackingRefBased/>
  <w15:docId w15:val="{48C7F419-8D2E-42E1-ADD4-05C5296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C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uiPriority w:val="20"/>
    <w:qFormat/>
    <w:rsid w:val="002C41C4"/>
    <w:rPr>
      <w:i/>
      <w:iCs/>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2C41C4"/>
  </w:style>
  <w:style w:type="paragraph" w:customStyle="1" w:styleId="AppNum">
    <w:name w:val="App Num"/>
    <w:basedOn w:val="Normal"/>
    <w:rsid w:val="002C41C4"/>
    <w:pPr>
      <w:numPr>
        <w:numId w:val="8"/>
      </w:numPr>
    </w:pPr>
    <w:rPr>
      <w:rFonts w:ascii="Courier New" w:hAnsi="Courier New"/>
      <w:kern w:val="0"/>
      <w:sz w:val="24"/>
    </w:rPr>
  </w:style>
  <w:style w:type="character" w:customStyle="1" w:styleId="ParaNumChar1">
    <w:name w:val="ParaNum Char1"/>
    <w:link w:val="ParaNum"/>
    <w:locked/>
    <w:rsid w:val="002C41C4"/>
    <w:rPr>
      <w:snapToGrid w:val="0"/>
      <w:kern w:val="28"/>
      <w:sz w:val="22"/>
    </w:rPr>
  </w:style>
  <w:style w:type="paragraph" w:styleId="ListParagraph">
    <w:name w:val="List Paragraph"/>
    <w:basedOn w:val="Normal"/>
    <w:uiPriority w:val="34"/>
    <w:qFormat/>
    <w:rsid w:val="002C41C4"/>
    <w:pPr>
      <w:ind w:left="720"/>
      <w:contextualSpacing/>
    </w:pPr>
  </w:style>
  <w:style w:type="paragraph" w:styleId="BalloonText">
    <w:name w:val="Balloon Text"/>
    <w:basedOn w:val="Normal"/>
    <w:link w:val="BalloonTextChar"/>
    <w:rsid w:val="00D6194D"/>
    <w:rPr>
      <w:rFonts w:ascii="Segoe UI" w:hAnsi="Segoe UI" w:cs="Segoe UI"/>
      <w:sz w:val="18"/>
      <w:szCs w:val="18"/>
    </w:rPr>
  </w:style>
  <w:style w:type="character" w:customStyle="1" w:styleId="BalloonTextChar">
    <w:name w:val="Balloon Text Char"/>
    <w:basedOn w:val="DefaultParagraphFont"/>
    <w:link w:val="BalloonText"/>
    <w:rsid w:val="00D6194D"/>
    <w:rPr>
      <w:rFonts w:ascii="Segoe UI" w:hAnsi="Segoe UI" w:cs="Segoe UI"/>
      <w:snapToGrid w:val="0"/>
      <w:kern w:val="28"/>
      <w:sz w:val="18"/>
      <w:szCs w:val="18"/>
    </w:rPr>
  </w:style>
  <w:style w:type="character" w:styleId="CommentReference">
    <w:name w:val="annotation reference"/>
    <w:basedOn w:val="DefaultParagraphFont"/>
    <w:rsid w:val="003B2442"/>
    <w:rPr>
      <w:sz w:val="16"/>
      <w:szCs w:val="16"/>
    </w:rPr>
  </w:style>
  <w:style w:type="paragraph" w:styleId="CommentText">
    <w:name w:val="annotation text"/>
    <w:basedOn w:val="Normal"/>
    <w:link w:val="CommentTextChar"/>
    <w:rsid w:val="003B2442"/>
    <w:rPr>
      <w:sz w:val="20"/>
    </w:rPr>
  </w:style>
  <w:style w:type="character" w:customStyle="1" w:styleId="CommentTextChar">
    <w:name w:val="Comment Text Char"/>
    <w:basedOn w:val="DefaultParagraphFont"/>
    <w:link w:val="CommentText"/>
    <w:rsid w:val="003B2442"/>
    <w:rPr>
      <w:snapToGrid w:val="0"/>
      <w:kern w:val="28"/>
    </w:rPr>
  </w:style>
  <w:style w:type="paragraph" w:styleId="CommentSubject">
    <w:name w:val="annotation subject"/>
    <w:basedOn w:val="CommentText"/>
    <w:next w:val="CommentText"/>
    <w:link w:val="CommentSubjectChar"/>
    <w:rsid w:val="003B2442"/>
    <w:rPr>
      <w:b/>
      <w:bCs/>
    </w:rPr>
  </w:style>
  <w:style w:type="character" w:customStyle="1" w:styleId="CommentSubjectChar">
    <w:name w:val="Comment Subject Char"/>
    <w:basedOn w:val="CommentTextChar"/>
    <w:link w:val="CommentSubject"/>
    <w:rsid w:val="003B2442"/>
    <w:rPr>
      <w:b/>
      <w:bCs/>
      <w:snapToGrid w:val="0"/>
      <w:kern w:val="28"/>
    </w:rPr>
  </w:style>
  <w:style w:type="character" w:customStyle="1" w:styleId="FootnoteTextCharChar1CharChar1">
    <w:name w:val="Footnote Text Char Char1 Char Char1"/>
    <w:aliases w:val="Footnote Text Char Char1 Char Char Char1 Char1,Footnote Text Char1 Char Char Char1 Char Char Char1,Footnote Text Char1 Char Char1,Footnote Text Char1 Char2,Footnote Text Char2 Char1 Char Char Char"/>
    <w:basedOn w:val="DefaultParagraphFont"/>
    <w:rsid w:val="00DF0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