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FE0540" w:rsidP="00FE0540" w14:paraId="098812AB" w14:textId="77777777">
            <w:pPr>
              <w:tabs>
                <w:tab w:val="center" w:pos="4680"/>
              </w:tabs>
              <w:suppressAutoHyphens/>
              <w:rPr>
                <w:spacing w:val="-2"/>
              </w:rPr>
            </w:pPr>
            <w:r w:rsidRPr="00FE0540">
              <w:rPr>
                <w:spacing w:val="-2"/>
              </w:rPr>
              <w:t xml:space="preserve">In re Application of  </w:t>
            </w:r>
          </w:p>
          <w:p w:rsidR="00FE0540" w:rsidRPr="00FE0540" w:rsidP="00FE0540" w14:paraId="4440CD7D" w14:textId="77777777">
            <w:pPr>
              <w:tabs>
                <w:tab w:val="center" w:pos="4680"/>
              </w:tabs>
              <w:suppressAutoHyphens/>
              <w:rPr>
                <w:spacing w:val="-2"/>
              </w:rPr>
            </w:pPr>
          </w:p>
          <w:p w:rsidR="00FE0540" w:rsidRPr="00FE0540" w:rsidP="00FE0540" w14:paraId="05180410" w14:textId="426E164C">
            <w:pPr>
              <w:tabs>
                <w:tab w:val="center" w:pos="4680"/>
              </w:tabs>
              <w:suppressAutoHyphens/>
              <w:rPr>
                <w:b/>
                <w:spacing w:val="-2"/>
              </w:rPr>
            </w:pPr>
            <w:r>
              <w:rPr>
                <w:b/>
                <w:spacing w:val="-2"/>
              </w:rPr>
              <w:t>Pierre Educational Radio, Inc.</w:t>
            </w:r>
          </w:p>
          <w:p w:rsidR="00FE0540" w:rsidRPr="00FE0540" w:rsidP="00FE0540" w14:paraId="05609084"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1CC548BE">
            <w:pPr>
              <w:tabs>
                <w:tab w:val="center" w:pos="4680"/>
              </w:tabs>
              <w:suppressAutoHyphens/>
              <w:rPr>
                <w:spacing w:val="-2"/>
              </w:rPr>
            </w:pPr>
            <w:r w:rsidRPr="00FE0540">
              <w:rPr>
                <w:spacing w:val="-2"/>
              </w:rPr>
              <w:t xml:space="preserve">Station </w:t>
            </w:r>
            <w:r w:rsidR="00E52B98">
              <w:rPr>
                <w:spacing w:val="-2"/>
              </w:rPr>
              <w:t>K</w:t>
            </w:r>
            <w:r w:rsidR="00272FAD">
              <w:rPr>
                <w:spacing w:val="-2"/>
              </w:rPr>
              <w:t>PGN</w:t>
            </w:r>
            <w:r w:rsidR="00E52B98">
              <w:rPr>
                <w:spacing w:val="-2"/>
              </w:rPr>
              <w:t>-LP</w:t>
            </w:r>
          </w:p>
          <w:p w:rsidR="004C2EE3" w:rsidRPr="007115F7" w:rsidP="007115F7" w14:paraId="594146C3" w14:textId="4A75680B">
            <w:pPr>
              <w:tabs>
                <w:tab w:val="center" w:pos="4680"/>
              </w:tabs>
              <w:suppressAutoHyphens/>
              <w:rPr>
                <w:spacing w:val="-2"/>
              </w:rPr>
            </w:pPr>
            <w:r>
              <w:rPr>
                <w:spacing w:val="-2"/>
              </w:rPr>
              <w:t>Pierre</w:t>
            </w:r>
            <w:r w:rsidR="00E52B98">
              <w:rPr>
                <w:spacing w:val="-2"/>
              </w:rPr>
              <w:t>, South Dakota</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FE0540" w:rsidP="00FE0540" w14:paraId="499C24B5" w14:textId="1D22BECA">
            <w:pPr>
              <w:pStyle w:val="TOAHeading"/>
              <w:tabs>
                <w:tab w:val="center" w:pos="4680"/>
              </w:tabs>
              <w:rPr>
                <w:b/>
                <w:spacing w:val="-2"/>
              </w:rPr>
            </w:pPr>
            <w:r w:rsidRPr="00FE0540">
              <w:rPr>
                <w:spacing w:val="-2"/>
              </w:rPr>
              <w:t>Facility ID No.</w:t>
            </w:r>
            <w:r w:rsidRPr="00524E06">
              <w:rPr>
                <w:spacing w:val="-2"/>
              </w:rPr>
              <w:t xml:space="preserve"> </w:t>
            </w:r>
            <w:r w:rsidRPr="00524E06" w:rsidR="00524E06">
              <w:rPr>
                <w:spacing w:val="-2"/>
              </w:rPr>
              <w:t>1</w:t>
            </w:r>
            <w:r w:rsidR="00EC00B4">
              <w:rPr>
                <w:spacing w:val="-2"/>
              </w:rPr>
              <w:t>32351</w:t>
            </w:r>
          </w:p>
          <w:p w:rsidR="00FE0540" w:rsidRPr="00FE0540" w:rsidP="00FE0540" w14:paraId="06391CBB" w14:textId="42C241E0">
            <w:pPr>
              <w:pStyle w:val="TOAHeading"/>
              <w:tabs>
                <w:tab w:val="center" w:pos="4680"/>
              </w:tabs>
              <w:rPr>
                <w:spacing w:val="-2"/>
              </w:rPr>
            </w:pPr>
            <w:r w:rsidRPr="00FE0540">
              <w:rPr>
                <w:spacing w:val="-2"/>
              </w:rPr>
              <w:t>NAL/Acct. No. MB-</w:t>
            </w:r>
            <w:r w:rsidRPr="00272FAD">
              <w:rPr>
                <w:spacing w:val="-2"/>
              </w:rPr>
              <w:t>202</w:t>
            </w:r>
            <w:r w:rsidRPr="00272FAD" w:rsidR="00524E06">
              <w:rPr>
                <w:spacing w:val="-2"/>
              </w:rPr>
              <w:t>1</w:t>
            </w:r>
            <w:r w:rsidRPr="00272FAD" w:rsidR="008A39AC">
              <w:rPr>
                <w:spacing w:val="-2"/>
              </w:rPr>
              <w:t>4141</w:t>
            </w:r>
            <w:r w:rsidRPr="00272FAD" w:rsidR="00EC00B4">
              <w:rPr>
                <w:spacing w:val="-2"/>
              </w:rPr>
              <w:t>0</w:t>
            </w:r>
            <w:r w:rsidR="00EC00B4">
              <w:rPr>
                <w:spacing w:val="-2"/>
              </w:rPr>
              <w:t>02</w:t>
            </w:r>
            <w:r w:rsidR="00C67B68">
              <w:rPr>
                <w:spacing w:val="-2"/>
              </w:rPr>
              <w:t>8</w:t>
            </w:r>
          </w:p>
          <w:p w:rsidR="00FE0540" w:rsidRPr="00FE0540" w:rsidP="00FE0540" w14:paraId="580FF7C4" w14:textId="1C0BF5E1">
            <w:pPr>
              <w:pStyle w:val="TOAHeading"/>
              <w:tabs>
                <w:tab w:val="center" w:pos="4680"/>
              </w:tabs>
              <w:rPr>
                <w:spacing w:val="-2"/>
              </w:rPr>
            </w:pPr>
            <w:r w:rsidRPr="00FE0540">
              <w:rPr>
                <w:spacing w:val="-2"/>
              </w:rPr>
              <w:t xml:space="preserve">FRN:  </w:t>
            </w:r>
            <w:r w:rsidR="00EC00B4">
              <w:rPr>
                <w:spacing w:val="-2"/>
              </w:rPr>
              <w:t>0008991259</w:t>
            </w:r>
          </w:p>
          <w:p w:rsidR="004C2EE3" w:rsidP="00FE0540" w14:paraId="77A0FF21" w14:textId="7E120726">
            <w:pPr>
              <w:tabs>
                <w:tab w:val="center" w:pos="4680"/>
              </w:tabs>
              <w:suppressAutoHyphens/>
              <w:rPr>
                <w:spacing w:val="-2"/>
              </w:rPr>
            </w:pPr>
            <w:r w:rsidRPr="00FE0540">
              <w:rPr>
                <w:spacing w:val="-2"/>
              </w:rPr>
              <w:t xml:space="preserve">File No. </w:t>
            </w:r>
            <w:r w:rsidRPr="00524E06" w:rsidR="00524E06">
              <w:rPr>
                <w:spacing w:val="-2"/>
              </w:rPr>
              <w:t>00001</w:t>
            </w:r>
            <w:r w:rsidR="00E52B98">
              <w:rPr>
                <w:spacing w:val="-2"/>
              </w:rPr>
              <w:t>3</w:t>
            </w:r>
            <w:r w:rsidR="00EC00B4">
              <w:rPr>
                <w:spacing w:val="-2"/>
              </w:rPr>
              <w:t>7272</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5EAB16B9">
      <w:pPr>
        <w:tabs>
          <w:tab w:val="left" w:pos="720"/>
          <w:tab w:val="right" w:pos="9360"/>
        </w:tabs>
        <w:suppressAutoHyphens/>
        <w:spacing w:line="227" w:lineRule="auto"/>
        <w:rPr>
          <w:spacing w:val="-2"/>
        </w:rPr>
      </w:pPr>
      <w:r>
        <w:rPr>
          <w:b/>
          <w:spacing w:val="-2"/>
        </w:rPr>
        <w:t xml:space="preserve">Adopted:  </w:t>
      </w:r>
      <w:r w:rsidR="005D6388">
        <w:rPr>
          <w:b/>
          <w:spacing w:val="-2"/>
        </w:rPr>
        <w:t>June 15,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D6388">
        <w:rPr>
          <w:b/>
          <w:spacing w:val="-2"/>
        </w:rPr>
        <w:t>June 15, 2021</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02068725">
      <w:pPr>
        <w:pStyle w:val="ParaNum"/>
      </w:pPr>
      <w:r w:rsidRPr="00FE0540">
        <w:t>The Media Bureau (Bureau) has before it the application (Application)</w:t>
      </w:r>
      <w:r>
        <w:rPr>
          <w:vertAlign w:val="superscript"/>
        </w:rPr>
        <w:footnoteReference w:id="3"/>
      </w:r>
      <w:r w:rsidRPr="00FE0540">
        <w:t xml:space="preserve"> of </w:t>
      </w:r>
      <w:bookmarkStart w:id="0" w:name="_Hlk74647386"/>
      <w:r w:rsidR="00A90C6D">
        <w:t>Pierre Educational Radio, Inc.</w:t>
      </w:r>
      <w:bookmarkEnd w:id="0"/>
      <w:r w:rsidR="00524E06">
        <w:t xml:space="preserve"> </w:t>
      </w:r>
      <w:r w:rsidRPr="00FE0540">
        <w:t>(Licensee)</w:t>
      </w:r>
      <w:r w:rsidR="00560CE9">
        <w:t>,</w:t>
      </w:r>
      <w:r w:rsidRPr="00FE0540">
        <w:t xml:space="preserve"> for renewal of license for </w:t>
      </w:r>
      <w:r w:rsidR="00E938D4">
        <w:rPr>
          <w:snapToGrid/>
          <w:szCs w:val="22"/>
        </w:rPr>
        <w:t>l</w:t>
      </w:r>
      <w:r w:rsidRPr="002C7CD5" w:rsidR="00E938D4">
        <w:rPr>
          <w:snapToGrid/>
          <w:szCs w:val="22"/>
        </w:rPr>
        <w:t xml:space="preserve">ow </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 xml:space="preserve">tation </w:t>
      </w:r>
      <w:r w:rsidR="00E52B98">
        <w:t>K</w:t>
      </w:r>
      <w:r w:rsidR="00272FAD">
        <w:t>PGN</w:t>
      </w:r>
      <w:r w:rsidR="00E52B98">
        <w:t xml:space="preserve">-LP, </w:t>
      </w:r>
      <w:r w:rsidR="00272FAD">
        <w:t>Pierre</w:t>
      </w:r>
      <w:r w:rsidR="00E52B98">
        <w:t>, South Dakota</w:t>
      </w:r>
      <w:r w:rsidRPr="00FE0540">
        <w:t xml:space="preserve"> (Station).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Rules 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AA1B96" w:rsidRPr="00FE0540" w:rsidP="00A86154" w14:paraId="55E17222" w14:textId="6933E8B5">
      <w:pPr>
        <w:pStyle w:val="ParaNum"/>
        <w:widowControl/>
      </w:pPr>
      <w:r w:rsidRPr="00FE0540">
        <w:t>Section 73.3539(a) of the Rules requires that applications for renewal of license for broadcast stations must be filed “not later than the first day of the fourth full calendar month prior to the expiration date of the license sought to be renewed.”</w:t>
      </w:r>
      <w:r>
        <w:rPr>
          <w:vertAlign w:val="superscript"/>
        </w:rPr>
        <w:footnoteReference w:id="6"/>
      </w:r>
      <w:r w:rsidRPr="00FE0540">
        <w:t xml:space="preserve">  An application for renewal of the Station’s license should have been </w:t>
      </w:r>
      <w:r w:rsidRPr="007B464B">
        <w:rPr>
          <w:szCs w:val="22"/>
        </w:rPr>
        <w:t xml:space="preserve">filed by </w:t>
      </w:r>
      <w:r w:rsidR="00E52B98">
        <w:rPr>
          <w:szCs w:val="22"/>
        </w:rPr>
        <w:t>December 1</w:t>
      </w:r>
      <w:r w:rsidRPr="007B464B">
        <w:rPr>
          <w:szCs w:val="22"/>
        </w:rPr>
        <w:t>, 20</w:t>
      </w:r>
      <w:r w:rsidRPr="007B464B" w:rsidR="00C23B3F">
        <w:rPr>
          <w:szCs w:val="22"/>
        </w:rPr>
        <w:t>20</w:t>
      </w:r>
      <w:r w:rsidRPr="007B464B">
        <w:rPr>
          <w:szCs w:val="22"/>
        </w:rPr>
        <w:t xml:space="preserve">, the first day of the fourth full calendar month prior to the Station’s </w:t>
      </w:r>
      <w:r w:rsidR="00E52B98">
        <w:rPr>
          <w:szCs w:val="22"/>
        </w:rPr>
        <w:t xml:space="preserve">April </w:t>
      </w:r>
      <w:r w:rsidRPr="007B464B">
        <w:rPr>
          <w:szCs w:val="22"/>
        </w:rPr>
        <w:t xml:space="preserve">1, </w:t>
      </w:r>
      <w:r w:rsidRPr="007B464B" w:rsidR="00862FF5">
        <w:rPr>
          <w:szCs w:val="22"/>
        </w:rPr>
        <w:t>202</w:t>
      </w:r>
      <w:r w:rsidR="00862FF5">
        <w:rPr>
          <w:szCs w:val="22"/>
        </w:rPr>
        <w:t>1</w:t>
      </w:r>
      <w:r w:rsidRPr="007B464B" w:rsidR="00862FF5">
        <w:rPr>
          <w:szCs w:val="22"/>
        </w:rPr>
        <w:t xml:space="preserve"> </w:t>
      </w:r>
      <w:r w:rsidRPr="007B464B">
        <w:rPr>
          <w:szCs w:val="22"/>
        </w:rPr>
        <w:t>license expiration date.</w:t>
      </w:r>
      <w:r>
        <w:rPr>
          <w:szCs w:val="22"/>
          <w:vertAlign w:val="superscript"/>
        </w:rPr>
        <w:footnoteReference w:id="7"/>
      </w:r>
      <w:r w:rsidRPr="007B464B">
        <w:rPr>
          <w:szCs w:val="22"/>
        </w:rPr>
        <w:t xml:space="preserve">  The Application was not filed until </w:t>
      </w:r>
      <w:r w:rsidR="00272FAD">
        <w:rPr>
          <w:szCs w:val="22"/>
        </w:rPr>
        <w:t>March 1</w:t>
      </w:r>
      <w:r w:rsidR="0063178F">
        <w:rPr>
          <w:szCs w:val="22"/>
        </w:rPr>
        <w:t>, 2021</w:t>
      </w:r>
      <w:r w:rsidRPr="007B464B">
        <w:rPr>
          <w:szCs w:val="22"/>
        </w:rPr>
        <w:t xml:space="preserve">.  The Licensee </w:t>
      </w:r>
      <w:r w:rsidR="001C6D6F">
        <w:rPr>
          <w:szCs w:val="22"/>
        </w:rPr>
        <w:t>did not provide an explanation for the untimely filing.</w:t>
      </w:r>
      <w:r>
        <w:rPr>
          <w:rStyle w:val="FootnoteReference"/>
          <w:szCs w:val="22"/>
        </w:rPr>
        <w:footnoteReference w:id="8"/>
      </w:r>
      <w:r w:rsidRPr="007B464B" w:rsidR="007B464B">
        <w:rPr>
          <w:szCs w:val="22"/>
        </w:rPr>
        <w:t xml:space="preserve">  </w:t>
      </w:r>
    </w:p>
    <w:p w:rsidR="00FE0540" w:rsidRPr="00FE0540" w:rsidP="00FE0540" w14:paraId="45A78F53" w14:textId="77777777">
      <w:pPr>
        <w:pStyle w:val="Heading1"/>
      </w:pPr>
      <w:r w:rsidRPr="00FE0540">
        <w:t>DISCUSSION</w:t>
      </w:r>
    </w:p>
    <w:p w:rsidR="00FE0540" w:rsidP="006C2672" w14:paraId="48323C04" w14:textId="1B6DFC75">
      <w:pPr>
        <w:pStyle w:val="ParaNum"/>
        <w:widowControl/>
      </w:pPr>
      <w:r w:rsidRPr="00FE0540">
        <w:rPr>
          <w:i/>
        </w:rPr>
        <w:t>Proposed Forfeiture</w:t>
      </w:r>
      <w:r w:rsidRPr="00FE0540">
        <w:t xml:space="preserve">.  In this case, the Licensee failed to file the Application on or before </w:t>
      </w:r>
      <w:r w:rsidR="00927EF5">
        <w:t>December 1</w:t>
      </w:r>
      <w:r w:rsidRPr="00FE0540" w:rsidR="00C23B3F">
        <w:t>, 20</w:t>
      </w:r>
      <w:r w:rsidR="00C23B3F">
        <w:t>20</w:t>
      </w:r>
      <w:r w:rsidRPr="00FE0540">
        <w:t>, as required by section 73.3539(a) of the Rules.  The Application was not received until</w:t>
      </w:r>
      <w:r w:rsidR="004E05CC">
        <w:t xml:space="preserve"> March 1, 2021</w:t>
      </w:r>
      <w:r w:rsidRPr="00FE0540">
        <w:t xml:space="preserve">.  </w:t>
      </w:r>
      <w:r w:rsidR="00897334">
        <w:t xml:space="preserve">The Licensee explains that it was not aware of its filing obligations </w:t>
      </w:r>
      <w:r w:rsidR="00927EF5">
        <w:t>due to the illness of its President.</w:t>
      </w:r>
      <w:r w:rsidRPr="00FE0540">
        <w:t xml:space="preserve">   </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9"/>
      </w:r>
      <w:r w:rsidRPr="0089695D">
        <w:t xml:space="preserve">  Section 312(f)(1) of the Act defines willful as “the conscious and deliberate commission or omission of [any] act, irrespective of any intent to violate” the law.</w:t>
      </w:r>
      <w:r>
        <w:rPr>
          <w:vertAlign w:val="superscript"/>
        </w:rPr>
        <w:footnoteReference w:id="10"/>
      </w:r>
      <w:r w:rsidRPr="0089695D">
        <w:t xml:space="preserve">  The legislative history to section 312(f)(1) of the Act clarifies that this definition of willful applies to both sections 312 and 503(b) of the Act,</w:t>
      </w:r>
      <w:r>
        <w:rPr>
          <w:vertAlign w:val="superscript"/>
        </w:rPr>
        <w:footnoteReference w:id="11"/>
      </w:r>
      <w:r w:rsidRPr="0089695D">
        <w:t xml:space="preserve"> and the Commission has so interpreted the term in the section 503(b)</w:t>
      </w:r>
      <w:r w:rsidRPr="00FE0540">
        <w:t xml:space="preserve"> context.</w:t>
      </w:r>
      <w:r>
        <w:rPr>
          <w:vertAlign w:val="superscript"/>
        </w:rPr>
        <w:footnoteReference w:id="12"/>
      </w:r>
    </w:p>
    <w:p w:rsidR="00FE0540" w:rsidRPr="00FE0540" w:rsidP="00FE0540" w14:paraId="7A3C95B9" w14:textId="14937689">
      <w:pPr>
        <w:pStyle w:val="ParaNum"/>
      </w:pPr>
      <w:r w:rsidRPr="00FE0540">
        <w:t xml:space="preserve">The Commission's </w:t>
      </w:r>
      <w:r w:rsidRPr="00FE0540">
        <w:rPr>
          <w:i/>
        </w:rPr>
        <w:t>Forfeiture Policy Statement</w:t>
      </w:r>
      <w:r w:rsidRPr="00FE0540">
        <w:t xml:space="preserve"> and section 1.80(b)(</w:t>
      </w:r>
      <w:r w:rsidR="00C852D6">
        <w:t>10</w:t>
      </w:r>
      <w:r w:rsidRPr="00FE0540">
        <w:t>) of the Rules establish a base forfeiture amount of $3,000 for the failure to file a required form.</w:t>
      </w:r>
      <w:r>
        <w:rPr>
          <w:vertAlign w:val="superscript"/>
        </w:rPr>
        <w:footnoteReference w:id="13"/>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4"/>
      </w:r>
    </w:p>
    <w:p w:rsidR="00FE0540" w:rsidP="00B86644" w14:paraId="0148C9EE" w14:textId="1C4F6D92">
      <w:pPr>
        <w:pStyle w:val="ParaNum"/>
      </w:pPr>
      <w:r w:rsidRPr="00FE0540">
        <w:t>In this case, the Licensee failed to file a timely renewal application for the Station</w:t>
      </w:r>
      <w:r w:rsidR="00B86644">
        <w:t xml:space="preserve">. </w:t>
      </w:r>
      <w:r w:rsidRPr="00FE0540">
        <w:t xml:space="preserve">However, the 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15"/>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6"/>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w:t>
      </w:r>
      <w:r w:rsidRPr="00FE0540">
        <w:t>the renewal application.</w:t>
      </w:r>
      <w:r>
        <w:rPr>
          <w:vertAlign w:val="superscript"/>
        </w:rPr>
        <w:footnoteReference w:id="17"/>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8"/>
      </w:r>
      <w:r w:rsidRPr="00FE0540">
        <w:t xml:space="preserve"> </w:t>
      </w:r>
    </w:p>
    <w:p w:rsidR="00FE0540" w:rsidRPr="00FE0540" w:rsidP="006C2672" w14:paraId="5E1E6E3D" w14:textId="77777777">
      <w:pPr>
        <w:pStyle w:val="ParaNum"/>
        <w:widowControl/>
      </w:pPr>
      <w:r w:rsidRPr="00FE0540">
        <w:t>We find that the Licensee’s apparent violation of section 73.3539 of the Rules does not present “serious violations” warranting designation for evidentiary hearing.  Moreover, we find no evidence of violations that, when considered together, constitute a pattern of abuse.</w:t>
      </w:r>
      <w:r>
        <w:rPr>
          <w:vertAlign w:val="superscript"/>
        </w:rPr>
        <w:footnoteReference w:id="19"/>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927EF5" w14:paraId="2919E4A9" w14:textId="5C610DDE">
      <w:pPr>
        <w:pStyle w:val="ParaNum"/>
        <w:widowControl/>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20"/>
      </w:r>
      <w:r w:rsidRPr="00FE0540">
        <w:t xml:space="preserve"> that </w:t>
      </w:r>
      <w:r w:rsidR="00AA1B96">
        <w:t>Pierre Educational Radio, Inc.,</w:t>
      </w:r>
      <w:r w:rsidRPr="00FE0540">
        <w:t xml:space="preserve"> 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1"/>
      </w:r>
    </w:p>
    <w:p w:rsidR="00FE0540" w:rsidRPr="00FE0540" w:rsidP="00FE0540" w14:paraId="6165E56F" w14:textId="578329D5">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FE0540">
        <w:rPr>
          <w:i/>
        </w:rPr>
        <w:t xml:space="preserve">, </w:t>
      </w:r>
      <w:r w:rsidR="00EC00B4">
        <w:t xml:space="preserve">Pierre Educational Radio, Inc.,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FE0540" w:rsidRPr="00C33011" w:rsidP="00FE0540" w14:paraId="1D1FBC73" w14:textId="77777777">
      <w:pPr>
        <w:pStyle w:val="ParaNum"/>
      </w:pPr>
      <w:r w:rsidRPr="00FE0540">
        <w:t>Payment of the forfeiture must be made by credit card, ACH (Automated Clearing House) debit from a bank account using the Commission’s Fee Filer (the Commission’s online payment system),</w:t>
      </w:r>
      <w:r>
        <w:rPr>
          <w:vertAlign w:val="superscript"/>
        </w:rPr>
        <w:footnoteReference w:id="22"/>
      </w:r>
      <w:r w:rsidRPr="00FE0540">
        <w:t xml:space="preserve"> or by wire transfer.  The Commission no longer accepts forfeiture payments by check or money order.  Below are instructions that payors should follow based on the form of payment selected:</w:t>
      </w:r>
      <w:r>
        <w:rPr>
          <w:vertAlign w:val="superscript"/>
        </w:rPr>
        <w:footnoteReference w:id="23"/>
      </w:r>
      <w:r w:rsidRPr="00FE0540">
        <w:t xml:space="preserve"> </w:t>
      </w:r>
    </w:p>
    <w:p w:rsidR="00FE0540" w:rsidRPr="00C33011" w:rsidP="00FE0540" w14:paraId="658D5B8C" w14:textId="77777777">
      <w:pPr>
        <w:pStyle w:val="ParaNum"/>
        <w:rPr>
          <w:bCs/>
        </w:rPr>
      </w:pPr>
      <w:r w:rsidRPr="00FE054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FE0540">
          <w:rPr>
            <w:rStyle w:val="Hyperlink"/>
          </w:rPr>
          <w:t>RROGWireFaxes@fcc.gov</w:t>
        </w:r>
      </w:hyperlink>
      <w:r w:rsidRPr="00FE054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w:t>
      </w:r>
      <w:r w:rsidRPr="00FE0540">
        <w:t>24A (payment type code), and enter in block number 11 the FRN(s) captioned above (Payor FRN).</w:t>
      </w:r>
      <w:r>
        <w:rPr>
          <w:vertAlign w:val="superscript"/>
        </w:rPr>
        <w:footnoteReference w:id="24"/>
      </w:r>
      <w:r w:rsidRPr="00FE0540">
        <w:t xml:space="preserve">  For additional detail and wire transfer instructions, go to </w:t>
      </w:r>
      <w:hyperlink r:id="rId6" w:history="1">
        <w:r w:rsidRPr="00FE0540">
          <w:rPr>
            <w:rStyle w:val="Hyperlink"/>
          </w:rPr>
          <w:t>https://www.fcc.gov/licensing-databases/fees/wire-transfer</w:t>
        </w:r>
      </w:hyperlink>
      <w:r w:rsidRPr="00FE0540">
        <w:t>.</w:t>
      </w:r>
    </w:p>
    <w:p w:rsidR="00FE0540" w:rsidRPr="00C33011" w:rsidP="006C2672" w14:paraId="7AFDE68B" w14:textId="77777777">
      <w:pPr>
        <w:pStyle w:val="ParaNum"/>
        <w:widowControl/>
        <w:rPr>
          <w:bCs/>
        </w:rPr>
      </w:pPr>
      <w:r w:rsidRPr="00FE0540">
        <w:t xml:space="preserve">Payment by credit card must be made by using the Commission’s Fee Filer website at </w:t>
      </w:r>
      <w:hyperlink r:id="rId7" w:history="1">
        <w:r w:rsidRPr="00FE0540">
          <w:rPr>
            <w:rStyle w:val="Hyperlink"/>
          </w:rPr>
          <w:t>https://apps.fcc.gov/FeeFiler/login.cfm</w:t>
        </w:r>
      </w:hyperlink>
      <w:r w:rsidRPr="00FE054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FE0540" w:rsidRPr="00FE0540" w:rsidP="00FE0540" w14:paraId="798256C8" w14:textId="77777777">
      <w:pPr>
        <w:pStyle w:val="ParaNum"/>
      </w:pPr>
      <w:r w:rsidRPr="00FE0540">
        <w:t xml:space="preserve">Payment by ACH must be made by using the Commission’s Fee Filer website at </w:t>
      </w:r>
      <w:hyperlink r:id="rId7" w:history="1">
        <w:r w:rsidRPr="00FE0540">
          <w:rPr>
            <w:rStyle w:val="Hyperlink"/>
          </w:rPr>
          <w:t>https://apps.fcc.gov/FeeFiler/login.cfm</w:t>
        </w:r>
      </w:hyperlink>
      <w:r w:rsidRPr="00FE054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FE0540" w:rsidP="00E70391" w14:paraId="18483344" w14:textId="3182BBE5">
      <w:pPr>
        <w:pStyle w:val="ParaNum"/>
        <w:widowControl/>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vertAlign w:val="superscript"/>
        </w:rPr>
        <w:footnoteReference w:id="25"/>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8" w:history="1">
        <w:r w:rsidRPr="00FE0540">
          <w:rPr>
            <w:rStyle w:val="Hyperlink"/>
          </w:rPr>
          <w:t>ARINQUIRIES@fcc.gov</w:t>
        </w:r>
      </w:hyperlink>
      <w:r w:rsidRPr="00FE0540">
        <w:t>.</w:t>
      </w:r>
    </w:p>
    <w:p w:rsidR="008A39AC" w:rsidRPr="00344EC6" w:rsidP="00927EF5" w14:paraId="1F68881F" w14:textId="00BE86C1">
      <w:pPr>
        <w:pStyle w:val="ParaNum"/>
        <w:widowControl/>
      </w:pPr>
      <w:r w:rsidRPr="00DF1523">
        <w:t>Any written response seeking reduction or cancellation of the proposed forfeiture must include a detailed factual statement supported by appropriate documentation and affidavits pursuant to sections 1.16 and 1.80(</w:t>
      </w:r>
      <w:r w:rsidR="00C852D6">
        <w:t>g</w:t>
      </w:r>
      <w:r w:rsidRPr="00DF1523">
        <w:t>)(3) of the Commission’s rules.</w:t>
      </w:r>
      <w:r>
        <w:rPr>
          <w:vertAlign w:val="superscript"/>
        </w:rPr>
        <w:footnoteReference w:id="26"/>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594F74">
        <w:rPr>
          <w:b/>
          <w:bCs/>
        </w:rPr>
        <w:t>MUST INCLUDE</w:t>
      </w:r>
      <w:r w:rsidRPr="00947B4D">
        <w:t xml:space="preserve"> the NAL/Acct. No. referenced above.</w:t>
      </w:r>
      <w:r>
        <w:t xml:space="preserve">  </w:t>
      </w:r>
      <w:bookmarkStart w:id="3"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7"/>
      </w:r>
      <w:r w:rsidRPr="00344EC6">
        <w:t xml:space="preserve"> A courtesy copy emailed to </w:t>
      </w:r>
      <w:hyperlink r:id="rId9" w:history="1">
        <w:r w:rsidRPr="00FE0C2F">
          <w:rPr>
            <w:rStyle w:val="Hyperlink"/>
          </w:rPr>
          <w:t>Alexander.Sanjenis@fcc.gov</w:t>
        </w:r>
      </w:hyperlink>
      <w:r w:rsidRPr="00344EC6">
        <w:t xml:space="preserve"> will assist in processing the response.</w:t>
      </w:r>
    </w:p>
    <w:p w:rsidR="008A39AC" w:rsidRPr="00344EC6" w:rsidP="008A39AC" w14:paraId="083ACFA7" w14:textId="77777777">
      <w:pPr>
        <w:pStyle w:val="ParaNum"/>
        <w:numPr>
          <w:ilvl w:val="0"/>
          <w:numId w:val="8"/>
        </w:numPr>
      </w:pPr>
      <w:r w:rsidRPr="00344EC6">
        <w:t xml:space="preserve">Commercial overnight mail (other than U.S. Postal Service Express Mail and Priority Mail) must be sent to 9050 Junction Drive, Annapolis Junction, MD 20701. </w:t>
      </w:r>
    </w:p>
    <w:p w:rsidR="008A39AC" w:rsidRPr="00344EC6" w:rsidP="008A39AC" w14:paraId="533CEA98" w14:textId="77777777">
      <w:pPr>
        <w:pStyle w:val="ParaNum"/>
        <w:numPr>
          <w:ilvl w:val="0"/>
          <w:numId w:val="8"/>
        </w:numPr>
      </w:pPr>
      <w:r w:rsidRPr="00344EC6">
        <w:t>Postal Service first-class, Express, and Priority mail must be addressed to 45 L Street, NE, Washington, DC 20554.</w:t>
      </w:r>
    </w:p>
    <w:bookmarkEnd w:id="3"/>
    <w:p w:rsidR="00BE0988" w:rsidP="00BE0988" w14:paraId="09AC6214" w14:textId="77777777">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w:t>
      </w:r>
      <w:r w:rsidRPr="00FE0540">
        <w:t xml:space="preserve">current financial status.  Any claim of inability to pay must specifically identify the basis for the claim by reference to the financial documentation submitted. </w:t>
      </w:r>
      <w:r w:rsidR="008A39AC">
        <w:t xml:space="preserve"> </w:t>
      </w:r>
      <w:r w:rsidRPr="00344EC6" w:rsidR="008A39AC">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8"/>
      </w:r>
      <w:r w:rsidRPr="00344EC6" w:rsidR="008A39AC">
        <w:t xml:space="preserve">  </w:t>
      </w:r>
    </w:p>
    <w:p w:rsidR="00303C5B" w:rsidRPr="00BE0988" w:rsidP="00BE0988" w14:paraId="0D5DFB02" w14:textId="5BEA3282">
      <w:pPr>
        <w:pStyle w:val="ParaNum"/>
      </w:pPr>
      <w:r w:rsidRPr="00BE0988">
        <w:rPr>
          <w:b/>
          <w:bCs/>
          <w:szCs w:val="22"/>
        </w:rPr>
        <w:t>IT IS FURTHER ORDERED</w:t>
      </w:r>
      <w:r w:rsidRPr="00BE0988">
        <w:rPr>
          <w:szCs w:val="22"/>
        </w:rPr>
        <w:t xml:space="preserve">, that copies of this </w:t>
      </w:r>
      <w:r w:rsidRPr="00BE0988">
        <w:rPr>
          <w:szCs w:val="22"/>
        </w:rPr>
        <w:t xml:space="preserve">Notice of Apparent Liability </w:t>
      </w:r>
      <w:r w:rsidRPr="00BE0988">
        <w:rPr>
          <w:szCs w:val="22"/>
        </w:rPr>
        <w:t xml:space="preserve">shall be sent by First Class and Certified Mail, Return Receipt Requested, </w:t>
      </w:r>
      <w:r w:rsidR="00C852D6">
        <w:rPr>
          <w:szCs w:val="22"/>
        </w:rPr>
        <w:t>to Pierre Education Radio, Inc</w:t>
      </w:r>
      <w:r w:rsidR="00545050">
        <w:rPr>
          <w:szCs w:val="22"/>
        </w:rPr>
        <w:t>.</w:t>
      </w:r>
      <w:r w:rsidR="00C852D6">
        <w:rPr>
          <w:szCs w:val="22"/>
        </w:rPr>
        <w:t>, c/o Forest Walker, 112 East Fourth Avenue, Fort Pierre, SD 57532, and to its counsel, Donald Martin, Esq., PO Box 8433, Falls Church, VA 22041</w:t>
      </w:r>
      <w:r w:rsidR="004E05CC">
        <w:rPr>
          <w:szCs w:val="22"/>
        </w:rPr>
        <w:t>.</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17296B" w14:paraId="797C9A88" w14:textId="77777777"/>
    <w:p w:rsidR="00C33011" w:rsidP="0017296B" w14:paraId="3C415F39" w14:textId="77777777"/>
    <w:p w:rsidR="00C33011" w:rsidP="0017296B" w14:paraId="32EEE573" w14:textId="0118E5E2"/>
    <w:p w:rsidR="00E70391" w:rsidP="0017296B"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A88" w14:paraId="5182575A" w14:textId="77777777">
      <w:r>
        <w:separator/>
      </w:r>
    </w:p>
  </w:footnote>
  <w:footnote w:type="continuationSeparator" w:id="1">
    <w:p w:rsidR="00762A88" w:rsidP="00C721AC" w14:paraId="000A9ACE" w14:textId="77777777">
      <w:pPr>
        <w:spacing w:before="120"/>
        <w:rPr>
          <w:sz w:val="20"/>
        </w:rPr>
      </w:pPr>
      <w:r>
        <w:rPr>
          <w:sz w:val="20"/>
        </w:rPr>
        <w:t xml:space="preserve">(Continued from previous page)  </w:t>
      </w:r>
      <w:r>
        <w:rPr>
          <w:sz w:val="20"/>
        </w:rPr>
        <w:separator/>
      </w:r>
    </w:p>
  </w:footnote>
  <w:footnote w:type="continuationNotice" w:id="2">
    <w:p w:rsidR="00762A88" w:rsidP="00C721AC" w14:paraId="35752D87" w14:textId="77777777">
      <w:pPr>
        <w:jc w:val="right"/>
        <w:rPr>
          <w:sz w:val="20"/>
        </w:rPr>
      </w:pPr>
      <w:r>
        <w:rPr>
          <w:sz w:val="20"/>
        </w:rPr>
        <w:t>(continued….)</w:t>
      </w:r>
    </w:p>
  </w:footnote>
  <w:footnote w:id="3">
    <w:p w:rsidR="00FE0540" w:rsidRPr="000725CB" w:rsidP="00FE0540" w14:paraId="3E1EC6BD" w14:textId="1A6595F3">
      <w:pPr>
        <w:pStyle w:val="FootnoteText"/>
      </w:pPr>
      <w:r w:rsidRPr="000725CB">
        <w:rPr>
          <w:rStyle w:val="FootnoteReference"/>
        </w:rPr>
        <w:footnoteRef/>
      </w:r>
      <w:r w:rsidRPr="000725CB">
        <w:t xml:space="preserve"> File No.</w:t>
      </w:r>
      <w:r>
        <w:t xml:space="preserve"> </w:t>
      </w:r>
      <w:r w:rsidRPr="00524E06" w:rsidR="00524E06">
        <w:t>00001</w:t>
      </w:r>
      <w:r w:rsidR="0063178F">
        <w:t>3</w:t>
      </w:r>
      <w:r w:rsidR="00A86154">
        <w:t>7272</w:t>
      </w:r>
      <w:r w:rsidR="00A304DF">
        <w:t xml:space="preserve"> (Application)</w:t>
      </w:r>
      <w:r w:rsidRPr="00524E06">
        <w:t>.</w:t>
      </w:r>
    </w:p>
  </w:footnote>
  <w:footnote w:id="4">
    <w:p w:rsidR="00FE0540" w:rsidRPr="000725CB" w:rsidP="00FE0540" w14:paraId="3DBB0C43"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C6D6F" w:rsidRPr="00501439" w14:paraId="258FF876" w14:textId="072C09F8">
      <w:pPr>
        <w:pStyle w:val="FootnoteText"/>
      </w:pPr>
      <w:r>
        <w:rPr>
          <w:rStyle w:val="FootnoteReference"/>
        </w:rPr>
        <w:footnoteRef/>
      </w:r>
      <w:r>
        <w:t xml:space="preserve"> </w:t>
      </w:r>
      <w:bookmarkStart w:id="1" w:name="_Hlk74228050"/>
      <w:bookmarkStart w:id="2" w:name="_Hlk74228556"/>
      <w:r>
        <w:t xml:space="preserve">The License provided an attachment explaining that </w:t>
      </w:r>
      <w:r w:rsidR="004263E9">
        <w:t xml:space="preserve">the Station </w:t>
      </w:r>
      <w:r>
        <w:t>had been silent without authorization</w:t>
      </w:r>
      <w:r w:rsidR="008F7B77">
        <w:t xml:space="preserve"> from </w:t>
      </w:r>
      <w:r w:rsidRPr="008F7B77" w:rsidR="008F7B77">
        <w:t>February 27, 2020, until February 22, 2021.</w:t>
      </w:r>
      <w:r w:rsidR="008F7B77">
        <w:t xml:space="preserve"> </w:t>
      </w:r>
      <w:r w:rsidR="00513C9C">
        <w:t xml:space="preserve">Application at Attachment, </w:t>
      </w:r>
      <w:r w:rsidR="00A86154">
        <w:t xml:space="preserve">Statement re Silent Period. </w:t>
      </w:r>
      <w:r>
        <w:t xml:space="preserve"> I</w:t>
      </w:r>
      <w:r w:rsidR="00A90C6D">
        <w:t>n</w:t>
      </w:r>
      <w:r>
        <w:t xml:space="preserve"> 2020, the Commission amended section 73.850</w:t>
      </w:r>
      <w:r w:rsidR="00A90C6D">
        <w:t xml:space="preserve"> of the Rules</w:t>
      </w:r>
      <w:r>
        <w:t xml:space="preserve"> to require that LPFM stations</w:t>
      </w:r>
      <w:r w:rsidR="00A90C6D">
        <w:t xml:space="preserve"> that are silent for more than </w:t>
      </w:r>
      <w:r w:rsidR="00A86154">
        <w:t>30</w:t>
      </w:r>
      <w:r w:rsidR="00A90C6D">
        <w:t xml:space="preserve"> days</w:t>
      </w:r>
      <w:r w:rsidR="00A86154">
        <w:t xml:space="preserve"> obtain special temporary authority</w:t>
      </w:r>
      <w:r w:rsidR="008F7B77">
        <w:t xml:space="preserve"> (STA)</w:t>
      </w:r>
      <w:r w:rsidR="00A86154">
        <w:t xml:space="preserve"> to remain silent</w:t>
      </w:r>
      <w:r w:rsidR="00A90C6D">
        <w:t xml:space="preserve">.  </w:t>
      </w:r>
      <w:r w:rsidR="00A90C6D">
        <w:rPr>
          <w:i/>
          <w:iCs/>
        </w:rPr>
        <w:t>Amendments of Parts 73 and 74</w:t>
      </w:r>
      <w:r w:rsidR="008F7B77">
        <w:rPr>
          <w:i/>
          <w:iCs/>
        </w:rPr>
        <w:t xml:space="preserve"> to</w:t>
      </w:r>
      <w:r w:rsidR="00A90C6D">
        <w:rPr>
          <w:i/>
          <w:iCs/>
        </w:rPr>
        <w:t xml:space="preserve"> Improve the Low </w:t>
      </w:r>
      <w:r w:rsidR="00A86154">
        <w:rPr>
          <w:i/>
          <w:iCs/>
        </w:rPr>
        <w:t>Power</w:t>
      </w:r>
      <w:r w:rsidR="00A90C6D">
        <w:rPr>
          <w:i/>
          <w:iCs/>
        </w:rPr>
        <w:t xml:space="preserve"> FM Radio Service Technical Rules; </w:t>
      </w:r>
      <w:r w:rsidR="00A86154">
        <w:rPr>
          <w:i/>
          <w:iCs/>
        </w:rPr>
        <w:t>Modernization</w:t>
      </w:r>
      <w:r w:rsidR="00A90C6D">
        <w:rPr>
          <w:i/>
          <w:iCs/>
        </w:rPr>
        <w:t xml:space="preserve"> of M</w:t>
      </w:r>
      <w:r w:rsidR="00A86154">
        <w:rPr>
          <w:i/>
          <w:iCs/>
        </w:rPr>
        <w:t>e</w:t>
      </w:r>
      <w:r w:rsidR="00A90C6D">
        <w:rPr>
          <w:i/>
          <w:iCs/>
        </w:rPr>
        <w:t>dia Regulation Initiative</w:t>
      </w:r>
      <w:r w:rsidR="00A90C6D">
        <w:t>, MB Docket Nos. 19-193, 17-105, Report and Order,</w:t>
      </w:r>
      <w:r>
        <w:t xml:space="preserve"> </w:t>
      </w:r>
      <w:r w:rsidR="00A90C6D">
        <w:t xml:space="preserve">35 FCC </w:t>
      </w:r>
      <w:r w:rsidR="00A90C6D">
        <w:t>Rcd</w:t>
      </w:r>
      <w:r w:rsidR="00A90C6D">
        <w:t xml:space="preserve"> 4115</w:t>
      </w:r>
      <w:r w:rsidR="00513C9C">
        <w:t>, 4135</w:t>
      </w:r>
      <w:r w:rsidR="008F7B77">
        <w:t xml:space="preserve">, </w:t>
      </w:r>
      <w:r w:rsidR="00A90C6D">
        <w:t>paras. 49-50</w:t>
      </w:r>
      <w:r w:rsidR="00513C9C">
        <w:t xml:space="preserve"> (2020)</w:t>
      </w:r>
      <w:r w:rsidR="008F7B77">
        <w:t xml:space="preserve">; 47 CFR </w:t>
      </w:r>
      <w:r w:rsidRPr="00D27175" w:rsidR="008F7B77">
        <w:t>§</w:t>
      </w:r>
      <w:r w:rsidR="008F7B77">
        <w:t xml:space="preserve"> 73.850(d)</w:t>
      </w:r>
      <w:r w:rsidR="00513C9C">
        <w:t>.  This revision to section 73.850 became effective on October 30, 2020.</w:t>
      </w:r>
      <w:r>
        <w:t xml:space="preserve"> </w:t>
      </w:r>
      <w:r w:rsidR="00513C9C">
        <w:t xml:space="preserve"> </w:t>
      </w:r>
      <w:r w:rsidRPr="008F7B77" w:rsidR="00513C9C">
        <w:rPr>
          <w:i/>
          <w:iCs/>
        </w:rPr>
        <w:t>Media Bureau Announces October 30, 2020, Effective Date for New LPFM Technical Rules</w:t>
      </w:r>
      <w:r w:rsidR="00513C9C">
        <w:t xml:space="preserve">, MB Docket Nos. 19-193, 17-105, Public Notice, </w:t>
      </w:r>
      <w:r w:rsidR="00857C75">
        <w:t>35 FCC Rd 12692 (MB 2020).</w:t>
      </w:r>
      <w:r>
        <w:t xml:space="preserve"> </w:t>
      </w:r>
      <w:r w:rsidR="008F7B77">
        <w:t xml:space="preserve"> We remind Licensee that any more periods of silence exceeding 30 day will now require the filing of a request for silent STA</w:t>
      </w:r>
      <w:bookmarkEnd w:id="1"/>
      <w:r w:rsidR="00501439">
        <w:t xml:space="preserve">, and that failure to do so may result in enforcement action.  </w:t>
      </w:r>
      <w:r w:rsidR="00501439">
        <w:rPr>
          <w:i/>
          <w:iCs/>
        </w:rPr>
        <w:t>Roger L. Hoppe II</w:t>
      </w:r>
      <w:r w:rsidR="00501439">
        <w:t xml:space="preserve"> Memorandum Opinion and Order and Notice of Apparent Liability for Forfeiture, 31 FCC </w:t>
      </w:r>
      <w:r w:rsidR="00501439">
        <w:t>Rcd</w:t>
      </w:r>
      <w:r w:rsidR="00501439">
        <w:t xml:space="preserve"> 8790 (MB 2</w:t>
      </w:r>
      <w:r w:rsidR="00C852D6">
        <w:t>016</w:t>
      </w:r>
      <w:r w:rsidR="00501439">
        <w:t>) (proposing $5,000 forfeiture for periods of unauthorized silence).</w:t>
      </w:r>
      <w:bookmarkEnd w:id="2"/>
    </w:p>
  </w:footnote>
  <w:footnote w:id="9">
    <w:p w:rsidR="00FE0540" w:rsidRPr="00D27175" w:rsidP="00FE0540" w14:paraId="725E991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10">
    <w:p w:rsidR="00FE0540" w:rsidRPr="00D27175" w:rsidP="00FE0540" w14:paraId="3223D548" w14:textId="77777777">
      <w:pPr>
        <w:pStyle w:val="FootnoteText"/>
      </w:pPr>
      <w:r w:rsidRPr="00D27175">
        <w:rPr>
          <w:rStyle w:val="FootnoteReference"/>
        </w:rPr>
        <w:footnoteRef/>
      </w:r>
      <w:r w:rsidRPr="00D27175">
        <w:t xml:space="preserve"> 47 U.S.C. § 312(f)(1).</w:t>
      </w:r>
    </w:p>
  </w:footnote>
  <w:footnote w:id="11">
    <w:p w:rsidR="002252D3" w:rsidRPr="00D27175" w:rsidP="00FE0540" w14:paraId="48293E06" w14:textId="63C7DD51">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2">
    <w:p w:rsidR="00FE0540" w:rsidRPr="00D27175" w:rsidP="00FE0540" w14:paraId="31D48284"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3">
    <w:p w:rsidR="00FE0540" w:rsidP="00FE0540" w14:paraId="409FE156" w14:textId="308CDA2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C852D6">
        <w:rPr>
          <w:sz w:val="20"/>
        </w:rPr>
        <w:t>10</w:t>
      </w:r>
      <w:r>
        <w:rPr>
          <w:sz w:val="20"/>
        </w:rPr>
        <w:t>), note to paragraph (b)(</w:t>
      </w:r>
      <w:r w:rsidR="00C852D6">
        <w:rPr>
          <w:sz w:val="20"/>
        </w:rPr>
        <w:t>10</w:t>
      </w:r>
      <w:r>
        <w:rPr>
          <w:sz w:val="20"/>
        </w:rPr>
        <w:t>), Section I.</w:t>
      </w:r>
    </w:p>
  </w:footnote>
  <w:footnote w:id="14">
    <w:p w:rsidR="00FE0540" w:rsidRPr="00D423B0" w:rsidP="00FE0540" w14:paraId="509482D9" w14:textId="63DD3B8B">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C852D6">
        <w:t>10</w:t>
      </w:r>
      <w:r>
        <w:t xml:space="preserve">). </w:t>
      </w:r>
    </w:p>
  </w:footnote>
  <w:footnote w:id="15">
    <w:p w:rsidR="00FE0540" w:rsidRPr="000A65AC" w:rsidP="00FE0540" w14:paraId="6C6C9A2B"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 for untimely filed renewal application for LPFM station).</w:t>
      </w:r>
    </w:p>
  </w:footnote>
  <w:footnote w:id="16">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7">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8">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47 U.S.C. §§ 309(k)(2), 309(k)(3).</w:t>
      </w:r>
    </w:p>
  </w:footnote>
  <w:footnote w:id="19">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0">
    <w:p w:rsidR="008A39AC" w14:paraId="288F8E5B" w14:textId="4A89202A">
      <w:pPr>
        <w:pStyle w:val="FootnoteText"/>
      </w:pPr>
      <w:r>
        <w:rPr>
          <w:rStyle w:val="FootnoteReference"/>
        </w:rPr>
        <w:footnoteRef/>
      </w:r>
      <w:r>
        <w:t xml:space="preserve"> 47 U.S.C. § 503(b); 47 CFR § 1.80.</w:t>
      </w:r>
    </w:p>
  </w:footnote>
  <w:footnote w:id="21">
    <w:p w:rsidR="008A39AC" w14:paraId="2FAD067E" w14:textId="61158C6A">
      <w:pPr>
        <w:pStyle w:val="FootnoteText"/>
      </w:pPr>
      <w:r>
        <w:rPr>
          <w:rStyle w:val="FootnoteReference"/>
        </w:rPr>
        <w:footnoteRef/>
      </w:r>
      <w:r>
        <w:t xml:space="preserve"> 47 CFR § 73.3539.</w:t>
      </w:r>
    </w:p>
  </w:footnote>
  <w:footnote w:id="22">
    <w:p w:rsidR="00FE0540" w:rsidRPr="00132193" w:rsidP="00FE0540" w14:paraId="1D8176DA"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3">
    <w:p w:rsidR="00FE0540" w:rsidRPr="00132193" w:rsidP="00FE0540" w14:paraId="0AB942BE"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4">
    <w:p w:rsidR="00FE0540" w:rsidRPr="004B33E9" w:rsidP="00FE0540" w14:paraId="004239AF"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5">
    <w:p w:rsidR="00FE0540" w:rsidRPr="004B33E9" w:rsidP="00FE0540" w14:paraId="07ABAD11"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6">
    <w:p w:rsidR="008A39AC" w:rsidP="008A39AC" w14:paraId="2DFFFFA5" w14:textId="5F16AEE4">
      <w:pPr>
        <w:pStyle w:val="FootnoteText"/>
        <w:widowControl w:val="0"/>
      </w:pPr>
      <w:r>
        <w:rPr>
          <w:rStyle w:val="FootnoteReference"/>
        </w:rPr>
        <w:footnoteRef/>
      </w:r>
      <w:r>
        <w:t xml:space="preserve"> 47 CFR §§ 1.16 and 1.80(</w:t>
      </w:r>
      <w:r w:rsidR="00C852D6">
        <w:t>g</w:t>
      </w:r>
      <w:r>
        <w:t>)(3).</w:t>
      </w:r>
    </w:p>
  </w:footnote>
  <w:footnote w:id="27">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8">
    <w:p w:rsidR="008A39AC" w:rsidP="008A39AC" w14:paraId="4C37B4AD"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3C95F8CA">
    <w:pPr>
      <w:pStyle w:val="Header"/>
      <w:rPr>
        <w:b w:val="0"/>
      </w:rPr>
    </w:pPr>
    <w:r>
      <w:tab/>
      <w:t>Federal Communications Commission</w:t>
    </w:r>
    <w:r>
      <w:tab/>
      <w:t>DA 21-</w:t>
    </w:r>
    <w:r w:rsidR="005D6388">
      <w:t>697</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2F22B0E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5D6388">
      <w:rPr>
        <w:spacing w:val="-2"/>
      </w:rPr>
      <w:t>697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652D"/>
    <w:rsid w:val="00036039"/>
    <w:rsid w:val="00037F90"/>
    <w:rsid w:val="00040666"/>
    <w:rsid w:val="000725CB"/>
    <w:rsid w:val="000875BF"/>
    <w:rsid w:val="00096D8C"/>
    <w:rsid w:val="000A65AC"/>
    <w:rsid w:val="000C0B65"/>
    <w:rsid w:val="000E05FE"/>
    <w:rsid w:val="000E3D42"/>
    <w:rsid w:val="00122BD5"/>
    <w:rsid w:val="00132193"/>
    <w:rsid w:val="00133F79"/>
    <w:rsid w:val="00141BD4"/>
    <w:rsid w:val="0017296B"/>
    <w:rsid w:val="00177AF1"/>
    <w:rsid w:val="00194A66"/>
    <w:rsid w:val="001C6D6F"/>
    <w:rsid w:val="001D6BCF"/>
    <w:rsid w:val="001E01CA"/>
    <w:rsid w:val="001E24D9"/>
    <w:rsid w:val="002252D3"/>
    <w:rsid w:val="002546D1"/>
    <w:rsid w:val="0026699D"/>
    <w:rsid w:val="00272FAD"/>
    <w:rsid w:val="00275CF5"/>
    <w:rsid w:val="0028301F"/>
    <w:rsid w:val="00285017"/>
    <w:rsid w:val="002A2D2E"/>
    <w:rsid w:val="002B39D0"/>
    <w:rsid w:val="002C00E8"/>
    <w:rsid w:val="002C7CD5"/>
    <w:rsid w:val="00303C5B"/>
    <w:rsid w:val="0031050C"/>
    <w:rsid w:val="00343749"/>
    <w:rsid w:val="00344EC6"/>
    <w:rsid w:val="003660ED"/>
    <w:rsid w:val="003B0550"/>
    <w:rsid w:val="003B694F"/>
    <w:rsid w:val="003F171C"/>
    <w:rsid w:val="003F5E50"/>
    <w:rsid w:val="00412FC5"/>
    <w:rsid w:val="00422276"/>
    <w:rsid w:val="004242F1"/>
    <w:rsid w:val="004263E9"/>
    <w:rsid w:val="0043351F"/>
    <w:rsid w:val="004450EA"/>
    <w:rsid w:val="00445A00"/>
    <w:rsid w:val="00451B0F"/>
    <w:rsid w:val="00464742"/>
    <w:rsid w:val="004B33E9"/>
    <w:rsid w:val="004C2EE3"/>
    <w:rsid w:val="004C44C7"/>
    <w:rsid w:val="004E05CC"/>
    <w:rsid w:val="004E4A22"/>
    <w:rsid w:val="00501439"/>
    <w:rsid w:val="00511968"/>
    <w:rsid w:val="00513C9C"/>
    <w:rsid w:val="00514C8E"/>
    <w:rsid w:val="00524E06"/>
    <w:rsid w:val="00525F98"/>
    <w:rsid w:val="005404A0"/>
    <w:rsid w:val="00545050"/>
    <w:rsid w:val="0055494B"/>
    <w:rsid w:val="00555D44"/>
    <w:rsid w:val="0055614C"/>
    <w:rsid w:val="005576AB"/>
    <w:rsid w:val="00560CE9"/>
    <w:rsid w:val="00566D06"/>
    <w:rsid w:val="00591634"/>
    <w:rsid w:val="00594F74"/>
    <w:rsid w:val="005D6388"/>
    <w:rsid w:val="005E14C2"/>
    <w:rsid w:val="00607BA5"/>
    <w:rsid w:val="0061180A"/>
    <w:rsid w:val="00626EB6"/>
    <w:rsid w:val="0063178F"/>
    <w:rsid w:val="00641A34"/>
    <w:rsid w:val="00655D03"/>
    <w:rsid w:val="0067201F"/>
    <w:rsid w:val="00683388"/>
    <w:rsid w:val="00683750"/>
    <w:rsid w:val="00683F84"/>
    <w:rsid w:val="006A6A81"/>
    <w:rsid w:val="006B016A"/>
    <w:rsid w:val="006C2672"/>
    <w:rsid w:val="006F7393"/>
    <w:rsid w:val="0070224F"/>
    <w:rsid w:val="007115F7"/>
    <w:rsid w:val="0073510B"/>
    <w:rsid w:val="00756FC8"/>
    <w:rsid w:val="00762A88"/>
    <w:rsid w:val="007846AA"/>
    <w:rsid w:val="00785689"/>
    <w:rsid w:val="007954DD"/>
    <w:rsid w:val="0079754B"/>
    <w:rsid w:val="007A1E6D"/>
    <w:rsid w:val="007B0EB2"/>
    <w:rsid w:val="007B464B"/>
    <w:rsid w:val="007C377D"/>
    <w:rsid w:val="007D3B81"/>
    <w:rsid w:val="00800237"/>
    <w:rsid w:val="00810B6F"/>
    <w:rsid w:val="00815718"/>
    <w:rsid w:val="0082229C"/>
    <w:rsid w:val="00822CE0"/>
    <w:rsid w:val="00832EC7"/>
    <w:rsid w:val="00841AB1"/>
    <w:rsid w:val="00857C75"/>
    <w:rsid w:val="00862FF5"/>
    <w:rsid w:val="008668C6"/>
    <w:rsid w:val="00874E66"/>
    <w:rsid w:val="0089695D"/>
    <w:rsid w:val="00897334"/>
    <w:rsid w:val="008A39AC"/>
    <w:rsid w:val="008C68F1"/>
    <w:rsid w:val="008F6FFF"/>
    <w:rsid w:val="008F7B77"/>
    <w:rsid w:val="00921803"/>
    <w:rsid w:val="00924C2F"/>
    <w:rsid w:val="00926503"/>
    <w:rsid w:val="00927EF5"/>
    <w:rsid w:val="00930967"/>
    <w:rsid w:val="009379FD"/>
    <w:rsid w:val="00947B4D"/>
    <w:rsid w:val="009726D8"/>
    <w:rsid w:val="009922F5"/>
    <w:rsid w:val="009D7308"/>
    <w:rsid w:val="009F36FF"/>
    <w:rsid w:val="009F76DB"/>
    <w:rsid w:val="00A15384"/>
    <w:rsid w:val="00A304DF"/>
    <w:rsid w:val="00A32C3B"/>
    <w:rsid w:val="00A45F4F"/>
    <w:rsid w:val="00A600A9"/>
    <w:rsid w:val="00A72D95"/>
    <w:rsid w:val="00A86154"/>
    <w:rsid w:val="00A871FD"/>
    <w:rsid w:val="00A90C6D"/>
    <w:rsid w:val="00AA1B96"/>
    <w:rsid w:val="00AA55B7"/>
    <w:rsid w:val="00AA5B9E"/>
    <w:rsid w:val="00AB0CFB"/>
    <w:rsid w:val="00AB2407"/>
    <w:rsid w:val="00AB53DF"/>
    <w:rsid w:val="00AD2902"/>
    <w:rsid w:val="00B07E5C"/>
    <w:rsid w:val="00B811F7"/>
    <w:rsid w:val="00B86644"/>
    <w:rsid w:val="00B97556"/>
    <w:rsid w:val="00BA5DC6"/>
    <w:rsid w:val="00BA6196"/>
    <w:rsid w:val="00BC6D8C"/>
    <w:rsid w:val="00BE0988"/>
    <w:rsid w:val="00C1209E"/>
    <w:rsid w:val="00C23B3F"/>
    <w:rsid w:val="00C33011"/>
    <w:rsid w:val="00C34006"/>
    <w:rsid w:val="00C36B4C"/>
    <w:rsid w:val="00C426B1"/>
    <w:rsid w:val="00C66160"/>
    <w:rsid w:val="00C67B68"/>
    <w:rsid w:val="00C721AC"/>
    <w:rsid w:val="00C852D6"/>
    <w:rsid w:val="00C90D6A"/>
    <w:rsid w:val="00CA247E"/>
    <w:rsid w:val="00CA6D21"/>
    <w:rsid w:val="00CC72B6"/>
    <w:rsid w:val="00D0218D"/>
    <w:rsid w:val="00D25FB5"/>
    <w:rsid w:val="00D27175"/>
    <w:rsid w:val="00D423B0"/>
    <w:rsid w:val="00D44223"/>
    <w:rsid w:val="00DA2529"/>
    <w:rsid w:val="00DB130A"/>
    <w:rsid w:val="00DB2EBB"/>
    <w:rsid w:val="00DC024C"/>
    <w:rsid w:val="00DC10A1"/>
    <w:rsid w:val="00DC1DEF"/>
    <w:rsid w:val="00DC655F"/>
    <w:rsid w:val="00DD0B59"/>
    <w:rsid w:val="00DD7EBD"/>
    <w:rsid w:val="00DF1134"/>
    <w:rsid w:val="00DF1523"/>
    <w:rsid w:val="00DF62B6"/>
    <w:rsid w:val="00E07225"/>
    <w:rsid w:val="00E1189A"/>
    <w:rsid w:val="00E12895"/>
    <w:rsid w:val="00E4519B"/>
    <w:rsid w:val="00E52B98"/>
    <w:rsid w:val="00E5409F"/>
    <w:rsid w:val="00E70391"/>
    <w:rsid w:val="00E938D4"/>
    <w:rsid w:val="00EB0FE9"/>
    <w:rsid w:val="00EC00B4"/>
    <w:rsid w:val="00EE6488"/>
    <w:rsid w:val="00F021FA"/>
    <w:rsid w:val="00F62E97"/>
    <w:rsid w:val="00F64209"/>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226D2"/>
  <w15:chartTrackingRefBased/>
  <w15:docId w15:val="{0D20CB28-0C8E-46F0-93FC-2251D61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88"/>
    <w:pPr>
      <w:widowControl w:val="0"/>
    </w:pPr>
    <w:rPr>
      <w:snapToGrid w:val="0"/>
      <w:kern w:val="28"/>
      <w:sz w:val="22"/>
    </w:rPr>
  </w:style>
  <w:style w:type="paragraph" w:styleId="Heading1">
    <w:name w:val="heading 1"/>
    <w:basedOn w:val="Normal"/>
    <w:next w:val="ParaNum"/>
    <w:qFormat/>
    <w:rsid w:val="005D63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6388"/>
    <w:pPr>
      <w:keepNext/>
      <w:numPr>
        <w:ilvl w:val="1"/>
        <w:numId w:val="3"/>
      </w:numPr>
      <w:spacing w:after="120"/>
      <w:outlineLvl w:val="1"/>
    </w:pPr>
    <w:rPr>
      <w:b/>
    </w:rPr>
  </w:style>
  <w:style w:type="paragraph" w:styleId="Heading3">
    <w:name w:val="heading 3"/>
    <w:basedOn w:val="Normal"/>
    <w:next w:val="ParaNum"/>
    <w:qFormat/>
    <w:rsid w:val="005D6388"/>
    <w:pPr>
      <w:keepNext/>
      <w:numPr>
        <w:ilvl w:val="2"/>
        <w:numId w:val="3"/>
      </w:numPr>
      <w:tabs>
        <w:tab w:val="left" w:pos="2160"/>
      </w:tabs>
      <w:spacing w:after="120"/>
      <w:outlineLvl w:val="2"/>
    </w:pPr>
    <w:rPr>
      <w:b/>
    </w:rPr>
  </w:style>
  <w:style w:type="paragraph" w:styleId="Heading4">
    <w:name w:val="heading 4"/>
    <w:basedOn w:val="Normal"/>
    <w:next w:val="ParaNum"/>
    <w:qFormat/>
    <w:rsid w:val="005D6388"/>
    <w:pPr>
      <w:keepNext/>
      <w:numPr>
        <w:ilvl w:val="3"/>
        <w:numId w:val="3"/>
      </w:numPr>
      <w:tabs>
        <w:tab w:val="left" w:pos="2880"/>
      </w:tabs>
      <w:spacing w:after="120"/>
      <w:outlineLvl w:val="3"/>
    </w:pPr>
    <w:rPr>
      <w:b/>
    </w:rPr>
  </w:style>
  <w:style w:type="paragraph" w:styleId="Heading5">
    <w:name w:val="heading 5"/>
    <w:basedOn w:val="Normal"/>
    <w:next w:val="ParaNum"/>
    <w:qFormat/>
    <w:rsid w:val="005D638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6388"/>
    <w:pPr>
      <w:numPr>
        <w:ilvl w:val="5"/>
        <w:numId w:val="3"/>
      </w:numPr>
      <w:tabs>
        <w:tab w:val="left" w:pos="4320"/>
      </w:tabs>
      <w:spacing w:after="120"/>
      <w:outlineLvl w:val="5"/>
    </w:pPr>
    <w:rPr>
      <w:b/>
    </w:rPr>
  </w:style>
  <w:style w:type="paragraph" w:styleId="Heading7">
    <w:name w:val="heading 7"/>
    <w:basedOn w:val="Normal"/>
    <w:next w:val="ParaNum"/>
    <w:qFormat/>
    <w:rsid w:val="005D638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638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63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63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388"/>
  </w:style>
  <w:style w:type="paragraph" w:customStyle="1" w:styleId="ParaNum">
    <w:name w:val="ParaNum"/>
    <w:basedOn w:val="Normal"/>
    <w:link w:val="ParaNumChar"/>
    <w:rsid w:val="005D6388"/>
    <w:pPr>
      <w:numPr>
        <w:numId w:val="2"/>
      </w:numPr>
      <w:tabs>
        <w:tab w:val="clear" w:pos="1080"/>
        <w:tab w:val="num" w:pos="1440"/>
      </w:tabs>
      <w:spacing w:after="120"/>
    </w:pPr>
  </w:style>
  <w:style w:type="paragraph" w:styleId="EndnoteText">
    <w:name w:val="endnote text"/>
    <w:basedOn w:val="Normal"/>
    <w:semiHidden/>
    <w:rsid w:val="005D6388"/>
    <w:rPr>
      <w:sz w:val="20"/>
    </w:rPr>
  </w:style>
  <w:style w:type="character" w:styleId="EndnoteReference">
    <w:name w:val="endnote reference"/>
    <w:semiHidden/>
    <w:rsid w:val="005D6388"/>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5D638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D6388"/>
    <w:rPr>
      <w:rFonts w:ascii="Times New Roman" w:hAnsi="Times New Roman"/>
      <w:dstrike w:val="0"/>
      <w:color w:val="auto"/>
      <w:sz w:val="20"/>
      <w:vertAlign w:val="superscript"/>
    </w:rPr>
  </w:style>
  <w:style w:type="paragraph" w:styleId="TOC1">
    <w:name w:val="toc 1"/>
    <w:basedOn w:val="Normal"/>
    <w:next w:val="Normal"/>
    <w:semiHidden/>
    <w:rsid w:val="005D63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6388"/>
    <w:pPr>
      <w:tabs>
        <w:tab w:val="left" w:pos="720"/>
        <w:tab w:val="right" w:leader="dot" w:pos="9360"/>
      </w:tabs>
      <w:suppressAutoHyphens/>
      <w:ind w:left="720" w:right="720" w:hanging="360"/>
    </w:pPr>
    <w:rPr>
      <w:noProof/>
    </w:rPr>
  </w:style>
  <w:style w:type="paragraph" w:styleId="TOC3">
    <w:name w:val="toc 3"/>
    <w:basedOn w:val="Normal"/>
    <w:next w:val="Normal"/>
    <w:semiHidden/>
    <w:rsid w:val="005D63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63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63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63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63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63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63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6388"/>
    <w:pPr>
      <w:tabs>
        <w:tab w:val="right" w:pos="9360"/>
      </w:tabs>
      <w:suppressAutoHyphens/>
    </w:pPr>
  </w:style>
  <w:style w:type="character" w:customStyle="1" w:styleId="EquationCaption">
    <w:name w:val="_Equation Caption"/>
    <w:rsid w:val="005D6388"/>
  </w:style>
  <w:style w:type="paragraph" w:styleId="Header">
    <w:name w:val="header"/>
    <w:basedOn w:val="Normal"/>
    <w:autoRedefine/>
    <w:rsid w:val="005D6388"/>
    <w:pPr>
      <w:tabs>
        <w:tab w:val="center" w:pos="4680"/>
        <w:tab w:val="right" w:pos="9360"/>
      </w:tabs>
    </w:pPr>
    <w:rPr>
      <w:b/>
    </w:rPr>
  </w:style>
  <w:style w:type="paragraph" w:styleId="Footer">
    <w:name w:val="footer"/>
    <w:basedOn w:val="Normal"/>
    <w:link w:val="FooterChar"/>
    <w:uiPriority w:val="99"/>
    <w:rsid w:val="005D6388"/>
    <w:pPr>
      <w:tabs>
        <w:tab w:val="center" w:pos="4320"/>
        <w:tab w:val="right" w:pos="8640"/>
      </w:tabs>
    </w:pPr>
  </w:style>
  <w:style w:type="character" w:styleId="PageNumber">
    <w:name w:val="page number"/>
    <w:basedOn w:val="DefaultParagraphFont"/>
    <w:rsid w:val="005D6388"/>
  </w:style>
  <w:style w:type="paragraph" w:styleId="BlockText">
    <w:name w:val="Block Text"/>
    <w:basedOn w:val="Normal"/>
    <w:rsid w:val="005D6388"/>
    <w:pPr>
      <w:spacing w:after="240"/>
      <w:ind w:left="1440" w:right="1440"/>
    </w:pPr>
  </w:style>
  <w:style w:type="paragraph" w:customStyle="1" w:styleId="Paratitle">
    <w:name w:val="Para title"/>
    <w:basedOn w:val="Normal"/>
    <w:rsid w:val="005D6388"/>
    <w:pPr>
      <w:tabs>
        <w:tab w:val="center" w:pos="9270"/>
      </w:tabs>
      <w:spacing w:after="240"/>
    </w:pPr>
    <w:rPr>
      <w:spacing w:val="-2"/>
    </w:rPr>
  </w:style>
  <w:style w:type="paragraph" w:customStyle="1" w:styleId="Bullet">
    <w:name w:val="Bullet"/>
    <w:basedOn w:val="Normal"/>
    <w:rsid w:val="005D6388"/>
    <w:pPr>
      <w:tabs>
        <w:tab w:val="left" w:pos="2160"/>
      </w:tabs>
      <w:spacing w:after="220"/>
      <w:ind w:left="2160" w:hanging="720"/>
    </w:pPr>
  </w:style>
  <w:style w:type="paragraph" w:customStyle="1" w:styleId="TableFormat">
    <w:name w:val="TableFormat"/>
    <w:basedOn w:val="Bullet"/>
    <w:rsid w:val="005D6388"/>
    <w:pPr>
      <w:tabs>
        <w:tab w:val="clear" w:pos="2160"/>
        <w:tab w:val="left" w:pos="5040"/>
      </w:tabs>
      <w:ind w:left="5040" w:hanging="3600"/>
    </w:pPr>
  </w:style>
  <w:style w:type="paragraph" w:customStyle="1" w:styleId="TOCTitle">
    <w:name w:val="TOC Title"/>
    <w:basedOn w:val="Normal"/>
    <w:rsid w:val="005D63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6388"/>
    <w:pPr>
      <w:jc w:val="center"/>
    </w:pPr>
    <w:rPr>
      <w:rFonts w:ascii="Times New Roman Bold" w:hAnsi="Times New Roman Bold"/>
      <w:b/>
      <w:bCs/>
      <w:caps/>
      <w:szCs w:val="22"/>
    </w:rPr>
  </w:style>
  <w:style w:type="character" w:styleId="Hyperlink">
    <w:name w:val="Hyperlink"/>
    <w:rsid w:val="005D6388"/>
    <w:rPr>
      <w:color w:val="0000FF"/>
      <w:u w:val="single"/>
    </w:rPr>
  </w:style>
  <w:style w:type="character" w:customStyle="1" w:styleId="FooterChar">
    <w:name w:val="Footer Char"/>
    <w:link w:val="Footer"/>
    <w:uiPriority w:val="99"/>
    <w:rsid w:val="005D6388"/>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