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DEA705D" w14:textId="77777777">
      <w:pPr>
        <w:jc w:val="center"/>
        <w:rPr>
          <w:b/>
        </w:rPr>
      </w:pPr>
      <w:r w:rsidRPr="0070224F">
        <w:rPr>
          <w:rFonts w:ascii="Times New Roman Bold" w:hAnsi="Times New Roman Bold"/>
          <w:b/>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79EB5B42">
            <w:pPr>
              <w:tabs>
                <w:tab w:val="center" w:pos="4680"/>
              </w:tabs>
              <w:suppressAutoHyphens/>
              <w:rPr>
                <w:spacing w:val="-2"/>
              </w:rPr>
            </w:pPr>
            <w:r w:rsidRPr="00E97187">
              <w:rPr>
                <w:spacing w:val="-2"/>
              </w:rPr>
              <w:t>(</w:t>
            </w:r>
            <w:r w:rsidR="008A5B1B">
              <w:rPr>
                <w:spacing w:val="-2"/>
              </w:rPr>
              <w:t>Schenectady, New York</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6FE97B27">
            <w:pPr>
              <w:pStyle w:val="TOAHeading"/>
              <w:tabs>
                <w:tab w:val="center" w:pos="4680"/>
              </w:tabs>
              <w:rPr>
                <w:spacing w:val="-2"/>
              </w:rPr>
            </w:pPr>
            <w:r w:rsidRPr="00E97187">
              <w:rPr>
                <w:spacing w:val="-2"/>
              </w:rPr>
              <w:t>MB Docket No. 2</w:t>
            </w:r>
            <w:r w:rsidR="00D711F6">
              <w:rPr>
                <w:spacing w:val="-2"/>
              </w:rPr>
              <w:t>1-</w:t>
            </w:r>
            <w:r w:rsidR="008A5B1B">
              <w:rPr>
                <w:spacing w:val="-2"/>
              </w:rPr>
              <w:t>127</w:t>
            </w:r>
          </w:p>
          <w:p w:rsidR="004C2EE3" w:rsidP="00E97187" w14:paraId="5F721ABE" w14:textId="44EFB2E9">
            <w:pPr>
              <w:tabs>
                <w:tab w:val="center" w:pos="4680"/>
              </w:tabs>
              <w:suppressAutoHyphens/>
              <w:rPr>
                <w:spacing w:val="-2"/>
              </w:rPr>
            </w:pPr>
            <w:r w:rsidRPr="00E97187">
              <w:rPr>
                <w:spacing w:val="-2"/>
              </w:rPr>
              <w:t>RM-118</w:t>
            </w:r>
            <w:r w:rsidR="008A5B1B">
              <w:rPr>
                <w:spacing w:val="-2"/>
              </w:rPr>
              <w:t>94</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7320415F">
      <w:pPr>
        <w:tabs>
          <w:tab w:val="left" w:pos="720"/>
          <w:tab w:val="right" w:pos="9360"/>
        </w:tabs>
        <w:suppressAutoHyphens/>
        <w:spacing w:line="227" w:lineRule="auto"/>
        <w:rPr>
          <w:spacing w:val="-2"/>
        </w:rPr>
      </w:pPr>
      <w:r>
        <w:rPr>
          <w:b/>
          <w:spacing w:val="-2"/>
        </w:rPr>
        <w:t xml:space="preserve">Adopted:  </w:t>
      </w:r>
      <w:r w:rsidR="008A5B1B">
        <w:rPr>
          <w:b/>
          <w:spacing w:val="-2"/>
        </w:rPr>
        <w:t>June</w:t>
      </w:r>
      <w:r w:rsidR="00BE6CEF">
        <w:rPr>
          <w:b/>
          <w:spacing w:val="-2"/>
        </w:rPr>
        <w:t xml:space="preserve"> </w:t>
      </w:r>
      <w:r w:rsidR="00CA6563">
        <w:rPr>
          <w:b/>
          <w:spacing w:val="-2"/>
        </w:rPr>
        <w:t>16</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A5B1B">
        <w:rPr>
          <w:b/>
          <w:spacing w:val="-2"/>
        </w:rPr>
        <w:t>June</w:t>
      </w:r>
      <w:r w:rsidR="00BE6CEF">
        <w:rPr>
          <w:b/>
          <w:spacing w:val="-2"/>
        </w:rPr>
        <w:t xml:space="preserve"> </w:t>
      </w:r>
      <w:r w:rsidR="00CA6563">
        <w:rPr>
          <w:b/>
          <w:spacing w:val="-2"/>
        </w:rPr>
        <w:t>16</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648C20B7">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8A5B1B">
        <w:t>WRGB</w:t>
      </w:r>
      <w:r w:rsidR="000709BB">
        <w:t xml:space="preserve"> Licensee</w:t>
      </w:r>
      <w:r w:rsidR="00092AB5">
        <w:t>, LLC</w:t>
      </w:r>
      <w:r w:rsidRPr="00E208EC" w:rsidR="00092AB5">
        <w:t xml:space="preserve"> (</w:t>
      </w:r>
      <w:r w:rsidR="00432B47">
        <w:t>Petitioner</w:t>
      </w:r>
      <w:r w:rsidRPr="00E208EC" w:rsidR="00092AB5">
        <w:t>), the licensee of</w:t>
      </w:r>
      <w:r w:rsidR="00092AB5">
        <w:t xml:space="preserve"> </w:t>
      </w:r>
      <w:r w:rsidR="008A5B1B">
        <w:t>WRGB</w:t>
      </w:r>
      <w:r w:rsidR="00092AB5">
        <w:t xml:space="preserve"> (</w:t>
      </w:r>
      <w:r w:rsidR="0019432C">
        <w:t>CBS</w:t>
      </w:r>
      <w:r w:rsidR="00092AB5">
        <w:t>)</w:t>
      </w:r>
      <w:r w:rsidRPr="00E208EC" w:rsidR="00092AB5">
        <w:t xml:space="preserve">, channel </w:t>
      </w:r>
      <w:r w:rsidR="008A5B1B">
        <w:t>6</w:t>
      </w:r>
      <w:r w:rsidRPr="00E208EC" w:rsidR="00092AB5">
        <w:t xml:space="preserve">, </w:t>
      </w:r>
      <w:r w:rsidR="008A5B1B">
        <w:t>Schenectady</w:t>
      </w:r>
      <w:r w:rsidR="00C65811">
        <w:t xml:space="preserve">, </w:t>
      </w:r>
      <w:r w:rsidR="008A5B1B">
        <w:t>New York</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8A5B1B">
        <w:rPr>
          <w:spacing w:val="-6"/>
        </w:rPr>
        <w:t>35</w:t>
      </w:r>
      <w:r w:rsidRPr="00E97187">
        <w:rPr>
          <w:spacing w:val="-7"/>
        </w:rPr>
        <w:t xml:space="preserve"> </w:t>
      </w:r>
      <w:r w:rsidRPr="00E97187">
        <w:rPr>
          <w:spacing w:val="-3"/>
        </w:rPr>
        <w:t>for</w:t>
      </w:r>
      <w:r w:rsidRPr="00E97187">
        <w:t xml:space="preserve"> VHF channel</w:t>
      </w:r>
      <w:r w:rsidRPr="00E97187">
        <w:rPr>
          <w:spacing w:val="-6"/>
        </w:rPr>
        <w:t xml:space="preserve"> </w:t>
      </w:r>
      <w:r w:rsidR="008A5B1B">
        <w:rPr>
          <w:spacing w:val="-2"/>
        </w:rPr>
        <w:t>6</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683CEC" w:rsidP="0033517A" w14:paraId="6E0ACBB5" w14:textId="698E64B1">
      <w:pPr>
        <w:pStyle w:val="ParaNum"/>
        <w:widowControl/>
      </w:pPr>
      <w:r>
        <w:t xml:space="preserve">The </w:t>
      </w:r>
      <w:r w:rsidR="00432B47">
        <w:t>Petitioner</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432B47">
        <w:t>35</w:t>
      </w:r>
      <w:r w:rsidR="00F372C7">
        <w:t>.</w:t>
      </w:r>
      <w:r>
        <w:rPr>
          <w:rStyle w:val="FootnoteReference"/>
        </w:rPr>
        <w:footnoteReference w:id="6"/>
      </w:r>
      <w:r w:rsidR="00F372C7">
        <w:t xml:space="preserve"> </w:t>
      </w:r>
      <w:r w:rsidRPr="00E97187" w:rsidR="00F86933">
        <w:t xml:space="preserve"> </w:t>
      </w:r>
      <w:r w:rsidR="00432B47">
        <w:t>REC</w:t>
      </w:r>
      <w:r w:rsidR="00665E6B">
        <w:t xml:space="preserve"> Network</w:t>
      </w:r>
      <w:r w:rsidR="0076002E">
        <w:t xml:space="preserve"> (REC)</w:t>
      </w:r>
      <w:r w:rsidR="00432B47">
        <w:t xml:space="preserve">, </w:t>
      </w:r>
      <w:r w:rsidR="0076002E">
        <w:t>which states it is an advocate for Low Power FM (LPFM)</w:t>
      </w:r>
      <w:r>
        <w:t xml:space="preserve"> stations</w:t>
      </w:r>
      <w:r w:rsidR="0076002E">
        <w:t>, as well as noncommercial education</w:t>
      </w:r>
      <w:r>
        <w:t>al</w:t>
      </w:r>
      <w:r w:rsidR="0076002E">
        <w:t xml:space="preserve"> (NCE) and</w:t>
      </w:r>
      <w:r w:rsidR="00EF48D8">
        <w:t xml:space="preserve"> small</w:t>
      </w:r>
      <w:r w:rsidR="0076002E">
        <w:t xml:space="preserve"> </w:t>
      </w:r>
      <w:r w:rsidR="00EF48D8">
        <w:t>“mom and pop”</w:t>
      </w:r>
      <w:r w:rsidR="0076002E">
        <w:t xml:space="preserve"> commercial stations,</w:t>
      </w:r>
      <w:r w:rsidR="00432B47">
        <w:t xml:space="preserve"> also filed comments supporting the proposed channel substitution.</w:t>
      </w:r>
      <w:r>
        <w:rPr>
          <w:rStyle w:val="FootnoteReference"/>
        </w:rPr>
        <w:footnoteReference w:id="7"/>
      </w:r>
      <w:r w:rsidRPr="00E97187" w:rsidR="00F86933">
        <w:t xml:space="preserve">  </w:t>
      </w:r>
    </w:p>
    <w:p w:rsidR="0033517A" w:rsidP="0033517A" w14:paraId="0BA22F5E" w14:textId="4804750A">
      <w:pPr>
        <w:pStyle w:val="ParaNum"/>
        <w:widowControl/>
      </w:pPr>
      <w:r w:rsidRPr="00E97187">
        <w:t xml:space="preserve">We believe the public interest would be served by substituting channel </w:t>
      </w:r>
      <w:r w:rsidR="00D56707">
        <w:t>35</w:t>
      </w:r>
      <w:r w:rsidRPr="00E97187">
        <w:t xml:space="preserve"> for channel </w:t>
      </w:r>
      <w:r w:rsidR="00D56707">
        <w:t>6</w:t>
      </w:r>
      <w:r w:rsidRPr="00E97187" w:rsidR="00424EA6">
        <w:t xml:space="preserve"> </w:t>
      </w:r>
      <w:r w:rsidRPr="00E97187">
        <w:t xml:space="preserve">at </w:t>
      </w:r>
      <w:r w:rsidR="008A5B1B">
        <w:t>Schenectady</w:t>
      </w:r>
      <w:r w:rsidR="001032F9">
        <w:t xml:space="preserve">, </w:t>
      </w:r>
      <w:r w:rsidR="008A5B1B">
        <w:t>New York</w:t>
      </w:r>
      <w:r w:rsidR="00E9514A">
        <w:t>.</w:t>
      </w:r>
      <w:r w:rsidRPr="00E97187">
        <w:t xml:space="preserve">  </w:t>
      </w:r>
      <w:r w:rsidR="001032F9">
        <w:t xml:space="preserve">The </w:t>
      </w:r>
      <w:r w:rsidR="00D56707">
        <w:t>Petitioner</w:t>
      </w:r>
      <w:r w:rsidRPr="00E208EC" w:rsidR="001032F9">
        <w:t xml:space="preserve"> states that the Commission has recognized that VHF channels have certain propagation characteristics which may cause reception issues for some viewers</w:t>
      </w:r>
      <w:r w:rsidR="001032F9">
        <w:t>.</w:t>
      </w:r>
      <w:r>
        <w:rPr>
          <w:rStyle w:val="FootnoteReference"/>
        </w:rPr>
        <w:footnoteReference w:id="8"/>
      </w:r>
      <w:r w:rsidR="001032F9">
        <w:t xml:space="preserve">  </w:t>
      </w:r>
      <w:r w:rsidR="003C639A">
        <w:t>In</w:t>
      </w:r>
      <w:r w:rsidR="00EE0047">
        <w:t xml:space="preserve"> addition,</w:t>
      </w:r>
      <w:r>
        <w:t xml:space="preserve"> </w:t>
      </w:r>
      <w:r w:rsidR="00C869ED">
        <w:t>a</w:t>
      </w:r>
      <w:r w:rsidRPr="00C802E6" w:rsidR="00471E93">
        <w:rPr>
          <w:szCs w:val="22"/>
        </w:rPr>
        <w:t xml:space="preserve">ccording to the </w:t>
      </w:r>
      <w:r w:rsidR="00D56707">
        <w:rPr>
          <w:snapToGrid/>
          <w:kern w:val="0"/>
          <w:szCs w:val="22"/>
        </w:rPr>
        <w:t>Petitioner</w:t>
      </w:r>
      <w:r w:rsidR="007F6ED0">
        <w:rPr>
          <w:snapToGrid/>
          <w:kern w:val="0"/>
          <w:szCs w:val="22"/>
        </w:rPr>
        <w:t>,</w:t>
      </w:r>
      <w:r w:rsidRPr="00C802E6" w:rsidR="00471E93">
        <w:rPr>
          <w:snapToGrid/>
          <w:kern w:val="0"/>
          <w:szCs w:val="22"/>
        </w:rPr>
        <w:t xml:space="preserve"> </w:t>
      </w:r>
      <w:r w:rsidR="008A5B1B">
        <w:rPr>
          <w:snapToGrid/>
          <w:kern w:val="0"/>
          <w:szCs w:val="22"/>
        </w:rPr>
        <w:t>WRGB</w:t>
      </w:r>
      <w:r w:rsidR="00EE0047">
        <w:rPr>
          <w:snapToGrid/>
          <w:kern w:val="0"/>
          <w:szCs w:val="22"/>
        </w:rPr>
        <w:t xml:space="preserve"> has received</w:t>
      </w:r>
      <w:r w:rsidRPr="00C802E6" w:rsidR="00471E93">
        <w:rPr>
          <w:snapToGrid/>
          <w:kern w:val="0"/>
          <w:szCs w:val="22"/>
        </w:rPr>
        <w:t xml:space="preserve"> </w:t>
      </w:r>
      <w:r w:rsidR="00EE0047">
        <w:t>numerous complaints from viewers unable to receive th</w:t>
      </w:r>
      <w:r w:rsidR="00A26DFA">
        <w:t>e</w:t>
      </w:r>
      <w:r w:rsidR="00EE0047">
        <w:t xml:space="preserve"> Station’s over-the-air signal, despite being able to receive signals from other station</w:t>
      </w:r>
      <w:r w:rsidR="00A26DFA">
        <w:t>s</w:t>
      </w:r>
      <w:r w:rsidR="00EE0047">
        <w:t>.</w:t>
      </w:r>
      <w:r>
        <w:rPr>
          <w:rStyle w:val="FootnoteReference"/>
        </w:rPr>
        <w:footnoteReference w:id="9"/>
      </w:r>
      <w:r w:rsidR="00C869ED">
        <w:t xml:space="preserve"> </w:t>
      </w:r>
      <w:r w:rsidR="001D4184">
        <w:t xml:space="preserve"> </w:t>
      </w:r>
      <w:r>
        <w:t xml:space="preserve">While the proposed channel 35 noise limited contour does not completely encompass the relevant channel 6 noise </w:t>
      </w:r>
      <w:r>
        <w:t>limited contour,</w:t>
      </w:r>
      <w:r>
        <w:rPr>
          <w:rStyle w:val="FootnoteReference"/>
        </w:rPr>
        <w:footnoteReference w:id="10"/>
      </w:r>
      <w:r w:rsidRPr="00E208EC">
        <w:t xml:space="preserve"> </w:t>
      </w:r>
      <w:r>
        <w:t xml:space="preserve">WRGB is a CBS affiliate and there are three other CBS affiliated stations that serve some portion of the loss area.  In addition, the Petitioner submitted an analysis, using the Commission’s </w:t>
      </w:r>
      <w:r w:rsidRPr="00494BBF">
        <w:rPr>
          <w:i/>
          <w:iCs/>
        </w:rPr>
        <w:t>TVStudy</w:t>
      </w:r>
      <w:r>
        <w:rPr>
          <w:i/>
          <w:iCs/>
        </w:rPr>
        <w:t xml:space="preserve"> </w:t>
      </w:r>
      <w:r>
        <w:t>software analysis program, demonstrating that after taking into account service provided by other CBS stations, all of the population located within WRGB’s original post-DTV transition channel 6 noise limited contour will continue to receive CBS service, except for 30 people.</w:t>
      </w:r>
      <w:r>
        <w:rPr>
          <w:rStyle w:val="FootnoteReference"/>
        </w:rPr>
        <w:footnoteReference w:id="11"/>
      </w:r>
      <w:r w:rsidRPr="001E63D8">
        <w:rPr>
          <w:rStyle w:val="FootnoteReference"/>
        </w:rPr>
        <w:t xml:space="preserve"> </w:t>
      </w:r>
    </w:p>
    <w:p w:rsidR="00E97187" w:rsidRPr="009919F5" w:rsidP="009919F5" w14:paraId="58035077" w14:textId="195346FA">
      <w:pPr>
        <w:pStyle w:val="ParaNum"/>
        <w:rPr>
          <w:rFonts w:ascii="TimesNewRomanPSMT" w:hAnsi="TimesNewRomanPSMT" w:cs="TimesNewRomanPSMT"/>
          <w:snapToGrid/>
          <w:kern w:val="0"/>
          <w:sz w:val="20"/>
        </w:rPr>
      </w:pPr>
      <w:r>
        <w:t xml:space="preserve">  REC</w:t>
      </w:r>
      <w:r w:rsidR="0076002E">
        <w:t xml:space="preserve"> states that it generally supports </w:t>
      </w:r>
      <w:r w:rsidR="00150D37">
        <w:t xml:space="preserve">rulemaking proceedings seeking to amend the DTV Table of Allotments to substitute a </w:t>
      </w:r>
      <w:r w:rsidR="000143CF">
        <w:t>h</w:t>
      </w:r>
      <w:r w:rsidR="00150D37">
        <w:t xml:space="preserve">igh-VHF band or UHF channel </w:t>
      </w:r>
      <w:r w:rsidR="00436645">
        <w:t>in lieu of channels 5 and 6.</w:t>
      </w:r>
      <w:r>
        <w:rPr>
          <w:rStyle w:val="FootnoteReference"/>
        </w:rPr>
        <w:footnoteReference w:id="12"/>
      </w:r>
      <w:r>
        <w:t xml:space="preserve"> </w:t>
      </w:r>
      <w:r w:rsidR="000376BF">
        <w:t xml:space="preserve"> </w:t>
      </w:r>
      <w:r w:rsidR="00EF48D8">
        <w:t>REC believes clearing these channels</w:t>
      </w:r>
      <w:r w:rsidR="000376BF">
        <w:t xml:space="preserve"> serve</w:t>
      </w:r>
      <w:r w:rsidR="006241E4">
        <w:t>s</w:t>
      </w:r>
      <w:r w:rsidR="000376BF">
        <w:t xml:space="preserve"> to provide additional flexibility to LPFM and NCE stations operating in the reserved FM band pursuant to sections 73.525 and 73.825 of the Commission’s rules (rules).</w:t>
      </w:r>
      <w:r>
        <w:rPr>
          <w:rStyle w:val="FootnoteReference"/>
        </w:rPr>
        <w:footnoteReference w:id="13"/>
      </w:r>
      <w:r w:rsidR="00E8079C">
        <w:t xml:space="preserve">  REC also recognizes the propagation characteristics of digital channel 6 </w:t>
      </w:r>
      <w:r w:rsidR="006241E4">
        <w:t xml:space="preserve">operations </w:t>
      </w:r>
      <w:r w:rsidR="00E8079C">
        <w:t>which can cause viewer reception issues.</w:t>
      </w:r>
      <w:r>
        <w:rPr>
          <w:rStyle w:val="FootnoteReference"/>
        </w:rPr>
        <w:footnoteReference w:id="14"/>
      </w:r>
    </w:p>
    <w:p w:rsidR="00E97187" w:rsidRPr="007E31D4" w:rsidP="00711A32" w14:paraId="1232C8E3" w14:textId="2C2E7DA6">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D56707">
        <w:rPr>
          <w:spacing w:val="-7"/>
        </w:rPr>
        <w:t>35</w:t>
      </w:r>
      <w:r w:rsidRPr="00E97187">
        <w:rPr>
          <w:spacing w:val="-7"/>
        </w:rPr>
        <w:t xml:space="preserve"> can be substituted for channel</w:t>
      </w:r>
      <w:r w:rsidRPr="00E97187">
        <w:t xml:space="preserve"> </w:t>
      </w:r>
      <w:r w:rsidR="00D56707">
        <w:t>6</w:t>
      </w:r>
      <w:r w:rsidRPr="00E97187">
        <w:t xml:space="preserve"> at </w:t>
      </w:r>
      <w:r w:rsidR="008A5B1B">
        <w:t>Schenectady</w:t>
      </w:r>
      <w:r w:rsidR="007C60E1">
        <w:t xml:space="preserve">, </w:t>
      </w:r>
      <w:r w:rsidR="008A5B1B">
        <w:t>New York</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Pr>
          <w:rStyle w:val="FootnoteReference"/>
          <w:spacing w:val="-3"/>
          <w:sz w:val="22"/>
          <w:szCs w:val="22"/>
        </w:rPr>
        <w:footnoteReference w:id="15"/>
      </w:r>
      <w:r w:rsidRPr="00E97187">
        <w:rPr>
          <w:spacing w:val="17"/>
          <w:position w:val="8"/>
        </w:rPr>
        <w:t xml:space="preserve"> </w:t>
      </w:r>
      <w:r w:rsidRPr="00E97187">
        <w:rPr>
          <w:spacing w:val="-3"/>
        </w:rPr>
        <w:t xml:space="preserve">at </w:t>
      </w:r>
      <w:r w:rsidRPr="00E97187">
        <w:rPr>
          <w:spacing w:val="-4"/>
        </w:rPr>
        <w:t>coordinates</w:t>
      </w:r>
      <w:r w:rsidR="007C60E1">
        <w:rPr>
          <w:spacing w:val="-7"/>
        </w:rPr>
        <w:t xml:space="preserve"> </w:t>
      </w:r>
      <w:r w:rsidR="00432B47">
        <w:t>42-37-31.3</w:t>
      </w:r>
      <w:r w:rsidRPr="00E208EC" w:rsidR="00432B47">
        <w:t xml:space="preserve"> N and </w:t>
      </w:r>
      <w:r w:rsidR="00432B47">
        <w:t>74-00-36.7</w:t>
      </w:r>
      <w:r w:rsidRPr="00E208EC" w:rsidR="00432B47">
        <w:t xml:space="preserve"> W</w:t>
      </w:r>
      <w:r>
        <w:rPr>
          <w:spacing w:val="-2"/>
        </w:rPr>
        <w:t xml:space="preserve">.  </w:t>
      </w:r>
      <w:r w:rsidR="0076002E">
        <w:t>Although the Petitioner’s</w:t>
      </w:r>
      <w:r w:rsidRPr="00E208EC" w:rsidR="0076002E">
        <w:t xml:space="preserve"> </w:t>
      </w:r>
      <w:r w:rsidR="0076002E">
        <w:t xml:space="preserve">proposal would result in a loss of CBS service to approximately 30 people, we find such a loss to be </w:t>
      </w:r>
      <w:r w:rsidRPr="002F6E16" w:rsidR="0076002E">
        <w:rPr>
          <w:i/>
          <w:iCs/>
        </w:rPr>
        <w:t>de</w:t>
      </w:r>
      <w:r w:rsidR="0076002E">
        <w:t xml:space="preserve"> </w:t>
      </w:r>
      <w:r w:rsidRPr="002F6E16" w:rsidR="0076002E">
        <w:rPr>
          <w:i/>
          <w:iCs/>
        </w:rPr>
        <w:t>minimis</w:t>
      </w:r>
      <w:r w:rsidR="0076002E">
        <w:t>.</w:t>
      </w:r>
      <w:r>
        <w:rPr>
          <w:rStyle w:val="FootnoteReference"/>
        </w:rPr>
        <w:footnoteReference w:id="16"/>
      </w:r>
      <w:r w:rsidR="0076002E">
        <w:t xml:space="preserve"> </w:t>
      </w:r>
      <w:r w:rsidR="00150D37">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7"/>
      </w:r>
    </w:p>
    <w:p w:rsidR="00E97187" w:rsidRPr="00E97187" w:rsidP="00E97187" w14:paraId="41517645" w14:textId="1FA4D6A5">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006856D1">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37DBC546">
      <w:pPr>
        <w:pStyle w:val="BodyText"/>
        <w:tabs>
          <w:tab w:val="left" w:pos="3748"/>
          <w:tab w:val="left" w:pos="5189"/>
          <w:tab w:val="right" w:pos="7126"/>
        </w:tabs>
        <w:spacing w:after="220"/>
        <w:ind w:left="0"/>
        <w:rPr>
          <w:szCs w:val="22"/>
        </w:rPr>
      </w:pPr>
      <w:r>
        <w:rPr>
          <w:spacing w:val="-1"/>
          <w:szCs w:val="22"/>
        </w:rPr>
        <w:t>Schenectady</w:t>
      </w:r>
      <w:r w:rsidR="007C60E1">
        <w:rPr>
          <w:spacing w:val="-1"/>
          <w:szCs w:val="22"/>
        </w:rPr>
        <w:t xml:space="preserve">, </w:t>
      </w:r>
      <w:r>
        <w:rPr>
          <w:spacing w:val="-1"/>
          <w:szCs w:val="22"/>
        </w:rPr>
        <w:t>New York</w:t>
      </w:r>
      <w:r w:rsidRPr="00E97187" w:rsidR="00F86933">
        <w:rPr>
          <w:spacing w:val="-1"/>
          <w:szCs w:val="22"/>
        </w:rPr>
        <w:t xml:space="preserve">         </w:t>
      </w:r>
      <w:r w:rsidR="00432B47">
        <w:rPr>
          <w:szCs w:val="22"/>
        </w:rPr>
        <w:t>35</w:t>
      </w:r>
      <w:r w:rsidRPr="00E97187" w:rsidR="00F86933">
        <w:rPr>
          <w:szCs w:val="22"/>
        </w:rPr>
        <w:t xml:space="preserve">                 </w:t>
      </w:r>
      <w:r w:rsidR="00432B47">
        <w:rPr>
          <w:szCs w:val="22"/>
        </w:rPr>
        <w:t>1000</w:t>
      </w:r>
      <w:r w:rsidRPr="00E97187" w:rsidR="00F86933">
        <w:rPr>
          <w:szCs w:val="22"/>
        </w:rPr>
        <w:t xml:space="preserve">                  </w:t>
      </w:r>
      <w:r w:rsidR="00432B47">
        <w:rPr>
          <w:szCs w:val="22"/>
        </w:rPr>
        <w:t>392</w:t>
      </w:r>
      <w:r w:rsidRPr="00E97187" w:rsidR="00F86933">
        <w:rPr>
          <w:szCs w:val="22"/>
        </w:rPr>
        <w:t xml:space="preserve">                      </w:t>
      </w:r>
      <w:r w:rsidR="008A7F19">
        <w:rPr>
          <w:szCs w:val="22"/>
        </w:rPr>
        <w:t xml:space="preserve"> </w:t>
      </w:r>
      <w:r w:rsidR="00472840">
        <w:rPr>
          <w:szCs w:val="22"/>
        </w:rPr>
        <w:t>1,759,432</w:t>
      </w:r>
      <w:r w:rsidR="00F86933">
        <w:rPr>
          <w:szCs w:val="22"/>
        </w:rPr>
        <w:t xml:space="preserve"> </w:t>
      </w:r>
    </w:p>
    <w:p w:rsidR="00E97187" w:rsidRPr="00E97187" w:rsidP="00E97187" w14:paraId="5A541183" w14:textId="1A57B396">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8"/>
      </w:r>
      <w:r w:rsidRPr="00E97187">
        <w:t xml:space="preserve">  An expedited effective date is necessary in this case to ensure that </w:t>
      </w:r>
      <w:r w:rsidR="008A5B1B">
        <w:t>WRGB</w:t>
      </w:r>
      <w:r w:rsidRPr="00E97187">
        <w:t xml:space="preserve"> 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6630BFCE" w14:textId="6264C2DF">
      <w:pPr>
        <w:pStyle w:val="ParaNum"/>
        <w:widowControl/>
      </w:pPr>
      <w:r w:rsidRPr="00E97187">
        <w:t>Accordingly, pursuant to the authority contained in sections 4(</w:t>
      </w:r>
      <w:r w:rsidRPr="00E97187">
        <w:t>i</w:t>
      </w:r>
      <w:r w:rsidRPr="00E97187">
        <w:t>), 5(c)(1), 303(g)</w:t>
      </w:r>
      <w:r w:rsidR="00D139C5">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xml:space="preserve">, That effective immediately upon the date of publication in the Federal </w:t>
      </w:r>
      <w:r w:rsidRPr="00E97187">
        <w:t>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0E9710A4">
      <w:pPr>
        <w:pStyle w:val="BodyText"/>
        <w:tabs>
          <w:tab w:val="left" w:pos="3728"/>
          <w:tab w:val="right" w:pos="6105"/>
        </w:tabs>
        <w:spacing w:after="220"/>
        <w:ind w:left="0"/>
        <w:rPr>
          <w:szCs w:val="22"/>
        </w:rPr>
      </w:pPr>
      <w:r>
        <w:rPr>
          <w:spacing w:val="-4"/>
          <w:szCs w:val="22"/>
        </w:rPr>
        <w:t>Schenectady</w:t>
      </w:r>
      <w:r w:rsidR="0031731D">
        <w:rPr>
          <w:spacing w:val="-4"/>
          <w:szCs w:val="22"/>
        </w:rPr>
        <w:t xml:space="preserve">, </w:t>
      </w:r>
      <w:r>
        <w:rPr>
          <w:spacing w:val="-4"/>
          <w:szCs w:val="22"/>
        </w:rPr>
        <w:t>New York</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432B47">
        <w:rPr>
          <w:spacing w:val="-3"/>
          <w:szCs w:val="22"/>
        </w:rPr>
        <w:t>*34, 35, 43</w:t>
      </w:r>
      <w:r w:rsidR="00C43340">
        <w:rPr>
          <w:spacing w:val="-4"/>
          <w:szCs w:val="22"/>
        </w:rPr>
        <w:t xml:space="preserve"> </w:t>
      </w:r>
    </w:p>
    <w:p w:rsidR="00E97187" w:rsidRPr="00E97187" w:rsidP="00E97187" w14:paraId="58623516" w14:textId="33069BB3">
      <w:pPr>
        <w:pStyle w:val="ParaNum"/>
      </w:pPr>
      <w:r w:rsidRPr="00E97187">
        <w:rPr>
          <w:b/>
          <w:bCs/>
        </w:rPr>
        <w:t>IT IS FURTHER ORDERED</w:t>
      </w:r>
      <w:r w:rsidRPr="00E97187">
        <w:t>, That within 30 days of the effective date of this Order,</w:t>
      </w:r>
      <w:r w:rsidR="00432B47">
        <w:t xml:space="preserve"> W</w:t>
      </w:r>
      <w:r w:rsidR="00D139C5">
        <w:t>RG</w:t>
      </w:r>
      <w:r w:rsidR="00432B47">
        <w:t>B</w:t>
      </w:r>
      <w:r w:rsidR="00C802E6">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432B47">
        <w:t>35</w:t>
      </w:r>
      <w:r w:rsidRPr="00E97187">
        <w:t xml:space="preserve"> in lieu of channel </w:t>
      </w:r>
      <w:r w:rsidR="00432B47">
        <w:t>6</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27CFDA23">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432B47">
        <w:t>127</w:t>
      </w:r>
      <w:r w:rsidR="008A7F19">
        <w:t xml:space="preserve"> and </w:t>
      </w:r>
      <w:r w:rsidR="00C802E6">
        <w:t>RM-118</w:t>
      </w:r>
      <w:r w:rsidR="00432B47">
        <w:t>94</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D295B61"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411D6DF" w14:textId="230D33E9">
      <w:r>
        <w:tab/>
      </w:r>
      <w:r>
        <w:tab/>
      </w:r>
      <w:r>
        <w:tab/>
      </w:r>
      <w:r>
        <w:tab/>
      </w:r>
      <w:r>
        <w:tab/>
      </w:r>
      <w:r>
        <w:tab/>
        <w:t>FEDERAL COMMUNICATIONS COMMISSION</w:t>
      </w:r>
    </w:p>
    <w:p w:rsidR="006409B6" w:rsidP="0017296B" w14:paraId="2B6CF0CB" w14:textId="77777777"/>
    <w:p w:rsidR="006409B6" w:rsidP="0017296B" w14:paraId="0D5E760A" w14:textId="208730A5"/>
    <w:p w:rsidR="00C43340" w:rsidP="0017296B" w14:paraId="7D61DC24" w14:textId="77777777"/>
    <w:p w:rsidR="006409B6" w:rsidP="0017296B" w14:paraId="7BE30C62" w14:textId="77777777">
      <w:r>
        <w:tab/>
      </w:r>
      <w:r>
        <w:tab/>
      </w:r>
      <w:r>
        <w:tab/>
      </w:r>
      <w:r>
        <w:tab/>
      </w:r>
      <w:r>
        <w:tab/>
      </w:r>
      <w:r>
        <w:tab/>
        <w:t>Barbara A. Kreisman</w:t>
      </w:r>
    </w:p>
    <w:p w:rsidR="006409B6" w:rsidP="0017296B" w14:paraId="505F18FE" w14:textId="77777777">
      <w:r>
        <w:tab/>
      </w:r>
      <w:r>
        <w:tab/>
      </w:r>
      <w:r>
        <w:tab/>
      </w:r>
      <w:r>
        <w:tab/>
      </w:r>
      <w:r>
        <w:tab/>
      </w:r>
      <w:r>
        <w:tab/>
        <w:t>Chief, Video Division</w:t>
      </w:r>
    </w:p>
    <w:p w:rsidR="00412FC5" w:rsidP="006409B6" w14:paraId="6B4E98D2"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69C3EFCB">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8A5B1B">
        <w:rPr>
          <w:i/>
          <w:iCs/>
        </w:rPr>
        <w:t>Schenectady</w:t>
      </w:r>
      <w:r w:rsidR="00C65811">
        <w:rPr>
          <w:i/>
          <w:iCs/>
        </w:rPr>
        <w:t xml:space="preserve">, </w:t>
      </w:r>
      <w:r w:rsidR="008A5B1B">
        <w:rPr>
          <w:i/>
          <w:iCs/>
        </w:rPr>
        <w:t>New York</w:t>
      </w:r>
      <w:r w:rsidRPr="00400001">
        <w:rPr>
          <w:i/>
          <w:iCs/>
        </w:rPr>
        <w:t>)</w:t>
      </w:r>
      <w:r>
        <w:t xml:space="preserve">, </w:t>
      </w:r>
      <w:r w:rsidR="006409B6">
        <w:t>MB Docket No. 2</w:t>
      </w:r>
      <w:r w:rsidR="00752E7E">
        <w:t>1-</w:t>
      </w:r>
      <w:r w:rsidR="00432B47">
        <w:t>127</w:t>
      </w:r>
      <w:r w:rsidR="006409B6">
        <w:t xml:space="preserve">, </w:t>
      </w:r>
      <w:r>
        <w:t>Notice of Proposed Rulemaking,</w:t>
      </w:r>
      <w:r w:rsidR="00C34A62">
        <w:t xml:space="preserve"> </w:t>
      </w:r>
      <w:r w:rsidR="00C65811">
        <w:t>DA 21-</w:t>
      </w:r>
      <w:r w:rsidR="00432B47">
        <w:t>398</w:t>
      </w:r>
      <w:r w:rsidR="00C65811">
        <w:t xml:space="preserve"> (rel. </w:t>
      </w:r>
      <w:r w:rsidR="00432B47">
        <w:t>Apr. 5</w:t>
      </w:r>
      <w:r w:rsidR="00C65811">
        <w:t>,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6E9B3EE1">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p>
  </w:footnote>
  <w:footnote w:id="6">
    <w:p w:rsidR="0069695A" w14:paraId="5914C909" w14:textId="55399E1F">
      <w:pPr>
        <w:pStyle w:val="FootnoteText"/>
      </w:pPr>
      <w:r>
        <w:rPr>
          <w:rStyle w:val="FootnoteReference"/>
        </w:rPr>
        <w:footnoteRef/>
      </w:r>
      <w:r>
        <w:t xml:space="preserve"> WRGB Licensee, LLC Comments (filed </w:t>
      </w:r>
      <w:r w:rsidR="00D139C5">
        <w:t>May</w:t>
      </w:r>
      <w:r>
        <w:t xml:space="preserve"> 19, 2021) (WRGB Comments).</w:t>
      </w:r>
    </w:p>
  </w:footnote>
  <w:footnote w:id="7">
    <w:p w:rsidR="00432B47" w14:paraId="31BE38E6" w14:textId="1E73FAAF">
      <w:pPr>
        <w:pStyle w:val="FootnoteText"/>
      </w:pPr>
      <w:r>
        <w:rPr>
          <w:rStyle w:val="FootnoteReference"/>
        </w:rPr>
        <w:footnoteRef/>
      </w:r>
      <w:r>
        <w:t xml:space="preserve">  REC</w:t>
      </w:r>
      <w:r w:rsidR="0069695A">
        <w:t xml:space="preserve"> Networks</w:t>
      </w:r>
      <w:r>
        <w:t xml:space="preserve"> </w:t>
      </w:r>
      <w:r w:rsidR="0069695A">
        <w:t>C</w:t>
      </w:r>
      <w:r>
        <w:t>omments</w:t>
      </w:r>
      <w:r w:rsidR="0069695A">
        <w:t xml:space="preserve"> </w:t>
      </w:r>
      <w:r w:rsidR="002D4695">
        <w:t xml:space="preserve">at para. 1 </w:t>
      </w:r>
      <w:r w:rsidR="0069695A">
        <w:t xml:space="preserve">(filed </w:t>
      </w:r>
      <w:r w:rsidR="00D139C5">
        <w:t>May</w:t>
      </w:r>
      <w:r w:rsidR="0069695A">
        <w:t xml:space="preserve"> 17, 2021) (REC Comments)</w:t>
      </w:r>
      <w:r>
        <w:t>.</w:t>
      </w:r>
    </w:p>
  </w:footnote>
  <w:footnote w:id="8">
    <w:p w:rsidR="003C639A" w14:paraId="00281A31" w14:textId="5EEFE11C">
      <w:pPr>
        <w:pStyle w:val="FootnoteText"/>
      </w:pPr>
      <w:r>
        <w:rPr>
          <w:rStyle w:val="FootnoteReference"/>
        </w:rPr>
        <w:footnoteRef/>
      </w:r>
      <w:r>
        <w:t xml:space="preserve"> </w:t>
      </w:r>
      <w:r w:rsidRPr="00C869ED">
        <w:rPr>
          <w:i/>
          <w:iCs/>
        </w:rPr>
        <w:t>NPRM</w:t>
      </w:r>
      <w:r>
        <w:t xml:space="preserve"> at para. 2</w:t>
      </w:r>
      <w:r w:rsidR="00E474AA">
        <w:t xml:space="preserve"> and n</w:t>
      </w:r>
      <w:r w:rsidR="004E716F">
        <w:t>.</w:t>
      </w:r>
      <w:r w:rsidR="0069695A">
        <w:t>3</w:t>
      </w:r>
      <w:r>
        <w:t>.</w:t>
      </w:r>
      <w:r w:rsidR="00E474AA">
        <w:t xml:space="preserve"> </w:t>
      </w:r>
      <w:r w:rsidR="00DA6018">
        <w:t xml:space="preserve">  </w:t>
      </w:r>
      <w:r w:rsidRPr="00DB1F56" w:rsidR="00DA6018">
        <w:t>While</w:t>
      </w:r>
      <w:r w:rsidR="00DA6018">
        <w:t xml:space="preserve"> the </w:t>
      </w:r>
      <w:r w:rsidR="00D56707">
        <w:t>Petitioner</w:t>
      </w:r>
      <w:r w:rsidR="00DA6018">
        <w:t xml:space="preserve"> contends that the channel substitution would benefit ATSC 3.0 reception</w:t>
      </w:r>
      <w:r w:rsidRPr="00DB1F56" w:rsidR="00DA6018">
        <w:t xml:space="preserve"> </w:t>
      </w:r>
      <w:r w:rsidR="00DA6018">
        <w:t xml:space="preserve">in addition to ATSC 1.0 reception, </w:t>
      </w:r>
      <w:r w:rsidR="00DA6018">
        <w:rPr>
          <w:i/>
          <w:iCs/>
        </w:rPr>
        <w:t>id.</w:t>
      </w:r>
      <w:r w:rsidR="00E474AA">
        <w:rPr>
          <w:i/>
          <w:iCs/>
        </w:rPr>
        <w:t xml:space="preserve"> </w:t>
      </w:r>
      <w:r w:rsidR="00E474AA">
        <w:t xml:space="preserve">and WRGB Comments at </w:t>
      </w:r>
      <w:r w:rsidR="0069695A">
        <w:t>1-2</w:t>
      </w:r>
      <w:r w:rsidR="00DA6018">
        <w:t xml:space="preserve">, </w:t>
      </w:r>
      <w:r w:rsidRPr="00DB1F56" w:rsidR="00DA6018">
        <w:t xml:space="preserve">we do not find the </w:t>
      </w:r>
      <w:r w:rsidR="00D56707">
        <w:t>Petitioner</w:t>
      </w:r>
      <w:r w:rsidRPr="00DB1F56" w:rsidR="00DA6018">
        <w:t>’s arguments concerning ATSC 3.0 reception to be a controlling factor in our decision</w:t>
      </w:r>
      <w:r w:rsidR="00DA6018">
        <w:t>, especially given the early stages of deployment and limited availability of consumer devices</w:t>
      </w:r>
      <w:r w:rsidR="00E319DF">
        <w:t>.</w:t>
      </w:r>
    </w:p>
  </w:footnote>
  <w:footnote w:id="9">
    <w:p w:rsidR="00EE0047" w14:paraId="7D453698" w14:textId="53D0AB02">
      <w:pPr>
        <w:pStyle w:val="FootnoteText"/>
      </w:pPr>
      <w:r>
        <w:rPr>
          <w:rStyle w:val="FootnoteReference"/>
        </w:rPr>
        <w:footnoteRef/>
      </w:r>
      <w:r>
        <w:t xml:space="preserve"> </w:t>
      </w:r>
      <w:r w:rsidRPr="00EF48D8" w:rsidR="00EF48D8">
        <w:rPr>
          <w:i/>
          <w:iCs/>
        </w:rPr>
        <w:t>NPRM</w:t>
      </w:r>
      <w:r w:rsidR="0033517A">
        <w:t xml:space="preserve"> at para. 2.</w:t>
      </w:r>
    </w:p>
  </w:footnote>
  <w:footnote w:id="10">
    <w:p w:rsidR="0033517A" w:rsidP="0033517A" w14:paraId="5F3566FC" w14:textId="27792825">
      <w:pPr>
        <w:pStyle w:val="FootnoteText"/>
      </w:pPr>
      <w:r>
        <w:rPr>
          <w:rStyle w:val="FootnoteReference"/>
        </w:rPr>
        <w:footnoteRef/>
      </w:r>
      <w:r>
        <w:t xml:space="preserve"> </w:t>
      </w:r>
      <w:r w:rsidR="00665E6B">
        <w:t xml:space="preserve">As the Bureau explained in the </w:t>
      </w:r>
      <w:r w:rsidRPr="00665E6B" w:rsidR="00665E6B">
        <w:rPr>
          <w:i/>
          <w:iCs/>
        </w:rPr>
        <w:t>NPRM</w:t>
      </w:r>
      <w:r w:rsidR="00665E6B">
        <w:t>, it</w:t>
      </w:r>
      <w:r>
        <w:t xml:space="preserve"> used the technical parameters of WRGB’s original post-transition digital channel 6 facility </w:t>
      </w:r>
      <w:r w:rsidR="00665E6B">
        <w:t>(</w:t>
      </w:r>
      <w:r>
        <w:t>File No. BPCDT-20080307AAK) in determining any predicted loss which may occur from the proposed channel substitution.</w:t>
      </w:r>
      <w:r w:rsidR="00665E6B">
        <w:t xml:space="preserve">  </w:t>
      </w:r>
      <w:r w:rsidRPr="00665E6B" w:rsidR="00665E6B">
        <w:rPr>
          <w:i/>
          <w:iCs/>
        </w:rPr>
        <w:t>N</w:t>
      </w:r>
      <w:r w:rsidRPr="00665E6B" w:rsidR="00665E6B">
        <w:rPr>
          <w:rStyle w:val="PageNumber"/>
          <w:i/>
          <w:iCs/>
          <w:snapToGrid w:val="0"/>
          <w:kern w:val="28"/>
        </w:rPr>
        <w:t>PRM</w:t>
      </w:r>
      <w:r w:rsidRPr="00665E6B" w:rsidR="00665E6B">
        <w:rPr>
          <w:rStyle w:val="PageNumber"/>
          <w:snapToGrid w:val="0"/>
          <w:kern w:val="28"/>
        </w:rPr>
        <w:t xml:space="preserve"> at n.5.</w:t>
      </w:r>
    </w:p>
  </w:footnote>
  <w:footnote w:id="11">
    <w:p w:rsidR="0033517A" w:rsidP="0033517A" w14:paraId="1EBCAC4A" w14:textId="073D4C63">
      <w:pPr>
        <w:pStyle w:val="FootnoteText"/>
      </w:pPr>
      <w:r>
        <w:rPr>
          <w:rStyle w:val="FootnoteReference"/>
        </w:rPr>
        <w:footnoteRef/>
      </w:r>
      <w:r w:rsidR="00665E6B">
        <w:t xml:space="preserve"> </w:t>
      </w:r>
      <w:r w:rsidRPr="00EF48D8" w:rsidR="00665E6B">
        <w:rPr>
          <w:i/>
          <w:iCs/>
        </w:rPr>
        <w:t>Id</w:t>
      </w:r>
      <w:r w:rsidR="00665E6B">
        <w:t>.</w:t>
      </w:r>
      <w:r>
        <w:t xml:space="preserve"> at</w:t>
      </w:r>
      <w:r w:rsidR="00665E6B">
        <w:t xml:space="preserve"> para.</w:t>
      </w:r>
      <w:r w:rsidR="00436645">
        <w:t xml:space="preserve"> </w:t>
      </w:r>
      <w:r w:rsidR="00665E6B">
        <w:t>3</w:t>
      </w:r>
      <w:r>
        <w:t>.</w:t>
      </w:r>
    </w:p>
  </w:footnote>
  <w:footnote w:id="12">
    <w:p w:rsidR="00436645" w14:paraId="5AC99919" w14:textId="4DCC1440">
      <w:pPr>
        <w:pStyle w:val="FootnoteText"/>
      </w:pPr>
      <w:r>
        <w:rPr>
          <w:rStyle w:val="FootnoteReference"/>
        </w:rPr>
        <w:footnoteRef/>
      </w:r>
      <w:r>
        <w:t xml:space="preserve"> REC Comments at para. 2</w:t>
      </w:r>
    </w:p>
  </w:footnote>
  <w:footnote w:id="13">
    <w:p w:rsidR="000376BF" w14:paraId="5FB3C18B" w14:textId="08F04701">
      <w:pPr>
        <w:pStyle w:val="FootnoteText"/>
      </w:pPr>
      <w:r>
        <w:rPr>
          <w:rStyle w:val="FootnoteReference"/>
        </w:rPr>
        <w:footnoteRef/>
      </w:r>
      <w:r>
        <w:t xml:space="preserve"> </w:t>
      </w:r>
      <w:r w:rsidRPr="0015218A">
        <w:rPr>
          <w:i/>
          <w:iCs/>
        </w:rPr>
        <w:t>Id</w:t>
      </w:r>
      <w:r w:rsidRPr="0015218A">
        <w:t xml:space="preserve">.; 47 CFR </w:t>
      </w:r>
      <w:r w:rsidRPr="0015218A" w:rsidR="00E8079C">
        <w:t>§§</w:t>
      </w:r>
      <w:r w:rsidRPr="0015218A" w:rsidR="00EF48D8">
        <w:t xml:space="preserve"> </w:t>
      </w:r>
      <w:r w:rsidRPr="0015218A" w:rsidR="00E8079C">
        <w:t>73.525, 73.825.</w:t>
      </w:r>
      <w:r w:rsidRPr="0015218A" w:rsidR="002566E5">
        <w:t xml:space="preserve">  REC also states that “full-service TV clearance from Channels 6 and 5 could increase the potential for a long-term plan to reallocate 76</w:t>
      </w:r>
      <w:r w:rsidR="000143CF">
        <w:t>-</w:t>
      </w:r>
      <w:r w:rsidRPr="0015218A" w:rsidR="002566E5">
        <w:t>88 MHz (or at least 82</w:t>
      </w:r>
      <w:r w:rsidR="000143CF">
        <w:t>-</w:t>
      </w:r>
      <w:r w:rsidRPr="0015218A" w:rsidR="002566E5">
        <w:t>88 MHz) for a well needed expansion of the FM broadcast band providing a potential migration path for struggling AM broadcast stations nationwide as well as increase community radio opportunities, especially to minority and other niche communities.</w:t>
      </w:r>
      <w:r w:rsidR="002566E5">
        <w:t>”  This argument is outside the scope of this proceeding and thus, we give it no consideration here.</w:t>
      </w:r>
    </w:p>
  </w:footnote>
  <w:footnote w:id="14">
    <w:p w:rsidR="00FD3720" w14:paraId="3AF8707D" w14:textId="5E06CC26">
      <w:pPr>
        <w:pStyle w:val="FootnoteText"/>
      </w:pPr>
      <w:r>
        <w:rPr>
          <w:rStyle w:val="FootnoteReference"/>
        </w:rPr>
        <w:footnoteRef/>
      </w:r>
      <w:r>
        <w:t xml:space="preserve"> REC Comments at para. 3.</w:t>
      </w:r>
    </w:p>
  </w:footnote>
  <w:footnote w:id="15">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6">
    <w:p w:rsidR="0076002E" w:rsidRPr="008B4DE5" w:rsidP="0076002E" w14:paraId="29166CB1" w14:textId="77777777">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 xml:space="preserve">s). See also </w:t>
      </w:r>
      <w:r>
        <w:t>Amended Engineering Statement at 6 and Exhibits.</w:t>
      </w:r>
    </w:p>
  </w:footnote>
  <w:footnote w:id="17">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8">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70194323">
    <w:pPr>
      <w:pStyle w:val="Header"/>
      <w:rPr>
        <w:b w:val="0"/>
      </w:rPr>
    </w:pPr>
    <w:r>
      <w:tab/>
      <w:t>Federal Communications Commission</w:t>
    </w:r>
    <w:r>
      <w:tab/>
    </w:r>
    <w:r w:rsidR="00E97187">
      <w:t>DA 21-</w:t>
    </w:r>
    <w:r w:rsidR="00CA6563">
      <w:t>700</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26868BA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CA6563">
      <w:rPr>
        <w:spacing w:val="-2"/>
      </w:rPr>
      <w:t>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43CF"/>
    <w:rsid w:val="00031E32"/>
    <w:rsid w:val="00036039"/>
    <w:rsid w:val="0003658C"/>
    <w:rsid w:val="000376BF"/>
    <w:rsid w:val="00037F90"/>
    <w:rsid w:val="0005127D"/>
    <w:rsid w:val="00064BDF"/>
    <w:rsid w:val="000658A4"/>
    <w:rsid w:val="000709BB"/>
    <w:rsid w:val="000875BF"/>
    <w:rsid w:val="00092AB5"/>
    <w:rsid w:val="00096D8C"/>
    <w:rsid w:val="000B6166"/>
    <w:rsid w:val="000C0B65"/>
    <w:rsid w:val="000E05FE"/>
    <w:rsid w:val="000E3D42"/>
    <w:rsid w:val="000E3EFF"/>
    <w:rsid w:val="001023E8"/>
    <w:rsid w:val="001032F9"/>
    <w:rsid w:val="00122BD5"/>
    <w:rsid w:val="00133F79"/>
    <w:rsid w:val="00150D37"/>
    <w:rsid w:val="0015218A"/>
    <w:rsid w:val="00154155"/>
    <w:rsid w:val="0017296B"/>
    <w:rsid w:val="00190580"/>
    <w:rsid w:val="0019432C"/>
    <w:rsid w:val="00194A66"/>
    <w:rsid w:val="001A0147"/>
    <w:rsid w:val="001A6147"/>
    <w:rsid w:val="001B10DB"/>
    <w:rsid w:val="001D4184"/>
    <w:rsid w:val="001D6BCF"/>
    <w:rsid w:val="001E0027"/>
    <w:rsid w:val="001E01CA"/>
    <w:rsid w:val="001E63D8"/>
    <w:rsid w:val="001F5E8F"/>
    <w:rsid w:val="00206D86"/>
    <w:rsid w:val="002566E5"/>
    <w:rsid w:val="00275CF5"/>
    <w:rsid w:val="0028301F"/>
    <w:rsid w:val="00285017"/>
    <w:rsid w:val="002A2D2E"/>
    <w:rsid w:val="002A79DD"/>
    <w:rsid w:val="002C00E8"/>
    <w:rsid w:val="002D4695"/>
    <w:rsid w:val="002F6E16"/>
    <w:rsid w:val="0031731D"/>
    <w:rsid w:val="0033517A"/>
    <w:rsid w:val="00343749"/>
    <w:rsid w:val="00351C35"/>
    <w:rsid w:val="003660ED"/>
    <w:rsid w:val="00367B19"/>
    <w:rsid w:val="00381DCA"/>
    <w:rsid w:val="003A688B"/>
    <w:rsid w:val="003B0550"/>
    <w:rsid w:val="003B694F"/>
    <w:rsid w:val="003C639A"/>
    <w:rsid w:val="003F171C"/>
    <w:rsid w:val="00400001"/>
    <w:rsid w:val="0040157D"/>
    <w:rsid w:val="00412FC5"/>
    <w:rsid w:val="00422276"/>
    <w:rsid w:val="004242F1"/>
    <w:rsid w:val="00424EA6"/>
    <w:rsid w:val="00432B47"/>
    <w:rsid w:val="00436645"/>
    <w:rsid w:val="00445A00"/>
    <w:rsid w:val="00451B0F"/>
    <w:rsid w:val="00471E93"/>
    <w:rsid w:val="00472840"/>
    <w:rsid w:val="00494BBF"/>
    <w:rsid w:val="004A57F0"/>
    <w:rsid w:val="004C2EE3"/>
    <w:rsid w:val="004D4DB7"/>
    <w:rsid w:val="004E4A22"/>
    <w:rsid w:val="004E716F"/>
    <w:rsid w:val="005077A3"/>
    <w:rsid w:val="00511968"/>
    <w:rsid w:val="00511E8C"/>
    <w:rsid w:val="0055614C"/>
    <w:rsid w:val="00566D06"/>
    <w:rsid w:val="00586AF3"/>
    <w:rsid w:val="00590F45"/>
    <w:rsid w:val="005E14C2"/>
    <w:rsid w:val="00601070"/>
    <w:rsid w:val="00607BA5"/>
    <w:rsid w:val="0061180A"/>
    <w:rsid w:val="00616F89"/>
    <w:rsid w:val="006241E4"/>
    <w:rsid w:val="00625FAE"/>
    <w:rsid w:val="00626EB6"/>
    <w:rsid w:val="006345A5"/>
    <w:rsid w:val="006409B6"/>
    <w:rsid w:val="00655D03"/>
    <w:rsid w:val="00665E6B"/>
    <w:rsid w:val="006777C5"/>
    <w:rsid w:val="00683388"/>
    <w:rsid w:val="00683CEC"/>
    <w:rsid w:val="00683F84"/>
    <w:rsid w:val="006856D1"/>
    <w:rsid w:val="00691886"/>
    <w:rsid w:val="006945ED"/>
    <w:rsid w:val="0069695A"/>
    <w:rsid w:val="006A6A81"/>
    <w:rsid w:val="006E2ABD"/>
    <w:rsid w:val="006F7393"/>
    <w:rsid w:val="0070224F"/>
    <w:rsid w:val="007115F7"/>
    <w:rsid w:val="00711A32"/>
    <w:rsid w:val="00716576"/>
    <w:rsid w:val="007469D2"/>
    <w:rsid w:val="00752E7E"/>
    <w:rsid w:val="0076002E"/>
    <w:rsid w:val="00772675"/>
    <w:rsid w:val="00785689"/>
    <w:rsid w:val="0079754B"/>
    <w:rsid w:val="007A1E6D"/>
    <w:rsid w:val="007A7D14"/>
    <w:rsid w:val="007B0EB2"/>
    <w:rsid w:val="007C60E1"/>
    <w:rsid w:val="007E31D4"/>
    <w:rsid w:val="007F6ED0"/>
    <w:rsid w:val="00810B6F"/>
    <w:rsid w:val="00822CE0"/>
    <w:rsid w:val="00841AB1"/>
    <w:rsid w:val="00852F57"/>
    <w:rsid w:val="0085773E"/>
    <w:rsid w:val="00866173"/>
    <w:rsid w:val="008A5B1B"/>
    <w:rsid w:val="008A7F19"/>
    <w:rsid w:val="008B4DE5"/>
    <w:rsid w:val="008C68F1"/>
    <w:rsid w:val="008F6B08"/>
    <w:rsid w:val="008F6F47"/>
    <w:rsid w:val="009043D2"/>
    <w:rsid w:val="009078BE"/>
    <w:rsid w:val="009148A4"/>
    <w:rsid w:val="00921803"/>
    <w:rsid w:val="00924BBC"/>
    <w:rsid w:val="00926503"/>
    <w:rsid w:val="00941655"/>
    <w:rsid w:val="00953030"/>
    <w:rsid w:val="009726D8"/>
    <w:rsid w:val="009919F5"/>
    <w:rsid w:val="009D7308"/>
    <w:rsid w:val="009F76DB"/>
    <w:rsid w:val="00A10BD0"/>
    <w:rsid w:val="00A2491E"/>
    <w:rsid w:val="00A26DFA"/>
    <w:rsid w:val="00A32C3B"/>
    <w:rsid w:val="00A45F4F"/>
    <w:rsid w:val="00A600A9"/>
    <w:rsid w:val="00A651AA"/>
    <w:rsid w:val="00AA55B7"/>
    <w:rsid w:val="00AA5B9E"/>
    <w:rsid w:val="00AB2407"/>
    <w:rsid w:val="00AB53DF"/>
    <w:rsid w:val="00AE423E"/>
    <w:rsid w:val="00AE585E"/>
    <w:rsid w:val="00B07E5C"/>
    <w:rsid w:val="00B66A30"/>
    <w:rsid w:val="00B811F7"/>
    <w:rsid w:val="00B92E3C"/>
    <w:rsid w:val="00BA5DC6"/>
    <w:rsid w:val="00BA6196"/>
    <w:rsid w:val="00BC6D8C"/>
    <w:rsid w:val="00BD70E4"/>
    <w:rsid w:val="00BE6CEF"/>
    <w:rsid w:val="00BF0056"/>
    <w:rsid w:val="00BF0A68"/>
    <w:rsid w:val="00C2185E"/>
    <w:rsid w:val="00C34006"/>
    <w:rsid w:val="00C34A62"/>
    <w:rsid w:val="00C36B4C"/>
    <w:rsid w:val="00C426B1"/>
    <w:rsid w:val="00C43340"/>
    <w:rsid w:val="00C43C45"/>
    <w:rsid w:val="00C65811"/>
    <w:rsid w:val="00C66160"/>
    <w:rsid w:val="00C721AC"/>
    <w:rsid w:val="00C738D7"/>
    <w:rsid w:val="00C802E6"/>
    <w:rsid w:val="00C85E24"/>
    <w:rsid w:val="00C869ED"/>
    <w:rsid w:val="00C90D6A"/>
    <w:rsid w:val="00CA247E"/>
    <w:rsid w:val="00CA4457"/>
    <w:rsid w:val="00CA6563"/>
    <w:rsid w:val="00CA6D21"/>
    <w:rsid w:val="00CC72B6"/>
    <w:rsid w:val="00CF65F3"/>
    <w:rsid w:val="00D0218D"/>
    <w:rsid w:val="00D139C5"/>
    <w:rsid w:val="00D25FB5"/>
    <w:rsid w:val="00D3417F"/>
    <w:rsid w:val="00D44223"/>
    <w:rsid w:val="00D56707"/>
    <w:rsid w:val="00D711F6"/>
    <w:rsid w:val="00DA2529"/>
    <w:rsid w:val="00DA6018"/>
    <w:rsid w:val="00DB130A"/>
    <w:rsid w:val="00DB1F56"/>
    <w:rsid w:val="00DB2EBB"/>
    <w:rsid w:val="00DC024A"/>
    <w:rsid w:val="00DC10A1"/>
    <w:rsid w:val="00DC655F"/>
    <w:rsid w:val="00DC699B"/>
    <w:rsid w:val="00DD0B59"/>
    <w:rsid w:val="00DD7EBD"/>
    <w:rsid w:val="00DE70C9"/>
    <w:rsid w:val="00DF62B6"/>
    <w:rsid w:val="00E07225"/>
    <w:rsid w:val="00E208EC"/>
    <w:rsid w:val="00E260F8"/>
    <w:rsid w:val="00E319DF"/>
    <w:rsid w:val="00E474AA"/>
    <w:rsid w:val="00E5409F"/>
    <w:rsid w:val="00E8079C"/>
    <w:rsid w:val="00E91504"/>
    <w:rsid w:val="00E9514A"/>
    <w:rsid w:val="00E97187"/>
    <w:rsid w:val="00EA0A8B"/>
    <w:rsid w:val="00EB6D5F"/>
    <w:rsid w:val="00EC2856"/>
    <w:rsid w:val="00EC5F55"/>
    <w:rsid w:val="00EE0047"/>
    <w:rsid w:val="00EE6488"/>
    <w:rsid w:val="00EF48D8"/>
    <w:rsid w:val="00F021FA"/>
    <w:rsid w:val="00F23FF8"/>
    <w:rsid w:val="00F372C7"/>
    <w:rsid w:val="00F466AA"/>
    <w:rsid w:val="00F62E97"/>
    <w:rsid w:val="00F64209"/>
    <w:rsid w:val="00F86933"/>
    <w:rsid w:val="00F9262B"/>
    <w:rsid w:val="00F93BF5"/>
    <w:rsid w:val="00FA4C43"/>
    <w:rsid w:val="00FB4302"/>
    <w:rsid w:val="00FC0606"/>
    <w:rsid w:val="00FD3720"/>
    <w:rsid w:val="00FE7B78"/>
    <w:rsid w:val="00FF16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63"/>
    <w:pPr>
      <w:widowControl w:val="0"/>
    </w:pPr>
    <w:rPr>
      <w:snapToGrid w:val="0"/>
      <w:kern w:val="28"/>
      <w:sz w:val="22"/>
    </w:rPr>
  </w:style>
  <w:style w:type="paragraph" w:styleId="Heading1">
    <w:name w:val="heading 1"/>
    <w:basedOn w:val="Normal"/>
    <w:next w:val="ParaNum"/>
    <w:qFormat/>
    <w:rsid w:val="00CA65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6563"/>
    <w:pPr>
      <w:keepNext/>
      <w:numPr>
        <w:ilvl w:val="1"/>
        <w:numId w:val="3"/>
      </w:numPr>
      <w:spacing w:after="120"/>
      <w:outlineLvl w:val="1"/>
    </w:pPr>
    <w:rPr>
      <w:b/>
    </w:rPr>
  </w:style>
  <w:style w:type="paragraph" w:styleId="Heading3">
    <w:name w:val="heading 3"/>
    <w:basedOn w:val="Normal"/>
    <w:next w:val="ParaNum"/>
    <w:qFormat/>
    <w:rsid w:val="00CA6563"/>
    <w:pPr>
      <w:keepNext/>
      <w:numPr>
        <w:ilvl w:val="2"/>
        <w:numId w:val="3"/>
      </w:numPr>
      <w:tabs>
        <w:tab w:val="left" w:pos="2160"/>
      </w:tabs>
      <w:spacing w:after="120"/>
      <w:outlineLvl w:val="2"/>
    </w:pPr>
    <w:rPr>
      <w:b/>
    </w:rPr>
  </w:style>
  <w:style w:type="paragraph" w:styleId="Heading4">
    <w:name w:val="heading 4"/>
    <w:basedOn w:val="Normal"/>
    <w:next w:val="ParaNum"/>
    <w:qFormat/>
    <w:rsid w:val="00CA6563"/>
    <w:pPr>
      <w:keepNext/>
      <w:numPr>
        <w:ilvl w:val="3"/>
        <w:numId w:val="3"/>
      </w:numPr>
      <w:tabs>
        <w:tab w:val="left" w:pos="2880"/>
      </w:tabs>
      <w:spacing w:after="120"/>
      <w:outlineLvl w:val="3"/>
    </w:pPr>
    <w:rPr>
      <w:b/>
    </w:rPr>
  </w:style>
  <w:style w:type="paragraph" w:styleId="Heading5">
    <w:name w:val="heading 5"/>
    <w:basedOn w:val="Normal"/>
    <w:next w:val="ParaNum"/>
    <w:qFormat/>
    <w:rsid w:val="00CA656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6563"/>
    <w:pPr>
      <w:numPr>
        <w:ilvl w:val="5"/>
        <w:numId w:val="3"/>
      </w:numPr>
      <w:tabs>
        <w:tab w:val="left" w:pos="4320"/>
      </w:tabs>
      <w:spacing w:after="120"/>
      <w:outlineLvl w:val="5"/>
    </w:pPr>
    <w:rPr>
      <w:b/>
    </w:rPr>
  </w:style>
  <w:style w:type="paragraph" w:styleId="Heading7">
    <w:name w:val="heading 7"/>
    <w:basedOn w:val="Normal"/>
    <w:next w:val="ParaNum"/>
    <w:qFormat/>
    <w:rsid w:val="00CA656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656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656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65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6563"/>
  </w:style>
  <w:style w:type="paragraph" w:customStyle="1" w:styleId="ParaNum">
    <w:name w:val="ParaNum"/>
    <w:basedOn w:val="Normal"/>
    <w:link w:val="ParaNumChar1"/>
    <w:rsid w:val="00CA6563"/>
    <w:pPr>
      <w:numPr>
        <w:numId w:val="2"/>
      </w:numPr>
      <w:tabs>
        <w:tab w:val="clear" w:pos="1080"/>
        <w:tab w:val="num" w:pos="1440"/>
      </w:tabs>
      <w:spacing w:after="120"/>
    </w:pPr>
  </w:style>
  <w:style w:type="paragraph" w:styleId="EndnoteText">
    <w:name w:val="endnote text"/>
    <w:basedOn w:val="Normal"/>
    <w:semiHidden/>
    <w:rsid w:val="00CA6563"/>
    <w:rPr>
      <w:sz w:val="20"/>
    </w:rPr>
  </w:style>
  <w:style w:type="character" w:styleId="EndnoteReference">
    <w:name w:val="endnote reference"/>
    <w:semiHidden/>
    <w:rsid w:val="00CA6563"/>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CA656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A6563"/>
    <w:rPr>
      <w:rFonts w:ascii="Times New Roman" w:hAnsi="Times New Roman"/>
      <w:dstrike w:val="0"/>
      <w:color w:val="auto"/>
      <w:sz w:val="20"/>
      <w:vertAlign w:val="superscript"/>
    </w:rPr>
  </w:style>
  <w:style w:type="paragraph" w:styleId="TOC1">
    <w:name w:val="toc 1"/>
    <w:basedOn w:val="Normal"/>
    <w:next w:val="Normal"/>
    <w:semiHidden/>
    <w:rsid w:val="00CA656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6563"/>
    <w:pPr>
      <w:tabs>
        <w:tab w:val="left" w:pos="720"/>
        <w:tab w:val="right" w:leader="dot" w:pos="9360"/>
      </w:tabs>
      <w:suppressAutoHyphens/>
      <w:ind w:left="720" w:right="720" w:hanging="360"/>
    </w:pPr>
    <w:rPr>
      <w:noProof/>
    </w:rPr>
  </w:style>
  <w:style w:type="paragraph" w:styleId="TOC3">
    <w:name w:val="toc 3"/>
    <w:basedOn w:val="Normal"/>
    <w:next w:val="Normal"/>
    <w:semiHidden/>
    <w:rsid w:val="00CA656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65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65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65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65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65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65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6563"/>
    <w:pPr>
      <w:tabs>
        <w:tab w:val="right" w:pos="9360"/>
      </w:tabs>
      <w:suppressAutoHyphens/>
    </w:pPr>
  </w:style>
  <w:style w:type="character" w:customStyle="1" w:styleId="EquationCaption">
    <w:name w:val="_Equation Caption"/>
    <w:rsid w:val="00CA6563"/>
  </w:style>
  <w:style w:type="paragraph" w:styleId="Header">
    <w:name w:val="header"/>
    <w:basedOn w:val="Normal"/>
    <w:autoRedefine/>
    <w:rsid w:val="00CA6563"/>
    <w:pPr>
      <w:tabs>
        <w:tab w:val="center" w:pos="4680"/>
        <w:tab w:val="right" w:pos="9360"/>
      </w:tabs>
    </w:pPr>
    <w:rPr>
      <w:b/>
    </w:rPr>
  </w:style>
  <w:style w:type="paragraph" w:styleId="Footer">
    <w:name w:val="footer"/>
    <w:basedOn w:val="Normal"/>
    <w:link w:val="FooterChar"/>
    <w:uiPriority w:val="99"/>
    <w:rsid w:val="00CA6563"/>
    <w:pPr>
      <w:tabs>
        <w:tab w:val="center" w:pos="4320"/>
        <w:tab w:val="right" w:pos="8640"/>
      </w:tabs>
    </w:pPr>
  </w:style>
  <w:style w:type="character" w:styleId="PageNumber">
    <w:name w:val="page number"/>
    <w:basedOn w:val="DefaultParagraphFont"/>
    <w:rsid w:val="00CA6563"/>
  </w:style>
  <w:style w:type="paragraph" w:styleId="BlockText">
    <w:name w:val="Block Text"/>
    <w:basedOn w:val="Normal"/>
    <w:rsid w:val="00CA6563"/>
    <w:pPr>
      <w:spacing w:after="240"/>
      <w:ind w:left="1440" w:right="1440"/>
    </w:pPr>
  </w:style>
  <w:style w:type="paragraph" w:customStyle="1" w:styleId="Paratitle">
    <w:name w:val="Para title"/>
    <w:basedOn w:val="Normal"/>
    <w:rsid w:val="00CA6563"/>
    <w:pPr>
      <w:tabs>
        <w:tab w:val="center" w:pos="9270"/>
      </w:tabs>
      <w:spacing w:after="240"/>
    </w:pPr>
    <w:rPr>
      <w:spacing w:val="-2"/>
    </w:rPr>
  </w:style>
  <w:style w:type="paragraph" w:customStyle="1" w:styleId="Bullet">
    <w:name w:val="Bullet"/>
    <w:basedOn w:val="Normal"/>
    <w:rsid w:val="00CA6563"/>
    <w:pPr>
      <w:tabs>
        <w:tab w:val="left" w:pos="2160"/>
      </w:tabs>
      <w:spacing w:after="220"/>
      <w:ind w:left="2160" w:hanging="720"/>
    </w:pPr>
  </w:style>
  <w:style w:type="paragraph" w:customStyle="1" w:styleId="TableFormat">
    <w:name w:val="TableFormat"/>
    <w:basedOn w:val="Bullet"/>
    <w:rsid w:val="00CA6563"/>
    <w:pPr>
      <w:tabs>
        <w:tab w:val="clear" w:pos="2160"/>
        <w:tab w:val="left" w:pos="5040"/>
      </w:tabs>
      <w:ind w:left="5040" w:hanging="3600"/>
    </w:pPr>
  </w:style>
  <w:style w:type="paragraph" w:customStyle="1" w:styleId="TOCTitle">
    <w:name w:val="TOC Title"/>
    <w:basedOn w:val="Normal"/>
    <w:rsid w:val="00CA65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6563"/>
    <w:pPr>
      <w:jc w:val="center"/>
    </w:pPr>
    <w:rPr>
      <w:rFonts w:ascii="Times New Roman Bold" w:hAnsi="Times New Roman Bold"/>
      <w:b/>
      <w:bCs/>
      <w:caps/>
      <w:szCs w:val="22"/>
    </w:rPr>
  </w:style>
  <w:style w:type="character" w:styleId="Hyperlink">
    <w:name w:val="Hyperlink"/>
    <w:rsid w:val="00CA6563"/>
    <w:rPr>
      <w:color w:val="0000FF"/>
      <w:u w:val="single"/>
    </w:rPr>
  </w:style>
  <w:style w:type="character" w:customStyle="1" w:styleId="FooterChar">
    <w:name w:val="Footer Char"/>
    <w:link w:val="Footer"/>
    <w:uiPriority w:val="99"/>
    <w:rsid w:val="00CA6563"/>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