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2D8F25AA" w14:textId="77777777">
      <w:pPr>
        <w:jc w:val="center"/>
        <w:rPr>
          <w:b/>
        </w:rPr>
      </w:pPr>
      <w:r>
        <w:rPr>
          <w:rFonts w:ascii="Times New Roman Bold" w:hAnsi="Times New Roman Bold"/>
          <w:b/>
          <w:kern w:val="0"/>
          <w:szCs w:val="22"/>
        </w:rPr>
        <w:t>Before</w:t>
      </w:r>
      <w:r>
        <w:rPr>
          <w:b/>
        </w:rPr>
        <w:t xml:space="preserve"> the</w:t>
      </w:r>
    </w:p>
    <w:p w:rsidR="002C41C4" w:rsidP="002C41C4" w14:paraId="67A4ACD8" w14:textId="77777777">
      <w:pPr>
        <w:pStyle w:val="StyleBoldCentered"/>
      </w:pPr>
      <w:r>
        <w:t>F</w:t>
      </w:r>
      <w:r>
        <w:rPr>
          <w:caps w:val="0"/>
        </w:rPr>
        <w:t>ederal Communications Commission</w:t>
      </w:r>
    </w:p>
    <w:p w:rsidR="002C41C4" w:rsidP="005C521E" w14:paraId="3387BC40" w14:textId="77777777">
      <w:pPr>
        <w:pStyle w:val="StyleBoldCentered"/>
      </w:pPr>
      <w:r>
        <w:rPr>
          <w:caps w:val="0"/>
        </w:rPr>
        <w:t>Washington, D.C. 20554</w:t>
      </w:r>
    </w:p>
    <w:p w:rsidR="002C41C4" w:rsidP="002C41C4" w14:paraId="794DBEA9" w14:textId="77777777"/>
    <w:tbl>
      <w:tblPr>
        <w:tblW w:w="0" w:type="auto"/>
        <w:tblLayout w:type="fixed"/>
        <w:tblLook w:val="0000"/>
      </w:tblPr>
      <w:tblGrid>
        <w:gridCol w:w="4698"/>
        <w:gridCol w:w="630"/>
        <w:gridCol w:w="4248"/>
      </w:tblGrid>
      <w:tr w14:paraId="4BC53433" w14:textId="77777777" w:rsidTr="00C5034F">
        <w:tblPrEx>
          <w:tblW w:w="0" w:type="auto"/>
          <w:tblLayout w:type="fixed"/>
          <w:tblLook w:val="0000"/>
        </w:tblPrEx>
        <w:tc>
          <w:tcPr>
            <w:tcW w:w="4698" w:type="dxa"/>
          </w:tcPr>
          <w:p w:rsidR="002C41C4" w:rsidP="00C5034F" w14:paraId="36984A50" w14:textId="77777777">
            <w:pPr>
              <w:tabs>
                <w:tab w:val="center" w:pos="4680"/>
              </w:tabs>
              <w:suppressAutoHyphens/>
              <w:rPr>
                <w:spacing w:val="-2"/>
              </w:rPr>
            </w:pPr>
            <w:r>
              <w:rPr>
                <w:spacing w:val="-2"/>
              </w:rPr>
              <w:t>In the Matter of</w:t>
            </w:r>
          </w:p>
          <w:p w:rsidR="002C41C4" w:rsidP="00C5034F" w14:paraId="0B67AEB7" w14:textId="77777777">
            <w:pPr>
              <w:tabs>
                <w:tab w:val="center" w:pos="4680"/>
              </w:tabs>
              <w:suppressAutoHyphens/>
              <w:rPr>
                <w:spacing w:val="-2"/>
              </w:rPr>
            </w:pPr>
          </w:p>
          <w:p w:rsidR="002C41C4" w:rsidP="00C5034F" w14:paraId="23A6592E" w14:textId="511AA8EB">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7B4A0D">
              <w:rPr>
                <w:spacing w:val="-2"/>
              </w:rPr>
              <w:t>Fredericksburg, Texas</w:t>
            </w:r>
            <w:r>
              <w:rPr>
                <w:spacing w:val="-2"/>
              </w:rPr>
              <w:t>)</w:t>
            </w:r>
          </w:p>
          <w:p w:rsidR="002C41C4" w:rsidP="00C5034F" w14:paraId="3FB8041D" w14:textId="77777777">
            <w:pPr>
              <w:tabs>
                <w:tab w:val="center" w:pos="4680"/>
              </w:tabs>
              <w:suppressAutoHyphens/>
              <w:rPr>
                <w:spacing w:val="-2"/>
              </w:rPr>
            </w:pPr>
          </w:p>
        </w:tc>
        <w:tc>
          <w:tcPr>
            <w:tcW w:w="630" w:type="dxa"/>
          </w:tcPr>
          <w:p w:rsidR="002C41C4" w:rsidP="00C5034F" w14:paraId="1182B48A" w14:textId="77777777">
            <w:pPr>
              <w:tabs>
                <w:tab w:val="center" w:pos="4680"/>
              </w:tabs>
              <w:suppressAutoHyphens/>
              <w:rPr>
                <w:b/>
                <w:spacing w:val="-2"/>
              </w:rPr>
            </w:pPr>
            <w:r>
              <w:rPr>
                <w:b/>
                <w:spacing w:val="-2"/>
              </w:rPr>
              <w:t>)</w:t>
            </w:r>
          </w:p>
          <w:p w:rsidR="002C41C4" w:rsidP="00C5034F" w14:paraId="5E54CA1A" w14:textId="77777777">
            <w:pPr>
              <w:tabs>
                <w:tab w:val="center" w:pos="4680"/>
              </w:tabs>
              <w:suppressAutoHyphens/>
              <w:rPr>
                <w:b/>
                <w:spacing w:val="-2"/>
              </w:rPr>
            </w:pPr>
            <w:r>
              <w:rPr>
                <w:b/>
                <w:spacing w:val="-2"/>
              </w:rPr>
              <w:t>)</w:t>
            </w:r>
          </w:p>
          <w:p w:rsidR="002C41C4" w:rsidP="00C5034F" w14:paraId="75DA3B95" w14:textId="77777777">
            <w:pPr>
              <w:tabs>
                <w:tab w:val="center" w:pos="4680"/>
              </w:tabs>
              <w:suppressAutoHyphens/>
              <w:rPr>
                <w:b/>
                <w:spacing w:val="-2"/>
              </w:rPr>
            </w:pPr>
            <w:r>
              <w:rPr>
                <w:b/>
                <w:spacing w:val="-2"/>
              </w:rPr>
              <w:t>)</w:t>
            </w:r>
          </w:p>
          <w:p w:rsidR="002C41C4" w:rsidP="00C5034F" w14:paraId="502CB1CC" w14:textId="77777777">
            <w:pPr>
              <w:tabs>
                <w:tab w:val="center" w:pos="4680"/>
              </w:tabs>
              <w:suppressAutoHyphens/>
              <w:rPr>
                <w:b/>
                <w:spacing w:val="-2"/>
              </w:rPr>
            </w:pPr>
            <w:r>
              <w:rPr>
                <w:b/>
                <w:spacing w:val="-2"/>
              </w:rPr>
              <w:t>)</w:t>
            </w:r>
          </w:p>
          <w:p w:rsidR="002C41C4" w:rsidP="00C5034F" w14:paraId="5DADC3E3" w14:textId="77777777">
            <w:pPr>
              <w:tabs>
                <w:tab w:val="center" w:pos="4680"/>
              </w:tabs>
              <w:suppressAutoHyphens/>
              <w:rPr>
                <w:b/>
                <w:spacing w:val="-2"/>
              </w:rPr>
            </w:pPr>
            <w:r>
              <w:rPr>
                <w:b/>
                <w:spacing w:val="-2"/>
              </w:rPr>
              <w:t>)</w:t>
            </w:r>
          </w:p>
        </w:tc>
        <w:tc>
          <w:tcPr>
            <w:tcW w:w="4248" w:type="dxa"/>
          </w:tcPr>
          <w:p w:rsidR="002C41C4" w:rsidP="00C5034F" w14:paraId="6E40C111" w14:textId="77777777">
            <w:pPr>
              <w:tabs>
                <w:tab w:val="center" w:pos="4680"/>
              </w:tabs>
              <w:suppressAutoHyphens/>
              <w:rPr>
                <w:spacing w:val="-2"/>
              </w:rPr>
            </w:pPr>
          </w:p>
          <w:p w:rsidR="002C41C4" w:rsidP="00C5034F" w14:paraId="453B8EB4" w14:textId="77777777">
            <w:pPr>
              <w:pStyle w:val="TOAHeading"/>
              <w:tabs>
                <w:tab w:val="center" w:pos="4680"/>
                <w:tab w:val="clear" w:pos="9360"/>
              </w:tabs>
              <w:rPr>
                <w:spacing w:val="-2"/>
              </w:rPr>
            </w:pPr>
          </w:p>
          <w:p w:rsidR="002C41C4" w:rsidP="00C5034F" w14:paraId="18DE6E07" w14:textId="1798EDCB">
            <w:pPr>
              <w:pStyle w:val="TOAHeading"/>
              <w:tabs>
                <w:tab w:val="center" w:pos="4680"/>
              </w:tabs>
              <w:rPr>
                <w:spacing w:val="-2"/>
              </w:rPr>
            </w:pPr>
            <w:r>
              <w:rPr>
                <w:spacing w:val="-2"/>
              </w:rPr>
              <w:t>MB Docket No. 21-</w:t>
            </w:r>
            <w:r w:rsidR="00B54ADC">
              <w:rPr>
                <w:spacing w:val="-2"/>
              </w:rPr>
              <w:t>254</w:t>
            </w:r>
          </w:p>
          <w:p w:rsidR="002C41C4" w:rsidP="00C5034F" w14:paraId="282FC5D5" w14:textId="4984600B">
            <w:pPr>
              <w:tabs>
                <w:tab w:val="center" w:pos="4680"/>
              </w:tabs>
              <w:suppressAutoHyphens/>
              <w:rPr>
                <w:spacing w:val="-2"/>
              </w:rPr>
            </w:pPr>
            <w:r>
              <w:rPr>
                <w:spacing w:val="-2"/>
              </w:rPr>
              <w:t>RM-11</w:t>
            </w:r>
            <w:r w:rsidR="00B625C0">
              <w:rPr>
                <w:spacing w:val="-2"/>
              </w:rPr>
              <w:t>9</w:t>
            </w:r>
            <w:r w:rsidR="00B54ADC">
              <w:rPr>
                <w:spacing w:val="-2"/>
              </w:rPr>
              <w:t>11</w:t>
            </w:r>
          </w:p>
        </w:tc>
      </w:tr>
    </w:tbl>
    <w:p w:rsidR="002C41C4" w:rsidP="002C41C4" w14:paraId="67706EBA" w14:textId="77777777">
      <w:pPr>
        <w:pStyle w:val="StyleBoldCentered"/>
      </w:pPr>
      <w:r>
        <w:t>Notice of proposed rulemaking</w:t>
      </w:r>
    </w:p>
    <w:p w:rsidR="002C41C4" w:rsidP="002C41C4" w14:paraId="5F54CC7B" w14:textId="77777777">
      <w:pPr>
        <w:tabs>
          <w:tab w:val="left" w:pos="-720"/>
        </w:tabs>
        <w:suppressAutoHyphens/>
        <w:spacing w:line="227" w:lineRule="auto"/>
        <w:rPr>
          <w:spacing w:val="-2"/>
        </w:rPr>
      </w:pPr>
    </w:p>
    <w:p w:rsidR="002C41C4" w:rsidP="002C41C4" w14:paraId="53356EA3" w14:textId="3833523E">
      <w:pPr>
        <w:tabs>
          <w:tab w:val="left" w:pos="720"/>
          <w:tab w:val="right" w:pos="9360"/>
        </w:tabs>
        <w:suppressAutoHyphens/>
        <w:spacing w:line="227" w:lineRule="auto"/>
        <w:rPr>
          <w:b/>
          <w:spacing w:val="-2"/>
        </w:rPr>
      </w:pPr>
      <w:r>
        <w:rPr>
          <w:b/>
          <w:spacing w:val="-2"/>
        </w:rPr>
        <w:t xml:space="preserve">Adopted:  </w:t>
      </w:r>
      <w:r w:rsidR="007B4A0D">
        <w:rPr>
          <w:b/>
          <w:spacing w:val="-2"/>
        </w:rPr>
        <w:t xml:space="preserve">June </w:t>
      </w:r>
      <w:r w:rsidR="00B54ADC">
        <w:rPr>
          <w:b/>
          <w:spacing w:val="-2"/>
        </w:rPr>
        <w:t>16</w:t>
      </w:r>
      <w:r>
        <w:rPr>
          <w:b/>
          <w:spacing w:val="-2"/>
        </w:rPr>
        <w:t>, 2021</w:t>
      </w:r>
      <w:r>
        <w:rPr>
          <w:b/>
          <w:spacing w:val="-2"/>
        </w:rPr>
        <w:tab/>
        <w:t xml:space="preserve">Released: </w:t>
      </w:r>
      <w:r w:rsidR="000826D1">
        <w:rPr>
          <w:b/>
          <w:spacing w:val="-2"/>
        </w:rPr>
        <w:t xml:space="preserve"> </w:t>
      </w:r>
      <w:r w:rsidR="007B4A0D">
        <w:rPr>
          <w:b/>
          <w:spacing w:val="-2"/>
        </w:rPr>
        <w:t xml:space="preserve">June </w:t>
      </w:r>
      <w:r w:rsidR="00B54ADC">
        <w:rPr>
          <w:b/>
          <w:spacing w:val="-2"/>
        </w:rPr>
        <w:t>16</w:t>
      </w:r>
      <w:r>
        <w:rPr>
          <w:b/>
          <w:spacing w:val="-2"/>
        </w:rPr>
        <w:t>, 2021</w:t>
      </w:r>
    </w:p>
    <w:p w:rsidR="002C41C4" w:rsidP="002C41C4" w14:paraId="43E248E5" w14:textId="77777777">
      <w:pPr>
        <w:tabs>
          <w:tab w:val="left" w:pos="720"/>
          <w:tab w:val="right" w:pos="9360"/>
        </w:tabs>
        <w:suppressAutoHyphens/>
        <w:spacing w:line="227" w:lineRule="auto"/>
        <w:rPr>
          <w:b/>
          <w:spacing w:val="-2"/>
        </w:rPr>
      </w:pPr>
    </w:p>
    <w:p w:rsidR="002C41C4" w:rsidP="002C41C4" w14:paraId="5B133F53"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0C712D98"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6CEEDCE9" w14:textId="77777777"/>
    <w:p w:rsidR="002C41C4" w:rsidP="002C41C4" w14:paraId="229DB56E" w14:textId="77777777">
      <w:pPr>
        <w:rPr>
          <w:spacing w:val="-2"/>
        </w:rPr>
      </w:pPr>
      <w:r>
        <w:t xml:space="preserve">By the </w:t>
      </w:r>
      <w:r>
        <w:rPr>
          <w:spacing w:val="-2"/>
        </w:rPr>
        <w:t>Chief, Video Division, Media Bureau:</w:t>
      </w:r>
    </w:p>
    <w:p w:rsidR="002C41C4" w:rsidP="002C41C4" w14:paraId="17460E43" w14:textId="77777777">
      <w:pPr>
        <w:rPr>
          <w:spacing w:val="-2"/>
        </w:rPr>
      </w:pPr>
    </w:p>
    <w:p w:rsidR="002C41C4" w:rsidP="002C41C4" w14:paraId="759DD6E2" w14:textId="77777777">
      <w:pPr>
        <w:pStyle w:val="Heading1"/>
        <w:keepNext w:val="0"/>
        <w:suppressAutoHyphens w:val="0"/>
      </w:pPr>
      <w:r>
        <w:t>Introduction</w:t>
      </w:r>
    </w:p>
    <w:p w:rsidR="002C41C4" w:rsidP="002C41C4" w14:paraId="4349A54C" w14:textId="0751EFBF">
      <w:pPr>
        <w:pStyle w:val="ParaNum"/>
        <w:tabs>
          <w:tab w:val="clear" w:pos="1440"/>
        </w:tabs>
      </w:pPr>
      <w:r>
        <w:t xml:space="preserve">The Video Division, Media Bureau (Bureau), has before it a petition for rulemaking filed </w:t>
      </w:r>
      <w:r w:rsidR="000B2D3A">
        <w:t>March 12,</w:t>
      </w:r>
      <w:r>
        <w:t xml:space="preserve"> 202</w:t>
      </w:r>
      <w:r w:rsidR="004A3F4E">
        <w:t>1</w:t>
      </w:r>
      <w:r>
        <w:t>,</w:t>
      </w:r>
      <w:r w:rsidR="000B2D3A">
        <w:t xml:space="preserve"> and amended June 1, 2012,</w:t>
      </w:r>
      <w:r>
        <w:t xml:space="preserve"> by </w:t>
      </w:r>
      <w:r w:rsidR="000B2D3A">
        <w:t>Corridor Television, L.L.P</w:t>
      </w:r>
      <w:r w:rsidR="001A5775">
        <w:t>.</w:t>
      </w:r>
      <w:r w:rsidR="000B2D3A">
        <w:t>,</w:t>
      </w:r>
      <w:r>
        <w:t xml:space="preserve"> (Petitioner), the licensee of </w:t>
      </w:r>
      <w:r w:rsidR="000B2D3A">
        <w:t>KCWX</w:t>
      </w:r>
      <w:r>
        <w:t xml:space="preserve"> (</w:t>
      </w:r>
      <w:r w:rsidR="000B2D3A">
        <w:t>MyNetwork</w:t>
      </w:r>
      <w:r>
        <w:t>), channel</w:t>
      </w:r>
      <w:r w:rsidR="000826D1">
        <w:t xml:space="preserve"> </w:t>
      </w:r>
      <w:r w:rsidR="000B2D3A">
        <w:t>5</w:t>
      </w:r>
      <w:r>
        <w:t xml:space="preserve">, </w:t>
      </w:r>
      <w:r w:rsidR="000B2D3A">
        <w:t>Fredericksburg</w:t>
      </w:r>
      <w:r w:rsidR="004A3F4E">
        <w:t xml:space="preserve">, </w:t>
      </w:r>
      <w:r w:rsidR="000B2D3A">
        <w:t>Texas</w:t>
      </w:r>
      <w:r>
        <w:t>.</w:t>
      </w:r>
      <w:r>
        <w:rPr>
          <w:rStyle w:val="FootnoteReference"/>
        </w:rPr>
        <w:footnoteReference w:id="3"/>
      </w:r>
      <w:r>
        <w:t xml:space="preserve">  The Petitioner requests the substitution of channel </w:t>
      </w:r>
      <w:r w:rsidR="000B2D3A">
        <w:t>8</w:t>
      </w:r>
      <w:r>
        <w:t xml:space="preserve"> for channel </w:t>
      </w:r>
      <w:r w:rsidR="000B2D3A">
        <w:t>5</w:t>
      </w:r>
      <w:r>
        <w:t xml:space="preserve"> at </w:t>
      </w:r>
      <w:r w:rsidR="000B2D3A">
        <w:t>Fredericksburg</w:t>
      </w:r>
      <w:r w:rsidR="00AF01B7">
        <w:t>, Texas,</w:t>
      </w:r>
      <w:r>
        <w:t xml:space="preserve"> in the DTV Table of Allotments.</w:t>
      </w:r>
      <w:r>
        <w:rPr>
          <w:rStyle w:val="FootnoteReference"/>
        </w:rPr>
        <w:footnoteReference w:id="4"/>
      </w:r>
      <w:r>
        <w:t xml:space="preserve"> </w:t>
      </w:r>
    </w:p>
    <w:p w:rsidR="002C41C4" w:rsidP="005C521E" w14:paraId="7B571E8F" w14:textId="77777777">
      <w:pPr>
        <w:pStyle w:val="Heading1"/>
        <w:keepNext w:val="0"/>
        <w:suppressAutoHyphens w:val="0"/>
      </w:pPr>
      <w:r>
        <w:t>Background</w:t>
      </w:r>
    </w:p>
    <w:p w:rsidR="002C41C4" w:rsidP="005C521E" w14:paraId="583C5EDD" w14:textId="1FE89CE8">
      <w:pPr>
        <w:pStyle w:val="ParaNum"/>
      </w:pPr>
      <w:r w:rsidRPr="00BF1B4B">
        <w:t>In support of its channel substitution request, the Petitioner</w:t>
      </w:r>
      <w:r>
        <w:t xml:space="preserve"> states that</w:t>
      </w:r>
      <w:r w:rsidR="00841A0B">
        <w:t xml:space="preserve"> since it converted to digital channel 5 operations</w:t>
      </w:r>
      <w:r w:rsidR="00EC4CF3">
        <w:t xml:space="preserve"> in 2009</w:t>
      </w:r>
      <w:r w:rsidR="00AF01B7">
        <w:t>,</w:t>
      </w:r>
      <w:r w:rsidR="00841A0B">
        <w:t xml:space="preserve"> it has received numerous complaints from the public about poor reception.</w:t>
      </w:r>
      <w:r>
        <w:rPr>
          <w:rStyle w:val="FootnoteReference"/>
        </w:rPr>
        <w:footnoteReference w:id="5"/>
      </w:r>
      <w:r>
        <w:t xml:space="preserve"> </w:t>
      </w:r>
      <w:r w:rsidR="000A1D78">
        <w:t xml:space="preserve"> </w:t>
      </w:r>
      <w:r w:rsidR="00AF01B7">
        <w:t xml:space="preserve">Petitioner </w:t>
      </w:r>
      <w:r w:rsidR="007E0E70">
        <w:t>further states that while it is operating with an effective radiated power of 45 kW, this power increase did not resolve the reception issues, due to the “cliff effect” of digital signals.</w:t>
      </w:r>
      <w:r>
        <w:rPr>
          <w:rStyle w:val="FootnoteReference"/>
        </w:rPr>
        <w:footnoteReference w:id="6"/>
      </w:r>
      <w:r w:rsidR="000A1D78">
        <w:t xml:space="preserve">  The </w:t>
      </w:r>
      <w:r w:rsidR="000A1D78">
        <w:t xml:space="preserve">Petitioner recounts the steps it has taken to improve reception on its low-VHF channel, including obtaining authorizations for digital replacement translators, but concludes that it has no option to resolve the </w:t>
      </w:r>
      <w:r w:rsidR="001A5775">
        <w:t>S</w:t>
      </w:r>
      <w:r w:rsidR="000A1D78">
        <w:t>tation’s reception problems other than to move from its low-VHF channel 5 to high-VHF channel 8.</w:t>
      </w:r>
      <w:r>
        <w:rPr>
          <w:rStyle w:val="FootnoteReference"/>
        </w:rPr>
        <w:footnoteReference w:id="7"/>
      </w:r>
      <w:r>
        <w:t xml:space="preserve">  </w:t>
      </w:r>
    </w:p>
    <w:p w:rsidR="00BF5D89" w:rsidP="005C521E" w14:paraId="5BCEC6C0" w14:textId="7088CF2D">
      <w:pPr>
        <w:pStyle w:val="ParaNum"/>
      </w:pPr>
      <w:r>
        <w:t xml:space="preserve">In </w:t>
      </w:r>
      <w:r w:rsidR="001339C9">
        <w:t>the Amended Engineering Statement filed June 4, 2021,</w:t>
      </w:r>
      <w:r w:rsidR="000C75FA">
        <w:t xml:space="preserve"> the Petitioner proposes to utilize a DTS facility comprised of six single frequency network (SFN) nodes.</w:t>
      </w:r>
      <w:r>
        <w:rPr>
          <w:rStyle w:val="FootnoteReference"/>
        </w:rPr>
        <w:footnoteReference w:id="8"/>
      </w:r>
      <w:r w:rsidR="00653594">
        <w:t xml:space="preserve">  According to the Petitioner, “the combination of these facilities will cover the vast majority of the KCWX-DT repack allotment service contour, and  minimize ‘loss’ areas, especially ‘underserved’ loss areas due to the channel change.”</w:t>
      </w:r>
      <w:r>
        <w:rPr>
          <w:rStyle w:val="FootnoteReference"/>
        </w:rPr>
        <w:footnoteReference w:id="9"/>
      </w:r>
      <w:r w:rsidR="00653594">
        <w:t xml:space="preserve">  The Petitioner identifies three separate loss areas, which it labels Loss Area</w:t>
      </w:r>
      <w:r w:rsidR="001A5775">
        <w:t>s</w:t>
      </w:r>
      <w:r w:rsidR="00653594">
        <w:t xml:space="preserve"> 1, 2, and 3.</w:t>
      </w:r>
      <w:r>
        <w:rPr>
          <w:rStyle w:val="FootnoteReference"/>
        </w:rPr>
        <w:footnoteReference w:id="10"/>
      </w:r>
      <w:r w:rsidR="00305C3D">
        <w:t xml:space="preserve">  The Petitioner submitted documentation showing that Loss Area 1 would continue to be served by five other full-power television stations and that Loss Area 2 would continue be served by eight other full-power television stations.</w:t>
      </w:r>
      <w:r>
        <w:rPr>
          <w:rStyle w:val="FootnoteReference"/>
        </w:rPr>
        <w:footnoteReference w:id="11"/>
      </w:r>
      <w:r w:rsidR="00305C3D">
        <w:t xml:space="preserve">  While Loss Area 3 would only continue to receive service from one full-power television stations, only 14 people live in this area, a number the Petitioner asserts is </w:t>
      </w:r>
      <w:r w:rsidRPr="00305C3D" w:rsidR="00305C3D">
        <w:rPr>
          <w:i/>
          <w:iCs/>
        </w:rPr>
        <w:t>de minimis</w:t>
      </w:r>
      <w:r w:rsidR="00305C3D">
        <w:t>.</w:t>
      </w:r>
      <w:r>
        <w:rPr>
          <w:rStyle w:val="FootnoteReference"/>
        </w:rPr>
        <w:footnoteReference w:id="12"/>
      </w:r>
    </w:p>
    <w:p w:rsidR="002C41C4" w:rsidP="005C521E" w14:paraId="1F103B80" w14:textId="77777777">
      <w:pPr>
        <w:pStyle w:val="Heading1"/>
        <w:keepNext w:val="0"/>
        <w:suppressAutoHyphens w:val="0"/>
      </w:pPr>
      <w:r>
        <w:t>DISCUSSION</w:t>
      </w:r>
    </w:p>
    <w:p w:rsidR="002C41C4" w:rsidP="005C521E" w14:paraId="4CC7509A" w14:textId="51FAEE98">
      <w:pPr>
        <w:pStyle w:val="ParaNum"/>
      </w:pPr>
      <w:r>
        <w:t xml:space="preserve">We believe that the Petitioner’s channel substitution proposal warrants consideration.  Channel </w:t>
      </w:r>
      <w:r w:rsidR="007646E0">
        <w:t>8</w:t>
      </w:r>
      <w:r>
        <w:t xml:space="preserve"> can be substituted for channel </w:t>
      </w:r>
      <w:r w:rsidR="007646E0">
        <w:t>5</w:t>
      </w:r>
      <w:r>
        <w:t xml:space="preserve"> at </w:t>
      </w:r>
      <w:r w:rsidR="000B2D3A">
        <w:t>Fredericksburg</w:t>
      </w:r>
      <w:r w:rsidR="004A3F4E">
        <w:t xml:space="preserve">, </w:t>
      </w:r>
      <w:r w:rsidR="000B2D3A">
        <w:t>Texas</w:t>
      </w:r>
      <w:r>
        <w:t>, as proposed, in compliance with the principal community coverage requirements of section 73.625(a) of the Commission’s rules</w:t>
      </w:r>
      <w:r w:rsidR="005C521E">
        <w:t xml:space="preserve"> (rules)</w:t>
      </w:r>
      <w:r>
        <w:t>,</w:t>
      </w:r>
      <w:r>
        <w:rPr>
          <w:vertAlign w:val="superscript"/>
        </w:rPr>
        <w:footnoteReference w:id="13"/>
      </w:r>
      <w:r>
        <w:t xml:space="preserve"> at </w:t>
      </w:r>
      <w:r w:rsidRPr="00BF1B4B">
        <w:t>coordinates</w:t>
      </w:r>
      <w:r w:rsidR="00FE4AD2">
        <w:t xml:space="preserve"> 3</w:t>
      </w:r>
      <w:r w:rsidR="007646E0">
        <w:t>0-08-13.7 N and 098-36-36.1</w:t>
      </w:r>
      <w:r w:rsidR="00FE4AD2">
        <w:t xml:space="preserve"> W</w:t>
      </w:r>
      <w:r w:rsidRPr="00BF1B4B">
        <w:t xml:space="preserve">.  </w:t>
      </w:r>
      <w:r w:rsidR="00907680">
        <w:rPr>
          <w:spacing w:val="-3"/>
          <w:szCs w:val="22"/>
        </w:rPr>
        <w:t xml:space="preserve">Since the proposed facility is located within the Mexican coordination zone, concurrence from the Mexican government must be obtained for this allotment.  </w:t>
      </w:r>
      <w:r w:rsidRPr="00BF1B4B">
        <w:t>In addition, we find that this channel change meets the</w:t>
      </w:r>
      <w:r>
        <w:t xml:space="preserve"> technical requirements set forth in sections 73.616 and 73.623 of the rules.</w:t>
      </w:r>
      <w:r>
        <w:rPr>
          <w:vertAlign w:val="superscript"/>
        </w:rPr>
        <w:footnoteReference w:id="14"/>
      </w:r>
      <w:r>
        <w:t xml:space="preserve"> </w:t>
      </w:r>
      <w:r w:rsidR="0023065E">
        <w:t xml:space="preserve"> While the Petitioner’s proposal would result in the loss of the second service to 14 people, the Commission considers that number to be </w:t>
      </w:r>
      <w:r w:rsidRPr="00C56126" w:rsidR="0023065E">
        <w:rPr>
          <w:i/>
          <w:iCs/>
        </w:rPr>
        <w:t>de minimis</w:t>
      </w:r>
      <w:r w:rsidR="0023065E">
        <w:t>.</w:t>
      </w:r>
      <w:r>
        <w:rPr>
          <w:rStyle w:val="FootnoteReference"/>
        </w:rPr>
        <w:footnoteReference w:id="15"/>
      </w:r>
      <w:r>
        <w:t xml:space="preserve"> </w:t>
      </w:r>
    </w:p>
    <w:p w:rsidR="002C41C4" w:rsidP="005C521E" w14:paraId="156BF924" w14:textId="0942CA41">
      <w:pPr>
        <w:pStyle w:val="ParaNum"/>
      </w:pPr>
      <w:r>
        <w:t xml:space="preserve">We propose to substitute channel </w:t>
      </w:r>
      <w:r w:rsidR="00A20CB1">
        <w:t>8</w:t>
      </w:r>
      <w:r>
        <w:t xml:space="preserve"> for channel </w:t>
      </w:r>
      <w:r w:rsidR="00A20CB1">
        <w:t>5</w:t>
      </w:r>
      <w:r>
        <w:t xml:space="preserve"> for </w:t>
      </w:r>
      <w:r w:rsidR="00A20CB1">
        <w:t>KCWX</w:t>
      </w:r>
      <w:r>
        <w:t xml:space="preserve"> with the following specifications:</w:t>
      </w:r>
    </w:p>
    <w:p w:rsidR="002C41C4" w:rsidP="005C521E" w14:paraId="6A41A1B5"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72E58F77" w14:textId="42D00B1A">
      <w:pPr>
        <w:pStyle w:val="ParaNum"/>
        <w:numPr>
          <w:ilvl w:val="0"/>
          <w:numId w:val="0"/>
        </w:numPr>
        <w:ind w:firstLine="720"/>
      </w:pPr>
      <w:r>
        <w:t>Fredericksburg</w:t>
      </w:r>
      <w:r w:rsidR="00A30184">
        <w:t xml:space="preserve">, </w:t>
      </w:r>
      <w:r>
        <w:t>Texas</w:t>
      </w:r>
      <w:r w:rsidR="002C2AF9">
        <w:tab/>
      </w:r>
      <w:r w:rsidR="002C2AF9">
        <w:tab/>
      </w:r>
      <w:r w:rsidR="00FE4AD2">
        <w:t xml:space="preserve">        8</w:t>
      </w:r>
      <w:r w:rsidR="002C2AF9">
        <w:tab/>
      </w:r>
      <w:r w:rsidR="002C2AF9">
        <w:tab/>
      </w:r>
      <w:r w:rsidR="00FE4AD2">
        <w:t xml:space="preserve">       </w:t>
      </w:r>
      <w:r w:rsidR="000C75FA">
        <w:t>17</w:t>
      </w:r>
      <w:r w:rsidR="002C2AF9">
        <w:tab/>
      </w:r>
      <w:r w:rsidR="002C2AF9">
        <w:tab/>
      </w:r>
      <w:r w:rsidR="002C2AF9">
        <w:tab/>
      </w:r>
      <w:r w:rsidR="00FF2980">
        <w:t xml:space="preserve">        </w:t>
      </w:r>
      <w:r w:rsidR="00FE4AD2">
        <w:t>412</w:t>
      </w:r>
    </w:p>
    <w:p w:rsidR="002C41C4" w:rsidP="00213660" w14:paraId="6BBDCBF4" w14:textId="77777777">
      <w:pPr>
        <w:pStyle w:val="ParaNum"/>
        <w:keepNext/>
        <w:keepLines/>
      </w:pPr>
      <w:r>
        <w:t>Accordingly, we seek comment on the proposed amendment of the Post-Transition Table of DTV Allotments, section 73.622(</w:t>
      </w:r>
      <w:r>
        <w:t>i</w:t>
      </w:r>
      <w:r>
        <w:t>) of the rules,</w:t>
      </w:r>
      <w:r>
        <w:rPr>
          <w:rStyle w:val="FootnoteReference"/>
          <w:spacing w:val="-3"/>
          <w:szCs w:val="22"/>
        </w:rPr>
        <w:footnoteReference w:id="16"/>
      </w:r>
      <w:r>
        <w:t xml:space="preserve"> for the community listed below, to read as follows:</w:t>
      </w:r>
    </w:p>
    <w:p w:rsidR="002C41C4" w:rsidP="00213660" w14:paraId="6B463611" w14:textId="77777777">
      <w:pPr>
        <w:pStyle w:val="AppNum"/>
        <w:keepNext/>
        <w:keepLines/>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213660" w14:paraId="7F950FB3"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13660" w14:paraId="14884B07" w14:textId="772F639B">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Fredericksburg</w:t>
      </w:r>
      <w:r w:rsidR="00A30184">
        <w:rPr>
          <w:rFonts w:ascii="Times New Roman" w:hAnsi="Times New Roman"/>
          <w:spacing w:val="-3"/>
          <w:sz w:val="22"/>
          <w:szCs w:val="22"/>
        </w:rPr>
        <w:t xml:space="preserve">, </w:t>
      </w:r>
      <w:r>
        <w:rPr>
          <w:rFonts w:ascii="Times New Roman" w:hAnsi="Times New Roman"/>
          <w:spacing w:val="-3"/>
          <w:sz w:val="22"/>
          <w:szCs w:val="22"/>
        </w:rPr>
        <w:t>Texas</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9B7EF5">
        <w:rPr>
          <w:rFonts w:ascii="Times New Roman" w:hAnsi="Times New Roman"/>
          <w:spacing w:val="-3"/>
          <w:sz w:val="22"/>
          <w:szCs w:val="22"/>
        </w:rPr>
        <w:t xml:space="preserve">    </w:t>
      </w:r>
      <w:r w:rsidR="007646E0">
        <w:rPr>
          <w:rFonts w:ascii="Times New Roman" w:hAnsi="Times New Roman"/>
          <w:spacing w:val="-3"/>
          <w:sz w:val="22"/>
          <w:szCs w:val="22"/>
        </w:rPr>
        <w:t>5</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9B7EF5">
        <w:rPr>
          <w:rFonts w:ascii="Times New Roman" w:hAnsi="Times New Roman"/>
          <w:spacing w:val="-3"/>
          <w:sz w:val="22"/>
          <w:szCs w:val="22"/>
        </w:rPr>
        <w:t xml:space="preserve">    </w:t>
      </w:r>
      <w:r w:rsidR="009B7EF5">
        <w:rPr>
          <w:rFonts w:ascii="Times New Roman" w:hAnsi="Times New Roman"/>
          <w:spacing w:val="-3"/>
          <w:sz w:val="22"/>
          <w:szCs w:val="22"/>
        </w:rPr>
        <w:tab/>
        <w:t xml:space="preserve">     </w:t>
      </w:r>
      <w:r w:rsidR="007646E0">
        <w:rPr>
          <w:rFonts w:ascii="Times New Roman" w:hAnsi="Times New Roman"/>
          <w:spacing w:val="-3"/>
          <w:sz w:val="22"/>
          <w:szCs w:val="22"/>
        </w:rPr>
        <w:t>8</w:t>
      </w:r>
    </w:p>
    <w:bookmarkEnd w:id="1"/>
    <w:p w:rsidR="002C41C4" w:rsidP="005C521E" w14:paraId="4BB30EE7" w14:textId="77777777">
      <w:pPr>
        <w:pStyle w:val="Heading1"/>
      </w:pPr>
      <w:r>
        <w:t>Procedural matters</w:t>
      </w:r>
    </w:p>
    <w:p w:rsidR="002C41C4" w:rsidP="005C521E" w14:paraId="2F4F9913"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7"/>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8"/>
      </w:r>
    </w:p>
    <w:p w:rsidR="002C41C4" w:rsidP="005C521E" w14:paraId="1BB0299F" w14:textId="77777777">
      <w:pPr>
        <w:pStyle w:val="ParaNum"/>
      </w:pPr>
      <w:r>
        <w:rPr>
          <w:i/>
          <w:iCs/>
        </w:rPr>
        <w:t>Cut-off Protection</w:t>
      </w:r>
      <w:r>
        <w:t>.  The following procedures will govern the consideration of the filings in this proceeding:</w:t>
      </w:r>
    </w:p>
    <w:p w:rsidR="002C41C4" w:rsidP="005C521E" w14:paraId="503989AF"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9"/>
      </w:r>
      <w:r>
        <w:t xml:space="preserve">  </w:t>
      </w:r>
    </w:p>
    <w:p w:rsidR="002C41C4" w:rsidP="005C521E" w14:paraId="4A63DF02"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20"/>
      </w:r>
    </w:p>
    <w:p w:rsidR="002C41C4" w:rsidP="005C521E" w14:paraId="746F20CC"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21"/>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22"/>
      </w:r>
    </w:p>
    <w:p w:rsidR="002C41C4" w:rsidP="005C521E" w14:paraId="664A207A"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13660" w14:paraId="44CCD797" w14:textId="77777777">
      <w:pPr>
        <w:widowControl/>
        <w:numPr>
          <w:ilvl w:val="0"/>
          <w:numId w:val="9"/>
        </w:numPr>
        <w:spacing w:after="120"/>
        <w:ind w:left="1080"/>
        <w:rPr>
          <w:szCs w:val="22"/>
        </w:rPr>
      </w:pPr>
      <w:r>
        <w:rPr>
          <w:szCs w:val="22"/>
        </w:rPr>
        <w:t xml:space="preserve">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w:t>
      </w:r>
      <w:r>
        <w:rPr>
          <w:szCs w:val="22"/>
        </w:rPr>
        <w:t>the day it is received in the Office of the Secretary.  Accordingly, failure to follow the specified requirements may result in the treatment of a filing as untimely.</w:t>
      </w:r>
    </w:p>
    <w:p w:rsidR="002C41C4" w:rsidP="005C521E" w14:paraId="01778B95"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623290CB"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48E9A865"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3"/>
      </w:r>
    </w:p>
    <w:p w:rsidR="002C41C4" w:rsidP="005C521E" w14:paraId="46EDF82B"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32565C6B" w14:textId="77777777">
      <w:pPr>
        <w:pStyle w:val="ParaNum"/>
      </w:pPr>
      <w:r>
        <w:rPr>
          <w:i/>
          <w:iCs/>
        </w:rPr>
        <w:t>Service.</w:t>
      </w:r>
      <w:r>
        <w:t xml:space="preserve">  Pursuant </w:t>
      </w:r>
      <w:r w:rsidR="00336D5F">
        <w:t xml:space="preserve">to </w:t>
      </w:r>
      <w:r>
        <w:t>section 1.420 of the rules,</w:t>
      </w:r>
      <w:r>
        <w:rPr>
          <w:rStyle w:val="FootnoteReference"/>
        </w:rPr>
        <w:footnoteReference w:id="24"/>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5"/>
      </w:r>
      <w:r>
        <w:t xml:space="preserve">  Additionally, a copy of such comments should be served on counsel for </w:t>
      </w:r>
      <w:r w:rsidR="006D6AC4">
        <w:t>the P</w:t>
      </w:r>
      <w:r>
        <w:t>etitioner, as follows:</w:t>
      </w:r>
    </w:p>
    <w:p w:rsidR="002C41C4" w:rsidP="005C521E" w14:paraId="362443B2" w14:textId="481C7839">
      <w:pPr>
        <w:pStyle w:val="ParaNum"/>
        <w:numPr>
          <w:ilvl w:val="0"/>
          <w:numId w:val="0"/>
        </w:numPr>
        <w:spacing w:after="0"/>
        <w:ind w:left="720"/>
      </w:pPr>
      <w:r>
        <w:t>Jonathan Mark</w:t>
      </w:r>
      <w:r w:rsidR="002C2AF9">
        <w:t xml:space="preserve">, Esq. </w:t>
      </w:r>
    </w:p>
    <w:p w:rsidR="002C41C4" w:rsidP="005C521E" w14:paraId="2845E0CD" w14:textId="21978172">
      <w:pPr>
        <w:pStyle w:val="ParaNum"/>
        <w:numPr>
          <w:ilvl w:val="0"/>
          <w:numId w:val="0"/>
        </w:numPr>
        <w:spacing w:after="0"/>
        <w:ind w:left="720"/>
      </w:pPr>
      <w:r>
        <w:t>Davis Wright Tremaine LLP</w:t>
      </w:r>
    </w:p>
    <w:p w:rsidR="009B7EF5" w:rsidP="005C521E" w14:paraId="3207C0DC" w14:textId="77777777">
      <w:pPr>
        <w:pStyle w:val="ParaNum"/>
        <w:numPr>
          <w:ilvl w:val="0"/>
          <w:numId w:val="0"/>
        </w:numPr>
        <w:spacing w:after="0"/>
        <w:ind w:left="720"/>
      </w:pPr>
      <w:r>
        <w:t>1301 K Street, NW</w:t>
      </w:r>
    </w:p>
    <w:p w:rsidR="002C41C4" w:rsidP="005C521E" w14:paraId="1BCDE9D9" w14:textId="684E80B2">
      <w:pPr>
        <w:pStyle w:val="ParaNum"/>
        <w:numPr>
          <w:ilvl w:val="0"/>
          <w:numId w:val="0"/>
        </w:numPr>
        <w:spacing w:after="0"/>
        <w:ind w:left="720"/>
      </w:pPr>
      <w:r>
        <w:t>Suite 500 East</w:t>
      </w:r>
    </w:p>
    <w:p w:rsidR="002C41C4" w:rsidP="005C521E" w14:paraId="4590E759" w14:textId="31B306D4">
      <w:pPr>
        <w:pStyle w:val="ParaNum"/>
        <w:numPr>
          <w:ilvl w:val="0"/>
          <w:numId w:val="0"/>
        </w:numPr>
        <w:spacing w:after="0"/>
        <w:ind w:firstLine="720"/>
      </w:pPr>
      <w:r>
        <w:t>Washington, D.C.  20005</w:t>
      </w:r>
    </w:p>
    <w:p w:rsidR="009B7EF5" w:rsidP="005C521E" w14:paraId="4148ED58" w14:textId="77777777">
      <w:pPr>
        <w:pStyle w:val="ParaNum"/>
        <w:numPr>
          <w:ilvl w:val="0"/>
          <w:numId w:val="0"/>
        </w:numPr>
        <w:spacing w:after="0"/>
        <w:ind w:firstLine="720"/>
      </w:pPr>
    </w:p>
    <w:p w:rsidR="002C41C4" w:rsidP="005C521E" w14:paraId="6308200A"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6"/>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7"/>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29"/>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5C521E" w14:paraId="49C21040"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34F64151"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30"/>
      </w:r>
      <w:r>
        <w:t xml:space="preserve"> do not apply to a rulemaking proceeding to amend the DTV Table of Allotments, section 73.622(</w:t>
      </w:r>
      <w:r>
        <w:t>i</w:t>
      </w:r>
      <w:r>
        <w:t>) of the rules.</w:t>
      </w:r>
      <w:r>
        <w:rPr>
          <w:rStyle w:val="FootnoteReference"/>
        </w:rPr>
        <w:footnoteReference w:id="31"/>
      </w:r>
      <w:r>
        <w:t xml:space="preserve">  This document does not contain proposed information collection requirements subject to the Paperwork Reduction Act of 1995.</w:t>
      </w:r>
      <w:r>
        <w:rPr>
          <w:rStyle w:val="FootnoteReference"/>
        </w:rPr>
        <w:footnoteReference w:id="3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3"/>
      </w:r>
    </w:p>
    <w:p w:rsidR="002C41C4" w:rsidP="005C521E" w14:paraId="663480A3"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0737E09C"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05B069A9" w14:textId="77777777">
      <w:pPr>
        <w:pStyle w:val="Heading1"/>
        <w:keepLines/>
        <w:suppressAutoHyphens w:val="0"/>
      </w:pPr>
      <w:r>
        <w:t>Ordering clauses</w:t>
      </w:r>
    </w:p>
    <w:p w:rsidR="002C41C4" w:rsidP="005C521E" w14:paraId="5BD23995" w14:textId="5B859A9E">
      <w:pPr>
        <w:pStyle w:val="ParaNum"/>
        <w:keepNext/>
        <w:keepLines/>
        <w:rPr>
          <w:szCs w:val="22"/>
        </w:rPr>
      </w:pPr>
      <w:r>
        <w:rPr>
          <w:b/>
          <w:bCs/>
        </w:rPr>
        <w:t>IT IS ORDERED</w:t>
      </w:r>
      <w:r w:rsidR="001A5775">
        <w:rPr>
          <w:b/>
          <w:bCs/>
        </w:rPr>
        <w:t>,</w:t>
      </w:r>
      <w:r>
        <w:t xml:space="preserve"> </w:t>
      </w:r>
      <w:r w:rsidR="001A5775">
        <w:t>T</w:t>
      </w:r>
      <w:r>
        <w: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RPr="00AF01B7" w:rsidP="00AF01B7" w14:paraId="2AF7E405" w14:textId="59DB881F">
      <w:pPr>
        <w:pStyle w:val="ParaNum"/>
        <w:rPr>
          <w:szCs w:val="22"/>
        </w:rPr>
      </w:pPr>
      <w:r>
        <w:rPr>
          <w:b/>
          <w:szCs w:val="22"/>
        </w:rPr>
        <w:t>IT IS FURTHER ORDERED</w:t>
      </w:r>
      <w:r w:rsidR="001A5775">
        <w:rPr>
          <w:b/>
          <w:szCs w:val="22"/>
        </w:rPr>
        <w:t>,</w:t>
      </w:r>
      <w:r>
        <w:rPr>
          <w:szCs w:val="22"/>
        </w:rPr>
        <w:t xml:space="preserve"> </w:t>
      </w:r>
      <w:r w:rsidR="001A5775">
        <w:rPr>
          <w:szCs w:val="22"/>
        </w:rPr>
        <w:t>T</w:t>
      </w:r>
      <w:r>
        <w:rPr>
          <w:szCs w:val="22"/>
        </w:rPr>
        <w:t xml:space="preserve">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21-</w:t>
      </w:r>
      <w:r w:rsidR="00B54ADC">
        <w:rPr>
          <w:szCs w:val="22"/>
        </w:rPr>
        <w:t>254</w:t>
      </w:r>
      <w:r>
        <w:rPr>
          <w:szCs w:val="22"/>
        </w:rPr>
        <w:t xml:space="preserve"> and </w:t>
      </w:r>
      <w:r w:rsidRPr="00B625C0">
        <w:rPr>
          <w:szCs w:val="22"/>
        </w:rPr>
        <w:t>RM-</w:t>
      </w:r>
      <w:r w:rsidR="00BE25D4">
        <w:rPr>
          <w:szCs w:val="22"/>
        </w:rPr>
        <w:t>119</w:t>
      </w:r>
      <w:r w:rsidR="00B54ADC">
        <w:rPr>
          <w:szCs w:val="22"/>
        </w:rPr>
        <w:t>11</w:t>
      </w:r>
      <w:r>
        <w:rPr>
          <w:szCs w:val="22"/>
        </w:rPr>
        <w:t xml:space="preserve"> on or </w:t>
      </w:r>
      <w:r w:rsidR="00AF01B7">
        <w:rPr>
          <w:szCs w:val="22"/>
        </w:rPr>
        <w:br w:type="page"/>
      </w:r>
      <w:r w:rsidRPr="00AF01B7">
        <w:rPr>
          <w:szCs w:val="22"/>
        </w:rPr>
        <w:t xml:space="preserve">before thirty (30) days after publication in the </w:t>
      </w:r>
      <w:r w:rsidRPr="00AF01B7">
        <w:rPr>
          <w:iCs/>
          <w:szCs w:val="22"/>
        </w:rPr>
        <w:t>Federal Register</w:t>
      </w:r>
      <w:r w:rsidRPr="00AF01B7">
        <w:rPr>
          <w:szCs w:val="22"/>
        </w:rPr>
        <w:t xml:space="preserve"> and reply comments on or before forty five (45) days after publication in the </w:t>
      </w:r>
      <w:r w:rsidRPr="00AF01B7">
        <w:rPr>
          <w:iCs/>
          <w:szCs w:val="22"/>
        </w:rPr>
        <w:t>Federal Register</w:t>
      </w:r>
      <w:r w:rsidRPr="00AF01B7">
        <w:rPr>
          <w:szCs w:val="22"/>
        </w:rPr>
        <w:t>.</w:t>
      </w:r>
    </w:p>
    <w:p w:rsidR="002C41C4" w:rsidP="00213660" w14:paraId="02F353F6" w14:textId="77777777">
      <w:pPr>
        <w:keepNext/>
        <w:keepLines/>
      </w:pPr>
      <w:r>
        <w:tab/>
      </w:r>
      <w:r>
        <w:tab/>
      </w:r>
      <w:r>
        <w:tab/>
      </w:r>
      <w:r>
        <w:tab/>
      </w:r>
      <w:r>
        <w:tab/>
      </w:r>
      <w:r>
        <w:tab/>
        <w:t>FEDERAL COMMUNICATIONS COMMISSION</w:t>
      </w:r>
    </w:p>
    <w:p w:rsidR="002C41C4" w:rsidP="00213660" w14:paraId="4BE8A410" w14:textId="77777777">
      <w:pPr>
        <w:keepNext/>
        <w:keepLines/>
      </w:pPr>
    </w:p>
    <w:p w:rsidR="002C41C4" w:rsidP="00213660" w14:paraId="36EACD49" w14:textId="77777777">
      <w:pPr>
        <w:keepNext/>
        <w:keepLines/>
      </w:pPr>
    </w:p>
    <w:p w:rsidR="002C41C4" w:rsidP="00213660" w14:paraId="68D24155" w14:textId="77777777">
      <w:pPr>
        <w:keepNext/>
        <w:keepLines/>
      </w:pPr>
    </w:p>
    <w:p w:rsidR="002C41C4" w:rsidP="00213660" w14:paraId="65215595" w14:textId="77777777">
      <w:pPr>
        <w:keepNext/>
        <w:keepLines/>
      </w:pPr>
    </w:p>
    <w:p w:rsidR="002C41C4" w:rsidP="00213660" w14:paraId="4ADD310F" w14:textId="77777777">
      <w:pPr>
        <w:keepNext/>
        <w:keepLines/>
      </w:pPr>
      <w:r>
        <w:tab/>
      </w:r>
      <w:r>
        <w:tab/>
      </w:r>
      <w:r>
        <w:tab/>
      </w:r>
      <w:r>
        <w:tab/>
      </w:r>
      <w:r>
        <w:tab/>
      </w:r>
      <w:r>
        <w:tab/>
        <w:t>Barbara A. Kreisman</w:t>
      </w:r>
    </w:p>
    <w:p w:rsidR="002C41C4" w:rsidP="00213660" w14:paraId="22AFF6ED" w14:textId="77777777">
      <w:pPr>
        <w:keepNext/>
        <w:keepLines/>
      </w:pPr>
      <w:r>
        <w:tab/>
      </w:r>
      <w:r>
        <w:tab/>
      </w:r>
      <w:r>
        <w:tab/>
      </w:r>
      <w:r>
        <w:tab/>
      </w:r>
      <w:r>
        <w:tab/>
      </w:r>
      <w:r>
        <w:tab/>
        <w:t>Chief, Video Division</w:t>
      </w:r>
    </w:p>
    <w:p w:rsidR="00412FC5" w:rsidRPr="002C41C4" w:rsidP="00213660" w14:paraId="53A099D8" w14:textId="77777777">
      <w:pPr>
        <w:keepNext/>
        <w:keepLines/>
      </w:pPr>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794E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C778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5AAFED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C6C3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533AD2B4" w14:textId="77777777">
      <w:r>
        <w:separator/>
      </w:r>
    </w:p>
  </w:footnote>
  <w:footnote w:type="continuationSeparator" w:id="1">
    <w:p w:rsidR="00477CC1" w:rsidP="00C721AC" w14:paraId="5551DB07"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528D47C3" w14:textId="77777777">
      <w:pPr>
        <w:jc w:val="right"/>
        <w:rPr>
          <w:sz w:val="20"/>
        </w:rPr>
      </w:pPr>
      <w:r>
        <w:rPr>
          <w:sz w:val="20"/>
        </w:rPr>
        <w:t>(continued….)</w:t>
      </w:r>
    </w:p>
  </w:footnote>
  <w:footnote w:id="3">
    <w:p w:rsidR="002C41C4" w:rsidP="005C521E" w14:paraId="60279CD1" w14:textId="5770C3F5">
      <w:pPr>
        <w:pStyle w:val="FootnoteText"/>
        <w:widowControl w:val="0"/>
      </w:pPr>
      <w:r>
        <w:rPr>
          <w:rStyle w:val="FootnoteReference"/>
        </w:rPr>
        <w:footnoteRef/>
      </w:r>
      <w:r>
        <w:t xml:space="preserve"> Petition of </w:t>
      </w:r>
      <w:r w:rsidR="001263D1">
        <w:t>Corridor Television L.L.P.</w:t>
      </w:r>
      <w:r>
        <w:t xml:space="preserve"> for Rulemaking (filed </w:t>
      </w:r>
      <w:r w:rsidR="000B2D3A">
        <w:t>Mar</w:t>
      </w:r>
      <w:r w:rsidR="00A20CB1">
        <w:t>.</w:t>
      </w:r>
      <w:r w:rsidR="000B2D3A">
        <w:t xml:space="preserve"> 12</w:t>
      </w:r>
      <w:r>
        <w:t>, 202</w:t>
      </w:r>
      <w:r w:rsidR="004A3F4E">
        <w:t>1</w:t>
      </w:r>
      <w:r>
        <w:t>), LMS File No. 0000</w:t>
      </w:r>
      <w:r w:rsidR="000B2D3A">
        <w:t>139110</w:t>
      </w:r>
      <w:r>
        <w:t xml:space="preserve"> (Petition). </w:t>
      </w:r>
      <w:r w:rsidR="000B2D3A">
        <w:t xml:space="preserve"> Petitioner amended its Petition on June 1, 2021 </w:t>
      </w:r>
      <w:r w:rsidR="00A20CB1">
        <w:t xml:space="preserve">(Amended Engineering Statement) </w:t>
      </w:r>
      <w:r w:rsidR="000B2D3A">
        <w:t>at the staff’s request to provide additional information about the estimated loss area.</w:t>
      </w:r>
      <w:r>
        <w:t xml:space="preserve"> </w:t>
      </w:r>
      <w:r w:rsidR="007646E0">
        <w:t xml:space="preserve">  </w:t>
      </w:r>
      <w:r w:rsidR="00C52980">
        <w:t xml:space="preserve">The </w:t>
      </w:r>
      <w:r w:rsidR="007646E0">
        <w:t xml:space="preserve">Petitioner is proposing </w:t>
      </w:r>
      <w:r w:rsidR="001263D1">
        <w:t>to apply for a</w:t>
      </w:r>
      <w:r w:rsidR="007646E0">
        <w:t xml:space="preserve"> Distributed T</w:t>
      </w:r>
      <w:r w:rsidR="001A5775">
        <w:t>ransmission</w:t>
      </w:r>
      <w:r w:rsidR="007646E0">
        <w:t xml:space="preserve"> System (DTS) facility on channel 8</w:t>
      </w:r>
      <w:r w:rsidR="001263D1">
        <w:t xml:space="preserve"> if its channel substitution request is granted</w:t>
      </w:r>
      <w:r w:rsidR="007646E0">
        <w:t xml:space="preserve">, </w:t>
      </w:r>
      <w:r w:rsidR="00C52980">
        <w:t xml:space="preserve">and thus, </w:t>
      </w:r>
      <w:r w:rsidR="001A5775">
        <w:t>amended its petition after</w:t>
      </w:r>
      <w:r w:rsidR="00C52980">
        <w:t xml:space="preserve"> the </w:t>
      </w:r>
      <w:r w:rsidR="005210CA">
        <w:t xml:space="preserve">pertinent portions of the new DTS rules, which afford television broadcasters greater flexibility in the placement of DTS transmitters, </w:t>
      </w:r>
      <w:r w:rsidR="000A1D78">
        <w:t>became</w:t>
      </w:r>
      <w:r w:rsidR="005210CA">
        <w:t xml:space="preserve"> effective.</w:t>
      </w:r>
      <w:r w:rsidR="007646E0">
        <w:t xml:space="preserve"> </w:t>
      </w:r>
      <w:r w:rsidR="0084214C">
        <w:t xml:space="preserve"> </w:t>
      </w:r>
      <w:r w:rsidRPr="005210CA" w:rsidR="00A20CB1">
        <w:rPr>
          <w:i/>
          <w:iCs/>
        </w:rPr>
        <w:t>See</w:t>
      </w:r>
      <w:r w:rsidRPr="005210CA" w:rsidR="005210CA">
        <w:rPr>
          <w:i/>
          <w:iCs/>
        </w:rPr>
        <w:t xml:space="preserve"> Rules Governing the Use of Distributed Transmission System Technologies</w:t>
      </w:r>
      <w:r w:rsidR="005210CA">
        <w:t xml:space="preserve">, MB Docket No. 20-74, Report and Order, 36 FCC </w:t>
      </w:r>
      <w:r w:rsidR="005210CA">
        <w:t>Rcd</w:t>
      </w:r>
      <w:r w:rsidR="005210CA">
        <w:t xml:space="preserve"> 1227 (2021); 86 FR 21217 (Apr. 22, 2021) (portions of new rules effective May 24, 2021).</w:t>
      </w:r>
      <w:r w:rsidR="00A20CB1">
        <w:t xml:space="preserve"> </w:t>
      </w:r>
    </w:p>
  </w:footnote>
  <w:footnote w:id="4">
    <w:p w:rsidR="002C41C4" w:rsidP="005C521E" w14:paraId="6AB7DA29"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841A0B" w14:paraId="2E4DC6E6" w14:textId="665443A8">
      <w:pPr>
        <w:pStyle w:val="FootnoteText"/>
      </w:pPr>
      <w:r>
        <w:rPr>
          <w:rStyle w:val="FootnoteReference"/>
        </w:rPr>
        <w:footnoteRef/>
      </w:r>
      <w:r>
        <w:t xml:space="preserve"> Petition at 1.</w:t>
      </w:r>
    </w:p>
  </w:footnote>
  <w:footnote w:id="6">
    <w:p w:rsidR="00EB46C8" w:rsidRPr="00115F2B" w:rsidP="00115F2B" w14:paraId="11D9DF4C" w14:textId="42634275">
      <w:pPr>
        <w:widowControl/>
        <w:autoSpaceDE w:val="0"/>
        <w:autoSpaceDN w:val="0"/>
        <w:adjustRightInd w:val="0"/>
        <w:rPr>
          <w:snapToGrid/>
          <w:kern w:val="0"/>
          <w:sz w:val="20"/>
        </w:rPr>
      </w:pPr>
      <w:r>
        <w:rPr>
          <w:rStyle w:val="FootnoteReference"/>
        </w:rPr>
        <w:footnoteRef/>
      </w:r>
      <w:r>
        <w:t xml:space="preserve"> </w:t>
      </w:r>
      <w:r w:rsidRPr="00115F2B">
        <w:rPr>
          <w:i/>
          <w:iCs/>
          <w:sz w:val="20"/>
        </w:rPr>
        <w:t>Id</w:t>
      </w:r>
      <w:r w:rsidRPr="00115F2B">
        <w:rPr>
          <w:sz w:val="20"/>
        </w:rPr>
        <w:t>. at 2-3.</w:t>
      </w:r>
      <w:r w:rsidRPr="00115F2B" w:rsidR="00115F2B">
        <w:rPr>
          <w:sz w:val="20"/>
        </w:rPr>
        <w:t xml:space="preserve">  The Petitioner explains that even a weak, distant analog channel 2 signal could be viewable at times through the “snow” of interference and noise</w:t>
      </w:r>
      <w:r w:rsidR="001A5775">
        <w:rPr>
          <w:sz w:val="20"/>
        </w:rPr>
        <w:t>,</w:t>
      </w:r>
      <w:r w:rsidRPr="00115F2B" w:rsidR="00115F2B">
        <w:rPr>
          <w:sz w:val="20"/>
        </w:rPr>
        <w:t xml:space="preserve"> but that this phenomenon </w:t>
      </w:r>
      <w:r w:rsidRPr="00F44D9C" w:rsidR="00115F2B">
        <w:rPr>
          <w:snapToGrid/>
          <w:kern w:val="0"/>
          <w:sz w:val="20"/>
        </w:rPr>
        <w:t>(distinct program resolution through significant</w:t>
      </w:r>
      <w:r w:rsidR="00115F2B">
        <w:rPr>
          <w:snapToGrid/>
          <w:kern w:val="0"/>
          <w:sz w:val="20"/>
        </w:rPr>
        <w:t xml:space="preserve"> </w:t>
      </w:r>
      <w:r w:rsidRPr="00F44D9C" w:rsidR="00115F2B">
        <w:rPr>
          <w:snapToGrid/>
          <w:kern w:val="0"/>
          <w:sz w:val="20"/>
        </w:rPr>
        <w:t>noise/interference</w:t>
      </w:r>
      <w:r w:rsidR="001A5775">
        <w:rPr>
          <w:snapToGrid/>
          <w:kern w:val="0"/>
          <w:sz w:val="20"/>
        </w:rPr>
        <w:t>)</w:t>
      </w:r>
      <w:r w:rsidRPr="00115F2B" w:rsidR="00115F2B">
        <w:rPr>
          <w:sz w:val="20"/>
        </w:rPr>
        <w:t xml:space="preserve"> does not apply to digital channels</w:t>
      </w:r>
      <w:r w:rsidRPr="00115F2B" w:rsidR="00115F2B">
        <w:rPr>
          <w:snapToGrid/>
          <w:kern w:val="0"/>
          <w:sz w:val="20"/>
        </w:rPr>
        <w:t>. Either there is enough digital signal to translate into viewable picture, or there is not (i.e.</w:t>
      </w:r>
      <w:r w:rsidR="00115F2B">
        <w:rPr>
          <w:snapToGrid/>
          <w:kern w:val="0"/>
          <w:sz w:val="20"/>
        </w:rPr>
        <w:t>,</w:t>
      </w:r>
      <w:r w:rsidRPr="00115F2B" w:rsidR="00115F2B">
        <w:rPr>
          <w:snapToGrid/>
          <w:kern w:val="0"/>
          <w:sz w:val="20"/>
        </w:rPr>
        <w:t xml:space="preserve"> the term “cliff effect”).</w:t>
      </w:r>
    </w:p>
  </w:footnote>
  <w:footnote w:id="7">
    <w:p w:rsidR="000A1D78" w14:paraId="0ED0D6EF" w14:textId="12576C90">
      <w:pPr>
        <w:pStyle w:val="FootnoteText"/>
      </w:pPr>
      <w:r>
        <w:rPr>
          <w:rStyle w:val="FootnoteReference"/>
        </w:rPr>
        <w:footnoteRef/>
      </w:r>
      <w:r>
        <w:t xml:space="preserve"> Petition at 3-4.</w:t>
      </w:r>
    </w:p>
  </w:footnote>
  <w:footnote w:id="8">
    <w:p w:rsidR="000C75FA" w14:paraId="2AF0F387" w14:textId="78C15074">
      <w:pPr>
        <w:pStyle w:val="FootnoteText"/>
      </w:pPr>
      <w:r>
        <w:rPr>
          <w:rStyle w:val="FootnoteReference"/>
        </w:rPr>
        <w:footnoteRef/>
      </w:r>
      <w:r>
        <w:t xml:space="preserve"> Amended Engineering Statement</w:t>
      </w:r>
      <w:r w:rsidR="001D7302">
        <w:t>,</w:t>
      </w:r>
      <w:r>
        <w:t xml:space="preserve"> </w:t>
      </w:r>
      <w:r w:rsidR="00653594">
        <w:t xml:space="preserve">Engineering Statement </w:t>
      </w:r>
      <w:r>
        <w:t>at 1.  These nodes</w:t>
      </w:r>
      <w:r w:rsidR="00C627AE">
        <w:t xml:space="preserve"> would be located at sites in or near Fredericksburg, Austin, San Antonio, </w:t>
      </w:r>
      <w:r w:rsidR="00C627AE">
        <w:t>D’Hanis</w:t>
      </w:r>
      <w:r w:rsidR="00C627AE">
        <w:t xml:space="preserve">, Mountain Home, and San Saba, Texas.  </w:t>
      </w:r>
      <w:r w:rsidRPr="00305C3D" w:rsidR="00C627AE">
        <w:rPr>
          <w:i/>
          <w:iCs/>
        </w:rPr>
        <w:t>Id</w:t>
      </w:r>
      <w:r w:rsidR="00C627AE">
        <w:t>. at 1-</w:t>
      </w:r>
      <w:r w:rsidR="00653594">
        <w:t>9</w:t>
      </w:r>
      <w:r w:rsidR="0023065E">
        <w:t>.</w:t>
      </w:r>
    </w:p>
  </w:footnote>
  <w:footnote w:id="9">
    <w:p w:rsidR="00653594" w14:paraId="06638A8E" w14:textId="1814E62B">
      <w:pPr>
        <w:pStyle w:val="FootnoteText"/>
      </w:pPr>
      <w:r>
        <w:rPr>
          <w:rStyle w:val="FootnoteReference"/>
        </w:rPr>
        <w:footnoteRef/>
      </w:r>
      <w:r>
        <w:t xml:space="preserve"> Amended Engineering Statement, Loss Area Analysis at 1.</w:t>
      </w:r>
    </w:p>
  </w:footnote>
  <w:footnote w:id="10">
    <w:p w:rsidR="00653594" w14:paraId="0EC0F42E" w14:textId="3E59CC6D">
      <w:pPr>
        <w:pStyle w:val="FootnoteText"/>
      </w:pPr>
      <w:r>
        <w:rPr>
          <w:rStyle w:val="FootnoteReference"/>
        </w:rPr>
        <w:footnoteRef/>
      </w:r>
      <w:r>
        <w:t xml:space="preserve"> </w:t>
      </w:r>
      <w:r w:rsidRPr="00305C3D">
        <w:rPr>
          <w:i/>
          <w:iCs/>
        </w:rPr>
        <w:t>Id.</w:t>
      </w:r>
      <w:r>
        <w:t xml:space="preserve"> at 1.</w:t>
      </w:r>
    </w:p>
  </w:footnote>
  <w:footnote w:id="11">
    <w:p w:rsidR="00305C3D" w14:paraId="52126CCD" w14:textId="6E54A17B">
      <w:pPr>
        <w:pStyle w:val="FootnoteText"/>
      </w:pPr>
      <w:r>
        <w:rPr>
          <w:rStyle w:val="FootnoteReference"/>
        </w:rPr>
        <w:footnoteRef/>
      </w:r>
      <w:r>
        <w:t xml:space="preserve"> </w:t>
      </w:r>
      <w:r w:rsidRPr="00305C3D">
        <w:rPr>
          <w:i/>
          <w:iCs/>
        </w:rPr>
        <w:t>Id</w:t>
      </w:r>
      <w:r>
        <w:t>.</w:t>
      </w:r>
      <w:r w:rsidR="00FF2980">
        <w:t>,</w:t>
      </w:r>
      <w:r>
        <w:t xml:space="preserve"> </w:t>
      </w:r>
      <w:r w:rsidRPr="0023065E" w:rsidR="00FF2980">
        <w:rPr>
          <w:i/>
          <w:iCs/>
        </w:rPr>
        <w:t>passim</w:t>
      </w:r>
      <w:r w:rsidR="00FF2980">
        <w:t>.</w:t>
      </w:r>
    </w:p>
  </w:footnote>
  <w:footnote w:id="12">
    <w:p w:rsidR="00305C3D" w14:paraId="2C128278" w14:textId="3FC3CDD7">
      <w:pPr>
        <w:pStyle w:val="FootnoteText"/>
      </w:pPr>
      <w:r>
        <w:rPr>
          <w:rStyle w:val="FootnoteReference"/>
        </w:rPr>
        <w:footnoteRef/>
      </w:r>
      <w:r>
        <w:t xml:space="preserve"> </w:t>
      </w:r>
      <w:r w:rsidRPr="0032004C">
        <w:rPr>
          <w:i/>
          <w:iCs/>
        </w:rPr>
        <w:t>Id</w:t>
      </w:r>
      <w:r>
        <w:t>.</w:t>
      </w:r>
    </w:p>
  </w:footnote>
  <w:footnote w:id="13">
    <w:p w:rsidR="002C41C4" w:rsidP="005C521E" w14:paraId="2403028A" w14:textId="77777777">
      <w:pPr>
        <w:pStyle w:val="FootnoteText"/>
        <w:widowControl w:val="0"/>
      </w:pPr>
      <w:r>
        <w:rPr>
          <w:rStyle w:val="FootnoteReference"/>
        </w:rPr>
        <w:footnoteRef/>
      </w:r>
      <w:r>
        <w:t xml:space="preserve"> 47 CFR § 73.625(a).</w:t>
      </w:r>
      <w:bookmarkStart w:id="0" w:name="SR;334"/>
      <w:bookmarkEnd w:id="0"/>
    </w:p>
  </w:footnote>
  <w:footnote w:id="14">
    <w:p w:rsidR="002C41C4" w:rsidP="005C521E" w14:paraId="22853F34" w14:textId="7BCD9A2D">
      <w:pPr>
        <w:pStyle w:val="FootnoteText"/>
        <w:widowControl w:val="0"/>
      </w:pPr>
      <w:r>
        <w:rPr>
          <w:rStyle w:val="FootnoteReference"/>
        </w:rPr>
        <w:footnoteRef/>
      </w:r>
      <w:r>
        <w:t xml:space="preserve"> 47 CFR §§ 73.616, 73.623.</w:t>
      </w:r>
    </w:p>
  </w:footnote>
  <w:footnote w:id="15">
    <w:p w:rsidR="0023065E" w:rsidP="0023065E" w14:paraId="64DA061B" w14:textId="77777777">
      <w:pPr>
        <w:pStyle w:val="FootnoteText"/>
      </w:pPr>
      <w:r>
        <w:rPr>
          <w:rStyle w:val="FootnoteReference"/>
        </w:rPr>
        <w:footnoteRef/>
      </w:r>
      <w:r>
        <w:t xml:space="preserve"> </w:t>
      </w:r>
      <w:r w:rsidRPr="00C56126">
        <w:rPr>
          <w:i/>
          <w:iCs/>
        </w:rPr>
        <w:t>See WSET, Inc</w:t>
      </w:r>
      <w:r>
        <w:t xml:space="preserve">., 80 FCC </w:t>
      </w:r>
      <w:r>
        <w:t>Rcd</w:t>
      </w:r>
      <w:r>
        <w:t xml:space="preserve"> 233, 246 (1980) (finding loss area population of 500 people to be </w:t>
      </w:r>
      <w:r w:rsidRPr="00C56126">
        <w:rPr>
          <w:i/>
          <w:iCs/>
        </w:rPr>
        <w:t>de minimis</w:t>
      </w:r>
      <w:r>
        <w:t>.).</w:t>
      </w:r>
    </w:p>
  </w:footnote>
  <w:footnote w:id="16">
    <w:p w:rsidR="002C41C4" w:rsidP="005C521E" w14:paraId="6CD663E9" w14:textId="77777777">
      <w:pPr>
        <w:pStyle w:val="FootnoteText"/>
        <w:widowControl w:val="0"/>
      </w:pPr>
      <w:r>
        <w:rPr>
          <w:rStyle w:val="FootnoteReference"/>
        </w:rPr>
        <w:footnoteRef/>
      </w:r>
      <w:r>
        <w:t xml:space="preserve"> 47 CFR § 73.622(</w:t>
      </w:r>
      <w:r>
        <w:t>i</w:t>
      </w:r>
      <w:r>
        <w:t>).</w:t>
      </w:r>
    </w:p>
  </w:footnote>
  <w:footnote w:id="17">
    <w:p w:rsidR="002C41C4" w:rsidP="005C521E" w14:paraId="77C3E06C"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8">
    <w:p w:rsidR="002C41C4" w:rsidP="005C521E" w14:paraId="308575F6" w14:textId="77777777">
      <w:pPr>
        <w:pStyle w:val="FootnoteText"/>
        <w:widowControl w:val="0"/>
      </w:pPr>
      <w:r>
        <w:rPr>
          <w:rStyle w:val="FootnoteReference"/>
        </w:rPr>
        <w:footnoteRef/>
      </w:r>
      <w:r>
        <w:t xml:space="preserve"> 47 CFR § 1.420(j).</w:t>
      </w:r>
    </w:p>
  </w:footnote>
  <w:footnote w:id="19">
    <w:p w:rsidR="002C41C4" w:rsidP="005C521E" w14:paraId="0B0B3969" w14:textId="77777777">
      <w:pPr>
        <w:pStyle w:val="FootnoteText"/>
        <w:widowControl w:val="0"/>
      </w:pPr>
      <w:r>
        <w:rPr>
          <w:rStyle w:val="FootnoteReference"/>
        </w:rPr>
        <w:footnoteRef/>
      </w:r>
      <w:r>
        <w:t xml:space="preserve"> 47 CFR §</w:t>
      </w:r>
      <w:r w:rsidR="006D6AC4">
        <w:t xml:space="preserve"> </w:t>
      </w:r>
      <w:r>
        <w:t>1.420(d).</w:t>
      </w:r>
    </w:p>
  </w:footnote>
  <w:footnote w:id="20">
    <w:p w:rsidR="002C41C4" w:rsidP="005C521E" w14:paraId="48A618DB" w14:textId="77777777">
      <w:pPr>
        <w:pStyle w:val="FootnoteText"/>
        <w:widowControl w:val="0"/>
      </w:pPr>
      <w:r>
        <w:rPr>
          <w:rStyle w:val="FootnoteReference"/>
        </w:rPr>
        <w:footnoteRef/>
      </w:r>
      <w:r>
        <w:t xml:space="preserve"> 47 CFR § 1.420(g)(2).</w:t>
      </w:r>
    </w:p>
  </w:footnote>
  <w:footnote w:id="21">
    <w:p w:rsidR="002C41C4" w:rsidP="005C521E" w14:paraId="27146DBD" w14:textId="77777777">
      <w:pPr>
        <w:pStyle w:val="FootnoteText"/>
        <w:widowControl w:val="0"/>
      </w:pPr>
      <w:r>
        <w:rPr>
          <w:rStyle w:val="FootnoteReference"/>
        </w:rPr>
        <w:footnoteRef/>
      </w:r>
      <w:r>
        <w:t xml:space="preserve"> 47 CFR §§ 1.415, 1.419, and 1.420.</w:t>
      </w:r>
    </w:p>
  </w:footnote>
  <w:footnote w:id="22">
    <w:p w:rsidR="002C41C4" w:rsidP="005C521E" w14:paraId="55C2BFE1"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3">
    <w:p w:rsidR="002C41C4" w:rsidP="005C521E" w14:paraId="2B47FAD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4">
    <w:p w:rsidR="002C41C4" w:rsidP="005C521E" w14:paraId="03701894" w14:textId="77777777">
      <w:pPr>
        <w:pStyle w:val="FootnoteText"/>
        <w:widowControl w:val="0"/>
      </w:pPr>
      <w:r>
        <w:rPr>
          <w:rStyle w:val="FootnoteReference"/>
        </w:rPr>
        <w:footnoteRef/>
      </w:r>
      <w:r>
        <w:t xml:space="preserve"> 47 CFR § 1.420.</w:t>
      </w:r>
    </w:p>
  </w:footnote>
  <w:footnote w:id="25">
    <w:p w:rsidR="002C41C4" w:rsidP="005C521E" w14:paraId="7E6B97E4"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6">
    <w:p w:rsidR="002C41C4" w:rsidP="005C521E" w14:paraId="00AEF387" w14:textId="77777777">
      <w:pPr>
        <w:pStyle w:val="FootnoteText"/>
        <w:widowControl w:val="0"/>
        <w:rPr>
          <w:i/>
          <w:iCs/>
        </w:rPr>
      </w:pPr>
      <w:r>
        <w:rPr>
          <w:rStyle w:val="FootnoteReference"/>
        </w:rPr>
        <w:footnoteRef/>
      </w:r>
      <w:r>
        <w:t xml:space="preserve"> 47 CFR §§ 1.1200 </w:t>
      </w:r>
      <w:r>
        <w:rPr>
          <w:i/>
          <w:iCs/>
        </w:rPr>
        <w:t>et seq.</w:t>
      </w:r>
    </w:p>
  </w:footnote>
  <w:footnote w:id="27">
    <w:p w:rsidR="002C41C4" w:rsidP="005C521E" w14:paraId="52C13285" w14:textId="77777777">
      <w:pPr>
        <w:pStyle w:val="FootnoteText"/>
        <w:widowControl w:val="0"/>
      </w:pPr>
      <w:r>
        <w:rPr>
          <w:rStyle w:val="FootnoteReference"/>
        </w:rPr>
        <w:footnoteRef/>
      </w:r>
      <w:r>
        <w:t xml:space="preserve"> 47 CFR § 1.1208.</w:t>
      </w:r>
    </w:p>
  </w:footnote>
  <w:footnote w:id="28">
    <w:p w:rsidR="002C41C4" w:rsidP="005C521E" w14:paraId="58BC0629" w14:textId="77777777">
      <w:pPr>
        <w:pStyle w:val="FootnoteText"/>
        <w:widowControl w:val="0"/>
      </w:pPr>
      <w:r>
        <w:rPr>
          <w:rStyle w:val="FootnoteReference"/>
        </w:rPr>
        <w:footnoteRef/>
      </w:r>
      <w:r>
        <w:t xml:space="preserve"> 47 CFR § 1.1204(a)(10).</w:t>
      </w:r>
    </w:p>
  </w:footnote>
  <w:footnote w:id="29">
    <w:p w:rsidR="002C41C4" w:rsidP="00213660" w14:paraId="40454323" w14:textId="77777777">
      <w:pPr>
        <w:pStyle w:val="FootnoteText"/>
        <w:keepNext/>
        <w:keepLines/>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30">
    <w:p w:rsidR="002C41C4" w:rsidP="005C521E" w14:paraId="3C2D734D"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31">
    <w:p w:rsidR="002C41C4" w:rsidP="005C521E" w14:paraId="36AD25CB" w14:textId="77777777">
      <w:pPr>
        <w:pStyle w:val="FootnoteText"/>
        <w:widowControl w:val="0"/>
      </w:pPr>
      <w:r>
        <w:rPr>
          <w:rStyle w:val="FootnoteReference"/>
        </w:rPr>
        <w:footnoteRef/>
      </w:r>
      <w:r>
        <w:t xml:space="preserve"> 47 CFR § 73.622(</w:t>
      </w:r>
      <w:r>
        <w:t>i</w:t>
      </w:r>
      <w:r>
        <w:t>).</w:t>
      </w:r>
    </w:p>
  </w:footnote>
  <w:footnote w:id="32">
    <w:p w:rsidR="002C41C4" w:rsidP="005C521E" w14:paraId="2B8FA7E7"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3">
    <w:p w:rsidR="002C41C4" w:rsidP="005C521E" w14:paraId="41290383"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ADC" w14:paraId="6E74D4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FC85AF" w14:textId="5876C6A3">
    <w:pPr>
      <w:pStyle w:val="Header"/>
      <w:rPr>
        <w:b w:val="0"/>
      </w:rPr>
    </w:pPr>
    <w:r>
      <w:tab/>
      <w:t>Federal Communications Commission</w:t>
    </w:r>
    <w:r>
      <w:tab/>
    </w:r>
    <w:r w:rsidR="008671E1">
      <w:t xml:space="preserve">DA </w:t>
    </w:r>
    <w:r w:rsidR="008671E1">
      <w:t>21-</w:t>
    </w:r>
    <w:r w:rsidR="00B54ADC">
      <w:t>705</w:t>
    </w:r>
  </w:p>
  <w:p w:rsidR="00D25FB5" w14:paraId="10A14B9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DE92F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A21360" w14:textId="2746E68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B54ADC">
      <w:rPr>
        <w:spacing w:val="-2"/>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10D18"/>
    <w:rsid w:val="00034252"/>
    <w:rsid w:val="00036039"/>
    <w:rsid w:val="00037F90"/>
    <w:rsid w:val="00047FF8"/>
    <w:rsid w:val="00081A21"/>
    <w:rsid w:val="000826D1"/>
    <w:rsid w:val="000875BF"/>
    <w:rsid w:val="00096D8C"/>
    <w:rsid w:val="000A1D78"/>
    <w:rsid w:val="000B2D3A"/>
    <w:rsid w:val="000C0B65"/>
    <w:rsid w:val="000C75FA"/>
    <w:rsid w:val="000E05FE"/>
    <w:rsid w:val="000E3D42"/>
    <w:rsid w:val="0010278A"/>
    <w:rsid w:val="00105AB9"/>
    <w:rsid w:val="00115F2B"/>
    <w:rsid w:val="00122BD5"/>
    <w:rsid w:val="001263D1"/>
    <w:rsid w:val="001339C9"/>
    <w:rsid w:val="00133F79"/>
    <w:rsid w:val="00194A66"/>
    <w:rsid w:val="001A5775"/>
    <w:rsid w:val="001B3094"/>
    <w:rsid w:val="001B714C"/>
    <w:rsid w:val="001D6BCF"/>
    <w:rsid w:val="001D7302"/>
    <w:rsid w:val="001E01CA"/>
    <w:rsid w:val="001E2F73"/>
    <w:rsid w:val="001F339C"/>
    <w:rsid w:val="00213660"/>
    <w:rsid w:val="0023065E"/>
    <w:rsid w:val="00246BE0"/>
    <w:rsid w:val="00275CF5"/>
    <w:rsid w:val="0028301F"/>
    <w:rsid w:val="00285017"/>
    <w:rsid w:val="002A064C"/>
    <w:rsid w:val="002A2D2E"/>
    <w:rsid w:val="002C00E8"/>
    <w:rsid w:val="002C2AF9"/>
    <w:rsid w:val="002C41C4"/>
    <w:rsid w:val="00305C3D"/>
    <w:rsid w:val="0032004C"/>
    <w:rsid w:val="00336D5F"/>
    <w:rsid w:val="00343749"/>
    <w:rsid w:val="003660ED"/>
    <w:rsid w:val="0038442D"/>
    <w:rsid w:val="0038788F"/>
    <w:rsid w:val="0039399B"/>
    <w:rsid w:val="003B0550"/>
    <w:rsid w:val="003B2442"/>
    <w:rsid w:val="003B694F"/>
    <w:rsid w:val="003F171C"/>
    <w:rsid w:val="00412FC5"/>
    <w:rsid w:val="00422276"/>
    <w:rsid w:val="004242F1"/>
    <w:rsid w:val="00445A00"/>
    <w:rsid w:val="00451B0F"/>
    <w:rsid w:val="00477CC1"/>
    <w:rsid w:val="00497EFA"/>
    <w:rsid w:val="004A2B13"/>
    <w:rsid w:val="004A3F4E"/>
    <w:rsid w:val="004C2EE3"/>
    <w:rsid w:val="004E4A22"/>
    <w:rsid w:val="004E7382"/>
    <w:rsid w:val="004F4061"/>
    <w:rsid w:val="004F743F"/>
    <w:rsid w:val="00511968"/>
    <w:rsid w:val="005210CA"/>
    <w:rsid w:val="00535B91"/>
    <w:rsid w:val="0055614C"/>
    <w:rsid w:val="00566D06"/>
    <w:rsid w:val="005B2EDD"/>
    <w:rsid w:val="005B7C2F"/>
    <w:rsid w:val="005C521E"/>
    <w:rsid w:val="005E14C2"/>
    <w:rsid w:val="0060329F"/>
    <w:rsid w:val="00606691"/>
    <w:rsid w:val="00607BA5"/>
    <w:rsid w:val="0061180A"/>
    <w:rsid w:val="00615559"/>
    <w:rsid w:val="00622F0E"/>
    <w:rsid w:val="00626EB6"/>
    <w:rsid w:val="00653594"/>
    <w:rsid w:val="00655D03"/>
    <w:rsid w:val="00683388"/>
    <w:rsid w:val="00683F84"/>
    <w:rsid w:val="006A6A81"/>
    <w:rsid w:val="006D6689"/>
    <w:rsid w:val="006D6AC4"/>
    <w:rsid w:val="006D7755"/>
    <w:rsid w:val="006F7393"/>
    <w:rsid w:val="0070224F"/>
    <w:rsid w:val="007115F7"/>
    <w:rsid w:val="00750411"/>
    <w:rsid w:val="007646E0"/>
    <w:rsid w:val="00785689"/>
    <w:rsid w:val="0079754B"/>
    <w:rsid w:val="007A1E6D"/>
    <w:rsid w:val="007B0EB2"/>
    <w:rsid w:val="007B4A0D"/>
    <w:rsid w:val="007E0E70"/>
    <w:rsid w:val="007F35FB"/>
    <w:rsid w:val="00810B6F"/>
    <w:rsid w:val="00822CE0"/>
    <w:rsid w:val="00841A0B"/>
    <w:rsid w:val="00841AB1"/>
    <w:rsid w:val="0084214C"/>
    <w:rsid w:val="008671E1"/>
    <w:rsid w:val="008C3F4D"/>
    <w:rsid w:val="008C68F1"/>
    <w:rsid w:val="00907680"/>
    <w:rsid w:val="00921803"/>
    <w:rsid w:val="00926503"/>
    <w:rsid w:val="00961260"/>
    <w:rsid w:val="00961859"/>
    <w:rsid w:val="009726D8"/>
    <w:rsid w:val="009925D1"/>
    <w:rsid w:val="009B7EF5"/>
    <w:rsid w:val="009D7308"/>
    <w:rsid w:val="009F76DB"/>
    <w:rsid w:val="00A20CB1"/>
    <w:rsid w:val="00A30184"/>
    <w:rsid w:val="00A32C3B"/>
    <w:rsid w:val="00A45F4F"/>
    <w:rsid w:val="00A50D70"/>
    <w:rsid w:val="00A600A9"/>
    <w:rsid w:val="00A75ACB"/>
    <w:rsid w:val="00A97B35"/>
    <w:rsid w:val="00AA55B7"/>
    <w:rsid w:val="00AA5B9E"/>
    <w:rsid w:val="00AB2407"/>
    <w:rsid w:val="00AB53DF"/>
    <w:rsid w:val="00AD024F"/>
    <w:rsid w:val="00AE70BC"/>
    <w:rsid w:val="00AF01B7"/>
    <w:rsid w:val="00B07E5C"/>
    <w:rsid w:val="00B54ADC"/>
    <w:rsid w:val="00B625C0"/>
    <w:rsid w:val="00B811F7"/>
    <w:rsid w:val="00B825F9"/>
    <w:rsid w:val="00BA5DC6"/>
    <w:rsid w:val="00BA6196"/>
    <w:rsid w:val="00BC1C76"/>
    <w:rsid w:val="00BC4BE1"/>
    <w:rsid w:val="00BC6D8C"/>
    <w:rsid w:val="00BE25D4"/>
    <w:rsid w:val="00BF1032"/>
    <w:rsid w:val="00BF1B4B"/>
    <w:rsid w:val="00BF5D89"/>
    <w:rsid w:val="00C117EB"/>
    <w:rsid w:val="00C34006"/>
    <w:rsid w:val="00C36B4C"/>
    <w:rsid w:val="00C37927"/>
    <w:rsid w:val="00C426B1"/>
    <w:rsid w:val="00C43C45"/>
    <w:rsid w:val="00C5034F"/>
    <w:rsid w:val="00C51F65"/>
    <w:rsid w:val="00C52980"/>
    <w:rsid w:val="00C560F8"/>
    <w:rsid w:val="00C56126"/>
    <w:rsid w:val="00C627AE"/>
    <w:rsid w:val="00C629C1"/>
    <w:rsid w:val="00C65232"/>
    <w:rsid w:val="00C66160"/>
    <w:rsid w:val="00C721AC"/>
    <w:rsid w:val="00C87627"/>
    <w:rsid w:val="00C90D6A"/>
    <w:rsid w:val="00CA247E"/>
    <w:rsid w:val="00CA6D21"/>
    <w:rsid w:val="00CB1915"/>
    <w:rsid w:val="00CC72B6"/>
    <w:rsid w:val="00D0218D"/>
    <w:rsid w:val="00D16A78"/>
    <w:rsid w:val="00D25FB5"/>
    <w:rsid w:val="00D44223"/>
    <w:rsid w:val="00D6194D"/>
    <w:rsid w:val="00DA2529"/>
    <w:rsid w:val="00DB130A"/>
    <w:rsid w:val="00DB2EBB"/>
    <w:rsid w:val="00DC10A1"/>
    <w:rsid w:val="00DC655F"/>
    <w:rsid w:val="00DD0B59"/>
    <w:rsid w:val="00DD7EBD"/>
    <w:rsid w:val="00DE5368"/>
    <w:rsid w:val="00DF40E1"/>
    <w:rsid w:val="00DF62B6"/>
    <w:rsid w:val="00E02754"/>
    <w:rsid w:val="00E04102"/>
    <w:rsid w:val="00E07225"/>
    <w:rsid w:val="00E434C0"/>
    <w:rsid w:val="00E5409F"/>
    <w:rsid w:val="00E727BF"/>
    <w:rsid w:val="00E807B9"/>
    <w:rsid w:val="00EB46C8"/>
    <w:rsid w:val="00EB77AA"/>
    <w:rsid w:val="00EC4CF3"/>
    <w:rsid w:val="00EE6488"/>
    <w:rsid w:val="00F021FA"/>
    <w:rsid w:val="00F44D9C"/>
    <w:rsid w:val="00F62E97"/>
    <w:rsid w:val="00F64209"/>
    <w:rsid w:val="00F73A13"/>
    <w:rsid w:val="00F77830"/>
    <w:rsid w:val="00F82CEF"/>
    <w:rsid w:val="00F93BF5"/>
    <w:rsid w:val="00FB3577"/>
    <w:rsid w:val="00FE4AD2"/>
    <w:rsid w:val="00FF0804"/>
    <w:rsid w:val="00FF2980"/>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B9D4D7"/>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