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64F1F" w:rsidP="00464F1F" w14:paraId="0A72ED40" w14:textId="2EDFA0FF">
      <w:pPr>
        <w:jc w:val="right"/>
        <w:rPr>
          <w:b/>
          <w:szCs w:val="22"/>
        </w:rPr>
      </w:pPr>
      <w:r>
        <w:rPr>
          <w:b/>
          <w:szCs w:val="22"/>
        </w:rPr>
        <w:t>DA 21</w:t>
      </w:r>
      <w:r w:rsidRPr="008C5A96">
        <w:rPr>
          <w:b/>
          <w:szCs w:val="22"/>
        </w:rPr>
        <w:t>-</w:t>
      </w:r>
      <w:r w:rsidR="00AE0A36">
        <w:rPr>
          <w:b/>
          <w:szCs w:val="22"/>
        </w:rPr>
        <w:t>706</w:t>
      </w:r>
    </w:p>
    <w:p w:rsidR="00464F1F" w:rsidP="00464F1F" w14:paraId="76045436" w14:textId="7936C754">
      <w:pPr>
        <w:spacing w:before="60"/>
        <w:jc w:val="right"/>
        <w:rPr>
          <w:szCs w:val="22"/>
        </w:rPr>
      </w:pPr>
      <w:r>
        <w:rPr>
          <w:b/>
          <w:szCs w:val="22"/>
        </w:rPr>
        <w:t xml:space="preserve">Released:  </w:t>
      </w:r>
      <w:r w:rsidR="0066217F">
        <w:rPr>
          <w:b/>
          <w:szCs w:val="22"/>
        </w:rPr>
        <w:t>June 16</w:t>
      </w:r>
      <w:r w:rsidRPr="00BB3EC8">
        <w:rPr>
          <w:b/>
          <w:szCs w:val="22"/>
        </w:rPr>
        <w:t>, 20</w:t>
      </w:r>
      <w:r>
        <w:rPr>
          <w:b/>
          <w:szCs w:val="22"/>
        </w:rPr>
        <w:t>21</w:t>
      </w:r>
    </w:p>
    <w:p w:rsidR="00464F1F" w:rsidP="00464F1F" w14:paraId="1F1FA304" w14:textId="77777777">
      <w:pPr>
        <w:jc w:val="center"/>
        <w:rPr>
          <w:szCs w:val="22"/>
        </w:rPr>
      </w:pPr>
    </w:p>
    <w:p w:rsidR="00464F1F" w:rsidP="00464F1F" w14:paraId="1BBD8CA0" w14:textId="18AD8534">
      <w:pPr>
        <w:jc w:val="center"/>
        <w:rPr>
          <w:b/>
          <w:caps/>
          <w:szCs w:val="22"/>
        </w:rPr>
      </w:pPr>
      <w:r>
        <w:rPr>
          <w:b/>
          <w:caps/>
          <w:szCs w:val="22"/>
        </w:rPr>
        <w:t xml:space="preserve">PUBLIC SAFETY AND HOMELAND SECURITY BUREAU AND WIRELESS TELECOMMUNICATIONS BUREAU ANNOUNCE THE </w:t>
      </w:r>
      <w:r w:rsidR="00A66653">
        <w:rPr>
          <w:b/>
          <w:caps/>
          <w:szCs w:val="22"/>
        </w:rPr>
        <w:t xml:space="preserve">post-rebanding </w:t>
      </w:r>
      <w:r>
        <w:rPr>
          <w:b/>
          <w:caps/>
          <w:szCs w:val="22"/>
        </w:rPr>
        <w:t>AVAILABILITY FOR LICENSING OF ADDITIONAL SPRINT</w:t>
      </w:r>
      <w:r w:rsidR="002849AE">
        <w:rPr>
          <w:b/>
          <w:caps/>
          <w:szCs w:val="22"/>
        </w:rPr>
        <w:t>-</w:t>
      </w:r>
      <w:r>
        <w:rPr>
          <w:b/>
          <w:caps/>
          <w:szCs w:val="22"/>
        </w:rPr>
        <w:t>VACATED, EXPANSION bAND</w:t>
      </w:r>
      <w:r w:rsidR="00A66653">
        <w:rPr>
          <w:b/>
          <w:caps/>
          <w:szCs w:val="22"/>
        </w:rPr>
        <w:t>,</w:t>
      </w:r>
      <w:r>
        <w:rPr>
          <w:b/>
          <w:caps/>
          <w:szCs w:val="22"/>
        </w:rPr>
        <w:t xml:space="preserve"> AND GUARD BAND CHANNELS</w:t>
      </w:r>
      <w:r w:rsidR="001C07DD">
        <w:rPr>
          <w:b/>
          <w:caps/>
          <w:szCs w:val="22"/>
        </w:rPr>
        <w:t xml:space="preserve"> in the 800 mhz band</w:t>
      </w:r>
    </w:p>
    <w:p w:rsidR="00464F1F" w:rsidP="00464F1F" w14:paraId="51C88421" w14:textId="77777777">
      <w:pPr>
        <w:jc w:val="center"/>
        <w:rPr>
          <w:b/>
          <w:caps/>
          <w:szCs w:val="22"/>
        </w:rPr>
      </w:pPr>
    </w:p>
    <w:p w:rsidR="00464F1F" w:rsidP="00464F1F" w14:paraId="1481D410" w14:textId="77777777">
      <w:pPr>
        <w:spacing w:after="240"/>
        <w:jc w:val="center"/>
        <w:rPr>
          <w:b/>
          <w:szCs w:val="22"/>
        </w:rPr>
      </w:pPr>
      <w:r>
        <w:rPr>
          <w:b/>
          <w:szCs w:val="22"/>
        </w:rPr>
        <w:t>WT Docket No. 02-55</w:t>
      </w:r>
    </w:p>
    <w:p w:rsidR="00294F6B" w:rsidP="00294F6B" w14:paraId="127FF81D" w14:textId="77777777">
      <w:pPr>
        <w:widowControl/>
        <w:ind w:firstLine="720"/>
        <w:rPr>
          <w:szCs w:val="22"/>
        </w:rPr>
      </w:pPr>
      <w:bookmarkStart w:id="0" w:name="OLE_LINK1"/>
      <w:bookmarkStart w:id="1" w:name="OLE_LINK2"/>
      <w:r>
        <w:rPr>
          <w:szCs w:val="22"/>
        </w:rPr>
        <w:t>On April 22, 2021, t</w:t>
      </w:r>
      <w:r w:rsidR="00464F1F">
        <w:rPr>
          <w:szCs w:val="22"/>
        </w:rPr>
        <w:t xml:space="preserve">he </w:t>
      </w:r>
      <w:r>
        <w:rPr>
          <w:szCs w:val="22"/>
        </w:rPr>
        <w:t>Commission adopted an order terminat</w:t>
      </w:r>
      <w:r w:rsidR="00C316CF">
        <w:rPr>
          <w:szCs w:val="22"/>
        </w:rPr>
        <w:t xml:space="preserve">ing </w:t>
      </w:r>
      <w:r>
        <w:rPr>
          <w:szCs w:val="22"/>
        </w:rPr>
        <w:t>the</w:t>
      </w:r>
      <w:r w:rsidR="00C316CF">
        <w:rPr>
          <w:szCs w:val="22"/>
        </w:rPr>
        <w:t xml:space="preserve"> 800 MHz </w:t>
      </w:r>
      <w:r w:rsidR="00C316CF">
        <w:rPr>
          <w:szCs w:val="22"/>
        </w:rPr>
        <w:t>rebanding</w:t>
      </w:r>
      <w:r w:rsidR="00C316CF">
        <w:rPr>
          <w:szCs w:val="22"/>
        </w:rPr>
        <w:t xml:space="preserve"> program.</w:t>
      </w:r>
      <w:r>
        <w:rPr>
          <w:rStyle w:val="FootnoteReference"/>
          <w:szCs w:val="22"/>
        </w:rPr>
        <w:footnoteReference w:id="3"/>
      </w:r>
      <w:r w:rsidR="00C316CF">
        <w:rPr>
          <w:szCs w:val="22"/>
        </w:rPr>
        <w:t xml:space="preserve">  Accordingly, by this public notice, the </w:t>
      </w:r>
      <w:r w:rsidR="00464F1F">
        <w:rPr>
          <w:szCs w:val="22"/>
        </w:rPr>
        <w:t xml:space="preserve">Public Safety and Homeland Security Bureau and the Wireless Telecommunications Bureau (Bureaus) announce </w:t>
      </w:r>
      <w:r w:rsidR="00BB708E">
        <w:rPr>
          <w:szCs w:val="22"/>
        </w:rPr>
        <w:t>the</w:t>
      </w:r>
      <w:r w:rsidR="003142CD">
        <w:rPr>
          <w:szCs w:val="22"/>
        </w:rPr>
        <w:t xml:space="preserve"> post-</w:t>
      </w:r>
      <w:r w:rsidR="003142CD">
        <w:rPr>
          <w:szCs w:val="22"/>
        </w:rPr>
        <w:t>rebanding</w:t>
      </w:r>
      <w:r w:rsidR="00BB708E">
        <w:rPr>
          <w:szCs w:val="22"/>
        </w:rPr>
        <w:t xml:space="preserve"> </w:t>
      </w:r>
      <w:r w:rsidR="004D4F76">
        <w:rPr>
          <w:szCs w:val="22"/>
        </w:rPr>
        <w:t xml:space="preserve">availability of </w:t>
      </w:r>
      <w:r w:rsidR="0086532D">
        <w:rPr>
          <w:szCs w:val="22"/>
        </w:rPr>
        <w:t xml:space="preserve">800 MHz channels </w:t>
      </w:r>
      <w:r w:rsidR="004845DD">
        <w:rPr>
          <w:szCs w:val="22"/>
        </w:rPr>
        <w:t xml:space="preserve">in </w:t>
      </w:r>
      <w:r w:rsidR="00C316CF">
        <w:rPr>
          <w:szCs w:val="22"/>
        </w:rPr>
        <w:t xml:space="preserve">all </w:t>
      </w:r>
      <w:r w:rsidR="00464F1F">
        <w:rPr>
          <w:szCs w:val="22"/>
        </w:rPr>
        <w:t>National Public Safety Planning Advisory Committee (NPSPAC) regions</w:t>
      </w:r>
      <w:r w:rsidR="004845DD">
        <w:rPr>
          <w:szCs w:val="22"/>
        </w:rPr>
        <w:t xml:space="preserve"> as follows:</w:t>
      </w:r>
    </w:p>
    <w:p w:rsidR="00C316CF" w:rsidP="00294F6B" w14:paraId="4AB69BB5" w14:textId="28DF1D9E">
      <w:pPr>
        <w:widowControl/>
        <w:ind w:firstLine="720"/>
        <w:rPr>
          <w:szCs w:val="22"/>
        </w:rPr>
      </w:pPr>
      <w:r>
        <w:rPr>
          <w:szCs w:val="22"/>
        </w:rPr>
        <w:t xml:space="preserve">  </w:t>
      </w:r>
    </w:p>
    <w:p w:rsidR="00294F6B" w:rsidP="00294F6B" w14:paraId="025024FB" w14:textId="77777777">
      <w:pPr>
        <w:widowControl/>
        <w:ind w:firstLine="720"/>
        <w:rPr>
          <w:szCs w:val="22"/>
        </w:rPr>
      </w:pPr>
      <w:r>
        <w:rPr>
          <w:szCs w:val="22"/>
        </w:rPr>
        <w:t xml:space="preserve">(a) </w:t>
      </w:r>
      <w:r>
        <w:rPr>
          <w:szCs w:val="22"/>
          <w:u w:val="single"/>
        </w:rPr>
        <w:t xml:space="preserve">NPSPAC regions </w:t>
      </w:r>
      <w:r w:rsidR="00296406">
        <w:rPr>
          <w:szCs w:val="22"/>
          <w:u w:val="single"/>
        </w:rPr>
        <w:t xml:space="preserve">in which </w:t>
      </w:r>
      <w:r w:rsidR="00AB6638">
        <w:rPr>
          <w:szCs w:val="22"/>
          <w:u w:val="single"/>
        </w:rPr>
        <w:t xml:space="preserve">800 MHz </w:t>
      </w:r>
      <w:r w:rsidR="00296406">
        <w:rPr>
          <w:szCs w:val="22"/>
          <w:u w:val="single"/>
        </w:rPr>
        <w:t>rebanding</w:t>
      </w:r>
      <w:r w:rsidR="00296406">
        <w:rPr>
          <w:szCs w:val="22"/>
          <w:u w:val="single"/>
        </w:rPr>
        <w:t xml:space="preserve"> is </w:t>
      </w:r>
      <w:r w:rsidR="00032F5A">
        <w:rPr>
          <w:szCs w:val="22"/>
          <w:u w:val="single"/>
        </w:rPr>
        <w:t>newly complete</w:t>
      </w:r>
      <w:r w:rsidR="002F4DB8">
        <w:rPr>
          <w:szCs w:val="22"/>
          <w:u w:val="single"/>
        </w:rPr>
        <w:t>:</w:t>
      </w:r>
      <w:r w:rsidRPr="002C1876" w:rsidR="002F4DB8">
        <w:rPr>
          <w:szCs w:val="22"/>
        </w:rPr>
        <w:t xml:space="preserve"> </w:t>
      </w:r>
      <w:r w:rsidRPr="002C1876">
        <w:rPr>
          <w:szCs w:val="22"/>
        </w:rPr>
        <w:t>Attachment A</w:t>
      </w:r>
      <w:r w:rsidRPr="00600A01" w:rsidR="002C68E9">
        <w:rPr>
          <w:szCs w:val="22"/>
        </w:rPr>
        <w:t xml:space="preserve"> </w:t>
      </w:r>
      <w:r w:rsidR="002C68E9">
        <w:rPr>
          <w:szCs w:val="22"/>
        </w:rPr>
        <w:t xml:space="preserve">lists </w:t>
      </w:r>
      <w:r w:rsidR="00A57B17">
        <w:rPr>
          <w:szCs w:val="22"/>
        </w:rPr>
        <w:t>1</w:t>
      </w:r>
      <w:r w:rsidR="00821827">
        <w:rPr>
          <w:szCs w:val="22"/>
        </w:rPr>
        <w:t>4</w:t>
      </w:r>
      <w:r w:rsidR="00A57B17">
        <w:rPr>
          <w:szCs w:val="22"/>
        </w:rPr>
        <w:t xml:space="preserve"> </w:t>
      </w:r>
      <w:r w:rsidR="002C68E9">
        <w:rPr>
          <w:szCs w:val="22"/>
        </w:rPr>
        <w:t xml:space="preserve">NPSPAC regions </w:t>
      </w:r>
      <w:r w:rsidR="004C219E">
        <w:rPr>
          <w:szCs w:val="22"/>
        </w:rPr>
        <w:t xml:space="preserve">in which </w:t>
      </w:r>
      <w:r w:rsidR="004C219E">
        <w:rPr>
          <w:szCs w:val="22"/>
        </w:rPr>
        <w:t>rebanding</w:t>
      </w:r>
      <w:r w:rsidR="004C219E">
        <w:rPr>
          <w:szCs w:val="22"/>
        </w:rPr>
        <w:t xml:space="preserve"> has been declared complete by the </w:t>
      </w:r>
      <w:r w:rsidRPr="002C1876" w:rsidR="004C219E">
        <w:rPr>
          <w:i/>
          <w:iCs/>
          <w:szCs w:val="22"/>
        </w:rPr>
        <w:t>Termination Order</w:t>
      </w:r>
      <w:r w:rsidR="004C219E">
        <w:rPr>
          <w:szCs w:val="22"/>
        </w:rPr>
        <w:t xml:space="preserve">.  </w:t>
      </w:r>
      <w:r w:rsidR="003142CD">
        <w:rPr>
          <w:szCs w:val="22"/>
        </w:rPr>
        <w:t xml:space="preserve">In these regions, </w:t>
      </w:r>
      <w:r>
        <w:rPr>
          <w:szCs w:val="22"/>
        </w:rPr>
        <w:t xml:space="preserve">channels in the </w:t>
      </w:r>
      <w:r w:rsidR="0095349A">
        <w:rPr>
          <w:szCs w:val="22"/>
        </w:rPr>
        <w:t>i</w:t>
      </w:r>
      <w:r>
        <w:rPr>
          <w:szCs w:val="22"/>
        </w:rPr>
        <w:t>nterleaved segment of the band</w:t>
      </w:r>
      <w:r w:rsidR="00DC456C">
        <w:rPr>
          <w:szCs w:val="22"/>
        </w:rPr>
        <w:t xml:space="preserve"> that have been</w:t>
      </w:r>
      <w:r>
        <w:rPr>
          <w:szCs w:val="22"/>
        </w:rPr>
        <w:t xml:space="preserve"> vacated by Sprint Corporation (Sprint)</w:t>
      </w:r>
      <w:r>
        <w:rPr>
          <w:rStyle w:val="FootnoteReference"/>
          <w:szCs w:val="22"/>
        </w:rPr>
        <w:footnoteReference w:id="4"/>
      </w:r>
      <w:r>
        <w:rPr>
          <w:szCs w:val="22"/>
        </w:rPr>
        <w:t xml:space="preserve"> are </w:t>
      </w:r>
      <w:r w:rsidR="00901227">
        <w:rPr>
          <w:szCs w:val="22"/>
        </w:rPr>
        <w:t xml:space="preserve">now </w:t>
      </w:r>
      <w:r>
        <w:rPr>
          <w:szCs w:val="22"/>
        </w:rPr>
        <w:t>available for licensing to public safety entities and, later, to critical infrastructure entities</w:t>
      </w:r>
      <w:r w:rsidR="00901227">
        <w:rPr>
          <w:szCs w:val="22"/>
        </w:rPr>
        <w:t xml:space="preserve">, in accordance with the procedures set forth in this </w:t>
      </w:r>
      <w:r w:rsidR="00AB6638">
        <w:rPr>
          <w:szCs w:val="22"/>
        </w:rPr>
        <w:t>Public Notice.</w:t>
      </w:r>
      <w:r>
        <w:rPr>
          <w:szCs w:val="22"/>
        </w:rPr>
        <w:t xml:space="preserve"> </w:t>
      </w:r>
      <w:r w:rsidR="00A85B26">
        <w:rPr>
          <w:szCs w:val="22"/>
        </w:rPr>
        <w:t xml:space="preserve"> In addition, </w:t>
      </w:r>
      <w:r w:rsidR="00253B2F">
        <w:rPr>
          <w:szCs w:val="22"/>
        </w:rPr>
        <w:t xml:space="preserve">unoccupied </w:t>
      </w:r>
      <w:r w:rsidR="00D41A07">
        <w:rPr>
          <w:szCs w:val="22"/>
        </w:rPr>
        <w:t>c</w:t>
      </w:r>
      <w:r w:rsidR="00253B2F">
        <w:rPr>
          <w:szCs w:val="22"/>
        </w:rPr>
        <w:t>hannels in the Expansion Band and Guard Band are available for licensing.</w:t>
      </w:r>
    </w:p>
    <w:p w:rsidR="00464F1F" w:rsidP="00294F6B" w14:paraId="344CCD03" w14:textId="525E2F79">
      <w:pPr>
        <w:widowControl/>
        <w:ind w:firstLine="720"/>
        <w:rPr>
          <w:szCs w:val="22"/>
        </w:rPr>
      </w:pPr>
      <w:r>
        <w:rPr>
          <w:szCs w:val="22"/>
        </w:rPr>
        <w:t xml:space="preserve">  </w:t>
      </w:r>
    </w:p>
    <w:p w:rsidR="00C0312B" w:rsidP="00294F6B" w14:paraId="7F716A72" w14:textId="77777777">
      <w:pPr>
        <w:widowControl/>
        <w:ind w:firstLine="720"/>
        <w:rPr>
          <w:szCs w:val="22"/>
        </w:rPr>
      </w:pPr>
      <w:r>
        <w:rPr>
          <w:szCs w:val="22"/>
        </w:rPr>
        <w:t>(b)</w:t>
      </w:r>
      <w:r w:rsidR="00A82268">
        <w:rPr>
          <w:szCs w:val="22"/>
        </w:rPr>
        <w:t xml:space="preserve"> </w:t>
      </w:r>
      <w:r w:rsidRPr="000B2C39">
        <w:rPr>
          <w:szCs w:val="22"/>
          <w:u w:val="single"/>
        </w:rPr>
        <w:t xml:space="preserve">NPSPAC regions </w:t>
      </w:r>
      <w:r w:rsidR="00A0369C">
        <w:rPr>
          <w:szCs w:val="22"/>
          <w:u w:val="single"/>
        </w:rPr>
        <w:t>in which</w:t>
      </w:r>
      <w:r w:rsidR="00AB6638">
        <w:rPr>
          <w:szCs w:val="22"/>
          <w:u w:val="single"/>
        </w:rPr>
        <w:t xml:space="preserve"> 800 MHz</w:t>
      </w:r>
      <w:r w:rsidR="00A0369C">
        <w:rPr>
          <w:szCs w:val="22"/>
          <w:u w:val="single"/>
        </w:rPr>
        <w:t xml:space="preserve"> </w:t>
      </w:r>
      <w:r w:rsidR="00821615">
        <w:rPr>
          <w:szCs w:val="22"/>
          <w:u w:val="single"/>
        </w:rPr>
        <w:t>rebanding</w:t>
      </w:r>
      <w:r w:rsidR="00821615">
        <w:rPr>
          <w:szCs w:val="22"/>
          <w:u w:val="single"/>
        </w:rPr>
        <w:t xml:space="preserve"> was previously declared complete</w:t>
      </w:r>
      <w:r w:rsidR="00600A01">
        <w:rPr>
          <w:szCs w:val="22"/>
          <w:u w:val="single"/>
        </w:rPr>
        <w:t>:</w:t>
      </w:r>
      <w:r w:rsidR="00600A01">
        <w:rPr>
          <w:szCs w:val="22"/>
        </w:rPr>
        <w:t xml:space="preserve"> </w:t>
      </w:r>
      <w:r w:rsidRPr="002C1876">
        <w:rPr>
          <w:szCs w:val="22"/>
        </w:rPr>
        <w:t>Attachment B</w:t>
      </w:r>
      <w:r w:rsidRPr="002C1876" w:rsidR="00B737FA">
        <w:rPr>
          <w:szCs w:val="22"/>
        </w:rPr>
        <w:t xml:space="preserve"> lists</w:t>
      </w:r>
      <w:r w:rsidR="00F2137A">
        <w:rPr>
          <w:szCs w:val="22"/>
        </w:rPr>
        <w:t xml:space="preserve"> NPSPAC regions </w:t>
      </w:r>
      <w:r w:rsidR="00D314A3">
        <w:rPr>
          <w:szCs w:val="22"/>
        </w:rPr>
        <w:t xml:space="preserve">in which </w:t>
      </w:r>
      <w:r w:rsidR="00D314A3">
        <w:rPr>
          <w:szCs w:val="22"/>
        </w:rPr>
        <w:t>rebanding</w:t>
      </w:r>
      <w:r w:rsidR="00D314A3">
        <w:rPr>
          <w:szCs w:val="22"/>
        </w:rPr>
        <w:t xml:space="preserve"> was declared complete by prior public notice. </w:t>
      </w:r>
      <w:r w:rsidR="00264348">
        <w:rPr>
          <w:szCs w:val="22"/>
        </w:rPr>
        <w:t xml:space="preserve"> Although some 800 M</w:t>
      </w:r>
      <w:r w:rsidR="0032685A">
        <w:rPr>
          <w:szCs w:val="22"/>
        </w:rPr>
        <w:t xml:space="preserve">Hz channels </w:t>
      </w:r>
      <w:r w:rsidR="00D0517A">
        <w:rPr>
          <w:szCs w:val="22"/>
        </w:rPr>
        <w:t>in these</w:t>
      </w:r>
      <w:r w:rsidR="00696DA6">
        <w:rPr>
          <w:szCs w:val="22"/>
        </w:rPr>
        <w:t xml:space="preserve"> regions </w:t>
      </w:r>
      <w:r w:rsidR="0032685A">
        <w:rPr>
          <w:szCs w:val="22"/>
        </w:rPr>
        <w:t>have previously been made available</w:t>
      </w:r>
      <w:r w:rsidR="00264348">
        <w:rPr>
          <w:szCs w:val="22"/>
        </w:rPr>
        <w:t xml:space="preserve">, </w:t>
      </w:r>
      <w:r w:rsidR="004327E6">
        <w:rPr>
          <w:szCs w:val="22"/>
        </w:rPr>
        <w:t xml:space="preserve">this Public Notice </w:t>
      </w:r>
      <w:r>
        <w:rPr>
          <w:szCs w:val="22"/>
        </w:rPr>
        <w:t>announce</w:t>
      </w:r>
      <w:r w:rsidR="00003F62">
        <w:rPr>
          <w:szCs w:val="22"/>
        </w:rPr>
        <w:t xml:space="preserve">s the availability of </w:t>
      </w:r>
      <w:r w:rsidR="00B7301A">
        <w:rPr>
          <w:szCs w:val="22"/>
        </w:rPr>
        <w:t xml:space="preserve">the remaining </w:t>
      </w:r>
      <w:r>
        <w:rPr>
          <w:szCs w:val="22"/>
        </w:rPr>
        <w:t>channels</w:t>
      </w:r>
      <w:r w:rsidR="002E0228">
        <w:rPr>
          <w:szCs w:val="22"/>
        </w:rPr>
        <w:t xml:space="preserve"> </w:t>
      </w:r>
      <w:r w:rsidR="00827517">
        <w:rPr>
          <w:szCs w:val="22"/>
        </w:rPr>
        <w:t xml:space="preserve">vacated by Sprint </w:t>
      </w:r>
      <w:r w:rsidR="002E0228">
        <w:rPr>
          <w:szCs w:val="22"/>
        </w:rPr>
        <w:t xml:space="preserve">in these regions </w:t>
      </w:r>
      <w:r w:rsidR="00294575">
        <w:rPr>
          <w:szCs w:val="22"/>
        </w:rPr>
        <w:t>f</w:t>
      </w:r>
      <w:r>
        <w:rPr>
          <w:szCs w:val="22"/>
        </w:rPr>
        <w:t xml:space="preserve">or </w:t>
      </w:r>
      <w:r w:rsidRPr="00C05236">
        <w:rPr>
          <w:szCs w:val="22"/>
        </w:rPr>
        <w:t>licensing to public safety entities and, later, to critical infrastructure entities</w:t>
      </w:r>
      <w:r>
        <w:rPr>
          <w:szCs w:val="22"/>
        </w:rPr>
        <w:t>.</w:t>
      </w:r>
    </w:p>
    <w:p w:rsidR="00DB5CE8" w:rsidP="00294F6B" w14:paraId="5B7BD2E7" w14:textId="7A6B3F89">
      <w:pPr>
        <w:widowControl/>
        <w:ind w:firstLine="720"/>
        <w:rPr>
          <w:szCs w:val="22"/>
        </w:rPr>
      </w:pPr>
      <w:r>
        <w:rPr>
          <w:szCs w:val="22"/>
        </w:rPr>
        <w:t xml:space="preserve">  </w:t>
      </w:r>
    </w:p>
    <w:p w:rsidR="00464F1F" w:rsidP="00294F6B" w14:paraId="5E4C930D" w14:textId="74D03578">
      <w:pPr>
        <w:widowControl/>
        <w:ind w:firstLine="720"/>
        <w:rPr>
          <w:szCs w:val="22"/>
        </w:rPr>
      </w:pPr>
      <w:r>
        <w:rPr>
          <w:szCs w:val="22"/>
        </w:rPr>
        <w:t xml:space="preserve">(c) </w:t>
      </w:r>
      <w:r w:rsidR="00C23B3D">
        <w:rPr>
          <w:szCs w:val="22"/>
          <w:u w:val="single"/>
        </w:rPr>
        <w:t>C</w:t>
      </w:r>
      <w:r w:rsidRPr="0084488B">
        <w:rPr>
          <w:szCs w:val="22"/>
          <w:u w:val="single"/>
        </w:rPr>
        <w:t xml:space="preserve">ounties </w:t>
      </w:r>
      <w:r w:rsidR="007435A7">
        <w:rPr>
          <w:szCs w:val="22"/>
          <w:u w:val="single"/>
        </w:rPr>
        <w:t xml:space="preserve">previously subject </w:t>
      </w:r>
      <w:r w:rsidRPr="000A1CEE" w:rsidR="007435A7">
        <w:rPr>
          <w:szCs w:val="22"/>
          <w:u w:val="single"/>
        </w:rPr>
        <w:t>to</w:t>
      </w:r>
      <w:r w:rsidRPr="00F72DE6" w:rsidR="00923FF0">
        <w:rPr>
          <w:szCs w:val="22"/>
          <w:u w:val="single"/>
        </w:rPr>
        <w:t xml:space="preserve"> </w:t>
      </w:r>
      <w:r w:rsidRPr="002C1876">
        <w:rPr>
          <w:szCs w:val="22"/>
          <w:u w:val="single"/>
        </w:rPr>
        <w:t>application freeze</w:t>
      </w:r>
      <w:r w:rsidRPr="002C1876" w:rsidR="00610C7D">
        <w:rPr>
          <w:szCs w:val="22"/>
          <w:u w:val="single"/>
        </w:rPr>
        <w:t>:</w:t>
      </w:r>
      <w:r w:rsidR="00610C7D">
        <w:rPr>
          <w:szCs w:val="22"/>
        </w:rPr>
        <w:t xml:space="preserve"> </w:t>
      </w:r>
      <w:r w:rsidR="00A05B25">
        <w:rPr>
          <w:szCs w:val="22"/>
        </w:rPr>
        <w:t xml:space="preserve">Attachment C lists counties in </w:t>
      </w:r>
      <w:r w:rsidR="007540D7">
        <w:rPr>
          <w:szCs w:val="22"/>
        </w:rPr>
        <w:t xml:space="preserve">four </w:t>
      </w:r>
      <w:r w:rsidR="00C94CC2">
        <w:rPr>
          <w:szCs w:val="22"/>
        </w:rPr>
        <w:t xml:space="preserve">NPSPAC regions that were subject to </w:t>
      </w:r>
      <w:r w:rsidR="00F55B77">
        <w:rPr>
          <w:szCs w:val="22"/>
        </w:rPr>
        <w:t xml:space="preserve">a </w:t>
      </w:r>
      <w:r w:rsidR="00D728B5">
        <w:t xml:space="preserve">freeze on </w:t>
      </w:r>
      <w:r w:rsidR="00F17945">
        <w:t xml:space="preserve">800 MHz </w:t>
      </w:r>
      <w:r w:rsidR="00D728B5">
        <w:t xml:space="preserve">applications </w:t>
      </w:r>
      <w:r w:rsidR="00D728B5">
        <w:t>in order to</w:t>
      </w:r>
      <w:r w:rsidR="00D728B5">
        <w:t xml:space="preserve"> preserve vacant </w:t>
      </w:r>
      <w:r w:rsidR="000F1698">
        <w:t>c</w:t>
      </w:r>
      <w:r w:rsidR="00D728B5">
        <w:t xml:space="preserve">hannels for </w:t>
      </w:r>
      <w:r w:rsidR="000F1698">
        <w:t>rebanding</w:t>
      </w:r>
      <w:r w:rsidR="000F1698">
        <w:t xml:space="preserve"> </w:t>
      </w:r>
      <w:r w:rsidR="00D728B5">
        <w:t>licensees</w:t>
      </w:r>
      <w:r w:rsidR="003F5E20">
        <w:t xml:space="preserve"> in the US-Mexico border region</w:t>
      </w:r>
      <w:r w:rsidR="00372CE2">
        <w:t xml:space="preserve">.  </w:t>
      </w:r>
      <w:r w:rsidR="00FF5AB3">
        <w:t>This application freeze is now lifted</w:t>
      </w:r>
      <w:r>
        <w:rPr>
          <w:szCs w:val="22"/>
        </w:rPr>
        <w:t xml:space="preserve">.  </w:t>
      </w:r>
      <w:r w:rsidR="008B0C14">
        <w:rPr>
          <w:szCs w:val="22"/>
        </w:rPr>
        <w:t xml:space="preserve">As a result, Sprint-vacated channels </w:t>
      </w:r>
      <w:r w:rsidR="0020292B">
        <w:rPr>
          <w:szCs w:val="22"/>
        </w:rPr>
        <w:t>and Expansion and Guard Band Channels are available in these counties.</w:t>
      </w:r>
    </w:p>
    <w:p w:rsidR="00464F1F" w:rsidP="00294F6B" w14:paraId="7DB4EB22" w14:textId="5DF41FDC">
      <w:pPr>
        <w:keepNext/>
        <w:widowControl/>
        <w:rPr>
          <w:szCs w:val="22"/>
        </w:rPr>
      </w:pPr>
      <w:r>
        <w:rPr>
          <w:szCs w:val="22"/>
          <w:u w:val="single"/>
        </w:rPr>
        <w:t>Background</w:t>
      </w:r>
    </w:p>
    <w:p w:rsidR="00916A11" w:rsidRPr="00916A11" w:rsidP="00294F6B" w14:paraId="797729D0" w14:textId="77777777">
      <w:pPr>
        <w:keepNext/>
        <w:widowControl/>
        <w:rPr>
          <w:szCs w:val="22"/>
        </w:rPr>
      </w:pPr>
    </w:p>
    <w:p w:rsidR="00916A11" w:rsidP="00EE69C1" w14:paraId="766F0C54" w14:textId="77777777">
      <w:pPr>
        <w:widowControl/>
        <w:ind w:firstLine="720"/>
        <w:rPr>
          <w:color w:val="000000"/>
        </w:rPr>
      </w:pPr>
      <w:r>
        <w:rPr>
          <w:color w:val="010101"/>
          <w:szCs w:val="22"/>
        </w:rPr>
        <w:t xml:space="preserve">In the </w:t>
      </w:r>
      <w:r>
        <w:rPr>
          <w:i/>
          <w:iCs/>
          <w:color w:val="010101"/>
          <w:szCs w:val="22"/>
        </w:rPr>
        <w:t>800 MHz Report and Order</w:t>
      </w:r>
      <w:r>
        <w:rPr>
          <w:color w:val="010101"/>
          <w:szCs w:val="22"/>
        </w:rPr>
        <w:t xml:space="preserve">, the Commission ordered 800 MHz </w:t>
      </w:r>
      <w:r>
        <w:rPr>
          <w:color w:val="010101"/>
          <w:szCs w:val="22"/>
        </w:rPr>
        <w:t>rebanding</w:t>
      </w:r>
      <w:r>
        <w:rPr>
          <w:color w:val="010101"/>
          <w:szCs w:val="22"/>
        </w:rPr>
        <w:t xml:space="preserve"> to resolve interference caused by commercial systems to public safety and other non-cellular architecture systems in the band.</w:t>
      </w:r>
      <w:bookmarkStart w:id="2" w:name="_Ref298751886"/>
      <w:r>
        <w:rPr>
          <w:rStyle w:val="FootnoteReference"/>
          <w:szCs w:val="22"/>
        </w:rPr>
        <w:footnoteReference w:id="5"/>
      </w:r>
      <w:bookmarkEnd w:id="2"/>
      <w:r>
        <w:rPr>
          <w:color w:val="010101"/>
          <w:szCs w:val="22"/>
        </w:rPr>
        <w:t xml:space="preserve">  The Commission provided for the </w:t>
      </w:r>
      <w:r>
        <w:rPr>
          <w:color w:val="010101"/>
          <w:szCs w:val="22"/>
        </w:rPr>
        <w:t>rebanding</w:t>
      </w:r>
      <w:r>
        <w:rPr>
          <w:color w:val="010101"/>
          <w:szCs w:val="22"/>
        </w:rPr>
        <w:t xml:space="preserve"> process to be completed on a region by region basis.</w:t>
      </w:r>
      <w:r>
        <w:rPr>
          <w:rStyle w:val="FootnoteReference"/>
          <w:color w:val="010101"/>
          <w:szCs w:val="22"/>
        </w:rPr>
        <w:footnoteReference w:id="6"/>
      </w:r>
      <w:r>
        <w:rPr>
          <w:color w:val="010101"/>
          <w:szCs w:val="22"/>
        </w:rPr>
        <w:t xml:space="preserve">  </w:t>
      </w:r>
      <w:r w:rsidR="002F453E">
        <w:t>T</w:t>
      </w:r>
      <w:r w:rsidR="002F453E">
        <w:rPr>
          <w:color w:val="010101"/>
          <w:szCs w:val="22"/>
        </w:rPr>
        <w:t xml:space="preserve">he Commission also established rules in the </w:t>
      </w:r>
      <w:r w:rsidRPr="006F277A" w:rsidR="002F453E">
        <w:rPr>
          <w:i/>
          <w:iCs/>
        </w:rPr>
        <w:t>800 MHz Report and Order</w:t>
      </w:r>
      <w:r w:rsidR="002F453E">
        <w:rPr>
          <w:color w:val="010101"/>
          <w:szCs w:val="22"/>
        </w:rPr>
        <w:t xml:space="preserve"> requiring </w:t>
      </w:r>
      <w:r w:rsidR="002F453E">
        <w:rPr>
          <w:color w:val="000000"/>
        </w:rPr>
        <w:t>enhanced specialized mobile radio (ESMR) and cellular telephone system</w:t>
      </w:r>
      <w:r w:rsidR="002F453E">
        <w:rPr>
          <w:color w:val="010101"/>
          <w:szCs w:val="22"/>
        </w:rPr>
        <w:t xml:space="preserve"> operators to address and resolve interference their systems cause</w:t>
      </w:r>
      <w:r w:rsidR="00571177">
        <w:rPr>
          <w:color w:val="010101"/>
          <w:szCs w:val="22"/>
        </w:rPr>
        <w:t>d</w:t>
      </w:r>
      <w:r w:rsidR="002F453E">
        <w:rPr>
          <w:color w:val="010101"/>
          <w:szCs w:val="22"/>
        </w:rPr>
        <w:t xml:space="preserve"> to public safety and non-cellular licensees in the band</w:t>
      </w:r>
      <w:r w:rsidR="002F453E">
        <w:rPr>
          <w:color w:val="000000"/>
        </w:rPr>
        <w:t>.</w:t>
      </w:r>
      <w:r>
        <w:rPr>
          <w:rStyle w:val="FootnoteReference"/>
          <w:color w:val="000000"/>
        </w:rPr>
        <w:footnoteReference w:id="7"/>
      </w:r>
    </w:p>
    <w:p w:rsidR="002F453E" w:rsidP="00EE69C1" w14:paraId="459D21B8" w14:textId="6B8C0A2B">
      <w:pPr>
        <w:widowControl/>
        <w:ind w:firstLine="720"/>
      </w:pPr>
      <w:r>
        <w:t xml:space="preserve">  </w:t>
      </w:r>
    </w:p>
    <w:p w:rsidR="00916A11" w:rsidP="00EE69C1" w14:paraId="2A9C676C" w14:textId="77777777">
      <w:pPr>
        <w:widowControl/>
        <w:ind w:firstLine="720"/>
        <w:rPr>
          <w:szCs w:val="22"/>
        </w:rPr>
      </w:pPr>
      <w:r>
        <w:rPr>
          <w:color w:val="010101"/>
          <w:szCs w:val="22"/>
        </w:rPr>
        <w:t>On March 5, 2021, t</w:t>
      </w:r>
      <w:r>
        <w:rPr>
          <w:szCs w:val="22"/>
        </w:rPr>
        <w:t>he 800 MHz Transition Administrator (TA) submitted a notice of program completion noting that, subject to two exceptions, “</w:t>
      </w:r>
      <w:r w:rsidRPr="00994020">
        <w:rPr>
          <w:szCs w:val="22"/>
        </w:rPr>
        <w:t>all activities</w:t>
      </w:r>
      <w:r>
        <w:rPr>
          <w:szCs w:val="22"/>
        </w:rPr>
        <w:t xml:space="preserve"> </w:t>
      </w:r>
      <w:r w:rsidRPr="00994020">
        <w:rPr>
          <w:szCs w:val="22"/>
        </w:rPr>
        <w:t>associated with the 800 MHz relocation have been completed.</w:t>
      </w:r>
      <w:r>
        <w:rPr>
          <w:szCs w:val="22"/>
        </w:rPr>
        <w:t>”</w:t>
      </w:r>
      <w:r>
        <w:rPr>
          <w:rStyle w:val="FootnoteReference"/>
          <w:szCs w:val="22"/>
        </w:rPr>
        <w:footnoteReference w:id="8"/>
      </w:r>
      <w:r>
        <w:rPr>
          <w:szCs w:val="22"/>
        </w:rPr>
        <w:t xml:space="preserve">  </w:t>
      </w:r>
      <w:r w:rsidR="00683BC5">
        <w:rPr>
          <w:szCs w:val="22"/>
        </w:rPr>
        <w:t xml:space="preserve">On April 22, 2021, the Commission adopted the Termination Order which accepted the TA’s notice of program completion and terminated the </w:t>
      </w:r>
      <w:r w:rsidR="00683BC5">
        <w:rPr>
          <w:szCs w:val="22"/>
        </w:rPr>
        <w:t>rebanding</w:t>
      </w:r>
      <w:r w:rsidR="00683BC5">
        <w:rPr>
          <w:szCs w:val="22"/>
        </w:rPr>
        <w:t xml:space="preserve"> program.</w:t>
      </w:r>
      <w:r>
        <w:rPr>
          <w:rStyle w:val="FootnoteReference"/>
          <w:szCs w:val="22"/>
        </w:rPr>
        <w:footnoteReference w:id="9"/>
      </w:r>
    </w:p>
    <w:p w:rsidR="00994020" w:rsidP="00EE69C1" w14:paraId="01E60D54" w14:textId="1D38E456">
      <w:pPr>
        <w:widowControl/>
        <w:ind w:firstLine="720"/>
      </w:pPr>
      <w:r>
        <w:rPr>
          <w:szCs w:val="22"/>
        </w:rPr>
        <w:t xml:space="preserve">   </w:t>
      </w:r>
    </w:p>
    <w:bookmarkEnd w:id="0"/>
    <w:bookmarkEnd w:id="1"/>
    <w:p w:rsidR="00916A11" w:rsidP="00EE69C1" w14:paraId="089BFC28" w14:textId="77777777">
      <w:pPr>
        <w:widowControl/>
        <w:tabs>
          <w:tab w:val="num" w:pos="708"/>
        </w:tabs>
        <w:rPr>
          <w:szCs w:val="22"/>
        </w:rPr>
      </w:pPr>
      <w:r>
        <w:rPr>
          <w:szCs w:val="22"/>
          <w:u w:val="single"/>
        </w:rPr>
        <w:t>Vacated Interleaved Channels Available for Licensing</w:t>
      </w:r>
    </w:p>
    <w:p w:rsidR="00464F1F" w:rsidP="00EE69C1" w14:paraId="6892FED0" w14:textId="4D386C35">
      <w:pPr>
        <w:widowControl/>
        <w:tabs>
          <w:tab w:val="num" w:pos="708"/>
        </w:tabs>
        <w:rPr>
          <w:szCs w:val="22"/>
        </w:rPr>
      </w:pPr>
      <w:r>
        <w:rPr>
          <w:szCs w:val="22"/>
        </w:rPr>
        <w:t xml:space="preserve">   </w:t>
      </w:r>
    </w:p>
    <w:p w:rsidR="00916A11" w:rsidP="00EE69C1" w14:paraId="285272AF" w14:textId="77777777">
      <w:pPr>
        <w:widowControl/>
        <w:tabs>
          <w:tab w:val="num" w:pos="708"/>
        </w:tabs>
        <w:rPr>
          <w:szCs w:val="22"/>
        </w:rPr>
      </w:pPr>
      <w:r>
        <w:rPr>
          <w:szCs w:val="22"/>
        </w:rPr>
        <w:tab/>
        <w:t>The Bureaus have released Sprint-vacated channels in the interleaved portion of the band (809-815/854-860 MHz) for licensing in stages</w:t>
      </w:r>
      <w:r w:rsidR="008148B9">
        <w:rPr>
          <w:szCs w:val="22"/>
        </w:rPr>
        <w:t>,</w:t>
      </w:r>
      <w:r>
        <w:rPr>
          <w:szCs w:val="22"/>
        </w:rPr>
        <w:t xml:space="preserve"> with the most recent</w:t>
      </w:r>
      <w:r w:rsidR="00E86740">
        <w:rPr>
          <w:szCs w:val="22"/>
        </w:rPr>
        <w:t xml:space="preserve"> prior</w:t>
      </w:r>
      <w:r>
        <w:rPr>
          <w:szCs w:val="22"/>
        </w:rPr>
        <w:t xml:space="preserve"> release occurring in April 2019.</w:t>
      </w:r>
      <w:r>
        <w:rPr>
          <w:rStyle w:val="FootnoteReference"/>
          <w:szCs w:val="22"/>
        </w:rPr>
        <w:footnoteReference w:id="10"/>
      </w:r>
      <w:r>
        <w:rPr>
          <w:szCs w:val="22"/>
        </w:rPr>
        <w:t xml:space="preserve">  Vacated channels in the interleaved portion of the band are exclusively reserved for public safety applicants for three years from the opening of a filing window, and for public safety and critical infrastructure industry </w:t>
      </w:r>
      <w:r>
        <w:rPr>
          <w:rStyle w:val="FootnoteReference"/>
          <w:szCs w:val="22"/>
        </w:rPr>
        <w:footnoteReference w:id="11"/>
      </w:r>
      <w:r>
        <w:rPr>
          <w:szCs w:val="22"/>
        </w:rPr>
        <w:t xml:space="preserve"> applicants for two years thereafter.</w:t>
      </w:r>
      <w:r>
        <w:rPr>
          <w:rStyle w:val="FootnoteReference"/>
          <w:szCs w:val="22"/>
        </w:rPr>
        <w:footnoteReference w:id="12"/>
      </w:r>
      <w:r>
        <w:rPr>
          <w:szCs w:val="22"/>
        </w:rPr>
        <w:t xml:space="preserve">  After this five year period, any remaining vacated channels revert to their original frequency pools and become available for licensing to any eligible applicant.</w:t>
      </w:r>
      <w:r>
        <w:rPr>
          <w:szCs w:val="22"/>
          <w:vertAlign w:val="superscript"/>
        </w:rPr>
        <w:footnoteReference w:id="13"/>
      </w:r>
      <w:r>
        <w:rPr>
          <w:szCs w:val="22"/>
        </w:rPr>
        <w:t xml:space="preserve">  By this </w:t>
      </w:r>
      <w:r>
        <w:rPr>
          <w:i/>
          <w:szCs w:val="22"/>
        </w:rPr>
        <w:t>Public Notice</w:t>
      </w:r>
      <w:r>
        <w:rPr>
          <w:szCs w:val="22"/>
        </w:rPr>
        <w:t>, we announce the availability for licensing of additional Sprint-vacated channels.</w:t>
      </w:r>
    </w:p>
    <w:p w:rsidR="00464F1F" w:rsidP="00EE69C1" w14:paraId="285122DD" w14:textId="63254845">
      <w:pPr>
        <w:widowControl/>
        <w:tabs>
          <w:tab w:val="num" w:pos="708"/>
        </w:tabs>
        <w:rPr>
          <w:szCs w:val="22"/>
        </w:rPr>
      </w:pPr>
      <w:r>
        <w:rPr>
          <w:szCs w:val="22"/>
        </w:rPr>
        <w:t xml:space="preserve">  </w:t>
      </w:r>
    </w:p>
    <w:p w:rsidR="00916A11" w:rsidP="00EE69C1" w14:paraId="55D5ED6B" w14:textId="77777777">
      <w:pPr>
        <w:widowControl/>
        <w:tabs>
          <w:tab w:val="num" w:pos="708"/>
        </w:tabs>
        <w:rPr>
          <w:szCs w:val="22"/>
        </w:rPr>
      </w:pPr>
      <w:r>
        <w:rPr>
          <w:szCs w:val="22"/>
        </w:rPr>
        <w:tab/>
        <w:t xml:space="preserve">In the NPSPAC regions listed in Attachment A, all channels vacated by Sprint in the interleaved portion of the band </w:t>
      </w:r>
      <w:r w:rsidR="0004659E">
        <w:rPr>
          <w:szCs w:val="22"/>
        </w:rPr>
        <w:t xml:space="preserve">are now </w:t>
      </w:r>
      <w:r>
        <w:rPr>
          <w:szCs w:val="22"/>
        </w:rPr>
        <w:t xml:space="preserve">available for licensing to </w:t>
      </w:r>
      <w:bookmarkStart w:id="3" w:name="_Hlk41028220"/>
      <w:r>
        <w:rPr>
          <w:szCs w:val="22"/>
        </w:rPr>
        <w:t xml:space="preserve">public safety applicants, and later to </w:t>
      </w:r>
      <w:r w:rsidR="007D0F6F">
        <w:rPr>
          <w:szCs w:val="22"/>
        </w:rPr>
        <w:t>c</w:t>
      </w:r>
      <w:r w:rsidR="006E3BBD">
        <w:rPr>
          <w:szCs w:val="22"/>
        </w:rPr>
        <w:t xml:space="preserve">ritical </w:t>
      </w:r>
      <w:r w:rsidR="007D0F6F">
        <w:rPr>
          <w:szCs w:val="22"/>
        </w:rPr>
        <w:t>i</w:t>
      </w:r>
      <w:r w:rsidR="006E3BBD">
        <w:rPr>
          <w:szCs w:val="22"/>
        </w:rPr>
        <w:t>nfrastructure</w:t>
      </w:r>
      <w:r>
        <w:rPr>
          <w:szCs w:val="22"/>
        </w:rPr>
        <w:t xml:space="preserve"> applicants.</w:t>
      </w:r>
      <w:bookmarkEnd w:id="3"/>
      <w:r>
        <w:rPr>
          <w:szCs w:val="22"/>
        </w:rPr>
        <w:t xml:space="preserve">  </w:t>
      </w:r>
    </w:p>
    <w:p w:rsidR="00480CA0" w:rsidP="00EE69C1" w14:paraId="5DB3D8E9" w14:textId="77777777">
      <w:pPr>
        <w:widowControl/>
        <w:tabs>
          <w:tab w:val="num" w:pos="708"/>
        </w:tabs>
        <w:rPr>
          <w:szCs w:val="22"/>
        </w:rPr>
      </w:pPr>
      <w:r>
        <w:rPr>
          <w:szCs w:val="22"/>
        </w:rPr>
        <w:tab/>
      </w:r>
      <w:r w:rsidR="00720570">
        <w:rPr>
          <w:szCs w:val="22"/>
        </w:rPr>
        <w:t>I</w:t>
      </w:r>
      <w:r>
        <w:rPr>
          <w:szCs w:val="22"/>
        </w:rPr>
        <w:t xml:space="preserve">n </w:t>
      </w:r>
      <w:r w:rsidR="00720570">
        <w:rPr>
          <w:szCs w:val="22"/>
        </w:rPr>
        <w:t xml:space="preserve">the </w:t>
      </w:r>
      <w:r>
        <w:rPr>
          <w:szCs w:val="22"/>
        </w:rPr>
        <w:t xml:space="preserve">NPSPAC regions listed in Attachment B, additional channels vacated by Sprint prior to those regions completing </w:t>
      </w:r>
      <w:r>
        <w:rPr>
          <w:szCs w:val="22"/>
        </w:rPr>
        <w:t>rebanding</w:t>
      </w:r>
      <w:r>
        <w:rPr>
          <w:szCs w:val="22"/>
        </w:rPr>
        <w:t xml:space="preserve"> are now available for licensing to public safety applicants, and later to </w:t>
      </w:r>
      <w:r w:rsidR="007D0F6F">
        <w:rPr>
          <w:szCs w:val="22"/>
        </w:rPr>
        <w:t>c</w:t>
      </w:r>
      <w:r w:rsidR="006E3BBD">
        <w:rPr>
          <w:szCs w:val="22"/>
        </w:rPr>
        <w:t xml:space="preserve">ritical </w:t>
      </w:r>
      <w:r w:rsidR="007D0F6F">
        <w:rPr>
          <w:szCs w:val="22"/>
        </w:rPr>
        <w:t>i</w:t>
      </w:r>
      <w:r w:rsidR="006E3BBD">
        <w:rPr>
          <w:szCs w:val="22"/>
        </w:rPr>
        <w:t>nfrastructure</w:t>
      </w:r>
      <w:r>
        <w:rPr>
          <w:szCs w:val="22"/>
        </w:rPr>
        <w:t xml:space="preserve"> applicants.</w:t>
      </w:r>
      <w:r>
        <w:rPr>
          <w:rStyle w:val="FootnoteReference"/>
          <w:szCs w:val="22"/>
        </w:rPr>
        <w:footnoteReference w:id="14"/>
      </w:r>
    </w:p>
    <w:p w:rsidR="00464F1F" w:rsidP="00EE69C1" w14:paraId="31187838" w14:textId="61DFB1C6">
      <w:pPr>
        <w:widowControl/>
        <w:tabs>
          <w:tab w:val="num" w:pos="708"/>
        </w:tabs>
        <w:rPr>
          <w:szCs w:val="22"/>
        </w:rPr>
      </w:pPr>
      <w:r>
        <w:rPr>
          <w:szCs w:val="22"/>
        </w:rPr>
        <w:t xml:space="preserve">  </w:t>
      </w:r>
    </w:p>
    <w:p w:rsidR="00480CA0" w:rsidP="00EE69C1" w14:paraId="17296596" w14:textId="77777777">
      <w:pPr>
        <w:widowControl/>
        <w:tabs>
          <w:tab w:val="num" w:pos="708"/>
        </w:tabs>
        <w:rPr>
          <w:szCs w:val="22"/>
        </w:rPr>
      </w:pPr>
      <w:r>
        <w:rPr>
          <w:szCs w:val="22"/>
        </w:rPr>
        <w:tab/>
      </w:r>
      <w:r w:rsidR="00464F1F">
        <w:rPr>
          <w:szCs w:val="22"/>
        </w:rPr>
        <w:t>To identify specific vacated channels that are available for licensing in any NPSPAC region, the Bureaus have created a Vacated Channel Search Engine (VCSE) at</w:t>
      </w:r>
      <w:r>
        <w:rPr>
          <w:szCs w:val="22"/>
        </w:rPr>
        <w:t xml:space="preserve"> </w:t>
      </w:r>
      <w:hyperlink r:id="rId5" w:history="1">
        <w:r w:rsidRPr="00A5708B" w:rsidR="00464F1F">
          <w:rPr>
            <w:rStyle w:val="Hyperlink"/>
          </w:rPr>
          <w:t>http://wireless2.fcc.gov/reband800/search_basic.htm</w:t>
        </w:r>
      </w:hyperlink>
      <w:r w:rsidR="00464F1F">
        <w:rPr>
          <w:szCs w:val="22"/>
          <w:u w:val="single"/>
        </w:rPr>
        <w:t>.</w:t>
      </w:r>
      <w:bookmarkStart w:id="4" w:name="_Ref404002163"/>
      <w:r>
        <w:rPr>
          <w:szCs w:val="22"/>
          <w:vertAlign w:val="superscript"/>
        </w:rPr>
        <w:footnoteReference w:id="15"/>
      </w:r>
      <w:bookmarkEnd w:id="4"/>
      <w:r w:rsidR="00464F1F">
        <w:rPr>
          <w:szCs w:val="22"/>
        </w:rPr>
        <w:t xml:space="preserve">  The V</w:t>
      </w:r>
      <w:r w:rsidR="001561A0">
        <w:rPr>
          <w:szCs w:val="22"/>
        </w:rPr>
        <w:t xml:space="preserve">acated </w:t>
      </w:r>
      <w:r w:rsidR="00464F1F">
        <w:rPr>
          <w:szCs w:val="22"/>
        </w:rPr>
        <w:t>C</w:t>
      </w:r>
      <w:r w:rsidR="001561A0">
        <w:rPr>
          <w:szCs w:val="22"/>
        </w:rPr>
        <w:t xml:space="preserve">hannel </w:t>
      </w:r>
      <w:r w:rsidR="00464F1F">
        <w:rPr>
          <w:szCs w:val="22"/>
        </w:rPr>
        <w:t>S</w:t>
      </w:r>
      <w:r w:rsidR="001561A0">
        <w:rPr>
          <w:szCs w:val="22"/>
        </w:rPr>
        <w:t xml:space="preserve">earch </w:t>
      </w:r>
      <w:r w:rsidR="00464F1F">
        <w:rPr>
          <w:szCs w:val="22"/>
        </w:rPr>
        <w:t>E</w:t>
      </w:r>
      <w:r w:rsidR="001561A0">
        <w:rPr>
          <w:szCs w:val="22"/>
        </w:rPr>
        <w:t>ngine</w:t>
      </w:r>
      <w:r w:rsidR="00464F1F">
        <w:rPr>
          <w:szCs w:val="22"/>
        </w:rPr>
        <w:t xml:space="preserve"> contains detailed geographic and frequency data regarding these vacated channels.  The vacated channel public access file is at </w:t>
      </w:r>
      <w:hyperlink r:id="rId6" w:history="1">
        <w:r w:rsidR="00464F1F">
          <w:rPr>
            <w:rStyle w:val="Hyperlink"/>
            <w:szCs w:val="22"/>
          </w:rPr>
          <w:t>http://wireless.fcc.gov/uls/index.htm?job=transaction&amp;page=weekly</w:t>
        </w:r>
      </w:hyperlink>
      <w:r w:rsidR="00464F1F">
        <w:rPr>
          <w:szCs w:val="22"/>
        </w:rPr>
        <w:t xml:space="preserve">.  This access file may be downloaded by users with data-processing capability, </w:t>
      </w:r>
      <w:r w:rsidR="00464F1F">
        <w:rPr>
          <w:i/>
          <w:szCs w:val="22"/>
        </w:rPr>
        <w:t>e.g</w:t>
      </w:r>
      <w:r w:rsidR="00464F1F">
        <w:rPr>
          <w:szCs w:val="22"/>
        </w:rPr>
        <w:t>., frequency coordinators.</w:t>
      </w:r>
    </w:p>
    <w:p w:rsidR="00464F1F" w:rsidRPr="00995A8A" w:rsidP="00EE69C1" w14:paraId="45B0F683" w14:textId="579556A2">
      <w:pPr>
        <w:widowControl/>
        <w:tabs>
          <w:tab w:val="num" w:pos="708"/>
        </w:tabs>
        <w:rPr>
          <w:szCs w:val="22"/>
        </w:rPr>
      </w:pPr>
      <w:r>
        <w:rPr>
          <w:szCs w:val="22"/>
        </w:rPr>
        <w:t xml:space="preserve"> </w:t>
      </w:r>
    </w:p>
    <w:p w:rsidR="00464F1F" w:rsidP="00EE69C1" w14:paraId="2E879079" w14:textId="2A2AF214">
      <w:pPr>
        <w:widowControl/>
        <w:tabs>
          <w:tab w:val="num" w:pos="708"/>
        </w:tabs>
        <w:rPr>
          <w:szCs w:val="22"/>
        </w:rPr>
      </w:pPr>
      <w:r w:rsidRPr="00995A8A">
        <w:rPr>
          <w:szCs w:val="22"/>
        </w:rPr>
        <w:tab/>
      </w:r>
      <w:r>
        <w:rPr>
          <w:szCs w:val="22"/>
        </w:rPr>
        <w:tab/>
        <w:t xml:space="preserve">For channels being made available for licensing by this </w:t>
      </w:r>
      <w:r>
        <w:rPr>
          <w:i/>
          <w:szCs w:val="22"/>
        </w:rPr>
        <w:t>Public Notice</w:t>
      </w:r>
      <w:r>
        <w:rPr>
          <w:szCs w:val="22"/>
        </w:rPr>
        <w:t>, the V</w:t>
      </w:r>
      <w:r w:rsidR="001561A0">
        <w:rPr>
          <w:szCs w:val="22"/>
        </w:rPr>
        <w:t xml:space="preserve">acated </w:t>
      </w:r>
      <w:r>
        <w:rPr>
          <w:szCs w:val="22"/>
        </w:rPr>
        <w:t>C</w:t>
      </w:r>
      <w:r w:rsidR="001561A0">
        <w:rPr>
          <w:szCs w:val="22"/>
        </w:rPr>
        <w:t xml:space="preserve">hannel </w:t>
      </w:r>
      <w:r>
        <w:rPr>
          <w:szCs w:val="22"/>
        </w:rPr>
        <w:t>S</w:t>
      </w:r>
      <w:r w:rsidR="001561A0">
        <w:rPr>
          <w:szCs w:val="22"/>
        </w:rPr>
        <w:t xml:space="preserve">earch </w:t>
      </w:r>
      <w:r>
        <w:rPr>
          <w:szCs w:val="22"/>
        </w:rPr>
        <w:t>E</w:t>
      </w:r>
      <w:r w:rsidR="001561A0">
        <w:rPr>
          <w:szCs w:val="22"/>
        </w:rPr>
        <w:t>ngine</w:t>
      </w:r>
      <w:r>
        <w:rPr>
          <w:szCs w:val="22"/>
        </w:rPr>
        <w:t xml:space="preserve"> will specify </w:t>
      </w:r>
      <w:r w:rsidR="00F80891">
        <w:rPr>
          <w:b/>
          <w:szCs w:val="22"/>
        </w:rPr>
        <w:t>August 14</w:t>
      </w:r>
      <w:r>
        <w:rPr>
          <w:b/>
          <w:szCs w:val="22"/>
        </w:rPr>
        <w:t xml:space="preserve">, 2021 </w:t>
      </w:r>
      <w:r>
        <w:rPr>
          <w:szCs w:val="22"/>
        </w:rPr>
        <w:t>as the availability date in the “Channel Availability” field.</w:t>
      </w:r>
    </w:p>
    <w:p w:rsidR="00480CA0" w:rsidP="00EE69C1" w14:paraId="4C95A0C9" w14:textId="77777777">
      <w:pPr>
        <w:widowControl/>
        <w:tabs>
          <w:tab w:val="num" w:pos="708"/>
        </w:tabs>
        <w:rPr>
          <w:szCs w:val="22"/>
        </w:rPr>
      </w:pPr>
    </w:p>
    <w:p w:rsidR="00464F1F" w:rsidP="00EE69C1" w14:paraId="1974E50E" w14:textId="23462FB7">
      <w:pPr>
        <w:widowControl/>
        <w:tabs>
          <w:tab w:val="num" w:pos="708"/>
        </w:tabs>
        <w:rPr>
          <w:szCs w:val="22"/>
        </w:rPr>
      </w:pPr>
      <w:r>
        <w:rPr>
          <w:szCs w:val="22"/>
        </w:rPr>
        <w:tab/>
        <w:t xml:space="preserve">Beginning on </w:t>
      </w:r>
      <w:r w:rsidR="00FC3AAD">
        <w:rPr>
          <w:b/>
          <w:szCs w:val="22"/>
        </w:rPr>
        <w:t>August 14, 2021</w:t>
      </w:r>
      <w:r>
        <w:rPr>
          <w:szCs w:val="22"/>
        </w:rPr>
        <w:t xml:space="preserve">, Commission-certified frequency coordinators may file applications, in the Universal Licensing System (ULS), on behalf of eligible applicants for the channels released by this </w:t>
      </w:r>
      <w:r>
        <w:rPr>
          <w:i/>
          <w:szCs w:val="22"/>
        </w:rPr>
        <w:t>Public Notice</w:t>
      </w:r>
      <w:r>
        <w:rPr>
          <w:szCs w:val="22"/>
        </w:rPr>
        <w:t xml:space="preserve">.  Any application filed for these channels before </w:t>
      </w:r>
      <w:r w:rsidR="009C392A">
        <w:rPr>
          <w:b/>
          <w:szCs w:val="22"/>
        </w:rPr>
        <w:t>August 14</w:t>
      </w:r>
      <w:r>
        <w:rPr>
          <w:b/>
          <w:szCs w:val="22"/>
        </w:rPr>
        <w:t xml:space="preserve">, 2021 </w:t>
      </w:r>
      <w:r>
        <w:rPr>
          <w:szCs w:val="22"/>
        </w:rPr>
        <w:t>will be dismissed.</w:t>
      </w:r>
    </w:p>
    <w:p w:rsidR="00480CA0" w:rsidP="00EE69C1" w14:paraId="56A13A26" w14:textId="77777777">
      <w:pPr>
        <w:widowControl/>
        <w:tabs>
          <w:tab w:val="num" w:pos="708"/>
        </w:tabs>
        <w:rPr>
          <w:szCs w:val="22"/>
        </w:rPr>
      </w:pPr>
    </w:p>
    <w:p w:rsidR="00480CA0" w:rsidP="00EE69C1" w14:paraId="053725BF" w14:textId="77777777">
      <w:pPr>
        <w:widowControl/>
        <w:tabs>
          <w:tab w:val="num" w:pos="708"/>
        </w:tabs>
        <w:rPr>
          <w:b/>
          <w:szCs w:val="22"/>
          <w:u w:val="single"/>
        </w:rPr>
      </w:pPr>
      <w:r>
        <w:rPr>
          <w:szCs w:val="22"/>
        </w:rPr>
        <w:tab/>
        <w:t>Applications for vacated channels must include a certification of frequency coordination by an appropriate Commission-certified frequency coordinator in accordance with Section 90.175 of the Commission’s rules.</w:t>
      </w:r>
      <w:r>
        <w:rPr>
          <w:szCs w:val="22"/>
          <w:vertAlign w:val="superscript"/>
        </w:rPr>
        <w:footnoteReference w:id="16"/>
      </w:r>
      <w:r>
        <w:rPr>
          <w:szCs w:val="22"/>
        </w:rPr>
        <w:t xml:space="preserve">  Furthermore, frequency coordinators must follow the procedures previously detailed for coordinating applications and attach the appropriate certifications to each application.</w:t>
      </w:r>
      <w:r>
        <w:rPr>
          <w:rStyle w:val="FootnoteReference"/>
          <w:szCs w:val="22"/>
        </w:rPr>
        <w:footnoteReference w:id="17"/>
      </w:r>
      <w:r>
        <w:rPr>
          <w:szCs w:val="22"/>
        </w:rPr>
        <w:t xml:space="preserve">  </w:t>
      </w:r>
      <w:r w:rsidRPr="0078151A">
        <w:rPr>
          <w:b/>
          <w:szCs w:val="22"/>
          <w:u w:val="single"/>
        </w:rPr>
        <w:t xml:space="preserve">Coordinators are advised to check </w:t>
      </w:r>
      <w:r>
        <w:rPr>
          <w:b/>
          <w:szCs w:val="22"/>
          <w:u w:val="single"/>
        </w:rPr>
        <w:t>ULS</w:t>
      </w:r>
      <w:r w:rsidRPr="0078151A">
        <w:rPr>
          <w:b/>
          <w:szCs w:val="22"/>
          <w:u w:val="single"/>
        </w:rPr>
        <w:t xml:space="preserve"> to ascertain whether there are </w:t>
      </w:r>
      <w:r>
        <w:rPr>
          <w:b/>
          <w:szCs w:val="22"/>
          <w:u w:val="single"/>
        </w:rPr>
        <w:t>active market-based</w:t>
      </w:r>
      <w:r w:rsidRPr="0078151A">
        <w:rPr>
          <w:b/>
          <w:szCs w:val="22"/>
          <w:u w:val="single"/>
        </w:rPr>
        <w:t xml:space="preserve"> licenses that conflict with a channel chosen from the V</w:t>
      </w:r>
      <w:r w:rsidR="001561A0">
        <w:rPr>
          <w:b/>
          <w:szCs w:val="22"/>
          <w:u w:val="single"/>
        </w:rPr>
        <w:t xml:space="preserve">acated </w:t>
      </w:r>
      <w:r w:rsidRPr="0078151A">
        <w:rPr>
          <w:b/>
          <w:szCs w:val="22"/>
          <w:u w:val="single"/>
        </w:rPr>
        <w:t>C</w:t>
      </w:r>
      <w:r w:rsidR="001561A0">
        <w:rPr>
          <w:b/>
          <w:szCs w:val="22"/>
          <w:u w:val="single"/>
        </w:rPr>
        <w:t xml:space="preserve">hannel </w:t>
      </w:r>
      <w:r w:rsidRPr="0078151A">
        <w:rPr>
          <w:b/>
          <w:szCs w:val="22"/>
          <w:u w:val="single"/>
        </w:rPr>
        <w:t>S</w:t>
      </w:r>
      <w:r w:rsidR="001561A0">
        <w:rPr>
          <w:b/>
          <w:szCs w:val="22"/>
          <w:u w:val="single"/>
        </w:rPr>
        <w:t xml:space="preserve">earch </w:t>
      </w:r>
      <w:r w:rsidRPr="0078151A">
        <w:rPr>
          <w:b/>
          <w:szCs w:val="22"/>
          <w:u w:val="single"/>
        </w:rPr>
        <w:t>E</w:t>
      </w:r>
      <w:r w:rsidR="001561A0">
        <w:rPr>
          <w:b/>
          <w:szCs w:val="22"/>
          <w:u w:val="single"/>
        </w:rPr>
        <w:t>ngine</w:t>
      </w:r>
      <w:r w:rsidRPr="0078151A">
        <w:rPr>
          <w:b/>
          <w:szCs w:val="22"/>
          <w:u w:val="single"/>
        </w:rPr>
        <w:t>.  Also, coordinators are reminded to specifically list the locations/frequencies which were the subject of their V</w:t>
      </w:r>
      <w:r w:rsidR="001561A0">
        <w:rPr>
          <w:b/>
          <w:szCs w:val="22"/>
          <w:u w:val="single"/>
        </w:rPr>
        <w:t xml:space="preserve">acated </w:t>
      </w:r>
      <w:r w:rsidRPr="0078151A">
        <w:rPr>
          <w:b/>
          <w:szCs w:val="22"/>
          <w:u w:val="single"/>
        </w:rPr>
        <w:t>C</w:t>
      </w:r>
      <w:r w:rsidR="001561A0">
        <w:rPr>
          <w:b/>
          <w:szCs w:val="22"/>
          <w:u w:val="single"/>
        </w:rPr>
        <w:t xml:space="preserve">hannel </w:t>
      </w:r>
      <w:r w:rsidRPr="0078151A">
        <w:rPr>
          <w:b/>
          <w:szCs w:val="22"/>
          <w:u w:val="single"/>
        </w:rPr>
        <w:t>S</w:t>
      </w:r>
      <w:r w:rsidR="001561A0">
        <w:rPr>
          <w:b/>
          <w:szCs w:val="22"/>
          <w:u w:val="single"/>
        </w:rPr>
        <w:t xml:space="preserve">earch </w:t>
      </w:r>
      <w:r w:rsidRPr="0078151A">
        <w:rPr>
          <w:b/>
          <w:szCs w:val="22"/>
          <w:u w:val="single"/>
        </w:rPr>
        <w:t>E</w:t>
      </w:r>
      <w:r w:rsidR="001561A0">
        <w:rPr>
          <w:b/>
          <w:szCs w:val="22"/>
          <w:u w:val="single"/>
        </w:rPr>
        <w:t>ngine</w:t>
      </w:r>
      <w:r w:rsidRPr="0078151A">
        <w:rPr>
          <w:b/>
          <w:szCs w:val="22"/>
          <w:u w:val="single"/>
        </w:rPr>
        <w:t xml:space="preserve"> search.</w:t>
      </w:r>
      <w:r>
        <w:rPr>
          <w:rStyle w:val="FootnoteReference"/>
          <w:b/>
          <w:szCs w:val="22"/>
          <w:u w:val="single"/>
        </w:rPr>
        <w:footnoteReference w:id="18"/>
      </w:r>
      <w:r w:rsidRPr="0078151A">
        <w:rPr>
          <w:b/>
          <w:szCs w:val="22"/>
          <w:u w:val="single"/>
        </w:rPr>
        <w:t xml:space="preserve">  Staff may return applications if there is ambiguity as to which channels or locations on the application are covered by the coordinator’s certification.</w:t>
      </w:r>
    </w:p>
    <w:p w:rsidR="00464F1F" w:rsidP="00EE69C1" w14:paraId="494110DA" w14:textId="0240A644">
      <w:pPr>
        <w:widowControl/>
        <w:tabs>
          <w:tab w:val="num" w:pos="708"/>
        </w:tabs>
        <w:rPr>
          <w:szCs w:val="22"/>
        </w:rPr>
      </w:pPr>
      <w:r>
        <w:rPr>
          <w:szCs w:val="22"/>
        </w:rPr>
        <w:t xml:space="preserve">     </w:t>
      </w:r>
    </w:p>
    <w:p w:rsidR="00464F1F" w:rsidP="00EE69C1" w14:paraId="38FEAEA8" w14:textId="2FAFB5DB">
      <w:pPr>
        <w:widowControl/>
        <w:rPr>
          <w:szCs w:val="22"/>
        </w:rPr>
      </w:pPr>
      <w:r>
        <w:rPr>
          <w:szCs w:val="22"/>
        </w:rPr>
        <w:tab/>
        <w:t>When coordinating applications for vacated site-based channels, the frequency coordinator should confirm that the 22 dBµ V/m F(50,10) contour of the proposed facilities does not extend beyond the 22 dBµ V/m F(50,10) contour of the originally licensed station.</w:t>
      </w:r>
      <w:r>
        <w:rPr>
          <w:rStyle w:val="FootnoteReference"/>
          <w:szCs w:val="22"/>
        </w:rPr>
        <w:footnoteReference w:id="19"/>
      </w:r>
      <w:r>
        <w:rPr>
          <w:szCs w:val="22"/>
        </w:rPr>
        <w:t xml:space="preserve">  The originally licensed contour should be calculated using the maximum Effective Radiated Power </w:t>
      </w:r>
      <w:r w:rsidR="00392724">
        <w:rPr>
          <w:szCs w:val="22"/>
        </w:rPr>
        <w:t xml:space="preserve">permitted by the Commission’s rules </w:t>
      </w:r>
      <w:r>
        <w:rPr>
          <w:szCs w:val="22"/>
        </w:rPr>
        <w:t>and the actual antenna height above average terrain (HAAT).</w:t>
      </w:r>
      <w:r>
        <w:rPr>
          <w:rStyle w:val="FootnoteReference"/>
          <w:szCs w:val="22"/>
        </w:rPr>
        <w:footnoteReference w:id="20"/>
      </w:r>
      <w:r>
        <w:rPr>
          <w:szCs w:val="22"/>
        </w:rPr>
        <w:t xml:space="preserve">  When coordinating applications for vacated E</w:t>
      </w:r>
      <w:r w:rsidR="006E3BBD">
        <w:rPr>
          <w:szCs w:val="22"/>
        </w:rPr>
        <w:t xml:space="preserve">conomic </w:t>
      </w:r>
      <w:r>
        <w:rPr>
          <w:szCs w:val="22"/>
        </w:rPr>
        <w:t>A</w:t>
      </w:r>
      <w:r w:rsidR="006E3BBD">
        <w:rPr>
          <w:szCs w:val="22"/>
        </w:rPr>
        <w:t>rea</w:t>
      </w:r>
      <w:r>
        <w:rPr>
          <w:szCs w:val="22"/>
        </w:rPr>
        <w:t xml:space="preserve">-based channels, the frequency coordinator </w:t>
      </w:r>
      <w:r w:rsidR="00392724">
        <w:rPr>
          <w:szCs w:val="22"/>
        </w:rPr>
        <w:t xml:space="preserve">must </w:t>
      </w:r>
      <w:r>
        <w:rPr>
          <w:szCs w:val="22"/>
        </w:rPr>
        <w:t xml:space="preserve">confirm that the 40 dBµ V/m F(50,50) </w:t>
      </w:r>
      <w:r>
        <w:rPr>
          <w:szCs w:val="22"/>
        </w:rPr>
        <w:t>contour of the proposed facilities does not extend into an adjacent region where the channel is unavailable for licensing.</w:t>
      </w:r>
      <w:r>
        <w:rPr>
          <w:rStyle w:val="FootnoteReference"/>
          <w:szCs w:val="22"/>
        </w:rPr>
        <w:footnoteReference w:id="21"/>
      </w:r>
    </w:p>
    <w:p w:rsidR="00480CA0" w:rsidP="00EE69C1" w14:paraId="02E05623" w14:textId="77777777">
      <w:pPr>
        <w:widowControl/>
        <w:rPr>
          <w:szCs w:val="22"/>
        </w:rPr>
      </w:pPr>
    </w:p>
    <w:p w:rsidR="00480CA0" w:rsidP="00EE69C1" w14:paraId="28B1AC2F" w14:textId="77777777">
      <w:pPr>
        <w:widowControl/>
        <w:ind w:firstLine="720"/>
        <w:rPr>
          <w:szCs w:val="22"/>
        </w:rPr>
      </w:pPr>
      <w:r>
        <w:rPr>
          <w:szCs w:val="22"/>
        </w:rPr>
        <w:t xml:space="preserve">Furthermore, as with previously released vacated channels, frequency coordinators must follow </w:t>
      </w:r>
      <w:r w:rsidRPr="00E619D7">
        <w:rPr>
          <w:szCs w:val="22"/>
        </w:rPr>
        <w:t>pre-coordination procedures to eliminate conflicts between applications prior to their being filed with the Commission</w:t>
      </w:r>
      <w:r>
        <w:rPr>
          <w:szCs w:val="22"/>
        </w:rPr>
        <w:t>, and they must attach the appropriate certifications to each application.</w:t>
      </w:r>
      <w:r>
        <w:rPr>
          <w:rStyle w:val="FootnoteReference"/>
          <w:szCs w:val="22"/>
        </w:rPr>
        <w:footnoteReference w:id="22"/>
      </w:r>
      <w:r>
        <w:rPr>
          <w:szCs w:val="22"/>
        </w:rPr>
        <w:t xml:space="preserve">  F</w:t>
      </w:r>
      <w:r w:rsidRPr="002C7649">
        <w:rPr>
          <w:szCs w:val="22"/>
        </w:rPr>
        <w:t xml:space="preserve">requency coordinators may accept applications for vacated channels specified in this </w:t>
      </w:r>
      <w:r w:rsidRPr="002C7649">
        <w:rPr>
          <w:i/>
          <w:szCs w:val="22"/>
        </w:rPr>
        <w:t>Public Notice</w:t>
      </w:r>
      <w:r w:rsidRPr="002C7649">
        <w:rPr>
          <w:szCs w:val="22"/>
        </w:rPr>
        <w:t xml:space="preserve"> that are submitted to them for coordination.</w:t>
      </w:r>
      <w:r>
        <w:rPr>
          <w:szCs w:val="22"/>
          <w:vertAlign w:val="superscript"/>
        </w:rPr>
        <w:footnoteReference w:id="23"/>
      </w:r>
      <w:r w:rsidRPr="002C7649">
        <w:rPr>
          <w:szCs w:val="22"/>
        </w:rPr>
        <w:t xml:space="preserve">  In order to </w:t>
      </w:r>
      <w:r>
        <w:rPr>
          <w:szCs w:val="22"/>
        </w:rPr>
        <w:t>reduce</w:t>
      </w:r>
      <w:r w:rsidRPr="002C7649">
        <w:rPr>
          <w:szCs w:val="22"/>
        </w:rPr>
        <w:t xml:space="preserve"> the possibility </w:t>
      </w:r>
      <w:r>
        <w:rPr>
          <w:szCs w:val="22"/>
        </w:rPr>
        <w:t>that</w:t>
      </w:r>
      <w:r w:rsidRPr="002C7649">
        <w:rPr>
          <w:szCs w:val="22"/>
        </w:rPr>
        <w:t xml:space="preserve"> the Commission </w:t>
      </w:r>
      <w:r>
        <w:rPr>
          <w:szCs w:val="22"/>
        </w:rPr>
        <w:t xml:space="preserve">might </w:t>
      </w:r>
      <w:r w:rsidRPr="002C7649">
        <w:rPr>
          <w:szCs w:val="22"/>
        </w:rPr>
        <w:t>receiv</w:t>
      </w:r>
      <w:r>
        <w:rPr>
          <w:szCs w:val="22"/>
        </w:rPr>
        <w:t>e</w:t>
      </w:r>
      <w:r w:rsidRPr="002C7649">
        <w:rPr>
          <w:szCs w:val="22"/>
        </w:rPr>
        <w:t xml:space="preserve"> mutually exclusive applications, each frequency coordinator must provide notification of each application submitted to it for coordination to all other participating coordinators prior to filing the application with the Commission.  The purpose of this notification process is to enable frequency coordinators to address and resolve conflicting applications prior to filing with the Commission.</w:t>
      </w:r>
    </w:p>
    <w:p w:rsidR="00464F1F" w:rsidP="00EE69C1" w14:paraId="1D7F463D" w14:textId="73554129">
      <w:pPr>
        <w:widowControl/>
        <w:ind w:firstLine="720"/>
        <w:rPr>
          <w:szCs w:val="22"/>
        </w:rPr>
      </w:pPr>
      <w:r>
        <w:rPr>
          <w:szCs w:val="22"/>
        </w:rPr>
        <w:t xml:space="preserve">  </w:t>
      </w:r>
    </w:p>
    <w:p w:rsidR="00464F1F" w:rsidRPr="001B213F" w:rsidP="00B20E6F" w14:paraId="36B65885" w14:textId="1DBD0138">
      <w:pPr>
        <w:widowControl/>
        <w:spacing w:after="120"/>
        <w:ind w:firstLine="720"/>
        <w:rPr>
          <w:szCs w:val="22"/>
        </w:rPr>
      </w:pPr>
      <w:r>
        <w:rPr>
          <w:szCs w:val="22"/>
        </w:rPr>
        <w:t xml:space="preserve">Pre-coordination may commence no sooner than </w:t>
      </w:r>
      <w:r w:rsidR="00FA667B">
        <w:rPr>
          <w:b/>
          <w:bCs/>
          <w:szCs w:val="22"/>
        </w:rPr>
        <w:t>July 14</w:t>
      </w:r>
      <w:r>
        <w:rPr>
          <w:b/>
          <w:szCs w:val="22"/>
        </w:rPr>
        <w:t xml:space="preserve">, 2021, </w:t>
      </w:r>
      <w:r>
        <w:rPr>
          <w:szCs w:val="22"/>
        </w:rPr>
        <w:t xml:space="preserve">at 8:00 AM Eastern Time.  On that date, and after that time, each frequency coordinator may submit electronic notification to the other participating coordinators of applications it has prepared for coordination.  </w:t>
      </w:r>
      <w:r>
        <w:t xml:space="preserve">Each notification for vacated channels must be sent individually; </w:t>
      </w:r>
      <w:r w:rsidRPr="00063E3B">
        <w:rPr>
          <w:u w:val="single"/>
        </w:rPr>
        <w:t>batch filing is prohibited</w:t>
      </w:r>
      <w:r>
        <w:t xml:space="preserve">.  </w:t>
      </w:r>
      <w:r w:rsidRPr="001B213F">
        <w:rPr>
          <w:szCs w:val="22"/>
        </w:rPr>
        <w:t>Applications that are submitted for notification must include the following exhibits:</w:t>
      </w:r>
    </w:p>
    <w:p w:rsidR="00464F1F" w:rsidRPr="001B213F" w:rsidP="00D3163C" w14:paraId="0C6EAF4D" w14:textId="77777777">
      <w:pPr>
        <w:widowControl/>
        <w:numPr>
          <w:ilvl w:val="0"/>
          <w:numId w:val="30"/>
        </w:numPr>
        <w:spacing w:after="120"/>
        <w:rPr>
          <w:szCs w:val="22"/>
        </w:rPr>
      </w:pPr>
      <w:r w:rsidRPr="001B213F">
        <w:rPr>
          <w:szCs w:val="22"/>
        </w:rPr>
        <w:t xml:space="preserve">A showing that the appropriate contour of the proposed facility is within the contour or region previously licensed to Sprint as described </w:t>
      </w:r>
      <w:r w:rsidRPr="001B213F">
        <w:rPr>
          <w:szCs w:val="22"/>
        </w:rPr>
        <w:t>above;</w:t>
      </w:r>
    </w:p>
    <w:p w:rsidR="00464F1F" w:rsidRPr="001B213F" w:rsidP="00D3163C" w14:paraId="0D47CD4E" w14:textId="77777777">
      <w:pPr>
        <w:widowControl/>
        <w:numPr>
          <w:ilvl w:val="0"/>
          <w:numId w:val="30"/>
        </w:numPr>
        <w:spacing w:after="120"/>
        <w:rPr>
          <w:szCs w:val="22"/>
        </w:rPr>
      </w:pPr>
      <w:r w:rsidRPr="001B213F">
        <w:rPr>
          <w:szCs w:val="22"/>
        </w:rPr>
        <w:t xml:space="preserve">A statement verifying channel </w:t>
      </w:r>
      <w:r w:rsidRPr="001B213F">
        <w:rPr>
          <w:szCs w:val="22"/>
        </w:rPr>
        <w:t>availability;</w:t>
      </w:r>
    </w:p>
    <w:p w:rsidR="00464F1F" w:rsidRPr="001B213F" w:rsidP="00860017" w14:paraId="169BE2E2" w14:textId="77777777">
      <w:pPr>
        <w:widowControl/>
        <w:numPr>
          <w:ilvl w:val="0"/>
          <w:numId w:val="30"/>
        </w:numPr>
        <w:ind w:left="1627"/>
        <w:rPr>
          <w:szCs w:val="22"/>
        </w:rPr>
      </w:pPr>
      <w:r w:rsidRPr="001B213F">
        <w:rPr>
          <w:szCs w:val="22"/>
        </w:rPr>
        <w:t>A study detailing the directional height of the antenna above average terrain (DHAAT) for any proposed facility employing the short-spacing separation table in our rules.</w:t>
      </w:r>
      <w:r>
        <w:rPr>
          <w:szCs w:val="22"/>
          <w:vertAlign w:val="superscript"/>
        </w:rPr>
        <w:footnoteReference w:id="24"/>
      </w:r>
    </w:p>
    <w:p w:rsidR="00860017" w:rsidP="00B20E6F" w14:paraId="4578F59E" w14:textId="77777777">
      <w:pPr>
        <w:widowControl/>
        <w:ind w:firstLine="720"/>
        <w:rPr>
          <w:szCs w:val="22"/>
        </w:rPr>
      </w:pPr>
    </w:p>
    <w:p w:rsidR="00B20E6F" w:rsidP="006F6D91" w14:paraId="146FA018" w14:textId="6A5B23CA">
      <w:pPr>
        <w:widowControl/>
        <w:tabs>
          <w:tab w:val="left" w:pos="90"/>
        </w:tabs>
        <w:ind w:firstLine="720"/>
        <w:rPr>
          <w:szCs w:val="22"/>
        </w:rPr>
      </w:pPr>
      <w:r w:rsidRPr="001B213F">
        <w:rPr>
          <w:szCs w:val="22"/>
        </w:rPr>
        <w:t>All participating frequency coordinators will check each notified application for mutual exclusivity with other notified applications.  If conflicts are found, the application with the earliest notification date and time stamp will take precedence.</w:t>
      </w:r>
      <w:r>
        <w:rPr>
          <w:rStyle w:val="FootnoteReference"/>
          <w:szCs w:val="22"/>
        </w:rPr>
        <w:footnoteReference w:id="25"/>
      </w:r>
      <w:r w:rsidRPr="001B213F">
        <w:rPr>
          <w:szCs w:val="22"/>
        </w:rPr>
        <w:t xml:space="preserve">  </w:t>
      </w:r>
      <w:r>
        <w:rPr>
          <w:szCs w:val="22"/>
        </w:rPr>
        <w:t>Mutually exclusive channels must be deleted from l</w:t>
      </w:r>
      <w:r w:rsidRPr="001B213F">
        <w:rPr>
          <w:szCs w:val="22"/>
        </w:rPr>
        <w:t xml:space="preserve">ater-notified applications, but </w:t>
      </w:r>
      <w:r>
        <w:rPr>
          <w:szCs w:val="22"/>
        </w:rPr>
        <w:t xml:space="preserve">such applications </w:t>
      </w:r>
      <w:r w:rsidRPr="001B213F">
        <w:rPr>
          <w:szCs w:val="22"/>
        </w:rPr>
        <w:t>may maintain their priority for channels that have no conflicts.  Frequency coordinators may also apply engineering solutions to resolve potentially mutually exclusive situations.</w:t>
      </w:r>
    </w:p>
    <w:p w:rsidR="00464F1F" w:rsidP="00B20E6F" w14:paraId="755BBEC2" w14:textId="11D0DB09">
      <w:pPr>
        <w:widowControl/>
        <w:ind w:firstLine="720"/>
        <w:rPr>
          <w:szCs w:val="22"/>
        </w:rPr>
      </w:pPr>
      <w:r>
        <w:rPr>
          <w:szCs w:val="22"/>
        </w:rPr>
        <w:t xml:space="preserve">  </w:t>
      </w:r>
    </w:p>
    <w:p w:rsidR="00464F1F" w:rsidP="00B20E6F" w14:paraId="56506C3C" w14:textId="195D788F">
      <w:pPr>
        <w:widowControl/>
        <w:rPr>
          <w:szCs w:val="22"/>
        </w:rPr>
      </w:pPr>
      <w:r>
        <w:rPr>
          <w:szCs w:val="22"/>
        </w:rPr>
        <w:t xml:space="preserve"> </w:t>
      </w:r>
      <w:r>
        <w:rPr>
          <w:szCs w:val="22"/>
        </w:rPr>
        <w:tab/>
        <w:t xml:space="preserve">From </w:t>
      </w:r>
      <w:r w:rsidR="008033C8">
        <w:rPr>
          <w:b/>
          <w:szCs w:val="22"/>
        </w:rPr>
        <w:t>August 14</w:t>
      </w:r>
      <w:r w:rsidRPr="0005545A">
        <w:rPr>
          <w:b/>
          <w:szCs w:val="22"/>
        </w:rPr>
        <w:t>, 202</w:t>
      </w:r>
      <w:r>
        <w:rPr>
          <w:b/>
          <w:szCs w:val="22"/>
        </w:rPr>
        <w:t>1</w:t>
      </w:r>
      <w:r>
        <w:rPr>
          <w:szCs w:val="22"/>
        </w:rPr>
        <w:t xml:space="preserve">, to </w:t>
      </w:r>
      <w:r w:rsidR="008033C8">
        <w:rPr>
          <w:b/>
          <w:szCs w:val="22"/>
        </w:rPr>
        <w:t>August 1</w:t>
      </w:r>
      <w:r w:rsidR="00CC424F">
        <w:rPr>
          <w:b/>
          <w:szCs w:val="22"/>
        </w:rPr>
        <w:t>3</w:t>
      </w:r>
      <w:r w:rsidRPr="0005545A">
        <w:rPr>
          <w:b/>
          <w:szCs w:val="22"/>
        </w:rPr>
        <w:t>, 202</w:t>
      </w:r>
      <w:r>
        <w:rPr>
          <w:b/>
          <w:szCs w:val="22"/>
        </w:rPr>
        <w:t>4</w:t>
      </w:r>
      <w:r>
        <w:rPr>
          <w:szCs w:val="22"/>
        </w:rPr>
        <w:t xml:space="preserve">, the interleaved channels made available by this </w:t>
      </w:r>
      <w:r>
        <w:rPr>
          <w:i/>
          <w:szCs w:val="22"/>
        </w:rPr>
        <w:t>Public Notice</w:t>
      </w:r>
      <w:r>
        <w:rPr>
          <w:szCs w:val="22"/>
        </w:rPr>
        <w:t xml:space="preserve"> will be available exclusively for licensing to public safety eligible entities.  From </w:t>
      </w:r>
      <w:r w:rsidR="00CC424F">
        <w:rPr>
          <w:b/>
          <w:szCs w:val="22"/>
        </w:rPr>
        <w:t>August 14</w:t>
      </w:r>
      <w:r w:rsidRPr="0005545A">
        <w:rPr>
          <w:b/>
          <w:szCs w:val="22"/>
        </w:rPr>
        <w:t>, 202</w:t>
      </w:r>
      <w:r>
        <w:rPr>
          <w:b/>
          <w:szCs w:val="22"/>
        </w:rPr>
        <w:t>4</w:t>
      </w:r>
      <w:r>
        <w:rPr>
          <w:szCs w:val="22"/>
        </w:rPr>
        <w:t>,</w:t>
      </w:r>
      <w:r w:rsidRPr="00B7186D">
        <w:t xml:space="preserve"> </w:t>
      </w:r>
      <w:r>
        <w:rPr>
          <w:szCs w:val="22"/>
        </w:rPr>
        <w:t xml:space="preserve">to </w:t>
      </w:r>
      <w:r w:rsidR="00CC424F">
        <w:rPr>
          <w:b/>
          <w:szCs w:val="22"/>
        </w:rPr>
        <w:t>August 13</w:t>
      </w:r>
      <w:r w:rsidRPr="0005545A">
        <w:rPr>
          <w:b/>
          <w:szCs w:val="22"/>
        </w:rPr>
        <w:t>, 202</w:t>
      </w:r>
      <w:r>
        <w:rPr>
          <w:b/>
          <w:szCs w:val="22"/>
        </w:rPr>
        <w:t>6</w:t>
      </w:r>
      <w:r>
        <w:rPr>
          <w:szCs w:val="22"/>
        </w:rPr>
        <w:t xml:space="preserve">, the channels made available by the records released by this </w:t>
      </w:r>
      <w:r>
        <w:rPr>
          <w:i/>
          <w:szCs w:val="22"/>
        </w:rPr>
        <w:t>Public Notice</w:t>
      </w:r>
      <w:r>
        <w:rPr>
          <w:szCs w:val="22"/>
        </w:rPr>
        <w:t xml:space="preserve"> will be available exclusively for licensing to public safety eligible entities and critical infrastructure industry eligible entities.</w:t>
      </w:r>
    </w:p>
    <w:p w:rsidR="00B20E6F" w:rsidP="00B20E6F" w14:paraId="31E6D680" w14:textId="77777777">
      <w:pPr>
        <w:widowControl/>
        <w:rPr>
          <w:szCs w:val="22"/>
        </w:rPr>
      </w:pPr>
    </w:p>
    <w:p w:rsidR="00860017" w:rsidP="00860017" w14:paraId="5F200446" w14:textId="77777777">
      <w:pPr>
        <w:widowControl/>
        <w:rPr>
          <w:szCs w:val="22"/>
        </w:rPr>
      </w:pPr>
      <w:r w:rsidRPr="00A22B89">
        <w:rPr>
          <w:szCs w:val="22"/>
          <w:u w:val="single"/>
        </w:rPr>
        <w:t>Expansion Band and Guard Band Channels</w:t>
      </w:r>
    </w:p>
    <w:p w:rsidR="00464F1F" w:rsidRPr="00840FE5" w:rsidP="00860017" w14:paraId="6C1820C5" w14:textId="6ACD4013">
      <w:pPr>
        <w:widowControl/>
        <w:rPr>
          <w:szCs w:val="22"/>
          <w:u w:val="single"/>
        </w:rPr>
      </w:pPr>
      <w:r w:rsidRPr="00611333">
        <w:rPr>
          <w:szCs w:val="22"/>
          <w:highlight w:val="yellow"/>
          <w:u w:val="single"/>
        </w:rPr>
        <w:t xml:space="preserve"> </w:t>
      </w:r>
    </w:p>
    <w:p w:rsidR="00860017" w:rsidP="00860017" w14:paraId="141322A7" w14:textId="77777777">
      <w:pPr>
        <w:widowControl/>
        <w:ind w:firstLine="720"/>
        <w:rPr>
          <w:szCs w:val="22"/>
        </w:rPr>
      </w:pPr>
      <w:r w:rsidRPr="00840FE5">
        <w:t xml:space="preserve">The Commission created the Expansion Band and Guard Band to provide spectral separation between commercial licensees operating in the </w:t>
      </w:r>
      <w:r>
        <w:t xml:space="preserve">segment of the </w:t>
      </w:r>
      <w:r w:rsidRPr="00840FE5">
        <w:t xml:space="preserve">band above 817/862 MHz and public safety licensees operating below 815/860 </w:t>
      </w:r>
      <w:r w:rsidRPr="00840FE5">
        <w:t>MHz.</w:t>
      </w:r>
      <w:bookmarkStart w:id="5" w:name="_Ref299022442"/>
      <w:r>
        <w:rPr>
          <w:rStyle w:val="FootnoteReference"/>
        </w:rPr>
        <w:footnoteReference w:id="26"/>
      </w:r>
      <w:bookmarkEnd w:id="5"/>
      <w:r w:rsidRPr="00840FE5">
        <w:t xml:space="preserve">  </w:t>
      </w:r>
      <w:r>
        <w:rPr>
          <w:szCs w:val="22"/>
        </w:rPr>
        <w:t xml:space="preserve">Expansion Band spectrum is designated mostly for Specialized Mobile Radio (SMR) stations, with the remainder for Business/Industrial/Land Transportation (B/ILT) Pool </w:t>
      </w:r>
      <w:r>
        <w:rPr>
          <w:szCs w:val="22"/>
        </w:rPr>
        <w:t>eligibles</w:t>
      </w:r>
      <w:r>
        <w:rPr>
          <w:szCs w:val="22"/>
        </w:rPr>
        <w:t>.</w:t>
      </w:r>
      <w:r>
        <w:rPr>
          <w:rStyle w:val="FootnoteReference"/>
          <w:szCs w:val="22"/>
        </w:rPr>
        <w:footnoteReference w:id="27"/>
      </w:r>
      <w:r>
        <w:rPr>
          <w:szCs w:val="22"/>
        </w:rPr>
        <w:t xml:space="preserve">  Guard Band spectrum is in the General Pool, and thus is available for Public Safety, B/ILT, and SMR operations.</w:t>
      </w:r>
      <w:r>
        <w:rPr>
          <w:rStyle w:val="FootnoteReference"/>
          <w:szCs w:val="22"/>
        </w:rPr>
        <w:footnoteReference w:id="28"/>
      </w:r>
    </w:p>
    <w:p w:rsidR="00464F1F" w:rsidP="00860017" w14:paraId="5314DFFA" w14:textId="3A421457">
      <w:pPr>
        <w:widowControl/>
        <w:ind w:firstLine="720"/>
      </w:pPr>
      <w:r>
        <w:rPr>
          <w:szCs w:val="22"/>
        </w:rPr>
        <w:t xml:space="preserve">  </w:t>
      </w:r>
    </w:p>
    <w:p w:rsidR="00860017" w:rsidP="00860017" w14:paraId="53713661" w14:textId="52FFD168">
      <w:pPr>
        <w:widowControl/>
        <w:ind w:firstLine="720"/>
        <w:rPr>
          <w:b/>
          <w:szCs w:val="22"/>
        </w:rPr>
      </w:pPr>
      <w:r>
        <w:rPr>
          <w:szCs w:val="22"/>
        </w:rPr>
        <w:t xml:space="preserve">The Bureaus have released </w:t>
      </w:r>
      <w:r w:rsidRPr="00840FE5">
        <w:rPr>
          <w:rFonts w:ascii="NIJMAB+TimesNewRoman" w:hAnsi="NIJMAB+TimesNewRoman" w:cs="NIJMAB+TimesNewRoman"/>
          <w:color w:val="000000"/>
          <w:szCs w:val="22"/>
        </w:rPr>
        <w:t xml:space="preserve">Expansion and Guard Band </w:t>
      </w:r>
      <w:r>
        <w:rPr>
          <w:szCs w:val="22"/>
        </w:rPr>
        <w:t>channels for licensing in stages</w:t>
      </w:r>
      <w:r w:rsidR="00337F23">
        <w:rPr>
          <w:szCs w:val="22"/>
        </w:rPr>
        <w:t>,</w:t>
      </w:r>
      <w:r>
        <w:rPr>
          <w:szCs w:val="22"/>
        </w:rPr>
        <w:t xml:space="preserve"> with the most recent release occurring in April 2019</w:t>
      </w:r>
      <w:r w:rsidRPr="00840FE5">
        <w:rPr>
          <w:rFonts w:ascii="NIJMAB+TimesNewRoman" w:hAnsi="NIJMAB+TimesNewRoman" w:cs="NIJMAB+TimesNewRoman"/>
          <w:color w:val="000000"/>
          <w:szCs w:val="22"/>
        </w:rPr>
        <w:t>.</w:t>
      </w:r>
      <w:r>
        <w:rPr>
          <w:rStyle w:val="FootnoteReference"/>
          <w:rFonts w:ascii="NIJMAB+TimesNewRoman" w:hAnsi="NIJMAB+TimesNewRoman" w:cs="NIJMAB+TimesNewRoman"/>
          <w:color w:val="000000"/>
          <w:szCs w:val="22"/>
        </w:rPr>
        <w:footnoteReference w:id="29"/>
      </w:r>
      <w:r w:rsidRPr="00A36735">
        <w:rPr>
          <w:rFonts w:ascii="NIJMAB+TimesNewRoman" w:hAnsi="NIJMAB+TimesNewRoman" w:cs="NIJMAB+TimesNewRoman"/>
          <w:color w:val="000000"/>
          <w:szCs w:val="22"/>
        </w:rPr>
        <w:t xml:space="preserve">  </w:t>
      </w:r>
      <w:r w:rsidR="00727B7E">
        <w:rPr>
          <w:rFonts w:ascii="NIJMAB+TimesNewRoman" w:hAnsi="NIJMAB+TimesNewRoman" w:cs="NIJMAB+TimesNewRoman"/>
          <w:color w:val="000000"/>
          <w:szCs w:val="22"/>
        </w:rPr>
        <w:t xml:space="preserve">With the completion of the </w:t>
      </w:r>
      <w:r w:rsidR="00727B7E">
        <w:rPr>
          <w:rFonts w:ascii="NIJMAB+TimesNewRoman" w:hAnsi="NIJMAB+TimesNewRoman" w:cs="NIJMAB+TimesNewRoman"/>
          <w:color w:val="000000"/>
          <w:szCs w:val="22"/>
        </w:rPr>
        <w:t>rebanding</w:t>
      </w:r>
      <w:r w:rsidR="00727B7E">
        <w:rPr>
          <w:rFonts w:ascii="NIJMAB+TimesNewRoman" w:hAnsi="NIJMAB+TimesNewRoman" w:cs="NIJMAB+TimesNewRoman"/>
          <w:color w:val="000000"/>
          <w:szCs w:val="22"/>
        </w:rPr>
        <w:t xml:space="preserve"> program</w:t>
      </w:r>
      <w:r>
        <w:t>, 100% of channels in the former NPSPAC Block in these regions are clear.</w:t>
      </w:r>
      <w:r>
        <w:rPr>
          <w:rStyle w:val="FootnoteReference"/>
        </w:rPr>
        <w:footnoteReference w:id="30"/>
      </w:r>
      <w:r>
        <w:t xml:space="preserve">  Accordingly, Expansion Band and Guard Band channels in the NPSPAC regions listed in Attachment A will be available for licensing on </w:t>
      </w:r>
      <w:r w:rsidR="005F2BDB">
        <w:rPr>
          <w:b/>
          <w:szCs w:val="22"/>
        </w:rPr>
        <w:t>August 14</w:t>
      </w:r>
      <w:r w:rsidRPr="0005545A" w:rsidR="005F2BDB">
        <w:rPr>
          <w:b/>
          <w:szCs w:val="22"/>
        </w:rPr>
        <w:t>, 202</w:t>
      </w:r>
      <w:r w:rsidR="005F2BDB">
        <w:rPr>
          <w:b/>
          <w:szCs w:val="22"/>
        </w:rPr>
        <w:t>1</w:t>
      </w:r>
      <w:r>
        <w:t>.</w:t>
      </w:r>
      <w:r>
        <w:rPr>
          <w:rStyle w:val="FootnoteReference"/>
        </w:rPr>
        <w:footnoteReference w:id="31"/>
      </w:r>
      <w:r>
        <w:t xml:space="preserve">  </w:t>
      </w:r>
      <w:r w:rsidR="0026439E">
        <w:t xml:space="preserve">In addition, </w:t>
      </w:r>
      <w:r>
        <w:t xml:space="preserve">Expansion Band and Guard Band channels will be available for licensing in the counties listed in Attachment C on </w:t>
      </w:r>
      <w:r w:rsidR="00172AFB">
        <w:rPr>
          <w:b/>
          <w:szCs w:val="22"/>
        </w:rPr>
        <w:t>August 14</w:t>
      </w:r>
      <w:r>
        <w:rPr>
          <w:b/>
          <w:szCs w:val="22"/>
        </w:rPr>
        <w:t>, 2021.</w:t>
      </w:r>
    </w:p>
    <w:p w:rsidR="00464F1F" w:rsidP="00860017" w14:paraId="7991FD26" w14:textId="3D251A5D">
      <w:pPr>
        <w:widowControl/>
        <w:ind w:firstLine="720"/>
      </w:pPr>
      <w:r>
        <w:t xml:space="preserve"> </w:t>
      </w:r>
    </w:p>
    <w:p w:rsidR="00860017" w:rsidP="00860017" w14:paraId="67E08926" w14:textId="77777777">
      <w:pPr>
        <w:widowControl/>
        <w:ind w:firstLine="720"/>
        <w:rPr>
          <w:szCs w:val="22"/>
        </w:rPr>
      </w:pPr>
      <w:r>
        <w:rPr>
          <w:szCs w:val="22"/>
        </w:rPr>
        <w:t>Furthermore, these Expansion Band and Guard Band channels are subject to pre-coordination.</w:t>
      </w:r>
      <w:r>
        <w:rPr>
          <w:rStyle w:val="FootnoteReference"/>
          <w:szCs w:val="22"/>
        </w:rPr>
        <w:footnoteReference w:id="32"/>
      </w:r>
      <w:r>
        <w:rPr>
          <w:szCs w:val="22"/>
        </w:rPr>
        <w:t xml:space="preserve">  Frequency coordinators must follow </w:t>
      </w:r>
      <w:r w:rsidRPr="00E619D7">
        <w:rPr>
          <w:szCs w:val="22"/>
        </w:rPr>
        <w:t>pre-coordination procedures to eliminate conflicts between applications prior to their being filed with the Commission</w:t>
      </w:r>
      <w:r>
        <w:rPr>
          <w:szCs w:val="22"/>
        </w:rPr>
        <w:t>, and they must attach the appropriate certifications to each application.  F</w:t>
      </w:r>
      <w:r w:rsidRPr="002C7649">
        <w:rPr>
          <w:szCs w:val="22"/>
        </w:rPr>
        <w:t xml:space="preserve">requency coordinators may accept applications for vacated channels specified in this </w:t>
      </w:r>
      <w:r w:rsidRPr="002C7649">
        <w:rPr>
          <w:i/>
          <w:szCs w:val="22"/>
        </w:rPr>
        <w:t>Public Notice</w:t>
      </w:r>
      <w:r w:rsidRPr="002C7649">
        <w:rPr>
          <w:szCs w:val="22"/>
        </w:rPr>
        <w:t xml:space="preserve"> that are submitted to them for coordination.</w:t>
      </w:r>
      <w:r>
        <w:rPr>
          <w:szCs w:val="22"/>
          <w:vertAlign w:val="superscript"/>
        </w:rPr>
        <w:footnoteReference w:id="33"/>
      </w:r>
      <w:r w:rsidRPr="002C7649">
        <w:rPr>
          <w:szCs w:val="22"/>
        </w:rPr>
        <w:t xml:space="preserve">  In order to </w:t>
      </w:r>
      <w:r>
        <w:rPr>
          <w:szCs w:val="22"/>
        </w:rPr>
        <w:t>reduce</w:t>
      </w:r>
      <w:r w:rsidRPr="002C7649">
        <w:rPr>
          <w:szCs w:val="22"/>
        </w:rPr>
        <w:t xml:space="preserve"> the possibility </w:t>
      </w:r>
      <w:r>
        <w:rPr>
          <w:szCs w:val="22"/>
        </w:rPr>
        <w:t>that</w:t>
      </w:r>
      <w:r w:rsidRPr="002C7649">
        <w:rPr>
          <w:szCs w:val="22"/>
        </w:rPr>
        <w:t xml:space="preserve"> the Commission </w:t>
      </w:r>
      <w:r>
        <w:rPr>
          <w:szCs w:val="22"/>
        </w:rPr>
        <w:t xml:space="preserve">might </w:t>
      </w:r>
      <w:r w:rsidRPr="002C7649">
        <w:rPr>
          <w:szCs w:val="22"/>
        </w:rPr>
        <w:t>receiv</w:t>
      </w:r>
      <w:r>
        <w:rPr>
          <w:szCs w:val="22"/>
        </w:rPr>
        <w:t>e</w:t>
      </w:r>
      <w:r w:rsidRPr="002C7649">
        <w:rPr>
          <w:szCs w:val="22"/>
        </w:rPr>
        <w:t xml:space="preserve"> mutually exclusive applications, each frequency coordinator must provide notification of each application submitted to it for coordination to all other </w:t>
      </w:r>
      <w:r w:rsidRPr="002C7649">
        <w:rPr>
          <w:szCs w:val="22"/>
        </w:rPr>
        <w:t>participating coordinators prior to filing the application with the Commission.  The purpose of this notification process is to enable frequency coordinators to address and resolve conflicting applications prior to filing with the Commission.</w:t>
      </w:r>
    </w:p>
    <w:p w:rsidR="00464F1F" w:rsidP="00860017" w14:paraId="70A99C81" w14:textId="394003DA">
      <w:pPr>
        <w:widowControl/>
        <w:ind w:firstLine="720"/>
        <w:rPr>
          <w:szCs w:val="22"/>
        </w:rPr>
      </w:pPr>
      <w:r>
        <w:rPr>
          <w:szCs w:val="22"/>
        </w:rPr>
        <w:t xml:space="preserve">  </w:t>
      </w:r>
    </w:p>
    <w:p w:rsidR="00464F1F" w:rsidRPr="001B213F" w:rsidP="00860017" w14:paraId="35E5EAE3" w14:textId="21F34241">
      <w:pPr>
        <w:widowControl/>
        <w:spacing w:after="120"/>
        <w:ind w:firstLine="720"/>
        <w:rPr>
          <w:szCs w:val="22"/>
        </w:rPr>
      </w:pPr>
      <w:r>
        <w:rPr>
          <w:szCs w:val="22"/>
        </w:rPr>
        <w:t xml:space="preserve">Pre-coordination for the Expansion Band and Guard Band channels may commence on </w:t>
      </w:r>
      <w:r w:rsidR="00AE503B">
        <w:rPr>
          <w:b/>
          <w:bCs/>
          <w:szCs w:val="22"/>
        </w:rPr>
        <w:t>July 14</w:t>
      </w:r>
      <w:r>
        <w:rPr>
          <w:b/>
          <w:szCs w:val="22"/>
        </w:rPr>
        <w:t>, 2021</w:t>
      </w:r>
      <w:r>
        <w:rPr>
          <w:szCs w:val="22"/>
        </w:rPr>
        <w:t xml:space="preserve">, at 8:00 AM Eastern Time.  On that date, and after that time, each frequency coordinator may submit electronic notification to the other participating coordinators of applications it has prepared for coordination.  </w:t>
      </w:r>
      <w:r>
        <w:t xml:space="preserve">Each notification for vacated channels must be sent individually; </w:t>
      </w:r>
      <w:r w:rsidRPr="00063E3B">
        <w:rPr>
          <w:u w:val="single"/>
        </w:rPr>
        <w:t>batch filing is prohibited</w:t>
      </w:r>
      <w:r>
        <w:t xml:space="preserve">.  </w:t>
      </w:r>
      <w:r w:rsidRPr="001B213F">
        <w:rPr>
          <w:szCs w:val="22"/>
        </w:rPr>
        <w:t>Applications that are submitted for notification must include the following exhibits:</w:t>
      </w:r>
    </w:p>
    <w:p w:rsidR="00464F1F" w:rsidRPr="001B213F" w:rsidP="00860017" w14:paraId="5070E134" w14:textId="77777777">
      <w:pPr>
        <w:widowControl/>
        <w:numPr>
          <w:ilvl w:val="0"/>
          <w:numId w:val="30"/>
        </w:numPr>
        <w:spacing w:after="120"/>
        <w:ind w:left="1627"/>
        <w:rPr>
          <w:szCs w:val="22"/>
        </w:rPr>
      </w:pPr>
      <w:r w:rsidRPr="001B213F">
        <w:rPr>
          <w:szCs w:val="22"/>
        </w:rPr>
        <w:t xml:space="preserve">A statement verifying channel </w:t>
      </w:r>
      <w:r w:rsidRPr="001B213F">
        <w:rPr>
          <w:szCs w:val="22"/>
        </w:rPr>
        <w:t>availability;</w:t>
      </w:r>
    </w:p>
    <w:p w:rsidR="00464F1F" w:rsidRPr="001B213F" w:rsidP="00860017" w14:paraId="157C6075" w14:textId="5654F3B4">
      <w:pPr>
        <w:widowControl/>
        <w:numPr>
          <w:ilvl w:val="0"/>
          <w:numId w:val="30"/>
        </w:numPr>
        <w:rPr>
          <w:szCs w:val="22"/>
        </w:rPr>
      </w:pPr>
      <w:r w:rsidRPr="001B213F">
        <w:rPr>
          <w:szCs w:val="22"/>
        </w:rPr>
        <w:t xml:space="preserve">A study detailing the </w:t>
      </w:r>
      <w:r w:rsidR="001561A0">
        <w:rPr>
          <w:szCs w:val="22"/>
        </w:rPr>
        <w:t>directional heigh of the antennae above average terrain</w:t>
      </w:r>
      <w:r w:rsidRPr="001B213F">
        <w:rPr>
          <w:szCs w:val="22"/>
        </w:rPr>
        <w:t xml:space="preserve"> for any proposed facility employing the short-spacing separation table in our rules.</w:t>
      </w:r>
      <w:r>
        <w:rPr>
          <w:szCs w:val="22"/>
          <w:vertAlign w:val="superscript"/>
        </w:rPr>
        <w:footnoteReference w:id="34"/>
      </w:r>
    </w:p>
    <w:p w:rsidR="00860017" w:rsidP="00860017" w14:paraId="29AC37FB" w14:textId="77777777">
      <w:pPr>
        <w:widowControl/>
        <w:ind w:firstLine="720"/>
        <w:rPr>
          <w:szCs w:val="22"/>
        </w:rPr>
      </w:pPr>
    </w:p>
    <w:p w:rsidR="00723BF3" w:rsidP="00860017" w14:paraId="1678C6A4" w14:textId="77777777">
      <w:pPr>
        <w:widowControl/>
        <w:ind w:firstLine="720"/>
        <w:rPr>
          <w:szCs w:val="22"/>
        </w:rPr>
      </w:pPr>
      <w:r w:rsidRPr="001B213F">
        <w:rPr>
          <w:szCs w:val="22"/>
        </w:rPr>
        <w:t>All participating frequency coordinators will check each notified application for mutual exclusivity with other notified applications.  If conflicts are found, the application with the earliest notification date and time stamp will take precedence.</w:t>
      </w:r>
      <w:r>
        <w:rPr>
          <w:rStyle w:val="FootnoteReference"/>
          <w:szCs w:val="22"/>
        </w:rPr>
        <w:footnoteReference w:id="35"/>
      </w:r>
      <w:r w:rsidRPr="001B213F">
        <w:rPr>
          <w:szCs w:val="22"/>
        </w:rPr>
        <w:t xml:space="preserve">  </w:t>
      </w:r>
      <w:r>
        <w:rPr>
          <w:szCs w:val="22"/>
        </w:rPr>
        <w:t>Mutually exclusive channels must be deleted from l</w:t>
      </w:r>
      <w:r w:rsidRPr="001B213F">
        <w:rPr>
          <w:szCs w:val="22"/>
        </w:rPr>
        <w:t xml:space="preserve">ater-notified applications, but </w:t>
      </w:r>
      <w:r>
        <w:rPr>
          <w:szCs w:val="22"/>
        </w:rPr>
        <w:t xml:space="preserve">such applications </w:t>
      </w:r>
      <w:r w:rsidRPr="001B213F">
        <w:rPr>
          <w:szCs w:val="22"/>
        </w:rPr>
        <w:t>may maintain their priority for channels that have no conflicts.  Frequency coordinators may also apply engineering solutions to resolve potentially mutually exclusive situations.</w:t>
      </w:r>
    </w:p>
    <w:p w:rsidR="00464F1F" w:rsidP="00860017" w14:paraId="5F8D36CD" w14:textId="13F76F62">
      <w:pPr>
        <w:widowControl/>
        <w:ind w:firstLine="720"/>
        <w:rPr>
          <w:szCs w:val="22"/>
        </w:rPr>
      </w:pPr>
      <w:r>
        <w:rPr>
          <w:szCs w:val="22"/>
        </w:rPr>
        <w:t xml:space="preserve">  </w:t>
      </w:r>
    </w:p>
    <w:p w:rsidR="00464F1F" w:rsidP="00860017" w14:paraId="477C4F8F" w14:textId="3269325C">
      <w:pPr>
        <w:widowControl/>
        <w:ind w:firstLine="720"/>
        <w:rPr>
          <w:szCs w:val="22"/>
        </w:rPr>
      </w:pPr>
      <w:r>
        <w:t xml:space="preserve">We remind applicants for Expansion Band and Guard Band channels that they must comply with the Commission’s construction and operation rules.  Licensees must construct and place a station into </w:t>
      </w:r>
      <w:r>
        <w:rPr>
          <w:i/>
        </w:rPr>
        <w:t>bona fide</w:t>
      </w:r>
      <w:r>
        <w:t xml:space="preserve"> operation within twelve months of the date of grant of an authorization</w:t>
      </w:r>
      <w:r w:rsidRPr="009953BD">
        <w:t>.</w:t>
      </w:r>
      <w:r>
        <w:rPr>
          <w:rStyle w:val="FootnoteReference"/>
        </w:rPr>
        <w:footnoteReference w:id="36"/>
      </w:r>
      <w:r w:rsidRPr="009953BD">
        <w:t xml:space="preserve">  </w:t>
      </w:r>
      <w:r w:rsidRPr="0078151A">
        <w:rPr>
          <w:b/>
          <w:u w:val="single"/>
        </w:rPr>
        <w:t>Failure to meet the construction and operation requirements by the applicable deadline, or failure to maintain the station in operation for a one-year period, will result in automatic license cancellation</w:t>
      </w:r>
      <w:r w:rsidRPr="0078151A">
        <w:rPr>
          <w:b/>
          <w:szCs w:val="22"/>
          <w:u w:val="single"/>
        </w:rPr>
        <w:t>.</w:t>
      </w:r>
      <w:r>
        <w:rPr>
          <w:rStyle w:val="FootnoteReference"/>
          <w:szCs w:val="22"/>
        </w:rPr>
        <w:footnoteReference w:id="37"/>
      </w:r>
      <w:r>
        <w:rPr>
          <w:szCs w:val="22"/>
        </w:rPr>
        <w:t xml:space="preserve">  We advise applicants that we apply strict scrutiny to requests for waiver of the construction deadlines and operational requirements.  We note that lack of financing, lack of site access, transfer of control, or assignment of authorization may not be used to justify a waiver.</w:t>
      </w:r>
      <w:r>
        <w:rPr>
          <w:rStyle w:val="FootnoteReference"/>
          <w:szCs w:val="22"/>
        </w:rPr>
        <w:footnoteReference w:id="38"/>
      </w:r>
      <w:r>
        <w:rPr>
          <w:szCs w:val="22"/>
        </w:rPr>
        <w:t xml:space="preserve">  Finally, because of our experience with 900 MHz band applications,</w:t>
      </w:r>
      <w:r>
        <w:rPr>
          <w:rStyle w:val="FootnoteReference"/>
        </w:rPr>
        <w:footnoteReference w:id="39"/>
      </w:r>
      <w:r>
        <w:rPr>
          <w:szCs w:val="22"/>
        </w:rPr>
        <w:t xml:space="preserve"> we may impose a temporary freeze on the acceptance of Expansion and/or Guard Band applications in the event there is an inordinately large number of applications that would compromise the availability of adequate spectrum resources for applicants with </w:t>
      </w:r>
      <w:r>
        <w:rPr>
          <w:i/>
          <w:szCs w:val="22"/>
        </w:rPr>
        <w:t>bona fide</w:t>
      </w:r>
      <w:r>
        <w:rPr>
          <w:szCs w:val="22"/>
        </w:rPr>
        <w:t xml:space="preserve"> intentions to offer service.  We will also investigate any unusual concentration of applications and any undisclosed true </w:t>
      </w:r>
      <w:r>
        <w:rPr>
          <w:szCs w:val="22"/>
        </w:rPr>
        <w:t>party in interest behind any application.  Misrepresentation or lack of candor in any application may be referred for enforcement action.</w:t>
      </w:r>
    </w:p>
    <w:p w:rsidR="00723BF3" w:rsidP="00860017" w14:paraId="08BDB06B" w14:textId="77777777">
      <w:pPr>
        <w:widowControl/>
        <w:ind w:firstLine="720"/>
        <w:rPr>
          <w:szCs w:val="22"/>
        </w:rPr>
      </w:pPr>
    </w:p>
    <w:p w:rsidR="002850EB" w:rsidP="002850EB" w14:paraId="060F2D32" w14:textId="77777777">
      <w:pPr>
        <w:widowControl/>
      </w:pPr>
      <w:r>
        <w:rPr>
          <w:u w:val="single"/>
        </w:rPr>
        <w:t xml:space="preserve">Lifting of </w:t>
      </w:r>
      <w:r w:rsidR="00D833C8">
        <w:rPr>
          <w:u w:val="single"/>
        </w:rPr>
        <w:t xml:space="preserve">Mexico </w:t>
      </w:r>
      <w:r w:rsidR="00E92239">
        <w:rPr>
          <w:u w:val="single"/>
        </w:rPr>
        <w:t xml:space="preserve">Border </w:t>
      </w:r>
      <w:r w:rsidRPr="00265141">
        <w:rPr>
          <w:u w:val="single"/>
        </w:rPr>
        <w:t>Application Freeze</w:t>
      </w:r>
    </w:p>
    <w:p w:rsidR="00464F1F" w:rsidP="002850EB" w14:paraId="329751B8" w14:textId="0F4285AE">
      <w:pPr>
        <w:widowControl/>
        <w:rPr>
          <w:u w:val="single"/>
        </w:rPr>
      </w:pPr>
      <w:r>
        <w:rPr>
          <w:u w:val="single"/>
        </w:rPr>
        <w:t xml:space="preserve">  </w:t>
      </w:r>
    </w:p>
    <w:p w:rsidR="002850EB" w:rsidP="002850EB" w14:paraId="796BCCAE" w14:textId="77777777">
      <w:pPr>
        <w:widowControl/>
        <w:tabs>
          <w:tab w:val="num" w:pos="708"/>
        </w:tabs>
      </w:pPr>
      <w:r>
        <w:tab/>
      </w:r>
      <w:r w:rsidR="00E97D88">
        <w:t xml:space="preserve">During the </w:t>
      </w:r>
      <w:r w:rsidR="00111ED2">
        <w:t>rebanding</w:t>
      </w:r>
      <w:r w:rsidR="00111ED2">
        <w:t xml:space="preserve"> program, t</w:t>
      </w:r>
      <w:r>
        <w:t xml:space="preserve">he Public Safety and Homeland Security Bureau </w:t>
      </w:r>
      <w:r w:rsidR="00573477">
        <w:t xml:space="preserve">froze </w:t>
      </w:r>
      <w:r w:rsidR="00111ED2">
        <w:t xml:space="preserve">800 MHz </w:t>
      </w:r>
      <w:r>
        <w:t xml:space="preserve">applications along the U.S.-Mexico border in order to order to preserve vacant replacement channels for licensees who had </w:t>
      </w:r>
      <w:r w:rsidRPr="00616D1D">
        <w:t xml:space="preserve">yet to complete </w:t>
      </w:r>
      <w:r w:rsidR="00D40C85">
        <w:t>rebanding</w:t>
      </w:r>
      <w:r w:rsidR="00D40C85">
        <w:t xml:space="preserve"> </w:t>
      </w:r>
      <w:r>
        <w:t>in regions bordering Mexico.</w:t>
      </w:r>
      <w:r>
        <w:rPr>
          <w:rStyle w:val="FootnoteReference"/>
        </w:rPr>
        <w:footnoteReference w:id="40"/>
      </w:r>
      <w:r>
        <w:t xml:space="preserve">  </w:t>
      </w:r>
      <w:r w:rsidR="001B0B23">
        <w:t xml:space="preserve">This freeze extended to </w:t>
      </w:r>
      <w:r w:rsidR="00C87DF1">
        <w:t xml:space="preserve">the </w:t>
      </w:r>
      <w:r w:rsidR="00A51C1D">
        <w:t>cou</w:t>
      </w:r>
      <w:r w:rsidR="001B0B23">
        <w:t xml:space="preserve">nties in </w:t>
      </w:r>
      <w:r w:rsidR="00A51C1D">
        <w:t xml:space="preserve">non-border </w:t>
      </w:r>
      <w:r w:rsidR="00943D43">
        <w:t>NPS</w:t>
      </w:r>
      <w:r w:rsidR="00CC6BDB">
        <w:t>PAC regions listed in A</w:t>
      </w:r>
      <w:r w:rsidR="009C0EDF">
        <w:t>ttachment</w:t>
      </w:r>
      <w:r w:rsidR="00CC6BDB">
        <w:t xml:space="preserve"> C.</w:t>
      </w:r>
    </w:p>
    <w:p w:rsidR="00201FD2" w:rsidP="002850EB" w14:paraId="0696D8CD" w14:textId="0F45877F">
      <w:pPr>
        <w:widowControl/>
        <w:tabs>
          <w:tab w:val="num" w:pos="708"/>
        </w:tabs>
      </w:pPr>
      <w:r>
        <w:t xml:space="preserve">  </w:t>
      </w:r>
    </w:p>
    <w:p w:rsidR="002850EB" w:rsidP="002850EB" w14:paraId="617FE85C" w14:textId="77777777">
      <w:pPr>
        <w:widowControl/>
        <w:tabs>
          <w:tab w:val="num" w:pos="708"/>
        </w:tabs>
      </w:pPr>
      <w:r>
        <w:tab/>
      </w:r>
      <w:r w:rsidR="00464F1F">
        <w:t xml:space="preserve">As of this date, all licensees </w:t>
      </w:r>
      <w:r>
        <w:t>in the U.S.-Mexico border region</w:t>
      </w:r>
      <w:r w:rsidR="00464F1F">
        <w:t xml:space="preserve"> have completed their system retunes to their post-</w:t>
      </w:r>
      <w:r w:rsidR="00464F1F">
        <w:t>rebanding</w:t>
      </w:r>
      <w:r w:rsidR="00464F1F">
        <w:t xml:space="preserve"> replacement channels.  Consequently, we lift the freeze on </w:t>
      </w:r>
      <w:r w:rsidRPr="00960776" w:rsidR="00464F1F">
        <w:t xml:space="preserve">acceptance of new 800 MHz applications </w:t>
      </w:r>
      <w:r w:rsidR="004E65EB">
        <w:t xml:space="preserve">in </w:t>
      </w:r>
      <w:r w:rsidR="009C0EDF">
        <w:t xml:space="preserve">all </w:t>
      </w:r>
      <w:r w:rsidR="004E65EB">
        <w:t xml:space="preserve">NPSPAC regions </w:t>
      </w:r>
      <w:r w:rsidRPr="00960776" w:rsidR="00464F1F">
        <w:t>along the U.S.-Mexico border</w:t>
      </w:r>
      <w:r w:rsidR="004E65EB">
        <w:t xml:space="preserve"> and in the counties listed in Attachment C</w:t>
      </w:r>
      <w:r w:rsidR="009C0EDF">
        <w:t xml:space="preserve">.  </w:t>
      </w:r>
      <w:r w:rsidRPr="00910368" w:rsidR="00464F1F">
        <w:t xml:space="preserve">Sprint-vacated </w:t>
      </w:r>
      <w:r w:rsidR="00464F1F">
        <w:t>as well as Expansion Band and Guard Band channels are being made available for licensing in these counties as indicated above.</w:t>
      </w:r>
    </w:p>
    <w:p w:rsidR="00464F1F" w:rsidP="002850EB" w14:paraId="45516252" w14:textId="37981C3C">
      <w:pPr>
        <w:widowControl/>
        <w:tabs>
          <w:tab w:val="num" w:pos="708"/>
        </w:tabs>
      </w:pPr>
      <w:r>
        <w:t xml:space="preserve">  </w:t>
      </w:r>
    </w:p>
    <w:p w:rsidR="008F0AA0" w:rsidP="00764544" w14:paraId="2BF6C644" w14:textId="14261BFD">
      <w:pPr>
        <w:widowControl/>
        <w:tabs>
          <w:tab w:val="num" w:pos="708"/>
        </w:tabs>
      </w:pPr>
      <w:r w:rsidRPr="00D3163C">
        <w:rPr>
          <w:u w:val="single"/>
        </w:rPr>
        <w:t>Pending Waiver Requests</w:t>
      </w:r>
    </w:p>
    <w:p w:rsidR="00764544" w:rsidRPr="00764544" w:rsidP="00764544" w14:paraId="150C832B" w14:textId="77777777">
      <w:pPr>
        <w:widowControl/>
        <w:tabs>
          <w:tab w:val="num" w:pos="708"/>
        </w:tabs>
      </w:pPr>
    </w:p>
    <w:p w:rsidR="00464F1F" w:rsidP="00764544" w14:paraId="59F3F48E" w14:textId="1C10BC53">
      <w:pPr>
        <w:widowControl/>
        <w:ind w:firstLine="720"/>
        <w:rPr>
          <w:szCs w:val="22"/>
        </w:rPr>
      </w:pPr>
      <w:r>
        <w:rPr>
          <w:szCs w:val="22"/>
        </w:rPr>
        <w:t>T</w:t>
      </w:r>
      <w:r w:rsidRPr="00AF4919">
        <w:rPr>
          <w:szCs w:val="22"/>
        </w:rPr>
        <w:t xml:space="preserve">he Bureaus dismiss without prejudice any pending applications that include a </w:t>
      </w:r>
      <w:r>
        <w:rPr>
          <w:szCs w:val="22"/>
        </w:rPr>
        <w:t xml:space="preserve">waiver </w:t>
      </w:r>
      <w:r w:rsidRPr="00AF4919">
        <w:rPr>
          <w:szCs w:val="22"/>
        </w:rPr>
        <w:t xml:space="preserve">request for </w:t>
      </w:r>
      <w:r>
        <w:rPr>
          <w:szCs w:val="22"/>
        </w:rPr>
        <w:t xml:space="preserve">early access to the Sprint-vacated spectrum or Expansion Band and Guard Band channels that are the subject of this </w:t>
      </w:r>
      <w:r w:rsidRPr="002C1876">
        <w:rPr>
          <w:szCs w:val="22"/>
        </w:rPr>
        <w:t>Public Notice</w:t>
      </w:r>
      <w:r w:rsidRPr="00AF4919">
        <w:rPr>
          <w:szCs w:val="22"/>
        </w:rPr>
        <w:t>.</w:t>
      </w:r>
      <w:r>
        <w:rPr>
          <w:rStyle w:val="FootnoteReference"/>
          <w:szCs w:val="22"/>
        </w:rPr>
        <w:footnoteReference w:id="41"/>
      </w:r>
      <w:r>
        <w:rPr>
          <w:szCs w:val="22"/>
        </w:rPr>
        <w:t xml:space="preserve"> </w:t>
      </w:r>
      <w:r w:rsidRPr="00AF4919">
        <w:rPr>
          <w:szCs w:val="22"/>
        </w:rPr>
        <w:t xml:space="preserve"> We dismiss</w:t>
      </w:r>
      <w:r>
        <w:rPr>
          <w:szCs w:val="22"/>
        </w:rPr>
        <w:t xml:space="preserve"> these</w:t>
      </w:r>
      <w:r w:rsidRPr="00AF4919">
        <w:rPr>
          <w:szCs w:val="22"/>
        </w:rPr>
        <w:t xml:space="preserve"> requests in order to provide equal opportunity to all applicants and establish a stable spectral environment for the release of</w:t>
      </w:r>
      <w:r>
        <w:rPr>
          <w:szCs w:val="22"/>
        </w:rPr>
        <w:t xml:space="preserve"> both</w:t>
      </w:r>
      <w:r w:rsidRPr="00AF4919">
        <w:rPr>
          <w:szCs w:val="22"/>
        </w:rPr>
        <w:t xml:space="preserve"> </w:t>
      </w:r>
      <w:r>
        <w:rPr>
          <w:szCs w:val="22"/>
        </w:rPr>
        <w:t>S</w:t>
      </w:r>
      <w:r w:rsidRPr="00AF4919">
        <w:rPr>
          <w:szCs w:val="22"/>
        </w:rPr>
        <w:t xml:space="preserve">print-vacated spectrum </w:t>
      </w:r>
      <w:r>
        <w:rPr>
          <w:szCs w:val="22"/>
        </w:rPr>
        <w:t>and E</w:t>
      </w:r>
      <w:r w:rsidRPr="00AF4919">
        <w:rPr>
          <w:szCs w:val="22"/>
        </w:rPr>
        <w:t>xpansion Band and Guard Band channels</w:t>
      </w:r>
      <w:r>
        <w:rPr>
          <w:szCs w:val="22"/>
        </w:rPr>
        <w:t xml:space="preserve"> </w:t>
      </w:r>
      <w:r w:rsidRPr="00AF4919">
        <w:rPr>
          <w:szCs w:val="22"/>
        </w:rPr>
        <w:t xml:space="preserve">pursuant to this </w:t>
      </w:r>
      <w:r w:rsidRPr="002C1876">
        <w:rPr>
          <w:szCs w:val="22"/>
        </w:rPr>
        <w:t>Public Notice</w:t>
      </w:r>
      <w:r w:rsidRPr="00AF4919">
        <w:rPr>
          <w:szCs w:val="22"/>
        </w:rPr>
        <w:t xml:space="preserve">. </w:t>
      </w:r>
      <w:r w:rsidR="006E3BBD">
        <w:rPr>
          <w:szCs w:val="22"/>
        </w:rPr>
        <w:t xml:space="preserve"> </w:t>
      </w:r>
      <w:r>
        <w:rPr>
          <w:szCs w:val="22"/>
        </w:rPr>
        <w:t>A</w:t>
      </w:r>
      <w:r w:rsidRPr="00AF4919">
        <w:rPr>
          <w:szCs w:val="22"/>
        </w:rPr>
        <w:t xml:space="preserve">ny dismissed application must be refiled to be considered </w:t>
      </w:r>
      <w:r>
        <w:rPr>
          <w:szCs w:val="22"/>
        </w:rPr>
        <w:t xml:space="preserve">in accordance with the </w:t>
      </w:r>
      <w:r w:rsidR="0009727F">
        <w:rPr>
          <w:szCs w:val="22"/>
        </w:rPr>
        <w:t xml:space="preserve">application </w:t>
      </w:r>
      <w:r>
        <w:rPr>
          <w:szCs w:val="22"/>
        </w:rPr>
        <w:t>procedures outlined above</w:t>
      </w:r>
      <w:r w:rsidRPr="00AF4919">
        <w:rPr>
          <w:szCs w:val="22"/>
        </w:rPr>
        <w:t>.</w:t>
      </w:r>
    </w:p>
    <w:p w:rsidR="00764544" w:rsidP="00764544" w14:paraId="49157C5E" w14:textId="77777777">
      <w:pPr>
        <w:widowControl/>
        <w:ind w:firstLine="720"/>
        <w:rPr>
          <w:szCs w:val="22"/>
        </w:rPr>
      </w:pPr>
    </w:p>
    <w:p w:rsidR="00764544" w:rsidP="00764544" w14:paraId="400A593A" w14:textId="77777777">
      <w:pPr>
        <w:widowControl/>
        <w:tabs>
          <w:tab w:val="num" w:pos="708"/>
        </w:tabs>
        <w:rPr>
          <w:szCs w:val="22"/>
        </w:rPr>
      </w:pPr>
      <w:r>
        <w:rPr>
          <w:szCs w:val="22"/>
          <w:u w:val="single"/>
        </w:rPr>
        <w:t xml:space="preserve">Expiration of </w:t>
      </w:r>
      <w:r w:rsidR="00CE5370">
        <w:rPr>
          <w:szCs w:val="22"/>
          <w:u w:val="single"/>
        </w:rPr>
        <w:t>Interim Interference Criteria</w:t>
      </w:r>
    </w:p>
    <w:p w:rsidR="00CE5370" w:rsidP="00764544" w14:paraId="2E3DF17A" w14:textId="1884F727">
      <w:pPr>
        <w:widowControl/>
        <w:tabs>
          <w:tab w:val="num" w:pos="708"/>
        </w:tabs>
        <w:rPr>
          <w:szCs w:val="22"/>
        </w:rPr>
      </w:pPr>
      <w:r>
        <w:rPr>
          <w:szCs w:val="22"/>
        </w:rPr>
        <w:tab/>
      </w:r>
    </w:p>
    <w:p w:rsidR="00764544" w:rsidP="00764544" w14:paraId="765F6A4E" w14:textId="77777777">
      <w:pPr>
        <w:widowControl/>
        <w:tabs>
          <w:tab w:val="num" w:pos="708"/>
        </w:tabs>
      </w:pPr>
      <w:r>
        <w:tab/>
        <w:t xml:space="preserve">In </w:t>
      </w:r>
      <w:r w:rsidR="00DD23F7">
        <w:t xml:space="preserve">the </w:t>
      </w:r>
      <w:r w:rsidRPr="002C1876" w:rsidR="003E475E">
        <w:rPr>
          <w:i/>
          <w:iCs/>
        </w:rPr>
        <w:t>800 MHz Report and Order</w:t>
      </w:r>
      <w:r w:rsidR="003E475E">
        <w:t xml:space="preserve">, the Commission </w:t>
      </w:r>
      <w:r w:rsidR="00A61F7D">
        <w:t xml:space="preserve">required </w:t>
      </w:r>
      <w:r>
        <w:t xml:space="preserve">public safety and other non-cellular </w:t>
      </w:r>
      <w:r>
        <w:t>licensees</w:t>
      </w:r>
      <w:r>
        <w:t xml:space="preserve"> to receive a minimum measured input signal power of -101 dBm for portable units and -104 dBm for vehicular units</w:t>
      </w:r>
      <w:r w:rsidR="00A61F7D">
        <w:t xml:space="preserve"> </w:t>
      </w:r>
      <w:r w:rsidR="004B2DF3">
        <w:t xml:space="preserve">in </w:t>
      </w:r>
      <w:r w:rsidR="00A61F7D">
        <w:t xml:space="preserve">order to be eligible for full </w:t>
      </w:r>
      <w:r w:rsidR="004B2DF3">
        <w:t xml:space="preserve">interference </w:t>
      </w:r>
      <w:r w:rsidR="00A61F7D">
        <w:t xml:space="preserve">protection from </w:t>
      </w:r>
      <w:r w:rsidR="008E52E6">
        <w:t>cellular systems</w:t>
      </w:r>
      <w:r>
        <w:t>.</w:t>
      </w:r>
      <w:r>
        <w:rPr>
          <w:rStyle w:val="FootnoteReference"/>
        </w:rPr>
        <w:footnoteReference w:id="42"/>
      </w:r>
      <w:r>
        <w:t xml:space="preserve">  The Commission codified these minimum threshold signal levels in Sections 22.970(a) and 90.672(a) of the Commission’s rules.</w:t>
      </w:r>
      <w:r>
        <w:rPr>
          <w:rStyle w:val="FootnoteReference"/>
        </w:rPr>
        <w:footnoteReference w:id="43"/>
      </w:r>
      <w:r>
        <w:t xml:space="preserve">  </w:t>
      </w:r>
      <w:r w:rsidR="001638EA">
        <w:t xml:space="preserve">However, while </w:t>
      </w:r>
      <w:r w:rsidR="001638EA">
        <w:t>rebanding</w:t>
      </w:r>
      <w:r w:rsidR="001638EA">
        <w:t xml:space="preserve"> w</w:t>
      </w:r>
      <w:r w:rsidR="0021551B">
        <w:t>a</w:t>
      </w:r>
      <w:r w:rsidR="001638EA">
        <w:t>s underway</w:t>
      </w:r>
      <w:r w:rsidR="00DD45D4">
        <w:t>, t</w:t>
      </w:r>
      <w:r>
        <w:t xml:space="preserve">he Commission waived the </w:t>
      </w:r>
      <w:r w:rsidR="0007236C">
        <w:t xml:space="preserve">codified </w:t>
      </w:r>
      <w:r>
        <w:t>threshold levels and implemented interim levels of -85 dBm for portable units and -88 dBm for vehicular units</w:t>
      </w:r>
      <w:r w:rsidR="00DD45D4">
        <w:t>.</w:t>
      </w:r>
      <w:r>
        <w:t xml:space="preserve">  </w:t>
      </w:r>
      <w:r w:rsidR="0021551B">
        <w:t>These</w:t>
      </w:r>
      <w:r w:rsidR="00B973F4">
        <w:t xml:space="preserve"> interim levels </w:t>
      </w:r>
      <w:r>
        <w:t>remain</w:t>
      </w:r>
      <w:r w:rsidR="00B973F4">
        <w:t>ed</w:t>
      </w:r>
      <w:r>
        <w:t xml:space="preserve"> in effect in each NPSPAC region until band reconfiguration was complete in that region.</w:t>
      </w:r>
      <w:r>
        <w:rPr>
          <w:rStyle w:val="FootnoteReference"/>
        </w:rPr>
        <w:footnoteReference w:id="44"/>
      </w:r>
    </w:p>
    <w:p w:rsidR="00CE5370" w:rsidP="00764544" w14:paraId="6B45BD5A" w14:textId="680DD98A">
      <w:pPr>
        <w:widowControl/>
        <w:tabs>
          <w:tab w:val="num" w:pos="708"/>
        </w:tabs>
      </w:pPr>
      <w:r>
        <w:t xml:space="preserve">  </w:t>
      </w:r>
    </w:p>
    <w:p w:rsidR="00343682" w:rsidP="007138B6" w14:paraId="2B608FC2" w14:textId="77777777">
      <w:pPr>
        <w:widowControl/>
        <w:tabs>
          <w:tab w:val="num" w:pos="708"/>
        </w:tabs>
      </w:pPr>
      <w:r>
        <w:tab/>
        <w:t xml:space="preserve">Now that the </w:t>
      </w:r>
      <w:r>
        <w:t>rebanding</w:t>
      </w:r>
      <w:r>
        <w:t xml:space="preserve"> program is complete, the </w:t>
      </w:r>
      <w:r w:rsidR="0007236C">
        <w:t xml:space="preserve">interim </w:t>
      </w:r>
      <w:r>
        <w:t xml:space="preserve">waiver has expired and the </w:t>
      </w:r>
      <w:r w:rsidR="0007236C">
        <w:t>codi</w:t>
      </w:r>
      <w:r w:rsidR="00C579D7">
        <w:t xml:space="preserve">fied </w:t>
      </w:r>
      <w:r>
        <w:t xml:space="preserve"> threshold</w:t>
      </w:r>
      <w:r>
        <w:t xml:space="preserve"> levels specified in Sections 22.970(a) and 90.672(a) are in effect in all NPSPAC regions including those listed in Attachment A.  Consequently, </w:t>
      </w:r>
      <w:r w:rsidR="004D703B">
        <w:t xml:space="preserve">cellular </w:t>
      </w:r>
      <w:r>
        <w:t xml:space="preserve">licensees bear “strict responsibility” for resolving unacceptable interference to </w:t>
      </w:r>
      <w:r w:rsidR="004526DD">
        <w:t xml:space="preserve">800 MHz </w:t>
      </w:r>
      <w:r>
        <w:t xml:space="preserve">public safety and other non-cellular licensees receiving </w:t>
      </w:r>
      <w:r>
        <w:t>at least a minimum measured input signal power of -101 dBm for portable units and -104 for dBm for vehicular units.</w:t>
      </w:r>
      <w:r>
        <w:rPr>
          <w:rStyle w:val="FootnoteReference"/>
        </w:rPr>
        <w:footnoteReference w:id="45"/>
      </w:r>
    </w:p>
    <w:p w:rsidR="00CE5370" w:rsidP="007138B6" w14:paraId="1830C061" w14:textId="5CC5CD44">
      <w:pPr>
        <w:widowControl/>
        <w:tabs>
          <w:tab w:val="num" w:pos="708"/>
        </w:tabs>
      </w:pPr>
      <w:r>
        <w:t xml:space="preserve">  </w:t>
      </w:r>
    </w:p>
    <w:p w:rsidR="00464F1F" w:rsidP="007138B6" w14:paraId="51148161" w14:textId="380B788E">
      <w:pPr>
        <w:widowControl/>
        <w:tabs>
          <w:tab w:val="num" w:pos="708"/>
        </w:tabs>
        <w:rPr>
          <w:szCs w:val="22"/>
        </w:rPr>
      </w:pPr>
      <w:r>
        <w:rPr>
          <w:szCs w:val="22"/>
        </w:rPr>
        <w:tab/>
        <w:t xml:space="preserve">For further information, contact Brian Marenco, Policy and Licensing Division, Public Safety and Homeland Security Bureau at (202) 418-0838 or </w:t>
      </w:r>
      <w:hyperlink r:id="rId7" w:history="1">
        <w:r w:rsidRPr="00C82B52">
          <w:rPr>
            <w:rStyle w:val="Hyperlink"/>
          </w:rPr>
          <w:t>Brian.Marenco@fcc.gov</w:t>
        </w:r>
      </w:hyperlink>
      <w:r>
        <w:t>; Josh</w:t>
      </w:r>
      <w:r w:rsidR="00051397">
        <w:t>ua</w:t>
      </w:r>
      <w:r>
        <w:t xml:space="preserve"> Smith, </w:t>
      </w:r>
      <w:r w:rsidRPr="00FA5B07">
        <w:t>Mobility Division</w:t>
      </w:r>
      <w:r w:rsidR="00051397">
        <w:t>,</w:t>
      </w:r>
      <w:r w:rsidRPr="00FA5B07">
        <w:t xml:space="preserve"> Wireless Telecommunications Bureau, </w:t>
      </w:r>
      <w:r>
        <w:t xml:space="preserve">at </w:t>
      </w:r>
      <w:r w:rsidRPr="00961AEF" w:rsidR="00961AEF">
        <w:t>(717) 338-2502</w:t>
      </w:r>
      <w:r>
        <w:t xml:space="preserve"> or </w:t>
      </w:r>
      <w:hyperlink r:id="rId8" w:history="1">
        <w:r w:rsidRPr="00C34AC1" w:rsidR="00FA1F66">
          <w:rPr>
            <w:rStyle w:val="Hyperlink"/>
          </w:rPr>
          <w:t>Joshua.Smith@fcc.gov</w:t>
        </w:r>
      </w:hyperlink>
      <w:r>
        <w:rPr>
          <w:szCs w:val="22"/>
        </w:rPr>
        <w:t>.</w:t>
      </w:r>
    </w:p>
    <w:p w:rsidR="00D3163C" w:rsidP="007138B6" w14:paraId="5CEDBED0" w14:textId="372827BE">
      <w:pPr>
        <w:pStyle w:val="BodyText3"/>
        <w:widowControl/>
        <w:jc w:val="left"/>
        <w:rPr>
          <w:sz w:val="22"/>
          <w:szCs w:val="22"/>
        </w:rPr>
      </w:pPr>
    </w:p>
    <w:p w:rsidR="00464F1F" w:rsidP="007138B6" w14:paraId="0FE8927E" w14:textId="54541E76">
      <w:pPr>
        <w:widowControl/>
        <w:tabs>
          <w:tab w:val="num" w:pos="708"/>
        </w:tabs>
        <w:rPr>
          <w:szCs w:val="22"/>
        </w:rPr>
      </w:pPr>
      <w:r>
        <w:rPr>
          <w:szCs w:val="22"/>
        </w:rPr>
        <w:tab/>
      </w:r>
      <w:r>
        <w:rPr>
          <w:szCs w:val="22"/>
        </w:rPr>
        <w:t xml:space="preserve">Action by the Chief, Public Safety and Homeland Security Bureau and </w:t>
      </w:r>
      <w:r w:rsidR="00CF202D">
        <w:rPr>
          <w:szCs w:val="22"/>
        </w:rPr>
        <w:t xml:space="preserve">Acting </w:t>
      </w:r>
      <w:r>
        <w:rPr>
          <w:szCs w:val="22"/>
        </w:rPr>
        <w:t>Chief, Wireless Telecommunications Bureau.</w:t>
      </w:r>
    </w:p>
    <w:p w:rsidR="003915DF" w:rsidP="007138B6" w14:paraId="3A217659" w14:textId="77777777">
      <w:pPr>
        <w:widowControl/>
        <w:tabs>
          <w:tab w:val="num" w:pos="708"/>
        </w:tabs>
        <w:rPr>
          <w:szCs w:val="22"/>
        </w:rPr>
      </w:pPr>
    </w:p>
    <w:p w:rsidR="00464F1F" w:rsidP="007138B6" w14:paraId="46AA598F" w14:textId="77777777">
      <w:pPr>
        <w:tabs>
          <w:tab w:val="left" w:pos="-720"/>
        </w:tabs>
        <w:suppressAutoHyphens/>
        <w:ind w:left="360"/>
        <w:jc w:val="center"/>
        <w:rPr>
          <w:szCs w:val="22"/>
        </w:rPr>
      </w:pPr>
      <w:r>
        <w:rPr>
          <w:szCs w:val="22"/>
        </w:rPr>
        <w:t xml:space="preserve">–  </w:t>
      </w:r>
      <w:r>
        <w:rPr>
          <w:szCs w:val="22"/>
        </w:rPr>
        <w:t>FCC  –</w:t>
      </w:r>
    </w:p>
    <w:p w:rsidR="00C62B5E" w:rsidP="007138B6" w14:paraId="04EF3FF0" w14:textId="77777777">
      <w:pPr>
        <w:tabs>
          <w:tab w:val="left" w:pos="-720"/>
        </w:tabs>
        <w:suppressAutoHyphens/>
        <w:ind w:left="360"/>
        <w:jc w:val="center"/>
        <w:rPr>
          <w:szCs w:val="22"/>
        </w:rPr>
      </w:pPr>
    </w:p>
    <w:p w:rsidR="00C62B5E" w:rsidRPr="00C62B5E" w:rsidP="00C62B5E" w14:paraId="39684D8A" w14:textId="77777777">
      <w:pPr>
        <w:rPr>
          <w:szCs w:val="22"/>
        </w:rPr>
      </w:pPr>
    </w:p>
    <w:p w:rsidR="00C62B5E" w:rsidP="00464F1F" w14:paraId="770243CF" w14:textId="77777777">
      <w:pPr>
        <w:tabs>
          <w:tab w:val="left" w:pos="-720"/>
        </w:tabs>
        <w:suppressAutoHyphens/>
        <w:ind w:left="360"/>
        <w:jc w:val="center"/>
        <w:rPr>
          <w:szCs w:val="22"/>
        </w:rPr>
      </w:pPr>
    </w:p>
    <w:p w:rsidR="00C62B5E" w:rsidP="00C62B5E" w14:paraId="188F15C7" w14:textId="77777777">
      <w:pPr>
        <w:tabs>
          <w:tab w:val="left" w:pos="-720"/>
        </w:tabs>
        <w:suppressAutoHyphens/>
        <w:ind w:left="360"/>
        <w:rPr>
          <w:szCs w:val="22"/>
        </w:rPr>
      </w:pPr>
    </w:p>
    <w:p w:rsidR="00464F1F" w:rsidP="00464F1F" w14:paraId="103A929A" w14:textId="2CF044E0">
      <w:pPr>
        <w:tabs>
          <w:tab w:val="left" w:pos="-720"/>
        </w:tabs>
        <w:suppressAutoHyphens/>
        <w:ind w:left="360"/>
        <w:jc w:val="center"/>
        <w:rPr>
          <w:b/>
          <w:szCs w:val="22"/>
        </w:rPr>
      </w:pPr>
      <w:r w:rsidRPr="00C62B5E">
        <w:rPr>
          <w:szCs w:val="22"/>
        </w:rPr>
        <w:br w:type="page"/>
      </w:r>
      <w:r>
        <w:rPr>
          <w:b/>
          <w:szCs w:val="22"/>
        </w:rPr>
        <w:t>Attachment A</w:t>
      </w:r>
    </w:p>
    <w:p w:rsidR="00464F1F" w:rsidP="00464F1F" w14:paraId="3216D4A5" w14:textId="529A449A">
      <w:pPr>
        <w:tabs>
          <w:tab w:val="left" w:pos="-720"/>
        </w:tabs>
        <w:suppressAutoHyphens/>
        <w:ind w:left="360"/>
        <w:jc w:val="center"/>
        <w:rPr>
          <w:szCs w:val="22"/>
        </w:rPr>
      </w:pPr>
      <w:r>
        <w:rPr>
          <w:b/>
          <w:szCs w:val="22"/>
        </w:rPr>
        <w:t xml:space="preserve">NPSPAC Regions </w:t>
      </w:r>
      <w:r w:rsidR="004E6EBE">
        <w:rPr>
          <w:b/>
          <w:szCs w:val="22"/>
        </w:rPr>
        <w:t xml:space="preserve">Complete with </w:t>
      </w:r>
      <w:r>
        <w:rPr>
          <w:b/>
          <w:szCs w:val="22"/>
        </w:rPr>
        <w:t xml:space="preserve">800 MHz Band Reconfiguration </w:t>
      </w:r>
      <w:r w:rsidR="004E6EBE">
        <w:rPr>
          <w:b/>
          <w:szCs w:val="22"/>
        </w:rPr>
        <w:t xml:space="preserve">as of Adoption </w:t>
      </w:r>
      <w:r>
        <w:rPr>
          <w:b/>
          <w:szCs w:val="22"/>
        </w:rPr>
        <w:t>of th</w:t>
      </w:r>
      <w:r w:rsidR="00EC5036">
        <w:rPr>
          <w:b/>
          <w:szCs w:val="22"/>
        </w:rPr>
        <w:t>e Termination Order</w:t>
      </w:r>
      <w:r w:rsidR="004E6EBE">
        <w:rPr>
          <w:b/>
          <w:szCs w:val="22"/>
        </w:rPr>
        <w:t xml:space="preserve"> or as of Release of this Public Notice</w:t>
      </w:r>
      <w:r>
        <w:rPr>
          <w:rStyle w:val="FootnoteReference"/>
          <w:b/>
          <w:szCs w:val="22"/>
        </w:rPr>
        <w:footnoteReference w:id="46"/>
      </w:r>
    </w:p>
    <w:p w:rsidR="00464F1F" w:rsidP="00464F1F" w14:paraId="30E88859" w14:textId="77777777">
      <w:pPr>
        <w:tabs>
          <w:tab w:val="left" w:pos="-720"/>
        </w:tabs>
        <w:suppressAutoHyphens/>
        <w:ind w:left="360"/>
        <w:jc w:val="center"/>
        <w:rPr>
          <w:szCs w:val="22"/>
        </w:rPr>
      </w:pPr>
    </w:p>
    <w:p w:rsidR="00464F1F" w:rsidP="00464F1F" w14:paraId="63C37FF8" w14:textId="77777777">
      <w:pPr>
        <w:tabs>
          <w:tab w:val="left" w:pos="-720"/>
        </w:tabs>
        <w:suppressAutoHyphens/>
        <w:ind w:left="360"/>
        <w:jc w:val="center"/>
        <w:rPr>
          <w:szCs w:val="22"/>
        </w:rPr>
      </w:pPr>
    </w:p>
    <w:tbl>
      <w:tblPr>
        <w:tblW w:w="6930" w:type="dxa"/>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320"/>
      </w:tblGrid>
      <w:tr w14:paraId="6ADC62F7" w14:textId="77777777" w:rsidTr="00D869B2">
        <w:tblPrEx>
          <w:tblW w:w="6930" w:type="dxa"/>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10"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464F1F" w:rsidP="006E3BBD" w14:paraId="5E112B6D" w14:textId="77777777">
            <w:pPr>
              <w:jc w:val="center"/>
              <w:rPr>
                <w:szCs w:val="22"/>
              </w:rPr>
            </w:pPr>
            <w:r>
              <w:rPr>
                <w:szCs w:val="22"/>
              </w:rPr>
              <w:t>NPSPAC Region</w:t>
            </w:r>
          </w:p>
        </w:tc>
        <w:tc>
          <w:tcPr>
            <w:tcW w:w="4320"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464F1F" w:rsidP="006E3BBD" w14:paraId="53BBE8BC" w14:textId="77777777">
            <w:pPr>
              <w:jc w:val="center"/>
              <w:rPr>
                <w:szCs w:val="22"/>
              </w:rPr>
            </w:pPr>
            <w:r>
              <w:rPr>
                <w:szCs w:val="22"/>
              </w:rPr>
              <w:t>Description of Region</w:t>
            </w:r>
            <w:r>
              <w:rPr>
                <w:rStyle w:val="FootnoteReference"/>
                <w:szCs w:val="22"/>
              </w:rPr>
              <w:footnoteReference w:id="47"/>
            </w:r>
          </w:p>
        </w:tc>
      </w:tr>
      <w:tr w14:paraId="293E32A8" w14:textId="77777777" w:rsidTr="006E3BBD">
        <w:tblPrEx>
          <w:tblW w:w="6930" w:type="dxa"/>
          <w:tblInd w:w="1285" w:type="dxa"/>
          <w:tblLook w:val="01E0"/>
        </w:tblPrEx>
        <w:tc>
          <w:tcPr>
            <w:tcW w:w="2610" w:type="dxa"/>
            <w:tcBorders>
              <w:top w:val="single" w:sz="4" w:space="0" w:color="auto"/>
              <w:bottom w:val="single" w:sz="4" w:space="0" w:color="auto"/>
              <w:right w:val="single" w:sz="4" w:space="0" w:color="auto"/>
            </w:tcBorders>
            <w:shd w:val="clear" w:color="auto" w:fill="auto"/>
          </w:tcPr>
          <w:p w:rsidR="00464F1F" w:rsidRPr="00413F99" w:rsidP="006E3BBD" w14:paraId="23CD8270" w14:textId="77777777">
            <w:pPr>
              <w:jc w:val="center"/>
              <w:rPr>
                <w:szCs w:val="22"/>
              </w:rPr>
            </w:pPr>
            <w:r>
              <w:rPr>
                <w:szCs w:val="22"/>
              </w:rPr>
              <w:t>Region 3</w:t>
            </w:r>
          </w:p>
        </w:tc>
        <w:tc>
          <w:tcPr>
            <w:tcW w:w="4320" w:type="dxa"/>
            <w:tcBorders>
              <w:top w:val="single" w:sz="4" w:space="0" w:color="auto"/>
              <w:left w:val="single" w:sz="4" w:space="0" w:color="auto"/>
              <w:bottom w:val="single" w:sz="4" w:space="0" w:color="auto"/>
            </w:tcBorders>
            <w:shd w:val="clear" w:color="auto" w:fill="auto"/>
          </w:tcPr>
          <w:p w:rsidR="00464F1F" w:rsidRPr="00413F99" w:rsidP="006E3BBD" w14:paraId="1E11BAF6" w14:textId="77777777">
            <w:pPr>
              <w:jc w:val="center"/>
              <w:rPr>
                <w:szCs w:val="22"/>
              </w:rPr>
            </w:pPr>
            <w:r>
              <w:rPr>
                <w:szCs w:val="22"/>
              </w:rPr>
              <w:t>Arizona</w:t>
            </w:r>
          </w:p>
        </w:tc>
      </w:tr>
      <w:tr w14:paraId="3F8AC49A" w14:textId="77777777" w:rsidTr="006E3BBD">
        <w:tblPrEx>
          <w:tblW w:w="6930" w:type="dxa"/>
          <w:tblInd w:w="1285" w:type="dxa"/>
          <w:tblLook w:val="01E0"/>
        </w:tblPrEx>
        <w:tc>
          <w:tcPr>
            <w:tcW w:w="2610" w:type="dxa"/>
            <w:tcBorders>
              <w:top w:val="single" w:sz="4" w:space="0" w:color="auto"/>
              <w:bottom w:val="single" w:sz="4" w:space="0" w:color="auto"/>
              <w:right w:val="single" w:sz="4" w:space="0" w:color="auto"/>
            </w:tcBorders>
            <w:shd w:val="clear" w:color="auto" w:fill="auto"/>
          </w:tcPr>
          <w:p w:rsidR="00464F1F" w:rsidP="006E3BBD" w14:paraId="522A0EDA" w14:textId="77777777">
            <w:pPr>
              <w:jc w:val="center"/>
              <w:rPr>
                <w:szCs w:val="22"/>
              </w:rPr>
            </w:pPr>
            <w:r>
              <w:rPr>
                <w:szCs w:val="22"/>
              </w:rPr>
              <w:t>Region 4</w:t>
            </w:r>
          </w:p>
        </w:tc>
        <w:tc>
          <w:tcPr>
            <w:tcW w:w="4320" w:type="dxa"/>
            <w:tcBorders>
              <w:top w:val="single" w:sz="4" w:space="0" w:color="auto"/>
              <w:left w:val="single" w:sz="4" w:space="0" w:color="auto"/>
              <w:bottom w:val="single" w:sz="4" w:space="0" w:color="auto"/>
            </w:tcBorders>
            <w:shd w:val="clear" w:color="auto" w:fill="auto"/>
          </w:tcPr>
          <w:p w:rsidR="00464F1F" w:rsidP="006E3BBD" w14:paraId="3288A766" w14:textId="77777777">
            <w:pPr>
              <w:jc w:val="center"/>
              <w:rPr>
                <w:szCs w:val="22"/>
              </w:rPr>
            </w:pPr>
            <w:r>
              <w:rPr>
                <w:szCs w:val="22"/>
              </w:rPr>
              <w:t>Arkansas</w:t>
            </w:r>
          </w:p>
        </w:tc>
      </w:tr>
      <w:tr w14:paraId="5B864FEE" w14:textId="77777777" w:rsidTr="006E3BBD">
        <w:tblPrEx>
          <w:tblW w:w="6930" w:type="dxa"/>
          <w:tblInd w:w="1285" w:type="dxa"/>
          <w:tblLook w:val="01E0"/>
        </w:tblPrEx>
        <w:tc>
          <w:tcPr>
            <w:tcW w:w="2610" w:type="dxa"/>
            <w:tcBorders>
              <w:top w:val="single" w:sz="4" w:space="0" w:color="auto"/>
              <w:bottom w:val="single" w:sz="4" w:space="0" w:color="auto"/>
              <w:right w:val="single" w:sz="4" w:space="0" w:color="auto"/>
            </w:tcBorders>
            <w:shd w:val="clear" w:color="auto" w:fill="auto"/>
          </w:tcPr>
          <w:p w:rsidR="00464F1F" w:rsidRPr="00413F99" w:rsidP="006E3BBD" w14:paraId="49A52BE6" w14:textId="77777777">
            <w:pPr>
              <w:jc w:val="center"/>
              <w:rPr>
                <w:szCs w:val="22"/>
              </w:rPr>
            </w:pPr>
            <w:r>
              <w:rPr>
                <w:szCs w:val="22"/>
              </w:rPr>
              <w:t xml:space="preserve">Region 5 </w:t>
            </w:r>
          </w:p>
        </w:tc>
        <w:tc>
          <w:tcPr>
            <w:tcW w:w="4320" w:type="dxa"/>
            <w:tcBorders>
              <w:top w:val="single" w:sz="4" w:space="0" w:color="auto"/>
              <w:left w:val="single" w:sz="4" w:space="0" w:color="auto"/>
              <w:bottom w:val="single" w:sz="4" w:space="0" w:color="auto"/>
            </w:tcBorders>
            <w:shd w:val="clear" w:color="auto" w:fill="auto"/>
          </w:tcPr>
          <w:p w:rsidR="00464F1F" w:rsidRPr="00413F99" w:rsidP="006E3BBD" w14:paraId="6091FC3B" w14:textId="77777777">
            <w:pPr>
              <w:jc w:val="center"/>
              <w:rPr>
                <w:szCs w:val="22"/>
              </w:rPr>
            </w:pPr>
            <w:r>
              <w:rPr>
                <w:szCs w:val="22"/>
              </w:rPr>
              <w:t>California – South</w:t>
            </w:r>
          </w:p>
        </w:tc>
      </w:tr>
      <w:tr w14:paraId="7D972074" w14:textId="77777777" w:rsidTr="006E3BBD">
        <w:tblPrEx>
          <w:tblW w:w="6930" w:type="dxa"/>
          <w:tblInd w:w="1285" w:type="dxa"/>
          <w:tblLook w:val="01E0"/>
        </w:tblPrEx>
        <w:tc>
          <w:tcPr>
            <w:tcW w:w="2610" w:type="dxa"/>
            <w:tcBorders>
              <w:top w:val="single" w:sz="4" w:space="0" w:color="auto"/>
              <w:bottom w:val="single" w:sz="4" w:space="0" w:color="auto"/>
              <w:right w:val="single" w:sz="4" w:space="0" w:color="auto"/>
            </w:tcBorders>
            <w:shd w:val="clear" w:color="auto" w:fill="auto"/>
          </w:tcPr>
          <w:p w:rsidR="00464F1F" w:rsidRPr="00413F99" w:rsidP="006E3BBD" w14:paraId="4AB537E6" w14:textId="77777777">
            <w:pPr>
              <w:jc w:val="center"/>
              <w:rPr>
                <w:szCs w:val="22"/>
              </w:rPr>
            </w:pPr>
            <w:r>
              <w:rPr>
                <w:szCs w:val="22"/>
              </w:rPr>
              <w:t>Region 6</w:t>
            </w:r>
          </w:p>
        </w:tc>
        <w:tc>
          <w:tcPr>
            <w:tcW w:w="4320" w:type="dxa"/>
            <w:tcBorders>
              <w:top w:val="single" w:sz="4" w:space="0" w:color="auto"/>
              <w:left w:val="single" w:sz="4" w:space="0" w:color="auto"/>
              <w:bottom w:val="single" w:sz="4" w:space="0" w:color="auto"/>
            </w:tcBorders>
            <w:shd w:val="clear" w:color="auto" w:fill="auto"/>
          </w:tcPr>
          <w:p w:rsidR="00464F1F" w:rsidRPr="00413F99" w:rsidP="006E3BBD" w14:paraId="252E559D" w14:textId="77777777">
            <w:pPr>
              <w:jc w:val="center"/>
              <w:rPr>
                <w:szCs w:val="22"/>
              </w:rPr>
            </w:pPr>
            <w:r>
              <w:rPr>
                <w:szCs w:val="22"/>
              </w:rPr>
              <w:t>California – North</w:t>
            </w:r>
          </w:p>
        </w:tc>
      </w:tr>
      <w:tr w14:paraId="0244CA8C" w14:textId="77777777" w:rsidTr="006E3BBD">
        <w:tblPrEx>
          <w:tblW w:w="6930" w:type="dxa"/>
          <w:tblInd w:w="1285" w:type="dxa"/>
          <w:tblLook w:val="01E0"/>
        </w:tblPrEx>
        <w:tc>
          <w:tcPr>
            <w:tcW w:w="2610" w:type="dxa"/>
            <w:tcBorders>
              <w:top w:val="single" w:sz="4" w:space="0" w:color="auto"/>
              <w:bottom w:val="single" w:sz="4" w:space="0" w:color="auto"/>
              <w:right w:val="single" w:sz="4" w:space="0" w:color="auto"/>
            </w:tcBorders>
            <w:shd w:val="clear" w:color="auto" w:fill="auto"/>
          </w:tcPr>
          <w:p w:rsidR="00464F1F" w:rsidP="006E3BBD" w14:paraId="29C4F9BA" w14:textId="77777777">
            <w:pPr>
              <w:jc w:val="center"/>
              <w:rPr>
                <w:szCs w:val="22"/>
              </w:rPr>
            </w:pPr>
            <w:r>
              <w:rPr>
                <w:szCs w:val="22"/>
              </w:rPr>
              <w:t>Region 27</w:t>
            </w:r>
          </w:p>
        </w:tc>
        <w:tc>
          <w:tcPr>
            <w:tcW w:w="4320" w:type="dxa"/>
            <w:tcBorders>
              <w:top w:val="single" w:sz="4" w:space="0" w:color="auto"/>
              <w:left w:val="single" w:sz="4" w:space="0" w:color="auto"/>
              <w:bottom w:val="single" w:sz="4" w:space="0" w:color="auto"/>
            </w:tcBorders>
            <w:shd w:val="clear" w:color="auto" w:fill="auto"/>
          </w:tcPr>
          <w:p w:rsidR="00464F1F" w:rsidP="006E3BBD" w14:paraId="04AD2A84" w14:textId="77777777">
            <w:pPr>
              <w:jc w:val="center"/>
              <w:rPr>
                <w:szCs w:val="22"/>
              </w:rPr>
            </w:pPr>
            <w:r>
              <w:rPr>
                <w:szCs w:val="22"/>
              </w:rPr>
              <w:t>Nevada</w:t>
            </w:r>
          </w:p>
        </w:tc>
      </w:tr>
      <w:tr w14:paraId="2057C93D" w14:textId="77777777" w:rsidTr="006E3BBD">
        <w:tblPrEx>
          <w:tblW w:w="6930" w:type="dxa"/>
          <w:tblInd w:w="1285" w:type="dxa"/>
          <w:tblLook w:val="01E0"/>
        </w:tblPrEx>
        <w:tc>
          <w:tcPr>
            <w:tcW w:w="2610" w:type="dxa"/>
            <w:tcBorders>
              <w:top w:val="single" w:sz="4" w:space="0" w:color="auto"/>
              <w:bottom w:val="single" w:sz="4" w:space="0" w:color="auto"/>
              <w:right w:val="single" w:sz="4" w:space="0" w:color="auto"/>
            </w:tcBorders>
            <w:shd w:val="clear" w:color="auto" w:fill="auto"/>
          </w:tcPr>
          <w:p w:rsidR="00464F1F" w:rsidRPr="00413F99" w:rsidP="006E3BBD" w14:paraId="241B0001" w14:textId="77777777">
            <w:pPr>
              <w:jc w:val="center"/>
              <w:rPr>
                <w:szCs w:val="22"/>
              </w:rPr>
            </w:pPr>
            <w:r>
              <w:rPr>
                <w:szCs w:val="22"/>
              </w:rPr>
              <w:t>Region 29</w:t>
            </w:r>
          </w:p>
        </w:tc>
        <w:tc>
          <w:tcPr>
            <w:tcW w:w="4320" w:type="dxa"/>
            <w:tcBorders>
              <w:top w:val="single" w:sz="4" w:space="0" w:color="auto"/>
              <w:left w:val="single" w:sz="4" w:space="0" w:color="auto"/>
              <w:bottom w:val="single" w:sz="4" w:space="0" w:color="auto"/>
            </w:tcBorders>
            <w:shd w:val="clear" w:color="auto" w:fill="auto"/>
          </w:tcPr>
          <w:p w:rsidR="00464F1F" w:rsidRPr="00413F99" w:rsidP="006E3BBD" w14:paraId="3ADBE11C" w14:textId="77777777">
            <w:pPr>
              <w:jc w:val="center"/>
              <w:rPr>
                <w:szCs w:val="22"/>
              </w:rPr>
            </w:pPr>
            <w:r>
              <w:rPr>
                <w:szCs w:val="22"/>
              </w:rPr>
              <w:t>New Mexico</w:t>
            </w:r>
          </w:p>
        </w:tc>
      </w:tr>
      <w:tr w14:paraId="684C7144" w14:textId="77777777" w:rsidTr="006E3BBD">
        <w:tblPrEx>
          <w:tblW w:w="6930" w:type="dxa"/>
          <w:tblInd w:w="1285" w:type="dxa"/>
          <w:tblLook w:val="01E0"/>
        </w:tblPrEx>
        <w:tc>
          <w:tcPr>
            <w:tcW w:w="2610" w:type="dxa"/>
            <w:tcBorders>
              <w:top w:val="single" w:sz="4" w:space="0" w:color="auto"/>
              <w:bottom w:val="single" w:sz="4" w:space="0" w:color="auto"/>
              <w:right w:val="single" w:sz="4" w:space="0" w:color="auto"/>
            </w:tcBorders>
            <w:shd w:val="clear" w:color="auto" w:fill="auto"/>
          </w:tcPr>
          <w:p w:rsidR="00464F1F" w:rsidP="006E3BBD" w14:paraId="62CFE95F" w14:textId="77777777">
            <w:pPr>
              <w:jc w:val="center"/>
              <w:rPr>
                <w:szCs w:val="22"/>
              </w:rPr>
            </w:pPr>
            <w:r>
              <w:rPr>
                <w:szCs w:val="22"/>
              </w:rPr>
              <w:t>Region 34</w:t>
            </w:r>
          </w:p>
        </w:tc>
        <w:tc>
          <w:tcPr>
            <w:tcW w:w="4320" w:type="dxa"/>
            <w:tcBorders>
              <w:top w:val="single" w:sz="4" w:space="0" w:color="auto"/>
              <w:left w:val="single" w:sz="4" w:space="0" w:color="auto"/>
              <w:bottom w:val="single" w:sz="4" w:space="0" w:color="auto"/>
            </w:tcBorders>
            <w:shd w:val="clear" w:color="auto" w:fill="auto"/>
          </w:tcPr>
          <w:p w:rsidR="00464F1F" w:rsidP="006E3BBD" w14:paraId="5D38D4E6" w14:textId="77777777">
            <w:pPr>
              <w:jc w:val="center"/>
              <w:rPr>
                <w:szCs w:val="22"/>
              </w:rPr>
            </w:pPr>
            <w:r>
              <w:rPr>
                <w:szCs w:val="22"/>
              </w:rPr>
              <w:t>Oklahoma</w:t>
            </w:r>
          </w:p>
        </w:tc>
      </w:tr>
      <w:tr w14:paraId="6B855A00" w14:textId="77777777" w:rsidTr="006E3BBD">
        <w:tblPrEx>
          <w:tblW w:w="6930" w:type="dxa"/>
          <w:tblInd w:w="1285" w:type="dxa"/>
          <w:tblLook w:val="01E0"/>
        </w:tblPrEx>
        <w:tc>
          <w:tcPr>
            <w:tcW w:w="2610" w:type="dxa"/>
            <w:tcBorders>
              <w:top w:val="single" w:sz="4" w:space="0" w:color="auto"/>
              <w:bottom w:val="single" w:sz="4" w:space="0" w:color="auto"/>
              <w:right w:val="single" w:sz="4" w:space="0" w:color="auto"/>
            </w:tcBorders>
            <w:shd w:val="clear" w:color="auto" w:fill="auto"/>
          </w:tcPr>
          <w:p w:rsidR="00464F1F" w:rsidP="006E3BBD" w14:paraId="57A22541" w14:textId="77777777">
            <w:pPr>
              <w:jc w:val="center"/>
              <w:rPr>
                <w:szCs w:val="22"/>
              </w:rPr>
            </w:pPr>
            <w:r>
              <w:rPr>
                <w:szCs w:val="22"/>
              </w:rPr>
              <w:t>Region 40</w:t>
            </w:r>
          </w:p>
        </w:tc>
        <w:tc>
          <w:tcPr>
            <w:tcW w:w="4320" w:type="dxa"/>
            <w:tcBorders>
              <w:top w:val="single" w:sz="4" w:space="0" w:color="auto"/>
              <w:left w:val="single" w:sz="4" w:space="0" w:color="auto"/>
              <w:bottom w:val="single" w:sz="4" w:space="0" w:color="auto"/>
            </w:tcBorders>
            <w:shd w:val="clear" w:color="auto" w:fill="auto"/>
          </w:tcPr>
          <w:p w:rsidR="00464F1F" w:rsidP="006E3BBD" w14:paraId="027C0981" w14:textId="77777777">
            <w:pPr>
              <w:jc w:val="center"/>
              <w:rPr>
                <w:szCs w:val="22"/>
              </w:rPr>
            </w:pPr>
            <w:r w:rsidRPr="00651690">
              <w:rPr>
                <w:szCs w:val="22"/>
              </w:rPr>
              <w:t>Texas – Dallas</w:t>
            </w:r>
          </w:p>
        </w:tc>
      </w:tr>
      <w:tr w14:paraId="17BC20F1" w14:textId="77777777" w:rsidTr="006E3BBD">
        <w:tblPrEx>
          <w:tblW w:w="6930" w:type="dxa"/>
          <w:tblInd w:w="1285" w:type="dxa"/>
          <w:tblLook w:val="01E0"/>
        </w:tblPrEx>
        <w:tc>
          <w:tcPr>
            <w:tcW w:w="2610" w:type="dxa"/>
            <w:tcBorders>
              <w:top w:val="single" w:sz="4" w:space="0" w:color="auto"/>
              <w:bottom w:val="single" w:sz="4" w:space="0" w:color="auto"/>
              <w:right w:val="single" w:sz="4" w:space="0" w:color="auto"/>
            </w:tcBorders>
            <w:shd w:val="clear" w:color="auto" w:fill="auto"/>
          </w:tcPr>
          <w:p w:rsidR="00464F1F" w:rsidP="006E3BBD" w14:paraId="75DA9E6C" w14:textId="77777777">
            <w:pPr>
              <w:jc w:val="center"/>
              <w:rPr>
                <w:szCs w:val="22"/>
              </w:rPr>
            </w:pPr>
            <w:r>
              <w:rPr>
                <w:szCs w:val="22"/>
              </w:rPr>
              <w:t>Region 49</w:t>
            </w:r>
          </w:p>
        </w:tc>
        <w:tc>
          <w:tcPr>
            <w:tcW w:w="4320" w:type="dxa"/>
            <w:tcBorders>
              <w:top w:val="single" w:sz="4" w:space="0" w:color="auto"/>
              <w:left w:val="single" w:sz="4" w:space="0" w:color="auto"/>
              <w:bottom w:val="single" w:sz="4" w:space="0" w:color="auto"/>
            </w:tcBorders>
            <w:shd w:val="clear" w:color="auto" w:fill="auto"/>
          </w:tcPr>
          <w:p w:rsidR="00464F1F" w:rsidRPr="00651690" w:rsidP="006E3BBD" w14:paraId="5EFC7FB5" w14:textId="77777777">
            <w:pPr>
              <w:jc w:val="center"/>
              <w:rPr>
                <w:szCs w:val="22"/>
              </w:rPr>
            </w:pPr>
            <w:r w:rsidRPr="00651690">
              <w:rPr>
                <w:szCs w:val="22"/>
              </w:rPr>
              <w:t>Texas – Austin</w:t>
            </w:r>
          </w:p>
        </w:tc>
      </w:tr>
      <w:tr w14:paraId="047DFEE4" w14:textId="77777777" w:rsidTr="006E3BBD">
        <w:tblPrEx>
          <w:tblW w:w="6930" w:type="dxa"/>
          <w:tblInd w:w="1285" w:type="dxa"/>
          <w:tblLook w:val="01E0"/>
        </w:tblPrEx>
        <w:tc>
          <w:tcPr>
            <w:tcW w:w="2610" w:type="dxa"/>
            <w:tcBorders>
              <w:top w:val="single" w:sz="4" w:space="0" w:color="auto"/>
              <w:bottom w:val="single" w:sz="4" w:space="0" w:color="auto"/>
              <w:right w:val="single" w:sz="4" w:space="0" w:color="auto"/>
            </w:tcBorders>
            <w:shd w:val="clear" w:color="auto" w:fill="auto"/>
          </w:tcPr>
          <w:p w:rsidR="00EC5036" w:rsidP="006E3BBD" w14:paraId="2BD53C9F" w14:textId="74E3BC40">
            <w:pPr>
              <w:jc w:val="center"/>
              <w:rPr>
                <w:szCs w:val="22"/>
              </w:rPr>
            </w:pPr>
            <w:r>
              <w:rPr>
                <w:szCs w:val="22"/>
              </w:rPr>
              <w:t>Region 50</w:t>
            </w:r>
          </w:p>
        </w:tc>
        <w:tc>
          <w:tcPr>
            <w:tcW w:w="4320" w:type="dxa"/>
            <w:tcBorders>
              <w:top w:val="single" w:sz="4" w:space="0" w:color="auto"/>
              <w:left w:val="single" w:sz="4" w:space="0" w:color="auto"/>
              <w:bottom w:val="single" w:sz="4" w:space="0" w:color="auto"/>
            </w:tcBorders>
            <w:shd w:val="clear" w:color="auto" w:fill="auto"/>
          </w:tcPr>
          <w:p w:rsidR="00EC5036" w:rsidRPr="00651690" w:rsidP="006E3BBD" w14:paraId="2E837721" w14:textId="6C984D69">
            <w:pPr>
              <w:jc w:val="center"/>
              <w:rPr>
                <w:szCs w:val="22"/>
              </w:rPr>
            </w:pPr>
            <w:r>
              <w:rPr>
                <w:szCs w:val="22"/>
              </w:rPr>
              <w:t>Texas – El Paso</w:t>
            </w:r>
          </w:p>
        </w:tc>
      </w:tr>
      <w:tr w14:paraId="33C2B655" w14:textId="77777777" w:rsidTr="006E3BBD">
        <w:tblPrEx>
          <w:tblW w:w="6930" w:type="dxa"/>
          <w:tblInd w:w="1285" w:type="dxa"/>
          <w:tblLook w:val="01E0"/>
        </w:tblPrEx>
        <w:tc>
          <w:tcPr>
            <w:tcW w:w="2610" w:type="dxa"/>
            <w:tcBorders>
              <w:top w:val="single" w:sz="4" w:space="0" w:color="auto"/>
              <w:bottom w:val="single" w:sz="4" w:space="0" w:color="auto"/>
              <w:right w:val="single" w:sz="4" w:space="0" w:color="auto"/>
            </w:tcBorders>
            <w:shd w:val="clear" w:color="auto" w:fill="auto"/>
          </w:tcPr>
          <w:p w:rsidR="00464F1F" w:rsidP="006E3BBD" w14:paraId="27487D64" w14:textId="77777777">
            <w:pPr>
              <w:jc w:val="center"/>
              <w:rPr>
                <w:szCs w:val="22"/>
              </w:rPr>
            </w:pPr>
            <w:r w:rsidRPr="00651690">
              <w:rPr>
                <w:szCs w:val="22"/>
              </w:rPr>
              <w:t>Region 52</w:t>
            </w:r>
          </w:p>
        </w:tc>
        <w:tc>
          <w:tcPr>
            <w:tcW w:w="4320" w:type="dxa"/>
            <w:tcBorders>
              <w:top w:val="single" w:sz="4" w:space="0" w:color="auto"/>
              <w:left w:val="single" w:sz="4" w:space="0" w:color="auto"/>
              <w:bottom w:val="single" w:sz="4" w:space="0" w:color="auto"/>
            </w:tcBorders>
            <w:shd w:val="clear" w:color="auto" w:fill="auto"/>
          </w:tcPr>
          <w:p w:rsidR="00464F1F" w:rsidRPr="00651690" w:rsidP="006E3BBD" w14:paraId="22FF35E1" w14:textId="77777777">
            <w:pPr>
              <w:jc w:val="center"/>
              <w:rPr>
                <w:szCs w:val="22"/>
              </w:rPr>
            </w:pPr>
            <w:r w:rsidRPr="00651690">
              <w:rPr>
                <w:szCs w:val="22"/>
              </w:rPr>
              <w:t>Texas – Lubbock</w:t>
            </w:r>
          </w:p>
        </w:tc>
      </w:tr>
      <w:tr w14:paraId="3218DC0D" w14:textId="77777777" w:rsidTr="006E3BBD">
        <w:tblPrEx>
          <w:tblW w:w="6930" w:type="dxa"/>
          <w:tblInd w:w="1285" w:type="dxa"/>
          <w:tblLook w:val="01E0"/>
        </w:tblPrEx>
        <w:tc>
          <w:tcPr>
            <w:tcW w:w="2610" w:type="dxa"/>
            <w:tcBorders>
              <w:top w:val="single" w:sz="4" w:space="0" w:color="auto"/>
              <w:bottom w:val="single" w:sz="4" w:space="0" w:color="auto"/>
              <w:right w:val="single" w:sz="4" w:space="0" w:color="auto"/>
            </w:tcBorders>
            <w:shd w:val="clear" w:color="auto" w:fill="auto"/>
          </w:tcPr>
          <w:p w:rsidR="00464F1F" w:rsidRPr="00651690" w:rsidP="006E3BBD" w14:paraId="4FD99A31" w14:textId="77777777">
            <w:pPr>
              <w:jc w:val="center"/>
              <w:rPr>
                <w:szCs w:val="22"/>
              </w:rPr>
            </w:pPr>
            <w:r w:rsidRPr="00651690">
              <w:rPr>
                <w:szCs w:val="22"/>
              </w:rPr>
              <w:t>Region 53</w:t>
            </w:r>
          </w:p>
        </w:tc>
        <w:tc>
          <w:tcPr>
            <w:tcW w:w="4320" w:type="dxa"/>
            <w:tcBorders>
              <w:top w:val="single" w:sz="4" w:space="0" w:color="auto"/>
              <w:left w:val="single" w:sz="4" w:space="0" w:color="auto"/>
              <w:bottom w:val="single" w:sz="4" w:space="0" w:color="auto"/>
            </w:tcBorders>
            <w:shd w:val="clear" w:color="auto" w:fill="auto"/>
          </w:tcPr>
          <w:p w:rsidR="00464F1F" w:rsidRPr="00651690" w:rsidP="006E3BBD" w14:paraId="69FD364B" w14:textId="77777777">
            <w:pPr>
              <w:jc w:val="center"/>
              <w:rPr>
                <w:szCs w:val="22"/>
              </w:rPr>
            </w:pPr>
            <w:r w:rsidRPr="00651690">
              <w:rPr>
                <w:szCs w:val="22"/>
              </w:rPr>
              <w:t>Texas – San Antonio</w:t>
            </w:r>
          </w:p>
        </w:tc>
      </w:tr>
      <w:tr w14:paraId="1A46DE8C" w14:textId="77777777" w:rsidTr="006E3BBD">
        <w:tblPrEx>
          <w:tblW w:w="6930" w:type="dxa"/>
          <w:tblInd w:w="1285" w:type="dxa"/>
          <w:tblLook w:val="01E0"/>
        </w:tblPrEx>
        <w:tc>
          <w:tcPr>
            <w:tcW w:w="2610" w:type="dxa"/>
            <w:tcBorders>
              <w:top w:val="single" w:sz="4" w:space="0" w:color="auto"/>
              <w:bottom w:val="single" w:sz="4" w:space="0" w:color="auto"/>
              <w:right w:val="single" w:sz="4" w:space="0" w:color="auto"/>
            </w:tcBorders>
            <w:shd w:val="clear" w:color="auto" w:fill="auto"/>
          </w:tcPr>
          <w:p w:rsidR="00464F1F" w:rsidRPr="00413F99" w:rsidP="006E3BBD" w14:paraId="7EBE9B69" w14:textId="77777777">
            <w:pPr>
              <w:jc w:val="center"/>
              <w:rPr>
                <w:szCs w:val="22"/>
              </w:rPr>
            </w:pPr>
            <w:r>
              <w:rPr>
                <w:szCs w:val="22"/>
              </w:rPr>
              <w:t>Region 62</w:t>
            </w:r>
          </w:p>
        </w:tc>
        <w:tc>
          <w:tcPr>
            <w:tcW w:w="4320" w:type="dxa"/>
            <w:tcBorders>
              <w:top w:val="single" w:sz="4" w:space="0" w:color="auto"/>
              <w:left w:val="single" w:sz="4" w:space="0" w:color="auto"/>
              <w:bottom w:val="single" w:sz="4" w:space="0" w:color="auto"/>
            </w:tcBorders>
            <w:shd w:val="clear" w:color="auto" w:fill="auto"/>
          </w:tcPr>
          <w:p w:rsidR="00464F1F" w:rsidRPr="00413F99" w:rsidP="006E3BBD" w14:paraId="715D104A" w14:textId="77777777">
            <w:pPr>
              <w:jc w:val="center"/>
              <w:rPr>
                <w:szCs w:val="22"/>
              </w:rPr>
            </w:pPr>
            <w:r>
              <w:rPr>
                <w:szCs w:val="22"/>
              </w:rPr>
              <w:t>Northern Mariana Islands*</w:t>
            </w:r>
          </w:p>
        </w:tc>
      </w:tr>
      <w:tr w14:paraId="3385A1CE" w14:textId="77777777" w:rsidTr="00D869B2">
        <w:tblPrEx>
          <w:tblW w:w="6930" w:type="dxa"/>
          <w:tblInd w:w="1285" w:type="dxa"/>
          <w:tblLook w:val="01E0"/>
        </w:tblPrEx>
        <w:tc>
          <w:tcPr>
            <w:tcW w:w="2610" w:type="dxa"/>
            <w:tcBorders>
              <w:top w:val="single" w:sz="4" w:space="0" w:color="auto"/>
              <w:right w:val="single" w:sz="4" w:space="0" w:color="auto"/>
            </w:tcBorders>
            <w:shd w:val="clear" w:color="auto" w:fill="auto"/>
          </w:tcPr>
          <w:p w:rsidR="00464F1F" w:rsidRPr="00413F99" w:rsidP="006E3BBD" w14:paraId="2BD4577C" w14:textId="77777777">
            <w:pPr>
              <w:jc w:val="center"/>
              <w:rPr>
                <w:szCs w:val="22"/>
              </w:rPr>
            </w:pPr>
            <w:r>
              <w:rPr>
                <w:szCs w:val="22"/>
              </w:rPr>
              <w:t>Region 63</w:t>
            </w:r>
          </w:p>
        </w:tc>
        <w:tc>
          <w:tcPr>
            <w:tcW w:w="4320" w:type="dxa"/>
            <w:tcBorders>
              <w:top w:val="single" w:sz="4" w:space="0" w:color="auto"/>
              <w:left w:val="single" w:sz="4" w:space="0" w:color="auto"/>
            </w:tcBorders>
            <w:shd w:val="clear" w:color="auto" w:fill="auto"/>
          </w:tcPr>
          <w:p w:rsidR="00464F1F" w:rsidRPr="00413F99" w:rsidP="006E3BBD" w14:paraId="0C2CF37C" w14:textId="77777777">
            <w:pPr>
              <w:jc w:val="center"/>
              <w:rPr>
                <w:szCs w:val="22"/>
              </w:rPr>
            </w:pPr>
            <w:r>
              <w:rPr>
                <w:szCs w:val="22"/>
              </w:rPr>
              <w:t>Guam*</w:t>
            </w:r>
          </w:p>
        </w:tc>
      </w:tr>
    </w:tbl>
    <w:p w:rsidR="00464F1F" w:rsidP="00464F1F" w14:paraId="289D39CC" w14:textId="77777777">
      <w:pPr>
        <w:tabs>
          <w:tab w:val="left" w:pos="-720"/>
        </w:tabs>
        <w:suppressAutoHyphens/>
        <w:ind w:left="360"/>
        <w:jc w:val="center"/>
        <w:rPr>
          <w:szCs w:val="22"/>
        </w:rPr>
      </w:pPr>
    </w:p>
    <w:p w:rsidR="00464F1F" w:rsidP="00464F1F" w14:paraId="32BF1868" w14:textId="77777777">
      <w:pPr>
        <w:tabs>
          <w:tab w:val="left" w:pos="-720"/>
        </w:tabs>
        <w:suppressAutoHyphens/>
        <w:ind w:left="360"/>
        <w:rPr>
          <w:szCs w:val="22"/>
        </w:rPr>
      </w:pPr>
    </w:p>
    <w:p w:rsidR="00464F1F" w:rsidP="00464F1F" w14:paraId="68182AB1" w14:textId="77777777">
      <w:pPr>
        <w:tabs>
          <w:tab w:val="left" w:pos="-720"/>
        </w:tabs>
        <w:suppressAutoHyphens/>
        <w:ind w:left="360"/>
        <w:jc w:val="center"/>
        <w:rPr>
          <w:szCs w:val="22"/>
        </w:rPr>
      </w:pPr>
      <w:r>
        <w:rPr>
          <w:szCs w:val="22"/>
        </w:rPr>
        <w:t xml:space="preserve">* This is not an official NPSPAC Region, but it is subject to band reconfiguration and has been assigned a region number for purposes of searching the Vacated Channel Search Engine. </w:t>
      </w:r>
    </w:p>
    <w:p w:rsidR="00464F1F" w:rsidP="00464F1F" w14:paraId="022AAB23" w14:textId="77777777">
      <w:pPr>
        <w:tabs>
          <w:tab w:val="left" w:pos="-720"/>
        </w:tabs>
        <w:suppressAutoHyphens/>
        <w:ind w:left="360"/>
        <w:rPr>
          <w:szCs w:val="22"/>
        </w:rPr>
      </w:pPr>
    </w:p>
    <w:p w:rsidR="00464F1F" w:rsidP="00464F1F" w14:paraId="39F4013B" w14:textId="77777777">
      <w:pPr>
        <w:rPr>
          <w:szCs w:val="22"/>
        </w:rPr>
      </w:pPr>
      <w:r>
        <w:rPr>
          <w:szCs w:val="22"/>
        </w:rPr>
        <w:br w:type="page"/>
      </w:r>
    </w:p>
    <w:p w:rsidR="00464F1F" w:rsidP="00464F1F" w14:paraId="60E01205" w14:textId="77777777">
      <w:pPr>
        <w:tabs>
          <w:tab w:val="left" w:pos="-720"/>
        </w:tabs>
        <w:suppressAutoHyphens/>
        <w:ind w:left="360"/>
        <w:jc w:val="center"/>
        <w:rPr>
          <w:b/>
          <w:szCs w:val="22"/>
        </w:rPr>
      </w:pPr>
      <w:r>
        <w:rPr>
          <w:b/>
          <w:szCs w:val="22"/>
        </w:rPr>
        <w:t>Attachment B</w:t>
      </w:r>
    </w:p>
    <w:p w:rsidR="00464F1F" w:rsidP="00464F1F" w14:paraId="0F2035A4" w14:textId="77777777">
      <w:pPr>
        <w:tabs>
          <w:tab w:val="left" w:pos="-720"/>
        </w:tabs>
        <w:suppressAutoHyphens/>
        <w:ind w:left="360"/>
        <w:jc w:val="center"/>
        <w:rPr>
          <w:szCs w:val="22"/>
        </w:rPr>
      </w:pPr>
      <w:r>
        <w:rPr>
          <w:b/>
          <w:szCs w:val="22"/>
        </w:rPr>
        <w:t>NPSPAC Regions Previously Announced as Complete with 800 MHz Band Reconfiguration</w:t>
      </w:r>
    </w:p>
    <w:p w:rsidR="00464F1F" w:rsidP="00464F1F" w14:paraId="61B696AA" w14:textId="77777777">
      <w:pPr>
        <w:tabs>
          <w:tab w:val="left" w:pos="-720"/>
        </w:tabs>
        <w:suppressAutoHyphens/>
        <w:ind w:left="360"/>
        <w:jc w:val="center"/>
        <w:rPr>
          <w:szCs w:val="22"/>
        </w:rPr>
      </w:pPr>
    </w:p>
    <w:p w:rsidR="00464F1F" w:rsidP="00464F1F" w14:paraId="34BED98A" w14:textId="77777777">
      <w:pPr>
        <w:tabs>
          <w:tab w:val="left" w:pos="-720"/>
        </w:tabs>
        <w:suppressAutoHyphens/>
        <w:ind w:left="360"/>
        <w:jc w:val="center"/>
        <w:rPr>
          <w:szCs w:val="22"/>
        </w:rPr>
      </w:pPr>
      <w:r>
        <w:rPr>
          <w:b/>
          <w:szCs w:val="22"/>
        </w:rPr>
        <w:t xml:space="preserve"> </w:t>
      </w:r>
    </w:p>
    <w:tbl>
      <w:tblPr>
        <w:tblW w:w="7765"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3129"/>
        <w:gridCol w:w="2655"/>
      </w:tblGrid>
      <w:tr w14:paraId="0CAB28BA" w14:textId="77777777" w:rsidTr="00D869B2">
        <w:tblPrEx>
          <w:tblW w:w="7765"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81"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464F1F" w:rsidP="006E3BBD" w14:paraId="18AC5E8C" w14:textId="77777777">
            <w:pPr>
              <w:jc w:val="center"/>
              <w:rPr>
                <w:szCs w:val="22"/>
              </w:rPr>
            </w:pPr>
            <w:r>
              <w:rPr>
                <w:szCs w:val="22"/>
              </w:rPr>
              <w:t>NPSPAC Region</w:t>
            </w:r>
          </w:p>
        </w:tc>
        <w:tc>
          <w:tcPr>
            <w:tcW w:w="3129"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464F1F" w:rsidP="006E3BBD" w14:paraId="27B3EB6A" w14:textId="77777777">
            <w:pPr>
              <w:jc w:val="center"/>
              <w:rPr>
                <w:szCs w:val="22"/>
              </w:rPr>
            </w:pPr>
            <w:r>
              <w:rPr>
                <w:szCs w:val="22"/>
              </w:rPr>
              <w:t>Description of Region</w:t>
            </w:r>
          </w:p>
        </w:tc>
        <w:tc>
          <w:tcPr>
            <w:tcW w:w="2655" w:type="dxa"/>
            <w:tcBorders>
              <w:top w:val="double" w:sz="4" w:space="0" w:color="auto"/>
              <w:left w:val="double" w:sz="4" w:space="0" w:color="auto"/>
              <w:bottom w:val="double" w:sz="4" w:space="0" w:color="auto"/>
              <w:right w:val="double" w:sz="4" w:space="0" w:color="auto"/>
            </w:tcBorders>
          </w:tcPr>
          <w:p w:rsidR="00464F1F" w:rsidP="006E3BBD" w14:paraId="3C5B1115" w14:textId="77777777">
            <w:pPr>
              <w:jc w:val="center"/>
              <w:rPr>
                <w:szCs w:val="22"/>
              </w:rPr>
            </w:pPr>
            <w:r>
              <w:rPr>
                <w:szCs w:val="22"/>
              </w:rPr>
              <w:t>Date Announced as Complete</w:t>
            </w:r>
            <w:r>
              <w:rPr>
                <w:rStyle w:val="FootnoteReference"/>
                <w:szCs w:val="22"/>
              </w:rPr>
              <w:footnoteReference w:id="48"/>
            </w:r>
          </w:p>
        </w:tc>
      </w:tr>
      <w:tr w14:paraId="168DD438"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1D460FBC" w14:textId="77777777">
            <w:pPr>
              <w:jc w:val="center"/>
              <w:rPr>
                <w:szCs w:val="22"/>
              </w:rPr>
            </w:pPr>
            <w:r w:rsidRPr="00611333">
              <w:rPr>
                <w:szCs w:val="22"/>
              </w:rPr>
              <w:t xml:space="preserve">1 </w:t>
            </w:r>
          </w:p>
        </w:tc>
        <w:tc>
          <w:tcPr>
            <w:tcW w:w="3129" w:type="dxa"/>
            <w:tcBorders>
              <w:top w:val="single" w:sz="4" w:space="0" w:color="auto"/>
              <w:left w:val="single" w:sz="4" w:space="0" w:color="auto"/>
              <w:bottom w:val="single" w:sz="4" w:space="0" w:color="auto"/>
            </w:tcBorders>
            <w:shd w:val="clear" w:color="auto" w:fill="auto"/>
          </w:tcPr>
          <w:p w:rsidR="00464F1F" w:rsidP="006E3BBD" w14:paraId="23D66090" w14:textId="77777777">
            <w:pPr>
              <w:jc w:val="center"/>
              <w:rPr>
                <w:szCs w:val="22"/>
              </w:rPr>
            </w:pPr>
            <w:r w:rsidRPr="00611333">
              <w:rPr>
                <w:szCs w:val="22"/>
              </w:rPr>
              <w:t>Alabama</w:t>
            </w:r>
            <w:r w:rsidRPr="00413F99">
              <w:rPr>
                <w:szCs w:val="22"/>
              </w:rPr>
              <w:t xml:space="preserve"> </w:t>
            </w:r>
          </w:p>
        </w:tc>
        <w:tc>
          <w:tcPr>
            <w:tcW w:w="2655" w:type="dxa"/>
            <w:tcBorders>
              <w:top w:val="single" w:sz="4" w:space="0" w:color="auto"/>
              <w:left w:val="single" w:sz="4" w:space="0" w:color="auto"/>
              <w:bottom w:val="single" w:sz="4" w:space="0" w:color="auto"/>
            </w:tcBorders>
          </w:tcPr>
          <w:p w:rsidR="00464F1F" w:rsidRPr="0056506F" w:rsidP="006E3BBD" w14:paraId="72432FCE" w14:textId="77777777">
            <w:pPr>
              <w:jc w:val="center"/>
              <w:rPr>
                <w:szCs w:val="22"/>
              </w:rPr>
            </w:pPr>
            <w:r w:rsidRPr="00CB3ED7">
              <w:rPr>
                <w:szCs w:val="22"/>
              </w:rPr>
              <w:t>December 9, 2016</w:t>
            </w:r>
          </w:p>
        </w:tc>
      </w:tr>
      <w:tr w14:paraId="12166A35"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413F99" w:rsidP="006E3BBD" w14:paraId="5A132EDA" w14:textId="77777777">
            <w:pPr>
              <w:jc w:val="center"/>
              <w:rPr>
                <w:szCs w:val="22"/>
              </w:rPr>
            </w:pPr>
            <w:r>
              <w:rPr>
                <w:szCs w:val="22"/>
              </w:rPr>
              <w:t>2</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2CF9381D" w14:textId="77777777">
            <w:pPr>
              <w:jc w:val="center"/>
              <w:rPr>
                <w:szCs w:val="22"/>
              </w:rPr>
            </w:pPr>
            <w:r>
              <w:rPr>
                <w:szCs w:val="22"/>
              </w:rPr>
              <w:t>Alaska</w:t>
            </w:r>
          </w:p>
        </w:tc>
        <w:tc>
          <w:tcPr>
            <w:tcW w:w="2655" w:type="dxa"/>
            <w:tcBorders>
              <w:top w:val="single" w:sz="4" w:space="0" w:color="auto"/>
              <w:left w:val="single" w:sz="4" w:space="0" w:color="auto"/>
              <w:bottom w:val="single" w:sz="4" w:space="0" w:color="auto"/>
            </w:tcBorders>
          </w:tcPr>
          <w:p w:rsidR="00464F1F" w:rsidRPr="00611333" w:rsidP="006E3BBD" w14:paraId="6FEA7EFC" w14:textId="77777777">
            <w:pPr>
              <w:jc w:val="center"/>
              <w:rPr>
                <w:szCs w:val="22"/>
              </w:rPr>
            </w:pPr>
            <w:r w:rsidRPr="0056506F">
              <w:rPr>
                <w:szCs w:val="22"/>
              </w:rPr>
              <w:t>November 27, 2012</w:t>
            </w:r>
          </w:p>
        </w:tc>
      </w:tr>
      <w:tr w14:paraId="2E3D81F9"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413F99" w:rsidP="006E3BBD" w14:paraId="00F53306" w14:textId="77777777">
            <w:pPr>
              <w:jc w:val="center"/>
              <w:rPr>
                <w:szCs w:val="22"/>
              </w:rPr>
            </w:pPr>
            <w:r>
              <w:rPr>
                <w:szCs w:val="22"/>
              </w:rPr>
              <w:t>7</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59B31065" w14:textId="77777777">
            <w:pPr>
              <w:jc w:val="center"/>
              <w:rPr>
                <w:szCs w:val="22"/>
              </w:rPr>
            </w:pPr>
            <w:r>
              <w:rPr>
                <w:szCs w:val="22"/>
              </w:rPr>
              <w:t>Colorado</w:t>
            </w:r>
          </w:p>
        </w:tc>
        <w:tc>
          <w:tcPr>
            <w:tcW w:w="2655" w:type="dxa"/>
            <w:tcBorders>
              <w:top w:val="single" w:sz="4" w:space="0" w:color="auto"/>
              <w:left w:val="single" w:sz="4" w:space="0" w:color="auto"/>
              <w:bottom w:val="single" w:sz="4" w:space="0" w:color="auto"/>
            </w:tcBorders>
          </w:tcPr>
          <w:p w:rsidR="00464F1F" w:rsidRPr="00611333" w:rsidP="006E3BBD" w14:paraId="4588DAC5" w14:textId="77777777">
            <w:pPr>
              <w:jc w:val="center"/>
              <w:rPr>
                <w:szCs w:val="22"/>
              </w:rPr>
            </w:pPr>
            <w:r w:rsidRPr="0056506F">
              <w:rPr>
                <w:szCs w:val="22"/>
              </w:rPr>
              <w:t>November 27, 2012</w:t>
            </w:r>
          </w:p>
        </w:tc>
      </w:tr>
      <w:tr w14:paraId="71AB8E97"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08AFEF19" w14:textId="77777777">
            <w:pPr>
              <w:jc w:val="center"/>
              <w:rPr>
                <w:szCs w:val="22"/>
              </w:rPr>
            </w:pPr>
            <w:r w:rsidRPr="00611333">
              <w:rPr>
                <w:szCs w:val="22"/>
              </w:rPr>
              <w:t xml:space="preserve">8 </w:t>
            </w:r>
          </w:p>
        </w:tc>
        <w:tc>
          <w:tcPr>
            <w:tcW w:w="3129" w:type="dxa"/>
            <w:tcBorders>
              <w:top w:val="single" w:sz="4" w:space="0" w:color="auto"/>
              <w:left w:val="single" w:sz="4" w:space="0" w:color="auto"/>
              <w:bottom w:val="single" w:sz="4" w:space="0" w:color="auto"/>
            </w:tcBorders>
            <w:shd w:val="clear" w:color="auto" w:fill="auto"/>
          </w:tcPr>
          <w:p w:rsidR="00464F1F" w:rsidP="006E3BBD" w14:paraId="60744A0D" w14:textId="77777777">
            <w:pPr>
              <w:jc w:val="center"/>
              <w:rPr>
                <w:szCs w:val="22"/>
              </w:rPr>
            </w:pPr>
            <w:r w:rsidRPr="00611333">
              <w:rPr>
                <w:szCs w:val="22"/>
              </w:rPr>
              <w:t xml:space="preserve">Metropolitan NYC Area </w:t>
            </w:r>
          </w:p>
        </w:tc>
        <w:tc>
          <w:tcPr>
            <w:tcW w:w="2655" w:type="dxa"/>
            <w:tcBorders>
              <w:top w:val="single" w:sz="4" w:space="0" w:color="auto"/>
              <w:left w:val="single" w:sz="4" w:space="0" w:color="auto"/>
              <w:bottom w:val="single" w:sz="4" w:space="0" w:color="auto"/>
            </w:tcBorders>
          </w:tcPr>
          <w:p w:rsidR="00464F1F" w:rsidRPr="0056506F" w:rsidP="006E3BBD" w14:paraId="6849C8DC" w14:textId="77777777">
            <w:pPr>
              <w:jc w:val="center"/>
              <w:rPr>
                <w:szCs w:val="22"/>
              </w:rPr>
            </w:pPr>
            <w:r w:rsidRPr="00CB3ED7">
              <w:rPr>
                <w:szCs w:val="22"/>
              </w:rPr>
              <w:t>December 9, 2016</w:t>
            </w:r>
          </w:p>
        </w:tc>
      </w:tr>
      <w:tr w14:paraId="7FDA0C79"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611333" w:rsidP="006E3BBD" w14:paraId="5D8A1B8F" w14:textId="77777777">
            <w:pPr>
              <w:jc w:val="center"/>
              <w:rPr>
                <w:szCs w:val="22"/>
              </w:rPr>
            </w:pPr>
            <w:r>
              <w:rPr>
                <w:szCs w:val="22"/>
              </w:rPr>
              <w:t>9</w:t>
            </w:r>
          </w:p>
        </w:tc>
        <w:tc>
          <w:tcPr>
            <w:tcW w:w="3129" w:type="dxa"/>
            <w:tcBorders>
              <w:top w:val="single" w:sz="4" w:space="0" w:color="auto"/>
              <w:left w:val="single" w:sz="4" w:space="0" w:color="auto"/>
              <w:bottom w:val="single" w:sz="4" w:space="0" w:color="auto"/>
            </w:tcBorders>
            <w:shd w:val="clear" w:color="auto" w:fill="auto"/>
          </w:tcPr>
          <w:p w:rsidR="00464F1F" w:rsidRPr="00611333" w:rsidP="006E3BBD" w14:paraId="16501B96" w14:textId="77777777">
            <w:pPr>
              <w:jc w:val="center"/>
              <w:rPr>
                <w:szCs w:val="22"/>
              </w:rPr>
            </w:pPr>
            <w:r>
              <w:rPr>
                <w:szCs w:val="22"/>
              </w:rPr>
              <w:t>Florida</w:t>
            </w:r>
          </w:p>
        </w:tc>
        <w:tc>
          <w:tcPr>
            <w:tcW w:w="2655" w:type="dxa"/>
            <w:tcBorders>
              <w:top w:val="single" w:sz="4" w:space="0" w:color="auto"/>
              <w:left w:val="single" w:sz="4" w:space="0" w:color="auto"/>
              <w:bottom w:val="single" w:sz="4" w:space="0" w:color="auto"/>
            </w:tcBorders>
          </w:tcPr>
          <w:p w:rsidR="00464F1F" w:rsidRPr="00CB3ED7" w:rsidP="006E3BBD" w14:paraId="1A3F0CC8" w14:textId="77777777">
            <w:pPr>
              <w:jc w:val="center"/>
              <w:rPr>
                <w:szCs w:val="22"/>
              </w:rPr>
            </w:pPr>
            <w:r>
              <w:rPr>
                <w:szCs w:val="22"/>
              </w:rPr>
              <w:t>October 22, 2018</w:t>
            </w:r>
          </w:p>
        </w:tc>
      </w:tr>
      <w:tr w14:paraId="004E4BBB"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6B1D8A85" w14:textId="77777777">
            <w:pPr>
              <w:jc w:val="center"/>
              <w:rPr>
                <w:szCs w:val="22"/>
              </w:rPr>
            </w:pPr>
            <w:r w:rsidRPr="00611333">
              <w:rPr>
                <w:szCs w:val="22"/>
              </w:rPr>
              <w:t xml:space="preserve">10 </w:t>
            </w:r>
          </w:p>
        </w:tc>
        <w:tc>
          <w:tcPr>
            <w:tcW w:w="3129" w:type="dxa"/>
            <w:tcBorders>
              <w:top w:val="single" w:sz="4" w:space="0" w:color="auto"/>
              <w:left w:val="single" w:sz="4" w:space="0" w:color="auto"/>
              <w:bottom w:val="single" w:sz="4" w:space="0" w:color="auto"/>
            </w:tcBorders>
            <w:shd w:val="clear" w:color="auto" w:fill="auto"/>
          </w:tcPr>
          <w:p w:rsidR="00464F1F" w:rsidP="006E3BBD" w14:paraId="6758073A" w14:textId="77777777">
            <w:pPr>
              <w:jc w:val="center"/>
              <w:rPr>
                <w:szCs w:val="22"/>
              </w:rPr>
            </w:pPr>
            <w:r w:rsidRPr="00611333">
              <w:rPr>
                <w:szCs w:val="22"/>
              </w:rPr>
              <w:t xml:space="preserve">Georgia </w:t>
            </w:r>
          </w:p>
        </w:tc>
        <w:tc>
          <w:tcPr>
            <w:tcW w:w="2655" w:type="dxa"/>
            <w:tcBorders>
              <w:top w:val="single" w:sz="4" w:space="0" w:color="auto"/>
              <w:left w:val="single" w:sz="4" w:space="0" w:color="auto"/>
              <w:bottom w:val="single" w:sz="4" w:space="0" w:color="auto"/>
            </w:tcBorders>
          </w:tcPr>
          <w:p w:rsidR="00464F1F" w:rsidRPr="0056506F" w:rsidP="006E3BBD" w14:paraId="371A201A" w14:textId="77777777">
            <w:pPr>
              <w:jc w:val="center"/>
              <w:rPr>
                <w:szCs w:val="22"/>
              </w:rPr>
            </w:pPr>
            <w:r w:rsidRPr="00CB3ED7">
              <w:rPr>
                <w:szCs w:val="22"/>
              </w:rPr>
              <w:t>December 9, 2016</w:t>
            </w:r>
          </w:p>
        </w:tc>
      </w:tr>
      <w:tr w14:paraId="0E72CC29"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413F99" w:rsidP="006E3BBD" w14:paraId="56BC06F2" w14:textId="77777777">
            <w:pPr>
              <w:jc w:val="center"/>
              <w:rPr>
                <w:szCs w:val="22"/>
              </w:rPr>
            </w:pPr>
            <w:r>
              <w:rPr>
                <w:szCs w:val="22"/>
              </w:rPr>
              <w:t>11</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06634CBC" w14:textId="77777777">
            <w:pPr>
              <w:jc w:val="center"/>
              <w:rPr>
                <w:szCs w:val="22"/>
              </w:rPr>
            </w:pPr>
            <w:r>
              <w:rPr>
                <w:szCs w:val="22"/>
              </w:rPr>
              <w:t>Hawaii</w:t>
            </w:r>
          </w:p>
        </w:tc>
        <w:tc>
          <w:tcPr>
            <w:tcW w:w="2655" w:type="dxa"/>
            <w:tcBorders>
              <w:top w:val="single" w:sz="4" w:space="0" w:color="auto"/>
              <w:left w:val="single" w:sz="4" w:space="0" w:color="auto"/>
              <w:bottom w:val="single" w:sz="4" w:space="0" w:color="auto"/>
            </w:tcBorders>
          </w:tcPr>
          <w:p w:rsidR="00464F1F" w:rsidRPr="00611333" w:rsidP="006E3BBD" w14:paraId="2A83697E" w14:textId="77777777">
            <w:pPr>
              <w:jc w:val="center"/>
              <w:rPr>
                <w:szCs w:val="22"/>
              </w:rPr>
            </w:pPr>
            <w:r w:rsidRPr="0056506F">
              <w:rPr>
                <w:szCs w:val="22"/>
              </w:rPr>
              <w:t>November 27, 2012</w:t>
            </w:r>
          </w:p>
        </w:tc>
      </w:tr>
      <w:tr w14:paraId="2D172E24"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413F99" w:rsidP="006E3BBD" w14:paraId="650EFC03" w14:textId="77777777">
            <w:pPr>
              <w:jc w:val="center"/>
              <w:rPr>
                <w:szCs w:val="22"/>
              </w:rPr>
            </w:pPr>
            <w:r>
              <w:rPr>
                <w:szCs w:val="22"/>
              </w:rPr>
              <w:t>12</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0AE6E4FF" w14:textId="77777777">
            <w:pPr>
              <w:jc w:val="center"/>
              <w:rPr>
                <w:szCs w:val="22"/>
              </w:rPr>
            </w:pPr>
            <w:r w:rsidRPr="00407931">
              <w:rPr>
                <w:szCs w:val="22"/>
              </w:rPr>
              <w:t>Idaho</w:t>
            </w:r>
          </w:p>
        </w:tc>
        <w:tc>
          <w:tcPr>
            <w:tcW w:w="2655" w:type="dxa"/>
            <w:tcBorders>
              <w:top w:val="single" w:sz="4" w:space="0" w:color="auto"/>
              <w:left w:val="single" w:sz="4" w:space="0" w:color="auto"/>
              <w:bottom w:val="single" w:sz="4" w:space="0" w:color="auto"/>
            </w:tcBorders>
          </w:tcPr>
          <w:p w:rsidR="00464F1F" w:rsidRPr="00611333" w:rsidP="006E3BBD" w14:paraId="56EBBF4F" w14:textId="77777777">
            <w:pPr>
              <w:jc w:val="center"/>
              <w:rPr>
                <w:szCs w:val="22"/>
              </w:rPr>
            </w:pPr>
            <w:r w:rsidRPr="0056506F">
              <w:rPr>
                <w:szCs w:val="22"/>
              </w:rPr>
              <w:t>December 30, 2014</w:t>
            </w:r>
          </w:p>
        </w:tc>
      </w:tr>
      <w:tr w14:paraId="1052706F"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6D51D8E4" w14:textId="77777777">
            <w:pPr>
              <w:jc w:val="center"/>
              <w:rPr>
                <w:szCs w:val="22"/>
              </w:rPr>
            </w:pPr>
            <w:r w:rsidRPr="00611333">
              <w:rPr>
                <w:szCs w:val="22"/>
              </w:rPr>
              <w:t xml:space="preserve">13 </w:t>
            </w:r>
          </w:p>
        </w:tc>
        <w:tc>
          <w:tcPr>
            <w:tcW w:w="3129" w:type="dxa"/>
            <w:tcBorders>
              <w:top w:val="single" w:sz="4" w:space="0" w:color="auto"/>
              <w:left w:val="single" w:sz="4" w:space="0" w:color="auto"/>
              <w:bottom w:val="single" w:sz="4" w:space="0" w:color="auto"/>
            </w:tcBorders>
            <w:shd w:val="clear" w:color="auto" w:fill="auto"/>
          </w:tcPr>
          <w:p w:rsidR="00464F1F" w:rsidP="006E3BBD" w14:paraId="77FA9D68" w14:textId="77777777">
            <w:pPr>
              <w:jc w:val="center"/>
              <w:rPr>
                <w:szCs w:val="22"/>
              </w:rPr>
            </w:pPr>
            <w:r w:rsidRPr="00611333">
              <w:rPr>
                <w:szCs w:val="22"/>
              </w:rPr>
              <w:t xml:space="preserve">Illinois </w:t>
            </w:r>
          </w:p>
        </w:tc>
        <w:tc>
          <w:tcPr>
            <w:tcW w:w="2655" w:type="dxa"/>
            <w:tcBorders>
              <w:top w:val="single" w:sz="4" w:space="0" w:color="auto"/>
              <w:left w:val="single" w:sz="4" w:space="0" w:color="auto"/>
              <w:bottom w:val="single" w:sz="4" w:space="0" w:color="auto"/>
            </w:tcBorders>
          </w:tcPr>
          <w:p w:rsidR="00464F1F" w:rsidRPr="0056506F" w:rsidP="006E3BBD" w14:paraId="6475A547" w14:textId="77777777">
            <w:pPr>
              <w:jc w:val="center"/>
              <w:rPr>
                <w:szCs w:val="22"/>
              </w:rPr>
            </w:pPr>
            <w:r w:rsidRPr="00CB3ED7">
              <w:rPr>
                <w:szCs w:val="22"/>
              </w:rPr>
              <w:t>December 9, 2016</w:t>
            </w:r>
          </w:p>
        </w:tc>
      </w:tr>
      <w:tr w14:paraId="1277FFD1"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45B00B6B" w14:textId="77777777">
            <w:pPr>
              <w:jc w:val="center"/>
              <w:rPr>
                <w:szCs w:val="22"/>
              </w:rPr>
            </w:pPr>
            <w:r w:rsidRPr="00611333">
              <w:rPr>
                <w:szCs w:val="22"/>
              </w:rPr>
              <w:t xml:space="preserve">14 </w:t>
            </w:r>
          </w:p>
        </w:tc>
        <w:tc>
          <w:tcPr>
            <w:tcW w:w="3129" w:type="dxa"/>
            <w:tcBorders>
              <w:top w:val="single" w:sz="4" w:space="0" w:color="auto"/>
              <w:left w:val="single" w:sz="4" w:space="0" w:color="auto"/>
              <w:bottom w:val="single" w:sz="4" w:space="0" w:color="auto"/>
            </w:tcBorders>
            <w:shd w:val="clear" w:color="auto" w:fill="auto"/>
          </w:tcPr>
          <w:p w:rsidR="00464F1F" w:rsidP="006E3BBD" w14:paraId="0DB2F173" w14:textId="77777777">
            <w:pPr>
              <w:jc w:val="center"/>
              <w:rPr>
                <w:szCs w:val="22"/>
              </w:rPr>
            </w:pPr>
            <w:r w:rsidRPr="00413F99">
              <w:rPr>
                <w:szCs w:val="22"/>
              </w:rPr>
              <w:t>Indiana</w:t>
            </w:r>
          </w:p>
        </w:tc>
        <w:tc>
          <w:tcPr>
            <w:tcW w:w="2655" w:type="dxa"/>
            <w:tcBorders>
              <w:top w:val="single" w:sz="4" w:space="0" w:color="auto"/>
              <w:left w:val="single" w:sz="4" w:space="0" w:color="auto"/>
              <w:bottom w:val="single" w:sz="4" w:space="0" w:color="auto"/>
            </w:tcBorders>
          </w:tcPr>
          <w:p w:rsidR="00464F1F" w:rsidRPr="0056506F" w:rsidP="006E3BBD" w14:paraId="24E579A2" w14:textId="77777777">
            <w:pPr>
              <w:jc w:val="center"/>
              <w:rPr>
                <w:szCs w:val="22"/>
              </w:rPr>
            </w:pPr>
            <w:r w:rsidRPr="00CB3ED7">
              <w:rPr>
                <w:szCs w:val="22"/>
              </w:rPr>
              <w:t>December 9, 2016</w:t>
            </w:r>
          </w:p>
        </w:tc>
      </w:tr>
      <w:tr w14:paraId="1C429375"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413F99" w:rsidP="006E3BBD" w14:paraId="209D9EBD" w14:textId="77777777">
            <w:pPr>
              <w:jc w:val="center"/>
              <w:rPr>
                <w:szCs w:val="22"/>
              </w:rPr>
            </w:pPr>
            <w:r>
              <w:rPr>
                <w:szCs w:val="22"/>
              </w:rPr>
              <w:t>15</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59DF79C6" w14:textId="77777777">
            <w:pPr>
              <w:jc w:val="center"/>
              <w:rPr>
                <w:szCs w:val="22"/>
              </w:rPr>
            </w:pPr>
            <w:r>
              <w:rPr>
                <w:szCs w:val="22"/>
              </w:rPr>
              <w:t>Iowa</w:t>
            </w:r>
          </w:p>
        </w:tc>
        <w:tc>
          <w:tcPr>
            <w:tcW w:w="2655" w:type="dxa"/>
            <w:tcBorders>
              <w:top w:val="single" w:sz="4" w:space="0" w:color="auto"/>
              <w:left w:val="single" w:sz="4" w:space="0" w:color="auto"/>
              <w:bottom w:val="single" w:sz="4" w:space="0" w:color="auto"/>
            </w:tcBorders>
          </w:tcPr>
          <w:p w:rsidR="00464F1F" w:rsidRPr="00413F99" w:rsidP="006E3BBD" w14:paraId="6D4F74D9" w14:textId="77777777">
            <w:pPr>
              <w:jc w:val="center"/>
              <w:rPr>
                <w:szCs w:val="22"/>
              </w:rPr>
            </w:pPr>
            <w:r w:rsidRPr="0056506F">
              <w:rPr>
                <w:szCs w:val="22"/>
              </w:rPr>
              <w:t>November 27, 2012</w:t>
            </w:r>
          </w:p>
        </w:tc>
      </w:tr>
      <w:tr w14:paraId="10BCF40E" w14:textId="77777777" w:rsidTr="00D869B2">
        <w:tblPrEx>
          <w:tblW w:w="7765" w:type="dxa"/>
          <w:tblInd w:w="1105" w:type="dxa"/>
          <w:tblLook w:val="01E0"/>
        </w:tblPrEx>
        <w:tc>
          <w:tcPr>
            <w:tcW w:w="1981" w:type="dxa"/>
            <w:tcBorders>
              <w:top w:val="single" w:sz="4" w:space="0" w:color="auto"/>
              <w:right w:val="single" w:sz="4" w:space="0" w:color="auto"/>
            </w:tcBorders>
            <w:shd w:val="clear" w:color="auto" w:fill="auto"/>
          </w:tcPr>
          <w:p w:rsidR="00464F1F" w:rsidRPr="00413F99" w:rsidP="006E3BBD" w14:paraId="411FB543" w14:textId="77777777">
            <w:pPr>
              <w:jc w:val="center"/>
              <w:rPr>
                <w:szCs w:val="22"/>
              </w:rPr>
            </w:pPr>
            <w:r>
              <w:rPr>
                <w:szCs w:val="22"/>
              </w:rPr>
              <w:t>16</w:t>
            </w:r>
          </w:p>
        </w:tc>
        <w:tc>
          <w:tcPr>
            <w:tcW w:w="3129" w:type="dxa"/>
            <w:tcBorders>
              <w:top w:val="single" w:sz="4" w:space="0" w:color="auto"/>
              <w:left w:val="single" w:sz="4" w:space="0" w:color="auto"/>
            </w:tcBorders>
            <w:shd w:val="clear" w:color="auto" w:fill="auto"/>
          </w:tcPr>
          <w:p w:rsidR="00464F1F" w:rsidRPr="00413F99" w:rsidP="006E3BBD" w14:paraId="7879A94C" w14:textId="77777777">
            <w:pPr>
              <w:jc w:val="center"/>
              <w:rPr>
                <w:szCs w:val="22"/>
              </w:rPr>
            </w:pPr>
            <w:r w:rsidRPr="00407931">
              <w:rPr>
                <w:szCs w:val="22"/>
              </w:rPr>
              <w:t>Kansas</w:t>
            </w:r>
          </w:p>
        </w:tc>
        <w:tc>
          <w:tcPr>
            <w:tcW w:w="2655" w:type="dxa"/>
            <w:tcBorders>
              <w:top w:val="single" w:sz="4" w:space="0" w:color="auto"/>
              <w:left w:val="single" w:sz="4" w:space="0" w:color="auto"/>
            </w:tcBorders>
          </w:tcPr>
          <w:p w:rsidR="00464F1F" w:rsidRPr="00413F99" w:rsidP="006E3BBD" w14:paraId="6E60C044" w14:textId="77777777">
            <w:pPr>
              <w:jc w:val="center"/>
              <w:rPr>
                <w:szCs w:val="22"/>
              </w:rPr>
            </w:pPr>
            <w:r w:rsidRPr="0056506F">
              <w:rPr>
                <w:szCs w:val="22"/>
              </w:rPr>
              <w:t>December 30, 2014</w:t>
            </w:r>
          </w:p>
        </w:tc>
      </w:tr>
      <w:tr w14:paraId="3A31F9CE"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413F99" w:rsidP="006E3BBD" w14:paraId="3BEB8099" w14:textId="77777777">
            <w:pPr>
              <w:jc w:val="center"/>
              <w:rPr>
                <w:szCs w:val="22"/>
              </w:rPr>
            </w:pPr>
            <w:r>
              <w:rPr>
                <w:szCs w:val="22"/>
              </w:rPr>
              <w:t>17</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54B13A4F" w14:textId="77777777">
            <w:pPr>
              <w:jc w:val="center"/>
              <w:rPr>
                <w:szCs w:val="22"/>
              </w:rPr>
            </w:pPr>
            <w:r w:rsidRPr="00407931">
              <w:rPr>
                <w:szCs w:val="22"/>
              </w:rPr>
              <w:t>Kentucky</w:t>
            </w:r>
          </w:p>
        </w:tc>
        <w:tc>
          <w:tcPr>
            <w:tcW w:w="2655" w:type="dxa"/>
            <w:tcBorders>
              <w:top w:val="single" w:sz="4" w:space="0" w:color="auto"/>
              <w:left w:val="single" w:sz="4" w:space="0" w:color="auto"/>
              <w:bottom w:val="single" w:sz="4" w:space="0" w:color="auto"/>
            </w:tcBorders>
          </w:tcPr>
          <w:p w:rsidR="00464F1F" w:rsidRPr="00413F99" w:rsidP="006E3BBD" w14:paraId="2E16C28A" w14:textId="77777777">
            <w:pPr>
              <w:jc w:val="center"/>
              <w:rPr>
                <w:szCs w:val="22"/>
              </w:rPr>
            </w:pPr>
            <w:r w:rsidRPr="0056506F">
              <w:rPr>
                <w:szCs w:val="22"/>
              </w:rPr>
              <w:t>December 30, 2014</w:t>
            </w:r>
          </w:p>
        </w:tc>
      </w:tr>
      <w:tr w14:paraId="031766C4"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2A492D3A" w14:textId="77777777">
            <w:pPr>
              <w:jc w:val="center"/>
              <w:rPr>
                <w:szCs w:val="22"/>
              </w:rPr>
            </w:pPr>
            <w:r w:rsidRPr="00611333">
              <w:rPr>
                <w:szCs w:val="22"/>
              </w:rPr>
              <w:t xml:space="preserve">18 </w:t>
            </w:r>
          </w:p>
        </w:tc>
        <w:tc>
          <w:tcPr>
            <w:tcW w:w="3129" w:type="dxa"/>
            <w:tcBorders>
              <w:top w:val="single" w:sz="4" w:space="0" w:color="auto"/>
              <w:left w:val="single" w:sz="4" w:space="0" w:color="auto"/>
              <w:bottom w:val="single" w:sz="4" w:space="0" w:color="auto"/>
            </w:tcBorders>
            <w:shd w:val="clear" w:color="auto" w:fill="auto"/>
          </w:tcPr>
          <w:p w:rsidR="00464F1F" w:rsidP="006E3BBD" w14:paraId="5458D84B" w14:textId="77777777">
            <w:pPr>
              <w:jc w:val="center"/>
              <w:rPr>
                <w:szCs w:val="22"/>
              </w:rPr>
            </w:pPr>
            <w:r w:rsidRPr="00413F99">
              <w:rPr>
                <w:szCs w:val="22"/>
              </w:rPr>
              <w:t>Louisiana</w:t>
            </w:r>
            <w:r w:rsidRPr="00413F99">
              <w:rPr>
                <w:szCs w:val="22"/>
              </w:rPr>
              <w:t xml:space="preserve"> </w:t>
            </w:r>
          </w:p>
        </w:tc>
        <w:tc>
          <w:tcPr>
            <w:tcW w:w="2655" w:type="dxa"/>
            <w:tcBorders>
              <w:top w:val="single" w:sz="4" w:space="0" w:color="auto"/>
              <w:left w:val="single" w:sz="4" w:space="0" w:color="auto"/>
              <w:bottom w:val="single" w:sz="4" w:space="0" w:color="auto"/>
            </w:tcBorders>
          </w:tcPr>
          <w:p w:rsidR="00464F1F" w:rsidRPr="0056506F" w:rsidP="006E3BBD" w14:paraId="6F6EA75C" w14:textId="77777777">
            <w:pPr>
              <w:jc w:val="center"/>
              <w:rPr>
                <w:szCs w:val="22"/>
              </w:rPr>
            </w:pPr>
            <w:r w:rsidRPr="00CB3ED7">
              <w:rPr>
                <w:szCs w:val="22"/>
              </w:rPr>
              <w:t>December 9, 2016</w:t>
            </w:r>
          </w:p>
        </w:tc>
      </w:tr>
      <w:tr w14:paraId="3A365AC3"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33CE27E0" w14:textId="77777777">
            <w:pPr>
              <w:jc w:val="center"/>
              <w:rPr>
                <w:szCs w:val="22"/>
              </w:rPr>
            </w:pPr>
            <w:r w:rsidRPr="00611333">
              <w:rPr>
                <w:szCs w:val="22"/>
              </w:rPr>
              <w:t xml:space="preserve">19 </w:t>
            </w:r>
          </w:p>
        </w:tc>
        <w:tc>
          <w:tcPr>
            <w:tcW w:w="3129" w:type="dxa"/>
            <w:tcBorders>
              <w:top w:val="single" w:sz="4" w:space="0" w:color="auto"/>
              <w:left w:val="single" w:sz="4" w:space="0" w:color="auto"/>
              <w:bottom w:val="single" w:sz="4" w:space="0" w:color="auto"/>
            </w:tcBorders>
            <w:shd w:val="clear" w:color="auto" w:fill="auto"/>
          </w:tcPr>
          <w:p w:rsidR="00464F1F" w:rsidP="006E3BBD" w14:paraId="06DC7879" w14:textId="77777777">
            <w:pPr>
              <w:jc w:val="center"/>
              <w:rPr>
                <w:szCs w:val="22"/>
              </w:rPr>
            </w:pPr>
            <w:r w:rsidRPr="00413F99">
              <w:rPr>
                <w:szCs w:val="22"/>
              </w:rPr>
              <w:t xml:space="preserve">New England </w:t>
            </w:r>
          </w:p>
        </w:tc>
        <w:tc>
          <w:tcPr>
            <w:tcW w:w="2655" w:type="dxa"/>
            <w:tcBorders>
              <w:top w:val="single" w:sz="4" w:space="0" w:color="auto"/>
              <w:left w:val="single" w:sz="4" w:space="0" w:color="auto"/>
              <w:bottom w:val="single" w:sz="4" w:space="0" w:color="auto"/>
            </w:tcBorders>
          </w:tcPr>
          <w:p w:rsidR="00464F1F" w:rsidRPr="0056506F" w:rsidP="006E3BBD" w14:paraId="530677FF" w14:textId="77777777">
            <w:pPr>
              <w:jc w:val="center"/>
              <w:rPr>
                <w:szCs w:val="22"/>
              </w:rPr>
            </w:pPr>
            <w:r w:rsidRPr="00CB3ED7">
              <w:rPr>
                <w:szCs w:val="22"/>
              </w:rPr>
              <w:t>December 9, 2016</w:t>
            </w:r>
          </w:p>
        </w:tc>
      </w:tr>
      <w:tr w14:paraId="6371A293"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5244BE9C" w14:textId="77777777">
            <w:pPr>
              <w:jc w:val="center"/>
              <w:rPr>
                <w:szCs w:val="22"/>
              </w:rPr>
            </w:pPr>
            <w:r w:rsidRPr="00611333">
              <w:rPr>
                <w:szCs w:val="22"/>
              </w:rPr>
              <w:t xml:space="preserve">20 </w:t>
            </w:r>
          </w:p>
        </w:tc>
        <w:tc>
          <w:tcPr>
            <w:tcW w:w="3129" w:type="dxa"/>
            <w:tcBorders>
              <w:top w:val="single" w:sz="4" w:space="0" w:color="auto"/>
              <w:left w:val="single" w:sz="4" w:space="0" w:color="auto"/>
              <w:bottom w:val="single" w:sz="4" w:space="0" w:color="auto"/>
            </w:tcBorders>
            <w:shd w:val="clear" w:color="auto" w:fill="auto"/>
          </w:tcPr>
          <w:p w:rsidR="00464F1F" w:rsidP="006E3BBD" w14:paraId="3251435C" w14:textId="77777777">
            <w:pPr>
              <w:jc w:val="center"/>
              <w:rPr>
                <w:szCs w:val="22"/>
              </w:rPr>
            </w:pPr>
            <w:r w:rsidRPr="00413F99">
              <w:rPr>
                <w:szCs w:val="22"/>
              </w:rPr>
              <w:t xml:space="preserve">Maryland – DC – Northern Virginia </w:t>
            </w:r>
          </w:p>
        </w:tc>
        <w:tc>
          <w:tcPr>
            <w:tcW w:w="2655" w:type="dxa"/>
            <w:tcBorders>
              <w:top w:val="single" w:sz="4" w:space="0" w:color="auto"/>
              <w:left w:val="single" w:sz="4" w:space="0" w:color="auto"/>
              <w:bottom w:val="single" w:sz="4" w:space="0" w:color="auto"/>
            </w:tcBorders>
            <w:vAlign w:val="center"/>
          </w:tcPr>
          <w:p w:rsidR="00464F1F" w:rsidRPr="0056506F" w:rsidP="006E3BBD" w14:paraId="7291EE58" w14:textId="77777777">
            <w:pPr>
              <w:jc w:val="center"/>
              <w:rPr>
                <w:szCs w:val="22"/>
              </w:rPr>
            </w:pPr>
            <w:r w:rsidRPr="00CB3ED7">
              <w:rPr>
                <w:szCs w:val="22"/>
              </w:rPr>
              <w:t>December 9, 2016</w:t>
            </w:r>
          </w:p>
        </w:tc>
      </w:tr>
      <w:tr w14:paraId="4A9C9B2F"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1976BDF1" w14:textId="77777777">
            <w:pPr>
              <w:jc w:val="center"/>
              <w:rPr>
                <w:szCs w:val="22"/>
              </w:rPr>
            </w:pPr>
            <w:r w:rsidRPr="00611333">
              <w:rPr>
                <w:szCs w:val="22"/>
              </w:rPr>
              <w:t xml:space="preserve">21 </w:t>
            </w:r>
          </w:p>
        </w:tc>
        <w:tc>
          <w:tcPr>
            <w:tcW w:w="3129" w:type="dxa"/>
            <w:tcBorders>
              <w:top w:val="single" w:sz="4" w:space="0" w:color="auto"/>
              <w:left w:val="single" w:sz="4" w:space="0" w:color="auto"/>
              <w:bottom w:val="single" w:sz="4" w:space="0" w:color="auto"/>
            </w:tcBorders>
            <w:shd w:val="clear" w:color="auto" w:fill="auto"/>
          </w:tcPr>
          <w:p w:rsidR="00464F1F" w:rsidP="006E3BBD" w14:paraId="7B618689" w14:textId="77777777">
            <w:pPr>
              <w:jc w:val="center"/>
              <w:rPr>
                <w:szCs w:val="22"/>
              </w:rPr>
            </w:pPr>
            <w:r w:rsidRPr="00413F99">
              <w:rPr>
                <w:szCs w:val="22"/>
              </w:rPr>
              <w:t>Michigan</w:t>
            </w:r>
            <w:r w:rsidRPr="00413F99">
              <w:rPr>
                <w:szCs w:val="22"/>
              </w:rPr>
              <w:t xml:space="preserve"> </w:t>
            </w:r>
          </w:p>
        </w:tc>
        <w:tc>
          <w:tcPr>
            <w:tcW w:w="2655" w:type="dxa"/>
            <w:tcBorders>
              <w:top w:val="single" w:sz="4" w:space="0" w:color="auto"/>
              <w:left w:val="single" w:sz="4" w:space="0" w:color="auto"/>
              <w:bottom w:val="single" w:sz="4" w:space="0" w:color="auto"/>
            </w:tcBorders>
          </w:tcPr>
          <w:p w:rsidR="00464F1F" w:rsidRPr="0056506F" w:rsidP="006E3BBD" w14:paraId="67733A9E" w14:textId="77777777">
            <w:pPr>
              <w:jc w:val="center"/>
              <w:rPr>
                <w:szCs w:val="22"/>
              </w:rPr>
            </w:pPr>
            <w:r w:rsidRPr="00CB3ED7">
              <w:rPr>
                <w:szCs w:val="22"/>
              </w:rPr>
              <w:t>December 9, 2016</w:t>
            </w:r>
          </w:p>
        </w:tc>
      </w:tr>
      <w:tr w14:paraId="364DB3F7"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413F99" w:rsidP="006E3BBD" w14:paraId="74FA4777" w14:textId="77777777">
            <w:pPr>
              <w:jc w:val="center"/>
              <w:rPr>
                <w:szCs w:val="22"/>
              </w:rPr>
            </w:pPr>
            <w:r>
              <w:rPr>
                <w:szCs w:val="22"/>
              </w:rPr>
              <w:t>22</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4094A7ED" w14:textId="77777777">
            <w:pPr>
              <w:jc w:val="center"/>
              <w:rPr>
                <w:szCs w:val="22"/>
              </w:rPr>
            </w:pPr>
            <w:r>
              <w:rPr>
                <w:szCs w:val="22"/>
              </w:rPr>
              <w:t>Minnesota</w:t>
            </w:r>
          </w:p>
        </w:tc>
        <w:tc>
          <w:tcPr>
            <w:tcW w:w="2655" w:type="dxa"/>
            <w:tcBorders>
              <w:top w:val="single" w:sz="4" w:space="0" w:color="auto"/>
              <w:left w:val="single" w:sz="4" w:space="0" w:color="auto"/>
              <w:bottom w:val="single" w:sz="4" w:space="0" w:color="auto"/>
            </w:tcBorders>
          </w:tcPr>
          <w:p w:rsidR="00464F1F" w:rsidRPr="00413F99" w:rsidP="006E3BBD" w14:paraId="21FB0724" w14:textId="77777777">
            <w:pPr>
              <w:jc w:val="center"/>
              <w:rPr>
                <w:szCs w:val="22"/>
              </w:rPr>
            </w:pPr>
            <w:r w:rsidRPr="0056506F">
              <w:rPr>
                <w:szCs w:val="22"/>
              </w:rPr>
              <w:t>November 27, 2012</w:t>
            </w:r>
          </w:p>
        </w:tc>
      </w:tr>
      <w:tr w14:paraId="66DD3583"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5DFDD3EF" w14:textId="77777777">
            <w:pPr>
              <w:jc w:val="center"/>
              <w:rPr>
                <w:szCs w:val="22"/>
              </w:rPr>
            </w:pPr>
            <w:r w:rsidRPr="00611333">
              <w:rPr>
                <w:szCs w:val="22"/>
              </w:rPr>
              <w:t>23</w:t>
            </w:r>
          </w:p>
        </w:tc>
        <w:tc>
          <w:tcPr>
            <w:tcW w:w="3129" w:type="dxa"/>
            <w:tcBorders>
              <w:top w:val="single" w:sz="4" w:space="0" w:color="auto"/>
              <w:left w:val="single" w:sz="4" w:space="0" w:color="auto"/>
              <w:bottom w:val="single" w:sz="4" w:space="0" w:color="auto"/>
            </w:tcBorders>
            <w:shd w:val="clear" w:color="auto" w:fill="auto"/>
          </w:tcPr>
          <w:p w:rsidR="00464F1F" w:rsidP="006E3BBD" w14:paraId="6DB8636B" w14:textId="77777777">
            <w:pPr>
              <w:jc w:val="center"/>
              <w:rPr>
                <w:szCs w:val="22"/>
              </w:rPr>
            </w:pPr>
            <w:r w:rsidRPr="00413F99">
              <w:rPr>
                <w:szCs w:val="22"/>
              </w:rPr>
              <w:t>Mississippi</w:t>
            </w:r>
          </w:p>
        </w:tc>
        <w:tc>
          <w:tcPr>
            <w:tcW w:w="2655" w:type="dxa"/>
            <w:tcBorders>
              <w:top w:val="single" w:sz="4" w:space="0" w:color="auto"/>
              <w:left w:val="single" w:sz="4" w:space="0" w:color="auto"/>
              <w:bottom w:val="single" w:sz="4" w:space="0" w:color="auto"/>
            </w:tcBorders>
          </w:tcPr>
          <w:p w:rsidR="00464F1F" w:rsidRPr="0056506F" w:rsidP="006E3BBD" w14:paraId="55CAF9C7" w14:textId="77777777">
            <w:pPr>
              <w:jc w:val="center"/>
              <w:rPr>
                <w:szCs w:val="22"/>
              </w:rPr>
            </w:pPr>
            <w:r w:rsidRPr="00CB3ED7">
              <w:rPr>
                <w:szCs w:val="22"/>
              </w:rPr>
              <w:t>December 9, 2016</w:t>
            </w:r>
          </w:p>
        </w:tc>
      </w:tr>
      <w:tr w14:paraId="0355DDD4"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413F99" w:rsidP="006E3BBD" w14:paraId="4F5AC3D9" w14:textId="77777777">
            <w:pPr>
              <w:jc w:val="center"/>
              <w:rPr>
                <w:szCs w:val="22"/>
              </w:rPr>
            </w:pPr>
            <w:r>
              <w:rPr>
                <w:szCs w:val="22"/>
              </w:rPr>
              <w:t>24</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68182CD4" w14:textId="77777777">
            <w:pPr>
              <w:jc w:val="center"/>
              <w:rPr>
                <w:szCs w:val="22"/>
              </w:rPr>
            </w:pPr>
            <w:r>
              <w:rPr>
                <w:szCs w:val="22"/>
              </w:rPr>
              <w:t>Missouri</w:t>
            </w:r>
          </w:p>
        </w:tc>
        <w:tc>
          <w:tcPr>
            <w:tcW w:w="2655" w:type="dxa"/>
            <w:tcBorders>
              <w:top w:val="single" w:sz="4" w:space="0" w:color="auto"/>
              <w:left w:val="single" w:sz="4" w:space="0" w:color="auto"/>
              <w:bottom w:val="single" w:sz="4" w:space="0" w:color="auto"/>
            </w:tcBorders>
          </w:tcPr>
          <w:p w:rsidR="00464F1F" w:rsidRPr="00413F99" w:rsidP="006E3BBD" w14:paraId="027CA86C" w14:textId="77777777">
            <w:pPr>
              <w:jc w:val="center"/>
              <w:rPr>
                <w:szCs w:val="22"/>
              </w:rPr>
            </w:pPr>
            <w:r w:rsidRPr="0056506F">
              <w:rPr>
                <w:szCs w:val="22"/>
              </w:rPr>
              <w:t>December 30, 2014</w:t>
            </w:r>
          </w:p>
        </w:tc>
      </w:tr>
      <w:tr w14:paraId="702437C1"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611333" w:rsidP="006E3BBD" w14:paraId="102BB00A" w14:textId="77777777">
            <w:pPr>
              <w:jc w:val="center"/>
              <w:rPr>
                <w:szCs w:val="22"/>
              </w:rPr>
            </w:pPr>
            <w:r>
              <w:rPr>
                <w:szCs w:val="22"/>
              </w:rPr>
              <w:t>25</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770D2593" w14:textId="77777777">
            <w:pPr>
              <w:jc w:val="center"/>
              <w:rPr>
                <w:szCs w:val="22"/>
              </w:rPr>
            </w:pPr>
            <w:r>
              <w:rPr>
                <w:szCs w:val="22"/>
              </w:rPr>
              <w:t>Montana</w:t>
            </w:r>
          </w:p>
        </w:tc>
        <w:tc>
          <w:tcPr>
            <w:tcW w:w="2655" w:type="dxa"/>
            <w:tcBorders>
              <w:top w:val="single" w:sz="4" w:space="0" w:color="auto"/>
              <w:left w:val="single" w:sz="4" w:space="0" w:color="auto"/>
              <w:bottom w:val="single" w:sz="4" w:space="0" w:color="auto"/>
            </w:tcBorders>
          </w:tcPr>
          <w:p w:rsidR="00464F1F" w:rsidRPr="00413F99" w:rsidP="006E3BBD" w14:paraId="4E676897" w14:textId="77777777">
            <w:pPr>
              <w:jc w:val="center"/>
              <w:rPr>
                <w:szCs w:val="22"/>
              </w:rPr>
            </w:pPr>
            <w:r w:rsidRPr="0056506F">
              <w:rPr>
                <w:szCs w:val="22"/>
              </w:rPr>
              <w:t>December 30, 2014</w:t>
            </w:r>
          </w:p>
        </w:tc>
      </w:tr>
      <w:tr w14:paraId="5C498C25"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611333" w:rsidP="006E3BBD" w14:paraId="387BCB38" w14:textId="77777777">
            <w:pPr>
              <w:jc w:val="center"/>
              <w:rPr>
                <w:szCs w:val="22"/>
              </w:rPr>
            </w:pPr>
            <w:r>
              <w:rPr>
                <w:szCs w:val="22"/>
              </w:rPr>
              <w:t>26</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002FF099" w14:textId="77777777">
            <w:pPr>
              <w:jc w:val="center"/>
              <w:rPr>
                <w:szCs w:val="22"/>
              </w:rPr>
            </w:pPr>
            <w:r>
              <w:rPr>
                <w:szCs w:val="22"/>
              </w:rPr>
              <w:t>Nebraska</w:t>
            </w:r>
          </w:p>
        </w:tc>
        <w:tc>
          <w:tcPr>
            <w:tcW w:w="2655" w:type="dxa"/>
            <w:tcBorders>
              <w:top w:val="single" w:sz="4" w:space="0" w:color="auto"/>
              <w:left w:val="single" w:sz="4" w:space="0" w:color="auto"/>
              <w:bottom w:val="single" w:sz="4" w:space="0" w:color="auto"/>
            </w:tcBorders>
          </w:tcPr>
          <w:p w:rsidR="00464F1F" w:rsidRPr="00413F99" w:rsidP="006E3BBD" w14:paraId="4A2DDB79" w14:textId="77777777">
            <w:pPr>
              <w:jc w:val="center"/>
              <w:rPr>
                <w:szCs w:val="22"/>
              </w:rPr>
            </w:pPr>
            <w:r w:rsidRPr="0056506F">
              <w:rPr>
                <w:szCs w:val="22"/>
              </w:rPr>
              <w:t>November 27, 2012</w:t>
            </w:r>
          </w:p>
        </w:tc>
      </w:tr>
      <w:tr w14:paraId="5F41FED1"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0C9251D8" w14:textId="77777777">
            <w:pPr>
              <w:jc w:val="center"/>
              <w:rPr>
                <w:szCs w:val="22"/>
              </w:rPr>
            </w:pPr>
            <w:r w:rsidRPr="00611333">
              <w:rPr>
                <w:szCs w:val="22"/>
              </w:rPr>
              <w:t>28</w:t>
            </w:r>
          </w:p>
        </w:tc>
        <w:tc>
          <w:tcPr>
            <w:tcW w:w="3129" w:type="dxa"/>
            <w:tcBorders>
              <w:top w:val="single" w:sz="4" w:space="0" w:color="auto"/>
              <w:left w:val="single" w:sz="4" w:space="0" w:color="auto"/>
              <w:bottom w:val="single" w:sz="4" w:space="0" w:color="auto"/>
            </w:tcBorders>
            <w:shd w:val="clear" w:color="auto" w:fill="auto"/>
          </w:tcPr>
          <w:p w:rsidR="00464F1F" w:rsidP="006E3BBD" w14:paraId="645A7C3F" w14:textId="77777777">
            <w:pPr>
              <w:jc w:val="center"/>
              <w:rPr>
                <w:szCs w:val="22"/>
              </w:rPr>
            </w:pPr>
            <w:r w:rsidRPr="00413F99">
              <w:rPr>
                <w:szCs w:val="22"/>
              </w:rPr>
              <w:t>Eastern Pennsylvania – Delaware – Southern New Jersey</w:t>
            </w:r>
          </w:p>
        </w:tc>
        <w:tc>
          <w:tcPr>
            <w:tcW w:w="2655" w:type="dxa"/>
            <w:tcBorders>
              <w:top w:val="single" w:sz="4" w:space="0" w:color="auto"/>
              <w:left w:val="single" w:sz="4" w:space="0" w:color="auto"/>
              <w:bottom w:val="single" w:sz="4" w:space="0" w:color="auto"/>
            </w:tcBorders>
            <w:vAlign w:val="center"/>
          </w:tcPr>
          <w:p w:rsidR="00464F1F" w:rsidRPr="0056506F" w:rsidP="006E3BBD" w14:paraId="7E5D603D" w14:textId="77777777">
            <w:pPr>
              <w:jc w:val="center"/>
              <w:rPr>
                <w:szCs w:val="22"/>
              </w:rPr>
            </w:pPr>
            <w:r w:rsidRPr="00CB3ED7">
              <w:rPr>
                <w:szCs w:val="22"/>
              </w:rPr>
              <w:t>December 9, 2016</w:t>
            </w:r>
          </w:p>
        </w:tc>
      </w:tr>
      <w:tr w14:paraId="7FE96F85"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611333" w:rsidP="006E3BBD" w14:paraId="01D97F1B" w14:textId="77777777">
            <w:pPr>
              <w:jc w:val="center"/>
              <w:rPr>
                <w:szCs w:val="22"/>
              </w:rPr>
            </w:pPr>
            <w:r>
              <w:rPr>
                <w:szCs w:val="22"/>
              </w:rPr>
              <w:t>30</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0FEDE6DC" w14:textId="77777777">
            <w:pPr>
              <w:jc w:val="center"/>
              <w:rPr>
                <w:szCs w:val="22"/>
              </w:rPr>
            </w:pPr>
            <w:r>
              <w:rPr>
                <w:szCs w:val="22"/>
              </w:rPr>
              <w:t xml:space="preserve">Eastern Upstate New York </w:t>
            </w:r>
          </w:p>
        </w:tc>
        <w:tc>
          <w:tcPr>
            <w:tcW w:w="2655" w:type="dxa"/>
            <w:tcBorders>
              <w:top w:val="single" w:sz="4" w:space="0" w:color="auto"/>
              <w:left w:val="single" w:sz="4" w:space="0" w:color="auto"/>
              <w:bottom w:val="single" w:sz="4" w:space="0" w:color="auto"/>
            </w:tcBorders>
          </w:tcPr>
          <w:p w:rsidR="00464F1F" w:rsidRPr="00413F99" w:rsidP="006E3BBD" w14:paraId="34BE344E" w14:textId="77777777">
            <w:pPr>
              <w:jc w:val="center"/>
              <w:rPr>
                <w:szCs w:val="22"/>
              </w:rPr>
            </w:pPr>
            <w:r w:rsidRPr="0056506F">
              <w:rPr>
                <w:szCs w:val="22"/>
              </w:rPr>
              <w:t>December 30, 2014</w:t>
            </w:r>
          </w:p>
        </w:tc>
      </w:tr>
      <w:tr w14:paraId="04AA813B"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396843B1" w14:textId="77777777">
            <w:pPr>
              <w:jc w:val="center"/>
              <w:rPr>
                <w:szCs w:val="22"/>
              </w:rPr>
            </w:pPr>
            <w:r>
              <w:rPr>
                <w:szCs w:val="22"/>
              </w:rPr>
              <w:t xml:space="preserve"> </w:t>
            </w:r>
            <w:r w:rsidRPr="00611333">
              <w:rPr>
                <w:szCs w:val="22"/>
              </w:rPr>
              <w:t>31</w:t>
            </w:r>
          </w:p>
        </w:tc>
        <w:tc>
          <w:tcPr>
            <w:tcW w:w="3129" w:type="dxa"/>
            <w:tcBorders>
              <w:top w:val="single" w:sz="4" w:space="0" w:color="auto"/>
              <w:left w:val="single" w:sz="4" w:space="0" w:color="auto"/>
              <w:bottom w:val="single" w:sz="4" w:space="0" w:color="auto"/>
            </w:tcBorders>
            <w:shd w:val="clear" w:color="auto" w:fill="auto"/>
          </w:tcPr>
          <w:p w:rsidR="00464F1F" w:rsidP="006E3BBD" w14:paraId="6FF9B93C" w14:textId="77777777">
            <w:pPr>
              <w:jc w:val="center"/>
              <w:rPr>
                <w:szCs w:val="22"/>
              </w:rPr>
            </w:pPr>
            <w:r w:rsidRPr="00413F99">
              <w:rPr>
                <w:szCs w:val="22"/>
              </w:rPr>
              <w:t>North Carolina</w:t>
            </w:r>
          </w:p>
        </w:tc>
        <w:tc>
          <w:tcPr>
            <w:tcW w:w="2655" w:type="dxa"/>
            <w:tcBorders>
              <w:top w:val="single" w:sz="4" w:space="0" w:color="auto"/>
              <w:left w:val="single" w:sz="4" w:space="0" w:color="auto"/>
              <w:bottom w:val="single" w:sz="4" w:space="0" w:color="auto"/>
            </w:tcBorders>
          </w:tcPr>
          <w:p w:rsidR="00464F1F" w:rsidRPr="0056506F" w:rsidP="006E3BBD" w14:paraId="5A442E21" w14:textId="77777777">
            <w:pPr>
              <w:jc w:val="center"/>
              <w:rPr>
                <w:szCs w:val="22"/>
              </w:rPr>
            </w:pPr>
            <w:r w:rsidRPr="00CB3ED7">
              <w:rPr>
                <w:szCs w:val="22"/>
              </w:rPr>
              <w:t>December 9, 2016</w:t>
            </w:r>
          </w:p>
        </w:tc>
      </w:tr>
      <w:tr w14:paraId="593DDDD3"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611333" w:rsidP="006E3BBD" w14:paraId="1C2C74B9" w14:textId="77777777">
            <w:pPr>
              <w:jc w:val="center"/>
              <w:rPr>
                <w:szCs w:val="22"/>
              </w:rPr>
            </w:pPr>
            <w:r>
              <w:rPr>
                <w:szCs w:val="22"/>
              </w:rPr>
              <w:t>32</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7086B133" w14:textId="77777777">
            <w:pPr>
              <w:jc w:val="center"/>
              <w:rPr>
                <w:szCs w:val="22"/>
              </w:rPr>
            </w:pPr>
            <w:r>
              <w:rPr>
                <w:szCs w:val="22"/>
              </w:rPr>
              <w:t>North Dakota</w:t>
            </w:r>
          </w:p>
        </w:tc>
        <w:tc>
          <w:tcPr>
            <w:tcW w:w="2655" w:type="dxa"/>
            <w:tcBorders>
              <w:top w:val="single" w:sz="4" w:space="0" w:color="auto"/>
              <w:left w:val="single" w:sz="4" w:space="0" w:color="auto"/>
              <w:bottom w:val="single" w:sz="4" w:space="0" w:color="auto"/>
            </w:tcBorders>
          </w:tcPr>
          <w:p w:rsidR="00464F1F" w:rsidRPr="00413F99" w:rsidP="006E3BBD" w14:paraId="7A48E31E" w14:textId="77777777">
            <w:pPr>
              <w:jc w:val="center"/>
              <w:rPr>
                <w:szCs w:val="22"/>
              </w:rPr>
            </w:pPr>
            <w:r w:rsidRPr="0056506F">
              <w:rPr>
                <w:szCs w:val="22"/>
              </w:rPr>
              <w:t>November 27, 2012</w:t>
            </w:r>
          </w:p>
        </w:tc>
      </w:tr>
      <w:tr w14:paraId="49EA6C93"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611333" w:rsidP="006E3BBD" w14:paraId="3573BF18" w14:textId="77777777">
            <w:pPr>
              <w:jc w:val="center"/>
              <w:rPr>
                <w:szCs w:val="22"/>
              </w:rPr>
            </w:pPr>
            <w:r>
              <w:rPr>
                <w:szCs w:val="22"/>
              </w:rPr>
              <w:t>33</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3476D496" w14:textId="77777777">
            <w:pPr>
              <w:jc w:val="center"/>
              <w:rPr>
                <w:szCs w:val="22"/>
              </w:rPr>
            </w:pPr>
            <w:r>
              <w:rPr>
                <w:szCs w:val="22"/>
              </w:rPr>
              <w:t>Ohio</w:t>
            </w:r>
          </w:p>
        </w:tc>
        <w:tc>
          <w:tcPr>
            <w:tcW w:w="2655" w:type="dxa"/>
            <w:tcBorders>
              <w:top w:val="single" w:sz="4" w:space="0" w:color="auto"/>
              <w:left w:val="single" w:sz="4" w:space="0" w:color="auto"/>
              <w:bottom w:val="single" w:sz="4" w:space="0" w:color="auto"/>
            </w:tcBorders>
          </w:tcPr>
          <w:p w:rsidR="00464F1F" w:rsidRPr="00CB3ED7" w:rsidP="006E3BBD" w14:paraId="4DC6424D" w14:textId="77777777">
            <w:pPr>
              <w:jc w:val="center"/>
              <w:rPr>
                <w:szCs w:val="22"/>
              </w:rPr>
            </w:pPr>
            <w:r>
              <w:rPr>
                <w:szCs w:val="22"/>
              </w:rPr>
              <w:t>October 22, 2018</w:t>
            </w:r>
          </w:p>
        </w:tc>
      </w:tr>
      <w:tr w14:paraId="002F5135"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41540CC2" w14:textId="77777777">
            <w:pPr>
              <w:jc w:val="center"/>
              <w:rPr>
                <w:szCs w:val="22"/>
              </w:rPr>
            </w:pPr>
            <w:r w:rsidRPr="00611333">
              <w:rPr>
                <w:szCs w:val="22"/>
              </w:rPr>
              <w:t>35</w:t>
            </w:r>
          </w:p>
        </w:tc>
        <w:tc>
          <w:tcPr>
            <w:tcW w:w="3129" w:type="dxa"/>
            <w:tcBorders>
              <w:top w:val="single" w:sz="4" w:space="0" w:color="auto"/>
              <w:left w:val="single" w:sz="4" w:space="0" w:color="auto"/>
              <w:bottom w:val="single" w:sz="4" w:space="0" w:color="auto"/>
            </w:tcBorders>
            <w:shd w:val="clear" w:color="auto" w:fill="auto"/>
          </w:tcPr>
          <w:p w:rsidR="00464F1F" w:rsidP="006E3BBD" w14:paraId="507A41A5" w14:textId="77777777">
            <w:pPr>
              <w:jc w:val="center"/>
              <w:rPr>
                <w:szCs w:val="22"/>
              </w:rPr>
            </w:pPr>
            <w:r w:rsidRPr="00413F99">
              <w:rPr>
                <w:szCs w:val="22"/>
              </w:rPr>
              <w:t>Oregon</w:t>
            </w:r>
          </w:p>
        </w:tc>
        <w:tc>
          <w:tcPr>
            <w:tcW w:w="2655" w:type="dxa"/>
            <w:tcBorders>
              <w:top w:val="single" w:sz="4" w:space="0" w:color="auto"/>
              <w:left w:val="single" w:sz="4" w:space="0" w:color="auto"/>
              <w:bottom w:val="single" w:sz="4" w:space="0" w:color="auto"/>
            </w:tcBorders>
          </w:tcPr>
          <w:p w:rsidR="00464F1F" w:rsidRPr="0056506F" w:rsidP="006E3BBD" w14:paraId="7D35489B" w14:textId="77777777">
            <w:pPr>
              <w:jc w:val="center"/>
              <w:rPr>
                <w:szCs w:val="22"/>
              </w:rPr>
            </w:pPr>
            <w:r w:rsidRPr="00CB3ED7">
              <w:rPr>
                <w:szCs w:val="22"/>
              </w:rPr>
              <w:t>December 9, 2016</w:t>
            </w:r>
          </w:p>
        </w:tc>
      </w:tr>
      <w:tr w14:paraId="388C0194"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324B0B23" w14:textId="77777777">
            <w:pPr>
              <w:jc w:val="center"/>
              <w:rPr>
                <w:szCs w:val="22"/>
              </w:rPr>
            </w:pPr>
            <w:r w:rsidRPr="00611333">
              <w:rPr>
                <w:szCs w:val="22"/>
              </w:rPr>
              <w:t>36</w:t>
            </w:r>
          </w:p>
        </w:tc>
        <w:tc>
          <w:tcPr>
            <w:tcW w:w="3129" w:type="dxa"/>
            <w:tcBorders>
              <w:top w:val="single" w:sz="4" w:space="0" w:color="auto"/>
              <w:left w:val="single" w:sz="4" w:space="0" w:color="auto"/>
              <w:bottom w:val="single" w:sz="4" w:space="0" w:color="auto"/>
            </w:tcBorders>
            <w:shd w:val="clear" w:color="auto" w:fill="auto"/>
          </w:tcPr>
          <w:p w:rsidR="00464F1F" w:rsidP="006E3BBD" w14:paraId="03F70FFE" w14:textId="77777777">
            <w:pPr>
              <w:jc w:val="center"/>
              <w:rPr>
                <w:szCs w:val="22"/>
              </w:rPr>
            </w:pPr>
            <w:r w:rsidRPr="00413F99">
              <w:rPr>
                <w:szCs w:val="22"/>
              </w:rPr>
              <w:t>Western Pennsylvania</w:t>
            </w:r>
          </w:p>
        </w:tc>
        <w:tc>
          <w:tcPr>
            <w:tcW w:w="2655" w:type="dxa"/>
            <w:tcBorders>
              <w:top w:val="single" w:sz="4" w:space="0" w:color="auto"/>
              <w:left w:val="single" w:sz="4" w:space="0" w:color="auto"/>
              <w:bottom w:val="single" w:sz="4" w:space="0" w:color="auto"/>
            </w:tcBorders>
          </w:tcPr>
          <w:p w:rsidR="00464F1F" w:rsidRPr="0056506F" w:rsidP="006E3BBD" w14:paraId="382D2FB5" w14:textId="77777777">
            <w:pPr>
              <w:jc w:val="center"/>
              <w:rPr>
                <w:szCs w:val="22"/>
              </w:rPr>
            </w:pPr>
            <w:r w:rsidRPr="00CB3ED7">
              <w:rPr>
                <w:szCs w:val="22"/>
              </w:rPr>
              <w:t>December 9, 2016</w:t>
            </w:r>
          </w:p>
        </w:tc>
      </w:tr>
      <w:tr w14:paraId="7465D34A"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6E2567E6" w14:textId="77777777">
            <w:pPr>
              <w:jc w:val="center"/>
              <w:rPr>
                <w:szCs w:val="22"/>
              </w:rPr>
            </w:pPr>
            <w:r w:rsidRPr="00611333">
              <w:rPr>
                <w:szCs w:val="22"/>
              </w:rPr>
              <w:t>37</w:t>
            </w:r>
          </w:p>
        </w:tc>
        <w:tc>
          <w:tcPr>
            <w:tcW w:w="3129" w:type="dxa"/>
            <w:tcBorders>
              <w:top w:val="single" w:sz="4" w:space="0" w:color="auto"/>
              <w:left w:val="single" w:sz="4" w:space="0" w:color="auto"/>
              <w:bottom w:val="single" w:sz="4" w:space="0" w:color="auto"/>
            </w:tcBorders>
            <w:shd w:val="clear" w:color="auto" w:fill="auto"/>
          </w:tcPr>
          <w:p w:rsidR="00464F1F" w:rsidP="006E3BBD" w14:paraId="2C0FDA4B" w14:textId="77777777">
            <w:pPr>
              <w:jc w:val="center"/>
              <w:rPr>
                <w:szCs w:val="22"/>
              </w:rPr>
            </w:pPr>
            <w:r w:rsidRPr="00413F99">
              <w:rPr>
                <w:szCs w:val="22"/>
              </w:rPr>
              <w:t>South Carolina</w:t>
            </w:r>
          </w:p>
        </w:tc>
        <w:tc>
          <w:tcPr>
            <w:tcW w:w="2655" w:type="dxa"/>
            <w:tcBorders>
              <w:top w:val="single" w:sz="4" w:space="0" w:color="auto"/>
              <w:left w:val="single" w:sz="4" w:space="0" w:color="auto"/>
              <w:bottom w:val="single" w:sz="4" w:space="0" w:color="auto"/>
            </w:tcBorders>
          </w:tcPr>
          <w:p w:rsidR="00464F1F" w:rsidRPr="0056506F" w:rsidP="006E3BBD" w14:paraId="77362CE9" w14:textId="77777777">
            <w:pPr>
              <w:jc w:val="center"/>
              <w:rPr>
                <w:szCs w:val="22"/>
              </w:rPr>
            </w:pPr>
            <w:r w:rsidRPr="00CB3ED7">
              <w:rPr>
                <w:szCs w:val="22"/>
              </w:rPr>
              <w:t>December 9, 2016</w:t>
            </w:r>
          </w:p>
        </w:tc>
      </w:tr>
      <w:tr w14:paraId="79EA9758"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611333" w:rsidP="006E3BBD" w14:paraId="0167A669" w14:textId="77777777">
            <w:pPr>
              <w:jc w:val="center"/>
              <w:rPr>
                <w:szCs w:val="22"/>
              </w:rPr>
            </w:pPr>
            <w:r>
              <w:rPr>
                <w:szCs w:val="22"/>
              </w:rPr>
              <w:t>38</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0067CC9C" w14:textId="77777777">
            <w:pPr>
              <w:jc w:val="center"/>
              <w:rPr>
                <w:szCs w:val="22"/>
              </w:rPr>
            </w:pPr>
            <w:r>
              <w:rPr>
                <w:szCs w:val="22"/>
              </w:rPr>
              <w:t xml:space="preserve">South Dakota </w:t>
            </w:r>
          </w:p>
        </w:tc>
        <w:tc>
          <w:tcPr>
            <w:tcW w:w="2655" w:type="dxa"/>
            <w:tcBorders>
              <w:top w:val="single" w:sz="4" w:space="0" w:color="auto"/>
              <w:left w:val="single" w:sz="4" w:space="0" w:color="auto"/>
              <w:bottom w:val="single" w:sz="4" w:space="0" w:color="auto"/>
            </w:tcBorders>
          </w:tcPr>
          <w:p w:rsidR="00464F1F" w:rsidRPr="00413F99" w:rsidP="006E3BBD" w14:paraId="29213492" w14:textId="77777777">
            <w:pPr>
              <w:jc w:val="center"/>
              <w:rPr>
                <w:szCs w:val="22"/>
              </w:rPr>
            </w:pPr>
            <w:r w:rsidRPr="0056506F">
              <w:rPr>
                <w:szCs w:val="22"/>
              </w:rPr>
              <w:t>November 27, 2012</w:t>
            </w:r>
          </w:p>
        </w:tc>
      </w:tr>
      <w:tr w14:paraId="12044A42"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37BCF84A" w14:textId="77777777">
            <w:pPr>
              <w:jc w:val="center"/>
              <w:rPr>
                <w:szCs w:val="22"/>
              </w:rPr>
            </w:pPr>
            <w:r w:rsidRPr="00611333">
              <w:rPr>
                <w:szCs w:val="22"/>
              </w:rPr>
              <w:t>39</w:t>
            </w:r>
          </w:p>
        </w:tc>
        <w:tc>
          <w:tcPr>
            <w:tcW w:w="3129" w:type="dxa"/>
            <w:tcBorders>
              <w:top w:val="single" w:sz="4" w:space="0" w:color="auto"/>
              <w:left w:val="single" w:sz="4" w:space="0" w:color="auto"/>
              <w:bottom w:val="single" w:sz="4" w:space="0" w:color="auto"/>
            </w:tcBorders>
            <w:shd w:val="clear" w:color="auto" w:fill="auto"/>
          </w:tcPr>
          <w:p w:rsidR="00464F1F" w:rsidP="006E3BBD" w14:paraId="678E0952" w14:textId="77777777">
            <w:pPr>
              <w:jc w:val="center"/>
              <w:rPr>
                <w:szCs w:val="22"/>
              </w:rPr>
            </w:pPr>
            <w:r w:rsidRPr="00413F99">
              <w:rPr>
                <w:szCs w:val="22"/>
              </w:rPr>
              <w:t>Tennessee</w:t>
            </w:r>
          </w:p>
        </w:tc>
        <w:tc>
          <w:tcPr>
            <w:tcW w:w="2655" w:type="dxa"/>
            <w:tcBorders>
              <w:top w:val="single" w:sz="4" w:space="0" w:color="auto"/>
              <w:left w:val="single" w:sz="4" w:space="0" w:color="auto"/>
              <w:bottom w:val="single" w:sz="4" w:space="0" w:color="auto"/>
            </w:tcBorders>
          </w:tcPr>
          <w:p w:rsidR="00464F1F" w:rsidRPr="0056506F" w:rsidP="006E3BBD" w14:paraId="4F0871D8" w14:textId="77777777">
            <w:pPr>
              <w:jc w:val="center"/>
              <w:rPr>
                <w:szCs w:val="22"/>
              </w:rPr>
            </w:pPr>
            <w:r w:rsidRPr="00CB3ED7">
              <w:rPr>
                <w:szCs w:val="22"/>
              </w:rPr>
              <w:t>December 9, 2016</w:t>
            </w:r>
          </w:p>
        </w:tc>
      </w:tr>
      <w:tr w14:paraId="7C8B338B"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611333" w:rsidP="006E3BBD" w14:paraId="49A170D6" w14:textId="77777777">
            <w:pPr>
              <w:jc w:val="center"/>
              <w:rPr>
                <w:szCs w:val="22"/>
              </w:rPr>
            </w:pPr>
            <w:r>
              <w:rPr>
                <w:szCs w:val="22"/>
              </w:rPr>
              <w:t>41</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517297AF" w14:textId="77777777">
            <w:pPr>
              <w:jc w:val="center"/>
              <w:rPr>
                <w:szCs w:val="22"/>
              </w:rPr>
            </w:pPr>
            <w:r>
              <w:rPr>
                <w:szCs w:val="22"/>
              </w:rPr>
              <w:t>Utah</w:t>
            </w:r>
          </w:p>
        </w:tc>
        <w:tc>
          <w:tcPr>
            <w:tcW w:w="2655" w:type="dxa"/>
            <w:tcBorders>
              <w:top w:val="single" w:sz="4" w:space="0" w:color="auto"/>
              <w:left w:val="single" w:sz="4" w:space="0" w:color="auto"/>
              <w:bottom w:val="single" w:sz="4" w:space="0" w:color="auto"/>
            </w:tcBorders>
          </w:tcPr>
          <w:p w:rsidR="00464F1F" w:rsidRPr="00413F99" w:rsidP="006E3BBD" w14:paraId="3431FB87" w14:textId="77777777">
            <w:pPr>
              <w:jc w:val="center"/>
              <w:rPr>
                <w:szCs w:val="22"/>
              </w:rPr>
            </w:pPr>
            <w:r w:rsidRPr="0056506F">
              <w:rPr>
                <w:szCs w:val="22"/>
              </w:rPr>
              <w:t>November 27, 2012</w:t>
            </w:r>
          </w:p>
        </w:tc>
      </w:tr>
      <w:tr w14:paraId="4E9F58C4"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034562F8" w14:textId="77777777">
            <w:pPr>
              <w:jc w:val="center"/>
              <w:rPr>
                <w:szCs w:val="22"/>
              </w:rPr>
            </w:pPr>
            <w:r w:rsidRPr="00611333">
              <w:rPr>
                <w:szCs w:val="22"/>
              </w:rPr>
              <w:t>42</w:t>
            </w:r>
          </w:p>
        </w:tc>
        <w:tc>
          <w:tcPr>
            <w:tcW w:w="3129" w:type="dxa"/>
            <w:tcBorders>
              <w:top w:val="single" w:sz="4" w:space="0" w:color="auto"/>
              <w:left w:val="single" w:sz="4" w:space="0" w:color="auto"/>
              <w:bottom w:val="single" w:sz="4" w:space="0" w:color="auto"/>
            </w:tcBorders>
            <w:shd w:val="clear" w:color="auto" w:fill="auto"/>
          </w:tcPr>
          <w:p w:rsidR="00464F1F" w:rsidP="006E3BBD" w14:paraId="17F28728" w14:textId="77777777">
            <w:pPr>
              <w:jc w:val="center"/>
              <w:rPr>
                <w:szCs w:val="22"/>
              </w:rPr>
            </w:pPr>
            <w:r w:rsidRPr="00413F99">
              <w:rPr>
                <w:szCs w:val="22"/>
              </w:rPr>
              <w:t>Virginia</w:t>
            </w:r>
          </w:p>
        </w:tc>
        <w:tc>
          <w:tcPr>
            <w:tcW w:w="2655" w:type="dxa"/>
            <w:tcBorders>
              <w:top w:val="single" w:sz="4" w:space="0" w:color="auto"/>
              <w:left w:val="single" w:sz="4" w:space="0" w:color="auto"/>
              <w:bottom w:val="single" w:sz="4" w:space="0" w:color="auto"/>
            </w:tcBorders>
          </w:tcPr>
          <w:p w:rsidR="00464F1F" w:rsidRPr="0056506F" w:rsidP="006E3BBD" w14:paraId="4E37D2D0" w14:textId="77777777">
            <w:pPr>
              <w:jc w:val="center"/>
              <w:rPr>
                <w:szCs w:val="22"/>
              </w:rPr>
            </w:pPr>
            <w:r w:rsidRPr="00CB3ED7">
              <w:rPr>
                <w:szCs w:val="22"/>
              </w:rPr>
              <w:t>December 9, 2016</w:t>
            </w:r>
          </w:p>
        </w:tc>
      </w:tr>
      <w:tr w14:paraId="6E3FBBE9"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521D43EC" w14:textId="77777777">
            <w:pPr>
              <w:jc w:val="center"/>
              <w:rPr>
                <w:szCs w:val="22"/>
              </w:rPr>
            </w:pPr>
            <w:r>
              <w:rPr>
                <w:szCs w:val="22"/>
              </w:rPr>
              <w:t>43</w:t>
            </w:r>
          </w:p>
        </w:tc>
        <w:tc>
          <w:tcPr>
            <w:tcW w:w="3129" w:type="dxa"/>
            <w:tcBorders>
              <w:top w:val="single" w:sz="4" w:space="0" w:color="auto"/>
              <w:left w:val="single" w:sz="4" w:space="0" w:color="auto"/>
              <w:bottom w:val="single" w:sz="4" w:space="0" w:color="auto"/>
            </w:tcBorders>
            <w:shd w:val="clear" w:color="auto" w:fill="auto"/>
          </w:tcPr>
          <w:p w:rsidR="00464F1F" w:rsidP="006E3BBD" w14:paraId="47C3A414" w14:textId="77777777">
            <w:pPr>
              <w:jc w:val="center"/>
              <w:rPr>
                <w:szCs w:val="22"/>
              </w:rPr>
            </w:pPr>
            <w:r>
              <w:rPr>
                <w:szCs w:val="22"/>
              </w:rPr>
              <w:t>Washington State</w:t>
            </w:r>
          </w:p>
        </w:tc>
        <w:tc>
          <w:tcPr>
            <w:tcW w:w="2655" w:type="dxa"/>
            <w:tcBorders>
              <w:top w:val="single" w:sz="4" w:space="0" w:color="auto"/>
              <w:left w:val="single" w:sz="4" w:space="0" w:color="auto"/>
              <w:bottom w:val="single" w:sz="4" w:space="0" w:color="auto"/>
            </w:tcBorders>
          </w:tcPr>
          <w:p w:rsidR="00464F1F" w:rsidRPr="0056506F" w:rsidP="006E3BBD" w14:paraId="377A69F5" w14:textId="77777777">
            <w:pPr>
              <w:jc w:val="center"/>
              <w:rPr>
                <w:szCs w:val="22"/>
              </w:rPr>
            </w:pPr>
            <w:r>
              <w:rPr>
                <w:szCs w:val="22"/>
              </w:rPr>
              <w:t>October 22, 2018</w:t>
            </w:r>
          </w:p>
        </w:tc>
      </w:tr>
      <w:tr w14:paraId="32AC3AD2"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611333" w:rsidP="006E3BBD" w14:paraId="1E18C6AB" w14:textId="77777777">
            <w:pPr>
              <w:jc w:val="center"/>
              <w:rPr>
                <w:szCs w:val="22"/>
              </w:rPr>
            </w:pPr>
            <w:r>
              <w:rPr>
                <w:szCs w:val="22"/>
              </w:rPr>
              <w:t>44</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378A4CB0" w14:textId="77777777">
            <w:pPr>
              <w:jc w:val="center"/>
              <w:rPr>
                <w:szCs w:val="22"/>
              </w:rPr>
            </w:pPr>
            <w:r>
              <w:rPr>
                <w:szCs w:val="22"/>
              </w:rPr>
              <w:t>West Virginia</w:t>
            </w:r>
          </w:p>
        </w:tc>
        <w:tc>
          <w:tcPr>
            <w:tcW w:w="2655" w:type="dxa"/>
            <w:tcBorders>
              <w:top w:val="single" w:sz="4" w:space="0" w:color="auto"/>
              <w:left w:val="single" w:sz="4" w:space="0" w:color="auto"/>
              <w:bottom w:val="single" w:sz="4" w:space="0" w:color="auto"/>
            </w:tcBorders>
          </w:tcPr>
          <w:p w:rsidR="00464F1F" w:rsidRPr="00413F99" w:rsidP="006E3BBD" w14:paraId="4FACC91D" w14:textId="77777777">
            <w:pPr>
              <w:jc w:val="center"/>
              <w:rPr>
                <w:szCs w:val="22"/>
              </w:rPr>
            </w:pPr>
            <w:r w:rsidRPr="0056506F">
              <w:rPr>
                <w:szCs w:val="22"/>
              </w:rPr>
              <w:t>December 30, 2014</w:t>
            </w:r>
          </w:p>
        </w:tc>
      </w:tr>
      <w:tr w14:paraId="161BD70D"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611333" w:rsidP="006E3BBD" w14:paraId="1459699A" w14:textId="77777777">
            <w:pPr>
              <w:jc w:val="center"/>
              <w:rPr>
                <w:szCs w:val="22"/>
              </w:rPr>
            </w:pPr>
            <w:r>
              <w:rPr>
                <w:szCs w:val="22"/>
              </w:rPr>
              <w:t>45</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4534EE38" w14:textId="77777777">
            <w:pPr>
              <w:jc w:val="center"/>
              <w:rPr>
                <w:szCs w:val="22"/>
              </w:rPr>
            </w:pPr>
            <w:r>
              <w:rPr>
                <w:szCs w:val="22"/>
              </w:rPr>
              <w:t>Wisconsin</w:t>
            </w:r>
          </w:p>
        </w:tc>
        <w:tc>
          <w:tcPr>
            <w:tcW w:w="2655" w:type="dxa"/>
            <w:tcBorders>
              <w:top w:val="single" w:sz="4" w:space="0" w:color="auto"/>
              <w:left w:val="single" w:sz="4" w:space="0" w:color="auto"/>
              <w:bottom w:val="single" w:sz="4" w:space="0" w:color="auto"/>
            </w:tcBorders>
          </w:tcPr>
          <w:p w:rsidR="00464F1F" w:rsidRPr="00413F99" w:rsidP="006E3BBD" w14:paraId="1AA3B9CE" w14:textId="77777777">
            <w:pPr>
              <w:jc w:val="center"/>
              <w:rPr>
                <w:szCs w:val="22"/>
              </w:rPr>
            </w:pPr>
            <w:r w:rsidRPr="0056506F">
              <w:rPr>
                <w:szCs w:val="22"/>
              </w:rPr>
              <w:t>November 27, 2012</w:t>
            </w:r>
          </w:p>
        </w:tc>
      </w:tr>
      <w:tr w14:paraId="5C23E2A6"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611333" w:rsidP="006E3BBD" w14:paraId="4515BE93" w14:textId="77777777">
            <w:pPr>
              <w:jc w:val="center"/>
              <w:rPr>
                <w:szCs w:val="22"/>
              </w:rPr>
            </w:pPr>
            <w:r>
              <w:rPr>
                <w:szCs w:val="22"/>
              </w:rPr>
              <w:t>46</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6E3CF7B9" w14:textId="77777777">
            <w:pPr>
              <w:jc w:val="center"/>
              <w:rPr>
                <w:szCs w:val="22"/>
              </w:rPr>
            </w:pPr>
            <w:r>
              <w:rPr>
                <w:szCs w:val="22"/>
              </w:rPr>
              <w:t>Wyoming</w:t>
            </w:r>
          </w:p>
        </w:tc>
        <w:tc>
          <w:tcPr>
            <w:tcW w:w="2655" w:type="dxa"/>
            <w:tcBorders>
              <w:top w:val="single" w:sz="4" w:space="0" w:color="auto"/>
              <w:left w:val="single" w:sz="4" w:space="0" w:color="auto"/>
              <w:bottom w:val="single" w:sz="4" w:space="0" w:color="auto"/>
            </w:tcBorders>
          </w:tcPr>
          <w:p w:rsidR="00464F1F" w:rsidRPr="00413F99" w:rsidP="006E3BBD" w14:paraId="33F86ABF" w14:textId="77777777">
            <w:pPr>
              <w:jc w:val="center"/>
              <w:rPr>
                <w:szCs w:val="22"/>
              </w:rPr>
            </w:pPr>
            <w:r w:rsidRPr="0056506F">
              <w:rPr>
                <w:szCs w:val="22"/>
              </w:rPr>
              <w:t>November 27, 2012</w:t>
            </w:r>
          </w:p>
        </w:tc>
      </w:tr>
      <w:tr w14:paraId="49F4CE05"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67BADC29" w14:textId="77777777">
            <w:pPr>
              <w:jc w:val="center"/>
              <w:rPr>
                <w:szCs w:val="22"/>
              </w:rPr>
            </w:pPr>
            <w:r w:rsidRPr="00611333">
              <w:rPr>
                <w:szCs w:val="22"/>
              </w:rPr>
              <w:t>47</w:t>
            </w:r>
          </w:p>
        </w:tc>
        <w:tc>
          <w:tcPr>
            <w:tcW w:w="3129" w:type="dxa"/>
            <w:tcBorders>
              <w:top w:val="single" w:sz="4" w:space="0" w:color="auto"/>
              <w:left w:val="single" w:sz="4" w:space="0" w:color="auto"/>
              <w:bottom w:val="single" w:sz="4" w:space="0" w:color="auto"/>
            </w:tcBorders>
            <w:shd w:val="clear" w:color="auto" w:fill="auto"/>
          </w:tcPr>
          <w:p w:rsidR="00464F1F" w:rsidP="006E3BBD" w14:paraId="069CF347" w14:textId="77777777">
            <w:pPr>
              <w:jc w:val="center"/>
              <w:rPr>
                <w:szCs w:val="22"/>
              </w:rPr>
            </w:pPr>
            <w:r w:rsidRPr="00413F99">
              <w:rPr>
                <w:szCs w:val="22"/>
              </w:rPr>
              <w:t>Puerto Rico</w:t>
            </w:r>
          </w:p>
        </w:tc>
        <w:tc>
          <w:tcPr>
            <w:tcW w:w="2655" w:type="dxa"/>
            <w:tcBorders>
              <w:top w:val="single" w:sz="4" w:space="0" w:color="auto"/>
              <w:left w:val="single" w:sz="4" w:space="0" w:color="auto"/>
              <w:bottom w:val="single" w:sz="4" w:space="0" w:color="auto"/>
            </w:tcBorders>
          </w:tcPr>
          <w:p w:rsidR="00464F1F" w:rsidRPr="0056506F" w:rsidP="006E3BBD" w14:paraId="4E2DB13A" w14:textId="77777777">
            <w:pPr>
              <w:jc w:val="center"/>
              <w:rPr>
                <w:szCs w:val="22"/>
              </w:rPr>
            </w:pPr>
            <w:r w:rsidRPr="00CB3ED7">
              <w:rPr>
                <w:szCs w:val="22"/>
              </w:rPr>
              <w:t>December 9, 2016</w:t>
            </w:r>
          </w:p>
        </w:tc>
      </w:tr>
      <w:tr w14:paraId="62C84636"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4F906863" w14:textId="77777777">
            <w:pPr>
              <w:jc w:val="center"/>
              <w:rPr>
                <w:szCs w:val="22"/>
              </w:rPr>
            </w:pPr>
            <w:r w:rsidRPr="00611333">
              <w:rPr>
                <w:szCs w:val="22"/>
              </w:rPr>
              <w:t>48</w:t>
            </w:r>
          </w:p>
        </w:tc>
        <w:tc>
          <w:tcPr>
            <w:tcW w:w="3129" w:type="dxa"/>
            <w:tcBorders>
              <w:top w:val="single" w:sz="4" w:space="0" w:color="auto"/>
              <w:left w:val="single" w:sz="4" w:space="0" w:color="auto"/>
              <w:bottom w:val="single" w:sz="4" w:space="0" w:color="auto"/>
            </w:tcBorders>
            <w:shd w:val="clear" w:color="auto" w:fill="auto"/>
          </w:tcPr>
          <w:p w:rsidR="00464F1F" w:rsidP="006E3BBD" w14:paraId="72017E3F" w14:textId="77777777">
            <w:pPr>
              <w:jc w:val="center"/>
              <w:rPr>
                <w:szCs w:val="22"/>
              </w:rPr>
            </w:pPr>
            <w:r w:rsidRPr="00413F99">
              <w:rPr>
                <w:szCs w:val="22"/>
              </w:rPr>
              <w:t>US Virgin Islands</w:t>
            </w:r>
          </w:p>
        </w:tc>
        <w:tc>
          <w:tcPr>
            <w:tcW w:w="2655" w:type="dxa"/>
            <w:tcBorders>
              <w:top w:val="single" w:sz="4" w:space="0" w:color="auto"/>
              <w:left w:val="single" w:sz="4" w:space="0" w:color="auto"/>
              <w:bottom w:val="single" w:sz="4" w:space="0" w:color="auto"/>
            </w:tcBorders>
          </w:tcPr>
          <w:p w:rsidR="00464F1F" w:rsidRPr="0056506F" w:rsidP="006E3BBD" w14:paraId="3E552063" w14:textId="77777777">
            <w:pPr>
              <w:jc w:val="center"/>
              <w:rPr>
                <w:szCs w:val="22"/>
              </w:rPr>
            </w:pPr>
            <w:r w:rsidRPr="00CB3ED7">
              <w:rPr>
                <w:szCs w:val="22"/>
              </w:rPr>
              <w:t>December 9, 2016</w:t>
            </w:r>
          </w:p>
        </w:tc>
      </w:tr>
      <w:tr w14:paraId="3E4DA8A6"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383A7410" w14:textId="77777777">
            <w:pPr>
              <w:jc w:val="center"/>
              <w:rPr>
                <w:szCs w:val="22"/>
              </w:rPr>
            </w:pPr>
            <w:r w:rsidRPr="00611333">
              <w:rPr>
                <w:szCs w:val="22"/>
              </w:rPr>
              <w:t>51</w:t>
            </w:r>
          </w:p>
        </w:tc>
        <w:tc>
          <w:tcPr>
            <w:tcW w:w="3129" w:type="dxa"/>
            <w:tcBorders>
              <w:top w:val="single" w:sz="4" w:space="0" w:color="auto"/>
              <w:left w:val="single" w:sz="4" w:space="0" w:color="auto"/>
              <w:bottom w:val="single" w:sz="4" w:space="0" w:color="auto"/>
            </w:tcBorders>
            <w:shd w:val="clear" w:color="auto" w:fill="auto"/>
          </w:tcPr>
          <w:p w:rsidR="00464F1F" w:rsidP="006E3BBD" w14:paraId="3583599D" w14:textId="77777777">
            <w:pPr>
              <w:jc w:val="center"/>
              <w:rPr>
                <w:szCs w:val="22"/>
              </w:rPr>
            </w:pPr>
            <w:r w:rsidRPr="00413F99">
              <w:rPr>
                <w:szCs w:val="22"/>
              </w:rPr>
              <w:t>East Texas – Houston</w:t>
            </w:r>
          </w:p>
        </w:tc>
        <w:tc>
          <w:tcPr>
            <w:tcW w:w="2655" w:type="dxa"/>
            <w:tcBorders>
              <w:top w:val="single" w:sz="4" w:space="0" w:color="auto"/>
              <w:left w:val="single" w:sz="4" w:space="0" w:color="auto"/>
              <w:bottom w:val="single" w:sz="4" w:space="0" w:color="auto"/>
            </w:tcBorders>
          </w:tcPr>
          <w:p w:rsidR="00464F1F" w:rsidRPr="0056506F" w:rsidP="006E3BBD" w14:paraId="0B11A0AC" w14:textId="77777777">
            <w:pPr>
              <w:jc w:val="center"/>
              <w:rPr>
                <w:szCs w:val="22"/>
              </w:rPr>
            </w:pPr>
            <w:r w:rsidRPr="00CB3ED7">
              <w:rPr>
                <w:szCs w:val="22"/>
              </w:rPr>
              <w:t>December 9, 2016</w:t>
            </w:r>
          </w:p>
        </w:tc>
      </w:tr>
      <w:tr w14:paraId="1385DEDC"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P="006E3BBD" w14:paraId="444BAAB1" w14:textId="77777777">
            <w:pPr>
              <w:jc w:val="center"/>
              <w:rPr>
                <w:szCs w:val="22"/>
              </w:rPr>
            </w:pPr>
            <w:r w:rsidRPr="00611333">
              <w:rPr>
                <w:szCs w:val="22"/>
              </w:rPr>
              <w:t>54</w:t>
            </w:r>
          </w:p>
        </w:tc>
        <w:tc>
          <w:tcPr>
            <w:tcW w:w="3129" w:type="dxa"/>
            <w:tcBorders>
              <w:top w:val="single" w:sz="4" w:space="0" w:color="auto"/>
              <w:left w:val="single" w:sz="4" w:space="0" w:color="auto"/>
              <w:bottom w:val="single" w:sz="4" w:space="0" w:color="auto"/>
            </w:tcBorders>
            <w:shd w:val="clear" w:color="auto" w:fill="auto"/>
          </w:tcPr>
          <w:p w:rsidR="00464F1F" w:rsidP="006E3BBD" w14:paraId="25E01F98" w14:textId="77777777">
            <w:pPr>
              <w:jc w:val="center"/>
              <w:rPr>
                <w:szCs w:val="22"/>
              </w:rPr>
            </w:pPr>
            <w:r w:rsidRPr="00413F99">
              <w:rPr>
                <w:szCs w:val="22"/>
              </w:rPr>
              <w:t>Chicago</w:t>
            </w:r>
          </w:p>
        </w:tc>
        <w:tc>
          <w:tcPr>
            <w:tcW w:w="2655" w:type="dxa"/>
            <w:tcBorders>
              <w:top w:val="single" w:sz="4" w:space="0" w:color="auto"/>
              <w:left w:val="single" w:sz="4" w:space="0" w:color="auto"/>
              <w:bottom w:val="single" w:sz="4" w:space="0" w:color="auto"/>
            </w:tcBorders>
          </w:tcPr>
          <w:p w:rsidR="00464F1F" w:rsidRPr="0056506F" w:rsidP="006E3BBD" w14:paraId="2228D526" w14:textId="77777777">
            <w:pPr>
              <w:jc w:val="center"/>
              <w:rPr>
                <w:szCs w:val="22"/>
              </w:rPr>
            </w:pPr>
            <w:r w:rsidRPr="00CB3ED7">
              <w:rPr>
                <w:szCs w:val="22"/>
              </w:rPr>
              <w:t>December 9, 2016</w:t>
            </w:r>
          </w:p>
        </w:tc>
      </w:tr>
      <w:tr w14:paraId="0E661883"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611333" w:rsidP="006E3BBD" w14:paraId="11C35F6A" w14:textId="77777777">
            <w:pPr>
              <w:jc w:val="center"/>
              <w:rPr>
                <w:szCs w:val="22"/>
              </w:rPr>
            </w:pPr>
            <w:r>
              <w:rPr>
                <w:szCs w:val="22"/>
              </w:rPr>
              <w:t>55</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0F300F8C" w14:textId="77777777">
            <w:pPr>
              <w:jc w:val="center"/>
              <w:rPr>
                <w:szCs w:val="22"/>
              </w:rPr>
            </w:pPr>
            <w:r>
              <w:rPr>
                <w:szCs w:val="22"/>
              </w:rPr>
              <w:t>Western Upstate New York</w:t>
            </w:r>
          </w:p>
        </w:tc>
        <w:tc>
          <w:tcPr>
            <w:tcW w:w="2655" w:type="dxa"/>
            <w:tcBorders>
              <w:top w:val="single" w:sz="4" w:space="0" w:color="auto"/>
              <w:left w:val="single" w:sz="4" w:space="0" w:color="auto"/>
              <w:bottom w:val="single" w:sz="4" w:space="0" w:color="auto"/>
            </w:tcBorders>
          </w:tcPr>
          <w:p w:rsidR="00464F1F" w:rsidRPr="00413F99" w:rsidP="006E3BBD" w14:paraId="41D11D84" w14:textId="77777777">
            <w:pPr>
              <w:jc w:val="center"/>
              <w:rPr>
                <w:szCs w:val="22"/>
              </w:rPr>
            </w:pPr>
            <w:r w:rsidRPr="0056506F">
              <w:rPr>
                <w:szCs w:val="22"/>
              </w:rPr>
              <w:t>December 30, 2014</w:t>
            </w:r>
          </w:p>
        </w:tc>
      </w:tr>
      <w:tr w14:paraId="728A8543" w14:textId="77777777" w:rsidTr="006E3BBD">
        <w:tblPrEx>
          <w:tblW w:w="7765" w:type="dxa"/>
          <w:tblInd w:w="1105" w:type="dxa"/>
          <w:tblLook w:val="01E0"/>
        </w:tblPrEx>
        <w:tc>
          <w:tcPr>
            <w:tcW w:w="1981" w:type="dxa"/>
            <w:tcBorders>
              <w:top w:val="single" w:sz="4" w:space="0" w:color="auto"/>
              <w:bottom w:val="single" w:sz="4" w:space="0" w:color="auto"/>
              <w:right w:val="single" w:sz="4" w:space="0" w:color="auto"/>
            </w:tcBorders>
            <w:shd w:val="clear" w:color="auto" w:fill="auto"/>
          </w:tcPr>
          <w:p w:rsidR="00464F1F" w:rsidRPr="00611333" w:rsidP="006E3BBD" w14:paraId="7DC71EF8" w14:textId="77777777">
            <w:pPr>
              <w:jc w:val="center"/>
              <w:rPr>
                <w:szCs w:val="22"/>
              </w:rPr>
            </w:pPr>
            <w:r>
              <w:rPr>
                <w:szCs w:val="22"/>
              </w:rPr>
              <w:t>64</w:t>
            </w:r>
          </w:p>
        </w:tc>
        <w:tc>
          <w:tcPr>
            <w:tcW w:w="3129" w:type="dxa"/>
            <w:tcBorders>
              <w:top w:val="single" w:sz="4" w:space="0" w:color="auto"/>
              <w:left w:val="single" w:sz="4" w:space="0" w:color="auto"/>
              <w:bottom w:val="single" w:sz="4" w:space="0" w:color="auto"/>
            </w:tcBorders>
            <w:shd w:val="clear" w:color="auto" w:fill="auto"/>
          </w:tcPr>
          <w:p w:rsidR="00464F1F" w:rsidRPr="00413F99" w:rsidP="006E3BBD" w14:paraId="5AFC17F0" w14:textId="77777777">
            <w:pPr>
              <w:jc w:val="center"/>
              <w:rPr>
                <w:szCs w:val="22"/>
              </w:rPr>
            </w:pPr>
            <w:r>
              <w:rPr>
                <w:szCs w:val="22"/>
              </w:rPr>
              <w:t>American Samoa*</w:t>
            </w:r>
          </w:p>
        </w:tc>
        <w:tc>
          <w:tcPr>
            <w:tcW w:w="2655" w:type="dxa"/>
            <w:tcBorders>
              <w:top w:val="single" w:sz="4" w:space="0" w:color="auto"/>
              <w:left w:val="single" w:sz="4" w:space="0" w:color="auto"/>
              <w:bottom w:val="single" w:sz="4" w:space="0" w:color="auto"/>
            </w:tcBorders>
          </w:tcPr>
          <w:p w:rsidR="00464F1F" w:rsidRPr="00413F99" w:rsidP="006E3BBD" w14:paraId="142F382B" w14:textId="77777777">
            <w:pPr>
              <w:jc w:val="center"/>
              <w:rPr>
                <w:szCs w:val="22"/>
              </w:rPr>
            </w:pPr>
            <w:r w:rsidRPr="0056506F">
              <w:rPr>
                <w:szCs w:val="22"/>
              </w:rPr>
              <w:t>December 30, 2014</w:t>
            </w:r>
          </w:p>
        </w:tc>
      </w:tr>
    </w:tbl>
    <w:p w:rsidR="00464F1F" w:rsidP="00464F1F" w14:paraId="47274BA8" w14:textId="77777777">
      <w:pPr>
        <w:tabs>
          <w:tab w:val="left" w:pos="-720"/>
        </w:tabs>
        <w:suppressAutoHyphens/>
        <w:ind w:left="360"/>
        <w:rPr>
          <w:szCs w:val="22"/>
        </w:rPr>
      </w:pPr>
    </w:p>
    <w:p w:rsidR="00464F1F" w:rsidP="00464F1F" w14:paraId="498E50A9" w14:textId="77777777">
      <w:pPr>
        <w:tabs>
          <w:tab w:val="left" w:pos="-720"/>
        </w:tabs>
        <w:suppressAutoHyphens/>
        <w:ind w:left="360"/>
        <w:jc w:val="center"/>
        <w:rPr>
          <w:szCs w:val="22"/>
        </w:rPr>
      </w:pPr>
    </w:p>
    <w:p w:rsidR="00464F1F" w:rsidP="00464F1F" w14:paraId="73B93B0F" w14:textId="77777777">
      <w:pPr>
        <w:tabs>
          <w:tab w:val="left" w:pos="-720"/>
        </w:tabs>
        <w:suppressAutoHyphens/>
        <w:ind w:left="360"/>
        <w:jc w:val="center"/>
        <w:rPr>
          <w:szCs w:val="22"/>
        </w:rPr>
      </w:pPr>
      <w:r>
        <w:rPr>
          <w:szCs w:val="22"/>
        </w:rPr>
        <w:t xml:space="preserve">* This is not an official NPSPAC Region, but it is subject to band reconfiguration and has been assigned a region number for purposes of searching the Vacated Channel Search Engine. </w:t>
      </w:r>
    </w:p>
    <w:p w:rsidR="00464F1F" w:rsidP="00464F1F" w14:paraId="241B9C39" w14:textId="77777777">
      <w:pPr>
        <w:tabs>
          <w:tab w:val="left" w:pos="-720"/>
        </w:tabs>
        <w:suppressAutoHyphens/>
        <w:ind w:left="360"/>
        <w:rPr>
          <w:szCs w:val="22"/>
        </w:rPr>
      </w:pPr>
    </w:p>
    <w:p w:rsidR="00464F1F" w:rsidP="00464F1F" w14:paraId="5244EE3A" w14:textId="77777777">
      <w:pPr>
        <w:tabs>
          <w:tab w:val="left" w:pos="-720"/>
        </w:tabs>
        <w:suppressAutoHyphens/>
        <w:ind w:left="360"/>
        <w:rPr>
          <w:szCs w:val="22"/>
        </w:rPr>
      </w:pPr>
      <w:r>
        <w:rPr>
          <w:szCs w:val="22"/>
        </w:rPr>
        <w:t xml:space="preserve"> </w:t>
      </w:r>
    </w:p>
    <w:p w:rsidR="00464F1F" w:rsidP="00464F1F" w14:paraId="397417C3" w14:textId="77777777">
      <w:pPr>
        <w:tabs>
          <w:tab w:val="left" w:pos="-720"/>
        </w:tabs>
        <w:suppressAutoHyphens/>
        <w:ind w:left="360"/>
        <w:jc w:val="center"/>
        <w:rPr>
          <w:b/>
          <w:szCs w:val="22"/>
        </w:rPr>
      </w:pPr>
      <w:r>
        <w:rPr>
          <w:szCs w:val="22"/>
        </w:rPr>
        <w:br w:type="page"/>
      </w:r>
      <w:r>
        <w:rPr>
          <w:b/>
          <w:szCs w:val="22"/>
        </w:rPr>
        <w:t>Attachment C</w:t>
      </w:r>
    </w:p>
    <w:p w:rsidR="00464F1F" w:rsidP="00464F1F" w14:paraId="35C074DF" w14:textId="77777777">
      <w:pPr>
        <w:tabs>
          <w:tab w:val="left" w:pos="-720"/>
        </w:tabs>
        <w:suppressAutoHyphens/>
        <w:ind w:left="360"/>
        <w:jc w:val="center"/>
        <w:rPr>
          <w:b/>
          <w:szCs w:val="22"/>
        </w:rPr>
      </w:pPr>
    </w:p>
    <w:p w:rsidR="00464F1F" w:rsidRPr="006F277A" w:rsidP="00464F1F" w14:paraId="33507178" w14:textId="1094BC85">
      <w:pPr>
        <w:tabs>
          <w:tab w:val="left" w:pos="-720"/>
        </w:tabs>
        <w:suppressAutoHyphens/>
        <w:ind w:left="360"/>
        <w:jc w:val="center"/>
        <w:rPr>
          <w:b/>
          <w:bCs/>
          <w:szCs w:val="22"/>
        </w:rPr>
      </w:pPr>
      <w:r w:rsidRPr="006F277A">
        <w:rPr>
          <w:b/>
          <w:bCs/>
          <w:szCs w:val="22"/>
        </w:rPr>
        <w:t xml:space="preserve">Counties in Previously Completed NPSPAC Regions No Longer Subject to </w:t>
      </w:r>
      <w:r w:rsidR="00F72DE6">
        <w:rPr>
          <w:b/>
          <w:bCs/>
          <w:szCs w:val="22"/>
        </w:rPr>
        <w:t xml:space="preserve">Mexico Border </w:t>
      </w:r>
      <w:r w:rsidRPr="006F277A">
        <w:rPr>
          <w:b/>
          <w:bCs/>
          <w:szCs w:val="22"/>
        </w:rPr>
        <w:t xml:space="preserve">Application Freeze </w:t>
      </w:r>
    </w:p>
    <w:p w:rsidR="00464F1F" w:rsidRPr="00D869B2" w:rsidP="00464F1F" w14:paraId="301DD5FF" w14:textId="77777777">
      <w:pPr>
        <w:tabs>
          <w:tab w:val="left" w:pos="-720"/>
        </w:tabs>
        <w:suppressAutoHyphens/>
        <w:ind w:left="360"/>
        <w:jc w:val="center"/>
      </w:pPr>
    </w:p>
    <w:tbl>
      <w:tblPr>
        <w:tblW w:w="85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2070"/>
        <w:gridCol w:w="3060"/>
      </w:tblGrid>
      <w:tr w14:paraId="0FE92D12" w14:textId="77777777" w:rsidTr="006E3BBD">
        <w:tblPrEx>
          <w:tblW w:w="85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427" w:type="dxa"/>
            <w:tcBorders>
              <w:top w:val="double" w:sz="4" w:space="0" w:color="auto"/>
              <w:left w:val="double" w:sz="4" w:space="0" w:color="auto"/>
              <w:bottom w:val="double" w:sz="4" w:space="0" w:color="auto"/>
              <w:right w:val="double" w:sz="4" w:space="0" w:color="auto"/>
            </w:tcBorders>
            <w:shd w:val="clear" w:color="auto" w:fill="F2F2F2"/>
            <w:tcMar>
              <w:top w:w="29" w:type="dxa"/>
              <w:left w:w="115" w:type="dxa"/>
              <w:right w:w="115" w:type="dxa"/>
            </w:tcMar>
          </w:tcPr>
          <w:p w:rsidR="00464F1F" w:rsidRPr="009C60DB" w:rsidP="00D869B2" w14:paraId="03A76378" w14:textId="31743349">
            <w:pPr>
              <w:tabs>
                <w:tab w:val="left" w:pos="-720"/>
              </w:tabs>
              <w:suppressAutoHyphens/>
              <w:spacing w:after="120"/>
              <w:rPr>
                <w:bCs/>
                <w:szCs w:val="22"/>
              </w:rPr>
            </w:pPr>
            <w:r>
              <w:rPr>
                <w:bCs/>
                <w:szCs w:val="22"/>
              </w:rPr>
              <w:t>NPSPAC Region</w:t>
            </w:r>
          </w:p>
        </w:tc>
        <w:tc>
          <w:tcPr>
            <w:tcW w:w="2070" w:type="dxa"/>
            <w:tcBorders>
              <w:top w:val="double" w:sz="4" w:space="0" w:color="auto"/>
              <w:left w:val="double" w:sz="4" w:space="0" w:color="auto"/>
              <w:bottom w:val="double" w:sz="4" w:space="0" w:color="auto"/>
              <w:right w:val="double" w:sz="4" w:space="0" w:color="auto"/>
            </w:tcBorders>
            <w:shd w:val="clear" w:color="auto" w:fill="F2F2F2"/>
            <w:tcMar>
              <w:top w:w="29" w:type="dxa"/>
              <w:left w:w="115" w:type="dxa"/>
              <w:right w:w="115" w:type="dxa"/>
            </w:tcMar>
          </w:tcPr>
          <w:p w:rsidR="00464F1F" w:rsidRPr="009C60DB" w:rsidP="00D869B2" w14:paraId="479F9F2D" w14:textId="51E046F1">
            <w:pPr>
              <w:tabs>
                <w:tab w:val="left" w:pos="-720"/>
              </w:tabs>
              <w:suppressAutoHyphens/>
              <w:spacing w:after="120"/>
              <w:rPr>
                <w:bCs/>
                <w:szCs w:val="22"/>
              </w:rPr>
            </w:pPr>
            <w:r w:rsidRPr="00935A3C">
              <w:rPr>
                <w:bCs/>
                <w:szCs w:val="22"/>
              </w:rPr>
              <w:t xml:space="preserve">Date </w:t>
            </w:r>
            <w:r>
              <w:rPr>
                <w:bCs/>
                <w:szCs w:val="22"/>
              </w:rPr>
              <w:t xml:space="preserve">Region </w:t>
            </w:r>
            <w:r w:rsidRPr="00935A3C">
              <w:rPr>
                <w:bCs/>
                <w:szCs w:val="22"/>
              </w:rPr>
              <w:t>Announced as Complete</w:t>
            </w:r>
          </w:p>
        </w:tc>
        <w:tc>
          <w:tcPr>
            <w:tcW w:w="3060" w:type="dxa"/>
            <w:tcBorders>
              <w:top w:val="double" w:sz="4" w:space="0" w:color="auto"/>
              <w:left w:val="double" w:sz="4" w:space="0" w:color="auto"/>
              <w:bottom w:val="double" w:sz="4" w:space="0" w:color="auto"/>
              <w:right w:val="double" w:sz="4" w:space="0" w:color="auto"/>
            </w:tcBorders>
            <w:shd w:val="clear" w:color="auto" w:fill="F2F2F2"/>
            <w:tcMar>
              <w:top w:w="29" w:type="dxa"/>
              <w:left w:w="115" w:type="dxa"/>
              <w:right w:w="115" w:type="dxa"/>
            </w:tcMar>
          </w:tcPr>
          <w:p w:rsidR="00464F1F" w:rsidRPr="00357BAB" w:rsidP="006E3BBD" w14:paraId="51AA5E1C" w14:textId="77777777">
            <w:pPr>
              <w:tabs>
                <w:tab w:val="left" w:pos="-720"/>
              </w:tabs>
              <w:suppressAutoHyphens/>
              <w:spacing w:after="120"/>
              <w:ind w:left="-20"/>
              <w:rPr>
                <w:bCs/>
                <w:szCs w:val="22"/>
              </w:rPr>
            </w:pPr>
            <w:r>
              <w:rPr>
                <w:bCs/>
                <w:szCs w:val="22"/>
              </w:rPr>
              <w:t>Counties Where Application Freeze is Being Lifted as of This Public Notice</w:t>
            </w:r>
          </w:p>
        </w:tc>
      </w:tr>
      <w:tr w14:paraId="5DEF7FB7" w14:textId="77777777" w:rsidTr="006E3BBD">
        <w:tblPrEx>
          <w:tblW w:w="8557" w:type="dxa"/>
          <w:tblInd w:w="828" w:type="dxa"/>
          <w:tblLook w:val="04A0"/>
        </w:tblPrEx>
        <w:tc>
          <w:tcPr>
            <w:tcW w:w="3427" w:type="dxa"/>
            <w:tcBorders>
              <w:top w:val="double" w:sz="4" w:space="0" w:color="auto"/>
              <w:left w:val="double" w:sz="4" w:space="0" w:color="auto"/>
              <w:bottom w:val="double" w:sz="4" w:space="0" w:color="auto"/>
              <w:right w:val="double" w:sz="4" w:space="0" w:color="auto"/>
            </w:tcBorders>
            <w:shd w:val="clear" w:color="auto" w:fill="auto"/>
            <w:tcMar>
              <w:top w:w="29" w:type="dxa"/>
              <w:left w:w="115" w:type="dxa"/>
              <w:right w:w="115" w:type="dxa"/>
            </w:tcMar>
          </w:tcPr>
          <w:p w:rsidR="00464F1F" w:rsidRPr="009C60DB" w:rsidP="00D869B2" w14:paraId="7F72B74B" w14:textId="7E3893C2">
            <w:pPr>
              <w:tabs>
                <w:tab w:val="left" w:pos="-720"/>
              </w:tabs>
              <w:suppressAutoHyphens/>
              <w:rPr>
                <w:bCs/>
                <w:szCs w:val="22"/>
              </w:rPr>
            </w:pPr>
            <w:r>
              <w:rPr>
                <w:bCs/>
                <w:szCs w:val="22"/>
              </w:rPr>
              <w:t>Region 7 – Colorado</w:t>
            </w:r>
          </w:p>
        </w:tc>
        <w:tc>
          <w:tcPr>
            <w:tcW w:w="2070" w:type="dxa"/>
            <w:tcBorders>
              <w:top w:val="double" w:sz="4" w:space="0" w:color="auto"/>
              <w:left w:val="double" w:sz="4" w:space="0" w:color="auto"/>
              <w:bottom w:val="double" w:sz="4" w:space="0" w:color="auto"/>
              <w:right w:val="double" w:sz="4" w:space="0" w:color="auto"/>
            </w:tcBorders>
            <w:shd w:val="clear" w:color="auto" w:fill="auto"/>
            <w:tcMar>
              <w:top w:w="29" w:type="dxa"/>
              <w:left w:w="115" w:type="dxa"/>
              <w:right w:w="115" w:type="dxa"/>
            </w:tcMar>
          </w:tcPr>
          <w:p w:rsidR="00464F1F" w:rsidRPr="009C60DB" w:rsidP="00D869B2" w14:paraId="6EEEBB71" w14:textId="5B89721C">
            <w:pPr>
              <w:tabs>
                <w:tab w:val="left" w:pos="-720"/>
              </w:tabs>
              <w:suppressAutoHyphens/>
              <w:rPr>
                <w:bCs/>
                <w:szCs w:val="22"/>
              </w:rPr>
            </w:pPr>
            <w:r w:rsidRPr="00935A3C">
              <w:rPr>
                <w:bCs/>
                <w:szCs w:val="22"/>
              </w:rPr>
              <w:t>November 27, 2012</w:t>
            </w:r>
          </w:p>
        </w:tc>
        <w:tc>
          <w:tcPr>
            <w:tcW w:w="3060" w:type="dxa"/>
            <w:tcBorders>
              <w:top w:val="double" w:sz="4" w:space="0" w:color="auto"/>
              <w:left w:val="double" w:sz="4" w:space="0" w:color="auto"/>
              <w:bottom w:val="double" w:sz="4" w:space="0" w:color="auto"/>
              <w:right w:val="double" w:sz="4" w:space="0" w:color="auto"/>
            </w:tcBorders>
            <w:tcMar>
              <w:top w:w="29" w:type="dxa"/>
              <w:left w:w="115" w:type="dxa"/>
              <w:right w:w="115" w:type="dxa"/>
            </w:tcMar>
          </w:tcPr>
          <w:p w:rsidR="00464F1F" w:rsidP="006E3BBD" w14:paraId="5799E05A" w14:textId="77777777">
            <w:pPr>
              <w:tabs>
                <w:tab w:val="left" w:pos="-720"/>
              </w:tabs>
              <w:suppressAutoHyphens/>
              <w:rPr>
                <w:bCs/>
                <w:szCs w:val="22"/>
              </w:rPr>
            </w:pPr>
            <w:r w:rsidRPr="00ED044A">
              <w:rPr>
                <w:bCs/>
                <w:szCs w:val="22"/>
              </w:rPr>
              <w:t>Alamosa</w:t>
            </w:r>
            <w:r>
              <w:rPr>
                <w:bCs/>
                <w:szCs w:val="22"/>
              </w:rPr>
              <w:t xml:space="preserve">, </w:t>
            </w:r>
            <w:r w:rsidRPr="00ED044A">
              <w:rPr>
                <w:bCs/>
                <w:szCs w:val="22"/>
              </w:rPr>
              <w:t>Archuleta</w:t>
            </w:r>
            <w:r>
              <w:rPr>
                <w:bCs/>
                <w:szCs w:val="22"/>
              </w:rPr>
              <w:t xml:space="preserve">, </w:t>
            </w:r>
            <w:r w:rsidRPr="00ED044A">
              <w:rPr>
                <w:bCs/>
                <w:szCs w:val="22"/>
              </w:rPr>
              <w:t>Baca</w:t>
            </w:r>
            <w:r>
              <w:rPr>
                <w:bCs/>
                <w:szCs w:val="22"/>
              </w:rPr>
              <w:t xml:space="preserve">, </w:t>
            </w:r>
            <w:r w:rsidRPr="00ED044A">
              <w:rPr>
                <w:bCs/>
                <w:szCs w:val="22"/>
              </w:rPr>
              <w:t>Bent</w:t>
            </w:r>
            <w:r>
              <w:rPr>
                <w:bCs/>
                <w:szCs w:val="22"/>
              </w:rPr>
              <w:t xml:space="preserve">, </w:t>
            </w:r>
            <w:r w:rsidRPr="00ED044A">
              <w:rPr>
                <w:bCs/>
                <w:szCs w:val="22"/>
              </w:rPr>
              <w:t>Conejos</w:t>
            </w:r>
            <w:r>
              <w:rPr>
                <w:bCs/>
                <w:szCs w:val="22"/>
              </w:rPr>
              <w:t xml:space="preserve">, </w:t>
            </w:r>
            <w:r w:rsidRPr="00ED044A">
              <w:rPr>
                <w:bCs/>
                <w:szCs w:val="22"/>
              </w:rPr>
              <w:t>Costilla</w:t>
            </w:r>
            <w:r>
              <w:rPr>
                <w:bCs/>
                <w:szCs w:val="22"/>
              </w:rPr>
              <w:t xml:space="preserve">, </w:t>
            </w:r>
            <w:r w:rsidRPr="00ED044A">
              <w:rPr>
                <w:bCs/>
                <w:szCs w:val="22"/>
              </w:rPr>
              <w:t>Custer</w:t>
            </w:r>
            <w:r>
              <w:rPr>
                <w:bCs/>
                <w:szCs w:val="22"/>
              </w:rPr>
              <w:t xml:space="preserve">, </w:t>
            </w:r>
            <w:r w:rsidRPr="00ED044A">
              <w:rPr>
                <w:bCs/>
                <w:szCs w:val="22"/>
              </w:rPr>
              <w:t>Dolores</w:t>
            </w:r>
            <w:r>
              <w:rPr>
                <w:bCs/>
                <w:szCs w:val="22"/>
              </w:rPr>
              <w:t xml:space="preserve">, </w:t>
            </w:r>
            <w:r w:rsidRPr="00ED044A">
              <w:rPr>
                <w:bCs/>
                <w:szCs w:val="22"/>
              </w:rPr>
              <w:t>Hinsdale</w:t>
            </w:r>
            <w:r>
              <w:rPr>
                <w:bCs/>
                <w:szCs w:val="22"/>
              </w:rPr>
              <w:t xml:space="preserve">, </w:t>
            </w:r>
            <w:r w:rsidRPr="00ED044A">
              <w:rPr>
                <w:bCs/>
                <w:szCs w:val="22"/>
              </w:rPr>
              <w:t>Huerfano</w:t>
            </w:r>
            <w:r>
              <w:rPr>
                <w:bCs/>
                <w:szCs w:val="22"/>
              </w:rPr>
              <w:t xml:space="preserve">, </w:t>
            </w:r>
            <w:r w:rsidRPr="00ED044A">
              <w:rPr>
                <w:bCs/>
                <w:szCs w:val="22"/>
              </w:rPr>
              <w:t>La Plata</w:t>
            </w:r>
            <w:r>
              <w:rPr>
                <w:bCs/>
                <w:szCs w:val="22"/>
              </w:rPr>
              <w:t xml:space="preserve">, </w:t>
            </w:r>
            <w:r w:rsidRPr="00ED044A">
              <w:rPr>
                <w:bCs/>
                <w:szCs w:val="22"/>
              </w:rPr>
              <w:t>Las Animas</w:t>
            </w:r>
            <w:r>
              <w:rPr>
                <w:bCs/>
                <w:szCs w:val="22"/>
              </w:rPr>
              <w:t xml:space="preserve">, </w:t>
            </w:r>
            <w:r w:rsidRPr="00ED044A">
              <w:rPr>
                <w:bCs/>
                <w:szCs w:val="22"/>
              </w:rPr>
              <w:t>Mineral</w:t>
            </w:r>
            <w:r>
              <w:rPr>
                <w:bCs/>
                <w:szCs w:val="22"/>
              </w:rPr>
              <w:t xml:space="preserve"> </w:t>
            </w:r>
            <w:r w:rsidRPr="00ED044A">
              <w:rPr>
                <w:bCs/>
                <w:szCs w:val="22"/>
              </w:rPr>
              <w:t>Montezuma</w:t>
            </w:r>
            <w:r>
              <w:rPr>
                <w:bCs/>
                <w:szCs w:val="22"/>
              </w:rPr>
              <w:t xml:space="preserve">, </w:t>
            </w:r>
            <w:r w:rsidRPr="00ED044A">
              <w:rPr>
                <w:bCs/>
                <w:szCs w:val="22"/>
              </w:rPr>
              <w:t>Otero</w:t>
            </w:r>
            <w:r>
              <w:rPr>
                <w:bCs/>
                <w:szCs w:val="22"/>
              </w:rPr>
              <w:t xml:space="preserve">, </w:t>
            </w:r>
            <w:r w:rsidRPr="00ED044A">
              <w:rPr>
                <w:bCs/>
                <w:szCs w:val="22"/>
              </w:rPr>
              <w:t>Ouray</w:t>
            </w:r>
            <w:r>
              <w:rPr>
                <w:bCs/>
                <w:szCs w:val="22"/>
              </w:rPr>
              <w:t xml:space="preserve">, </w:t>
            </w:r>
            <w:r w:rsidRPr="00ED044A">
              <w:rPr>
                <w:bCs/>
                <w:szCs w:val="22"/>
              </w:rPr>
              <w:t>Prowers</w:t>
            </w:r>
            <w:r>
              <w:rPr>
                <w:bCs/>
                <w:szCs w:val="22"/>
              </w:rPr>
              <w:t xml:space="preserve">, </w:t>
            </w:r>
            <w:r w:rsidRPr="00ED044A">
              <w:rPr>
                <w:bCs/>
                <w:szCs w:val="22"/>
              </w:rPr>
              <w:t>Pueblo</w:t>
            </w:r>
            <w:r>
              <w:rPr>
                <w:bCs/>
                <w:szCs w:val="22"/>
              </w:rPr>
              <w:t xml:space="preserve">, </w:t>
            </w:r>
            <w:r w:rsidRPr="00ED044A">
              <w:rPr>
                <w:bCs/>
                <w:szCs w:val="22"/>
              </w:rPr>
              <w:t>Rio Grande</w:t>
            </w:r>
            <w:r>
              <w:rPr>
                <w:bCs/>
                <w:szCs w:val="22"/>
              </w:rPr>
              <w:t xml:space="preserve">, </w:t>
            </w:r>
            <w:r w:rsidRPr="00ED044A">
              <w:rPr>
                <w:bCs/>
                <w:szCs w:val="22"/>
              </w:rPr>
              <w:t>Saguache</w:t>
            </w:r>
            <w:r>
              <w:rPr>
                <w:bCs/>
                <w:szCs w:val="22"/>
              </w:rPr>
              <w:t xml:space="preserve">, </w:t>
            </w:r>
            <w:r w:rsidRPr="00ED044A">
              <w:rPr>
                <w:bCs/>
                <w:szCs w:val="22"/>
              </w:rPr>
              <w:t>San Juan</w:t>
            </w:r>
            <w:r>
              <w:rPr>
                <w:bCs/>
                <w:szCs w:val="22"/>
              </w:rPr>
              <w:t xml:space="preserve">, </w:t>
            </w:r>
            <w:r w:rsidRPr="00ED044A">
              <w:rPr>
                <w:bCs/>
                <w:szCs w:val="22"/>
              </w:rPr>
              <w:t>San Miguel</w:t>
            </w:r>
          </w:p>
          <w:p w:rsidR="00464F1F" w:rsidRPr="00357BAB" w:rsidP="006E3BBD" w14:paraId="4540B1BD" w14:textId="77777777">
            <w:pPr>
              <w:tabs>
                <w:tab w:val="left" w:pos="-720"/>
              </w:tabs>
              <w:suppressAutoHyphens/>
              <w:rPr>
                <w:bCs/>
                <w:szCs w:val="22"/>
              </w:rPr>
            </w:pPr>
          </w:p>
        </w:tc>
      </w:tr>
      <w:tr w14:paraId="3F7121E4" w14:textId="77777777" w:rsidTr="006E3BBD">
        <w:tblPrEx>
          <w:tblW w:w="8557" w:type="dxa"/>
          <w:tblInd w:w="828" w:type="dxa"/>
          <w:tblLook w:val="04A0"/>
        </w:tblPrEx>
        <w:tc>
          <w:tcPr>
            <w:tcW w:w="3427" w:type="dxa"/>
            <w:tcBorders>
              <w:top w:val="double" w:sz="4" w:space="0" w:color="auto"/>
              <w:left w:val="double" w:sz="4" w:space="0" w:color="auto"/>
              <w:bottom w:val="double" w:sz="4" w:space="0" w:color="auto"/>
              <w:right w:val="double" w:sz="4" w:space="0" w:color="auto"/>
            </w:tcBorders>
            <w:shd w:val="clear" w:color="auto" w:fill="auto"/>
            <w:tcMar>
              <w:top w:w="29" w:type="dxa"/>
              <w:left w:w="115" w:type="dxa"/>
              <w:right w:w="115" w:type="dxa"/>
            </w:tcMar>
          </w:tcPr>
          <w:p w:rsidR="00464F1F" w:rsidRPr="009C60DB" w:rsidP="006E3BBD" w14:paraId="48038A70" w14:textId="77777777">
            <w:pPr>
              <w:tabs>
                <w:tab w:val="left" w:pos="-720"/>
              </w:tabs>
              <w:suppressAutoHyphens/>
              <w:rPr>
                <w:bCs/>
                <w:szCs w:val="22"/>
              </w:rPr>
            </w:pPr>
            <w:r>
              <w:rPr>
                <w:bCs/>
                <w:szCs w:val="22"/>
              </w:rPr>
              <w:t>Region 16 – Kansas</w:t>
            </w:r>
          </w:p>
        </w:tc>
        <w:tc>
          <w:tcPr>
            <w:tcW w:w="2070" w:type="dxa"/>
            <w:tcBorders>
              <w:top w:val="double" w:sz="4" w:space="0" w:color="auto"/>
              <w:left w:val="double" w:sz="4" w:space="0" w:color="auto"/>
              <w:bottom w:val="double" w:sz="4" w:space="0" w:color="auto"/>
              <w:right w:val="double" w:sz="4" w:space="0" w:color="auto"/>
            </w:tcBorders>
            <w:shd w:val="clear" w:color="auto" w:fill="auto"/>
            <w:tcMar>
              <w:top w:w="29" w:type="dxa"/>
              <w:left w:w="115" w:type="dxa"/>
              <w:right w:w="115" w:type="dxa"/>
            </w:tcMar>
          </w:tcPr>
          <w:p w:rsidR="00464F1F" w:rsidP="006E3BBD" w14:paraId="4AE2C74C" w14:textId="77777777">
            <w:pPr>
              <w:tabs>
                <w:tab w:val="left" w:pos="-720"/>
              </w:tabs>
              <w:suppressAutoHyphens/>
              <w:rPr>
                <w:bCs/>
                <w:szCs w:val="22"/>
              </w:rPr>
            </w:pPr>
            <w:r w:rsidRPr="00B87E2D">
              <w:rPr>
                <w:bCs/>
                <w:szCs w:val="22"/>
              </w:rPr>
              <w:t>December 30, 2014</w:t>
            </w:r>
          </w:p>
          <w:p w:rsidR="00464F1F" w:rsidRPr="009C60DB" w:rsidP="006E3BBD" w14:paraId="79049BED" w14:textId="77777777">
            <w:pPr>
              <w:tabs>
                <w:tab w:val="left" w:pos="-720"/>
              </w:tabs>
              <w:suppressAutoHyphens/>
              <w:rPr>
                <w:bCs/>
                <w:szCs w:val="22"/>
              </w:rPr>
            </w:pPr>
          </w:p>
        </w:tc>
        <w:tc>
          <w:tcPr>
            <w:tcW w:w="3060" w:type="dxa"/>
            <w:tcBorders>
              <w:top w:val="double" w:sz="4" w:space="0" w:color="auto"/>
              <w:left w:val="double" w:sz="4" w:space="0" w:color="auto"/>
              <w:bottom w:val="double" w:sz="4" w:space="0" w:color="auto"/>
              <w:right w:val="double" w:sz="4" w:space="0" w:color="auto"/>
            </w:tcBorders>
            <w:tcMar>
              <w:top w:w="29" w:type="dxa"/>
              <w:left w:w="115" w:type="dxa"/>
              <w:right w:w="115" w:type="dxa"/>
            </w:tcMar>
          </w:tcPr>
          <w:p w:rsidR="00464F1F" w:rsidRPr="00357BAB" w:rsidP="006E3BBD" w14:paraId="40DED3D3" w14:textId="77777777">
            <w:pPr>
              <w:tabs>
                <w:tab w:val="left" w:pos="-720"/>
              </w:tabs>
              <w:suppressAutoHyphens/>
              <w:rPr>
                <w:bCs/>
                <w:szCs w:val="22"/>
              </w:rPr>
            </w:pPr>
            <w:r w:rsidRPr="00B87E2D">
              <w:rPr>
                <w:bCs/>
                <w:szCs w:val="22"/>
              </w:rPr>
              <w:t>Morton</w:t>
            </w:r>
            <w:r>
              <w:rPr>
                <w:bCs/>
                <w:szCs w:val="22"/>
              </w:rPr>
              <w:t xml:space="preserve">, </w:t>
            </w:r>
            <w:r w:rsidRPr="00B87E2D">
              <w:rPr>
                <w:bCs/>
                <w:szCs w:val="22"/>
              </w:rPr>
              <w:t>Stanton</w:t>
            </w:r>
          </w:p>
        </w:tc>
      </w:tr>
      <w:tr w14:paraId="0CE96B8E" w14:textId="77777777" w:rsidTr="006E3BBD">
        <w:tblPrEx>
          <w:tblW w:w="8557" w:type="dxa"/>
          <w:tblInd w:w="828" w:type="dxa"/>
          <w:tblLook w:val="04A0"/>
        </w:tblPrEx>
        <w:tc>
          <w:tcPr>
            <w:tcW w:w="3427" w:type="dxa"/>
            <w:tcBorders>
              <w:top w:val="double" w:sz="4" w:space="0" w:color="auto"/>
              <w:left w:val="double" w:sz="4" w:space="0" w:color="auto"/>
              <w:bottom w:val="double" w:sz="4" w:space="0" w:color="auto"/>
              <w:right w:val="double" w:sz="4" w:space="0" w:color="auto"/>
            </w:tcBorders>
            <w:shd w:val="clear" w:color="auto" w:fill="auto"/>
            <w:tcMar>
              <w:top w:w="29" w:type="dxa"/>
              <w:left w:w="115" w:type="dxa"/>
              <w:right w:w="115" w:type="dxa"/>
            </w:tcMar>
          </w:tcPr>
          <w:p w:rsidR="00464F1F" w:rsidRPr="009C60DB" w:rsidP="006E3BBD" w14:paraId="722DF24E" w14:textId="77777777">
            <w:pPr>
              <w:tabs>
                <w:tab w:val="left" w:pos="-720"/>
              </w:tabs>
              <w:suppressAutoHyphens/>
              <w:rPr>
                <w:bCs/>
                <w:szCs w:val="22"/>
              </w:rPr>
            </w:pPr>
            <w:r>
              <w:rPr>
                <w:bCs/>
                <w:szCs w:val="22"/>
              </w:rPr>
              <w:t>Region 41 – Utah</w:t>
            </w:r>
          </w:p>
        </w:tc>
        <w:tc>
          <w:tcPr>
            <w:tcW w:w="2070" w:type="dxa"/>
            <w:tcBorders>
              <w:top w:val="double" w:sz="4" w:space="0" w:color="auto"/>
              <w:left w:val="double" w:sz="4" w:space="0" w:color="auto"/>
              <w:bottom w:val="double" w:sz="4" w:space="0" w:color="auto"/>
              <w:right w:val="double" w:sz="4" w:space="0" w:color="auto"/>
            </w:tcBorders>
            <w:shd w:val="clear" w:color="auto" w:fill="auto"/>
            <w:tcMar>
              <w:top w:w="29" w:type="dxa"/>
              <w:left w:w="115" w:type="dxa"/>
              <w:right w:w="115" w:type="dxa"/>
            </w:tcMar>
          </w:tcPr>
          <w:p w:rsidR="00464F1F" w:rsidRPr="009C60DB" w:rsidP="006E3BBD" w14:paraId="67B5894D" w14:textId="77777777">
            <w:pPr>
              <w:tabs>
                <w:tab w:val="left" w:pos="-720"/>
              </w:tabs>
              <w:suppressAutoHyphens/>
              <w:rPr>
                <w:bCs/>
                <w:szCs w:val="22"/>
              </w:rPr>
            </w:pPr>
            <w:r w:rsidRPr="00B87E2D">
              <w:rPr>
                <w:bCs/>
                <w:szCs w:val="22"/>
              </w:rPr>
              <w:t>November 27, 2012</w:t>
            </w:r>
          </w:p>
        </w:tc>
        <w:tc>
          <w:tcPr>
            <w:tcW w:w="3060" w:type="dxa"/>
            <w:tcBorders>
              <w:top w:val="double" w:sz="4" w:space="0" w:color="auto"/>
              <w:left w:val="double" w:sz="4" w:space="0" w:color="auto"/>
              <w:bottom w:val="double" w:sz="4" w:space="0" w:color="auto"/>
              <w:right w:val="double" w:sz="4" w:space="0" w:color="auto"/>
            </w:tcBorders>
            <w:tcMar>
              <w:top w:w="29" w:type="dxa"/>
              <w:left w:w="115" w:type="dxa"/>
              <w:right w:w="115" w:type="dxa"/>
            </w:tcMar>
          </w:tcPr>
          <w:p w:rsidR="00464F1F" w:rsidP="006E3BBD" w14:paraId="3A614FA0" w14:textId="77777777">
            <w:pPr>
              <w:tabs>
                <w:tab w:val="left" w:pos="-720"/>
              </w:tabs>
              <w:suppressAutoHyphens/>
              <w:rPr>
                <w:bCs/>
                <w:szCs w:val="22"/>
              </w:rPr>
            </w:pPr>
            <w:r w:rsidRPr="00B87E2D">
              <w:rPr>
                <w:bCs/>
                <w:szCs w:val="22"/>
              </w:rPr>
              <w:t>Garfield</w:t>
            </w:r>
            <w:r>
              <w:rPr>
                <w:bCs/>
                <w:szCs w:val="22"/>
              </w:rPr>
              <w:t xml:space="preserve">, </w:t>
            </w:r>
            <w:r w:rsidRPr="00B87E2D">
              <w:rPr>
                <w:bCs/>
                <w:szCs w:val="22"/>
              </w:rPr>
              <w:t>Iron</w:t>
            </w:r>
            <w:r>
              <w:rPr>
                <w:bCs/>
                <w:szCs w:val="22"/>
              </w:rPr>
              <w:t xml:space="preserve">, </w:t>
            </w:r>
            <w:r w:rsidRPr="00B87E2D">
              <w:rPr>
                <w:bCs/>
                <w:szCs w:val="22"/>
              </w:rPr>
              <w:t>Kane</w:t>
            </w:r>
            <w:r>
              <w:rPr>
                <w:bCs/>
                <w:szCs w:val="22"/>
              </w:rPr>
              <w:t xml:space="preserve">, </w:t>
            </w:r>
            <w:r w:rsidRPr="00B87E2D">
              <w:rPr>
                <w:bCs/>
                <w:szCs w:val="22"/>
              </w:rPr>
              <w:t>San Juan</w:t>
            </w:r>
            <w:r>
              <w:rPr>
                <w:bCs/>
                <w:szCs w:val="22"/>
              </w:rPr>
              <w:t xml:space="preserve">, </w:t>
            </w:r>
            <w:r w:rsidRPr="00B87E2D">
              <w:rPr>
                <w:bCs/>
                <w:szCs w:val="22"/>
              </w:rPr>
              <w:t>Washington</w:t>
            </w:r>
          </w:p>
          <w:p w:rsidR="00464F1F" w:rsidRPr="00357BAB" w:rsidP="006E3BBD" w14:paraId="4238823E" w14:textId="77777777">
            <w:pPr>
              <w:tabs>
                <w:tab w:val="left" w:pos="-720"/>
              </w:tabs>
              <w:suppressAutoHyphens/>
              <w:rPr>
                <w:bCs/>
                <w:szCs w:val="22"/>
              </w:rPr>
            </w:pPr>
          </w:p>
        </w:tc>
      </w:tr>
      <w:tr w14:paraId="11B0D141" w14:textId="77777777" w:rsidTr="00D869B2">
        <w:tblPrEx>
          <w:tblW w:w="8557" w:type="dxa"/>
          <w:tblInd w:w="828" w:type="dxa"/>
          <w:tblLook w:val="04A0"/>
        </w:tblPrEx>
        <w:tc>
          <w:tcPr>
            <w:tcW w:w="3427" w:type="dxa"/>
            <w:tcBorders>
              <w:top w:val="double" w:sz="4" w:space="0" w:color="auto"/>
              <w:left w:val="double" w:sz="4" w:space="0" w:color="auto"/>
              <w:bottom w:val="double" w:sz="4" w:space="0" w:color="auto"/>
              <w:right w:val="double" w:sz="4" w:space="0" w:color="auto"/>
            </w:tcBorders>
            <w:tcMar>
              <w:top w:w="29" w:type="dxa"/>
              <w:left w:w="115" w:type="dxa"/>
              <w:right w:w="115" w:type="dxa"/>
            </w:tcMar>
          </w:tcPr>
          <w:p w:rsidR="00D869B2" w:rsidP="00D869B2" w14:paraId="3BBAC294" w14:textId="77777777">
            <w:pPr>
              <w:tabs>
                <w:tab w:val="left" w:pos="-720"/>
              </w:tabs>
              <w:suppressAutoHyphens/>
              <w:rPr>
                <w:bCs/>
                <w:szCs w:val="22"/>
              </w:rPr>
            </w:pPr>
            <w:r>
              <w:rPr>
                <w:bCs/>
                <w:szCs w:val="22"/>
              </w:rPr>
              <w:t xml:space="preserve">Region 51 – </w:t>
            </w:r>
            <w:r w:rsidRPr="00170C2D">
              <w:rPr>
                <w:bCs/>
                <w:szCs w:val="22"/>
              </w:rPr>
              <w:t xml:space="preserve">East Texas </w:t>
            </w:r>
            <w:r>
              <w:rPr>
                <w:bCs/>
                <w:szCs w:val="22"/>
              </w:rPr>
              <w:t>(</w:t>
            </w:r>
            <w:r w:rsidRPr="00170C2D">
              <w:rPr>
                <w:bCs/>
                <w:szCs w:val="22"/>
              </w:rPr>
              <w:t>Houston</w:t>
            </w:r>
            <w:r>
              <w:rPr>
                <w:bCs/>
                <w:szCs w:val="22"/>
              </w:rPr>
              <w:t>)</w:t>
            </w:r>
          </w:p>
        </w:tc>
        <w:tc>
          <w:tcPr>
            <w:tcW w:w="2070" w:type="dxa"/>
            <w:tcBorders>
              <w:top w:val="double" w:sz="4" w:space="0" w:color="auto"/>
              <w:left w:val="double" w:sz="4" w:space="0" w:color="auto"/>
              <w:bottom w:val="double" w:sz="4" w:space="0" w:color="auto"/>
              <w:right w:val="double" w:sz="4" w:space="0" w:color="auto"/>
            </w:tcBorders>
            <w:shd w:val="clear" w:color="auto" w:fill="auto"/>
            <w:tcMar>
              <w:top w:w="29" w:type="dxa"/>
              <w:left w:w="115" w:type="dxa"/>
              <w:right w:w="115" w:type="dxa"/>
            </w:tcMar>
          </w:tcPr>
          <w:p w:rsidR="00D869B2" w:rsidRPr="00B87E2D" w:rsidP="006E3BBD" w14:paraId="06C76F53" w14:textId="77777777">
            <w:pPr>
              <w:tabs>
                <w:tab w:val="left" w:pos="-720"/>
              </w:tabs>
              <w:suppressAutoHyphens/>
              <w:jc w:val="both"/>
              <w:rPr>
                <w:bCs/>
                <w:szCs w:val="22"/>
              </w:rPr>
            </w:pPr>
            <w:r w:rsidRPr="00CB3ED7">
              <w:rPr>
                <w:szCs w:val="22"/>
              </w:rPr>
              <w:t>December 9, 2016</w:t>
            </w:r>
          </w:p>
        </w:tc>
        <w:tc>
          <w:tcPr>
            <w:tcW w:w="3060" w:type="dxa"/>
            <w:tcBorders>
              <w:top w:val="double" w:sz="4" w:space="0" w:color="auto"/>
              <w:left w:val="double" w:sz="4" w:space="0" w:color="auto"/>
              <w:bottom w:val="double" w:sz="4" w:space="0" w:color="auto"/>
              <w:right w:val="double" w:sz="4" w:space="0" w:color="auto"/>
            </w:tcBorders>
            <w:shd w:val="clear" w:color="auto" w:fill="auto"/>
            <w:tcMar>
              <w:top w:w="29" w:type="dxa"/>
              <w:left w:w="115" w:type="dxa"/>
              <w:right w:w="115" w:type="dxa"/>
            </w:tcMar>
          </w:tcPr>
          <w:p w:rsidR="00D869B2" w:rsidRPr="00B87E2D" w:rsidP="006E3BBD" w14:paraId="2C06888A" w14:textId="77777777">
            <w:pPr>
              <w:tabs>
                <w:tab w:val="left" w:pos="-720"/>
              </w:tabs>
              <w:suppressAutoHyphens/>
              <w:rPr>
                <w:bCs/>
                <w:szCs w:val="22"/>
              </w:rPr>
            </w:pPr>
            <w:r w:rsidRPr="00170C2D">
              <w:rPr>
                <w:bCs/>
                <w:szCs w:val="22"/>
              </w:rPr>
              <w:t>Austin</w:t>
            </w:r>
            <w:r>
              <w:rPr>
                <w:bCs/>
                <w:szCs w:val="22"/>
              </w:rPr>
              <w:t xml:space="preserve">, </w:t>
            </w:r>
            <w:r w:rsidRPr="00170C2D">
              <w:rPr>
                <w:bCs/>
                <w:szCs w:val="22"/>
              </w:rPr>
              <w:t>Brazoria</w:t>
            </w:r>
            <w:r>
              <w:rPr>
                <w:bCs/>
                <w:szCs w:val="22"/>
              </w:rPr>
              <w:t xml:space="preserve">, </w:t>
            </w:r>
            <w:r w:rsidRPr="00170C2D">
              <w:rPr>
                <w:bCs/>
                <w:szCs w:val="22"/>
              </w:rPr>
              <w:t>Colorado</w:t>
            </w:r>
            <w:r>
              <w:rPr>
                <w:bCs/>
                <w:szCs w:val="22"/>
              </w:rPr>
              <w:t xml:space="preserve">, </w:t>
            </w:r>
            <w:r w:rsidRPr="00170C2D">
              <w:rPr>
                <w:bCs/>
                <w:szCs w:val="22"/>
              </w:rPr>
              <w:t>Fort Bend</w:t>
            </w:r>
            <w:r>
              <w:rPr>
                <w:bCs/>
                <w:szCs w:val="22"/>
              </w:rPr>
              <w:t xml:space="preserve">, </w:t>
            </w:r>
            <w:r w:rsidRPr="00170C2D">
              <w:rPr>
                <w:bCs/>
                <w:szCs w:val="22"/>
              </w:rPr>
              <w:t>Grimes</w:t>
            </w:r>
            <w:r>
              <w:rPr>
                <w:bCs/>
                <w:szCs w:val="22"/>
              </w:rPr>
              <w:t xml:space="preserve">, </w:t>
            </w:r>
            <w:r w:rsidRPr="00170C2D">
              <w:rPr>
                <w:bCs/>
                <w:szCs w:val="22"/>
              </w:rPr>
              <w:t>Harris</w:t>
            </w:r>
            <w:r>
              <w:rPr>
                <w:bCs/>
                <w:szCs w:val="22"/>
              </w:rPr>
              <w:t xml:space="preserve">, </w:t>
            </w:r>
            <w:r w:rsidRPr="00170C2D">
              <w:rPr>
                <w:bCs/>
                <w:szCs w:val="22"/>
              </w:rPr>
              <w:t>Matagorda</w:t>
            </w:r>
            <w:r>
              <w:rPr>
                <w:bCs/>
                <w:szCs w:val="22"/>
              </w:rPr>
              <w:t xml:space="preserve">, </w:t>
            </w:r>
            <w:r w:rsidRPr="00170C2D">
              <w:rPr>
                <w:bCs/>
                <w:szCs w:val="22"/>
              </w:rPr>
              <w:t>Montgomery</w:t>
            </w:r>
            <w:r>
              <w:rPr>
                <w:bCs/>
                <w:szCs w:val="22"/>
              </w:rPr>
              <w:t xml:space="preserve">, </w:t>
            </w:r>
            <w:r w:rsidRPr="00170C2D">
              <w:rPr>
                <w:bCs/>
                <w:szCs w:val="22"/>
              </w:rPr>
              <w:t>Waller</w:t>
            </w:r>
            <w:r>
              <w:rPr>
                <w:bCs/>
                <w:szCs w:val="22"/>
              </w:rPr>
              <w:t xml:space="preserve">, </w:t>
            </w:r>
            <w:r w:rsidRPr="00170C2D">
              <w:rPr>
                <w:bCs/>
                <w:szCs w:val="22"/>
              </w:rPr>
              <w:t>Wharton</w:t>
            </w:r>
          </w:p>
        </w:tc>
      </w:tr>
    </w:tbl>
    <w:p w:rsidR="00464F1F" w:rsidRPr="00D869B2" w:rsidP="00464F1F" w14:paraId="277F0687" w14:textId="77777777">
      <w:pPr>
        <w:tabs>
          <w:tab w:val="left" w:pos="-720"/>
        </w:tabs>
        <w:suppressAutoHyphens/>
        <w:ind w:left="360"/>
        <w:jc w:val="center"/>
      </w:pPr>
    </w:p>
    <w:p w:rsidR="00702187" w:rsidRPr="00494F35" w:rsidP="00D869B2" w14:paraId="6F340E60" w14:textId="77777777"/>
    <w:sectPr w:rsidSect="00D869B2">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CE8" w:rsidRPr="00D869B2" w14:paraId="52D2EC0C" w14:textId="08C7BB4E">
    <w:pPr>
      <w:pStyle w:val="Footer"/>
      <w:framePr w:wrap="around" w:vAnchor="text" w:hAnchor="margin" w:xAlign="center" w:y="1"/>
    </w:pPr>
    <w:r>
      <w:fldChar w:fldCharType="begin"/>
    </w:r>
    <w:r>
      <w:instrText xml:space="preserve">PAGE  </w:instrText>
    </w:r>
    <w:r>
      <w:fldChar w:fldCharType="separate"/>
    </w:r>
    <w:r>
      <w:fldChar w:fldCharType="end"/>
    </w:r>
  </w:p>
  <w:p w:rsidR="00DB5CE8" w14:paraId="00B671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CE8" w:rsidP="00D869B2" w14:paraId="0B3D83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CE8" w:rsidP="00D869B2" w14:paraId="04FFFB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7F89" w14:paraId="73F8A47B" w14:textId="77777777">
      <w:r>
        <w:separator/>
      </w:r>
    </w:p>
  </w:footnote>
  <w:footnote w:type="continuationSeparator" w:id="1">
    <w:p w:rsidR="00807F89" w:rsidRPr="00D869B2" w14:paraId="19A82252" w14:textId="77777777">
      <w:pPr>
        <w:rPr>
          <w:sz w:val="20"/>
        </w:rPr>
      </w:pPr>
      <w:r>
        <w:rPr>
          <w:sz w:val="20"/>
        </w:rPr>
        <w:t xml:space="preserve">(Continued from previous page)  </w:t>
      </w:r>
      <w:r>
        <w:rPr>
          <w:sz w:val="20"/>
        </w:rPr>
        <w:separator/>
      </w:r>
    </w:p>
  </w:footnote>
  <w:footnote w:type="continuationNotice" w:id="2">
    <w:p w:rsidR="00807F89" w:rsidRPr="00D869B2" w:rsidP="00D869B2" w14:paraId="4E092F89" w14:textId="77777777">
      <w:pPr>
        <w:jc w:val="right"/>
        <w:rPr>
          <w:sz w:val="20"/>
        </w:rPr>
      </w:pPr>
      <w:r>
        <w:rPr>
          <w:sz w:val="20"/>
        </w:rPr>
        <w:t>(continued….)</w:t>
      </w:r>
    </w:p>
  </w:footnote>
  <w:footnote w:id="3">
    <w:p w:rsidR="00DB5CE8" w14:paraId="204B7033" w14:textId="3510F97C">
      <w:pPr>
        <w:pStyle w:val="FootnoteText"/>
      </w:pPr>
      <w:r>
        <w:rPr>
          <w:rStyle w:val="FootnoteReference"/>
        </w:rPr>
        <w:footnoteRef/>
      </w:r>
      <w:r>
        <w:t xml:space="preserve"> </w:t>
      </w:r>
      <w:r w:rsidRPr="00B80A29">
        <w:rPr>
          <w:i/>
          <w:iCs/>
        </w:rPr>
        <w:t>Improving Public Safety Communications in the 800 MHz Band</w:t>
      </w:r>
      <w:r>
        <w:t>, Order Terminating Proceeding, FCC 21-</w:t>
      </w:r>
      <w:r w:rsidR="004D4F76">
        <w:t>4</w:t>
      </w:r>
      <w:r w:rsidR="00933077">
        <w:t>1</w:t>
      </w:r>
      <w:r w:rsidR="004D4F76">
        <w:t xml:space="preserve"> </w:t>
      </w:r>
      <w:r>
        <w:t>(Apr. 22, 2021) (</w:t>
      </w:r>
      <w:r w:rsidRPr="00B80A29">
        <w:rPr>
          <w:i/>
          <w:iCs/>
        </w:rPr>
        <w:t>Termination Order</w:t>
      </w:r>
      <w:r>
        <w:t>).</w:t>
      </w:r>
    </w:p>
  </w:footnote>
  <w:footnote w:id="4">
    <w:p w:rsidR="00DB5CE8" w:rsidP="00464F1F" w14:paraId="0E06D43D" w14:textId="6E89887C">
      <w:pPr>
        <w:pStyle w:val="FootnoteText"/>
      </w:pPr>
      <w:r>
        <w:rPr>
          <w:rStyle w:val="FootnoteReference"/>
        </w:rPr>
        <w:footnoteRef/>
      </w:r>
      <w:r>
        <w:t xml:space="preserve"> </w:t>
      </w:r>
      <w:r w:rsidR="0084488B">
        <w:t xml:space="preserve">On April 1, 2020, Sprint and T-Mobile US, Inc. merged to create a new company operating under the name T-Mobile with T-Mobile US, Inc. as the parent company.  </w:t>
      </w:r>
      <w:r w:rsidRPr="00FE45AC" w:rsidR="0084488B">
        <w:rPr>
          <w:i/>
        </w:rPr>
        <w:t>See Applications of T-Mobile US Inc. and Sprint Corp. for Consent to Transfer Control of Licenses</w:t>
      </w:r>
      <w:r w:rsidR="0084488B">
        <w:t xml:space="preserve">, Memorandum Opinion and Order, Declaratory Ruling, and Order of Proposed Modification, 34 FCC </w:t>
      </w:r>
      <w:r w:rsidR="0084488B">
        <w:t>Rcd</w:t>
      </w:r>
      <w:r w:rsidR="0084488B">
        <w:t xml:space="preserve"> 10578, 10732, para. 348 (2019); T-Mobile Completes Merger with Sprint to Create the New T-Mobile, (April 1, 2020), </w:t>
      </w:r>
      <w:hyperlink r:id="rId1" w:history="1">
        <w:r w:rsidRPr="00B8462D" w:rsidR="0084488B">
          <w:rPr>
            <w:rStyle w:val="Hyperlink"/>
          </w:rPr>
          <w:t>https://www.t-mobile.com/news/t-mobile-sprint-one-company</w:t>
        </w:r>
      </w:hyperlink>
      <w:r w:rsidR="0084488B">
        <w:t xml:space="preserve">.  </w:t>
      </w:r>
      <w:r w:rsidRPr="006F277A">
        <w:t>For purposes of uniformity</w:t>
      </w:r>
      <w:r w:rsidR="0084488B">
        <w:t>,</w:t>
      </w:r>
      <w:r w:rsidRPr="006F277A">
        <w:t xml:space="preserve"> </w:t>
      </w:r>
      <w:r w:rsidRPr="0084488B" w:rsidR="0084488B">
        <w:t>we refer to Sprint Corporation, T-Mobile US, Inc., Nextel Operations, Inc. and any subsidiary or successor to any of them herein as “Sprint.”</w:t>
      </w:r>
      <w:r w:rsidRPr="006F277A">
        <w:t xml:space="preserve">  </w:t>
      </w:r>
    </w:p>
  </w:footnote>
  <w:footnote w:id="5">
    <w:p w:rsidR="00DB5CE8" w:rsidP="00464F1F" w14:paraId="3708F3EA" w14:textId="77777777">
      <w:pPr>
        <w:pStyle w:val="FootnoteText"/>
      </w:pPr>
      <w:r>
        <w:t xml:space="preserve"> </w:t>
      </w:r>
      <w:r>
        <w:rPr>
          <w:rStyle w:val="FootnoteReference"/>
        </w:rPr>
        <w:footnoteRef/>
      </w:r>
      <w:r>
        <w:t xml:space="preserve"> </w:t>
      </w:r>
      <w:r>
        <w:rPr>
          <w:i/>
          <w:kern w:val="1"/>
        </w:rPr>
        <w:t>See</w:t>
      </w:r>
      <w:r>
        <w:rPr>
          <w:kern w:val="1"/>
        </w:rPr>
        <w:t xml:space="preserve"> </w:t>
      </w:r>
      <w:r w:rsidRPr="00611333">
        <w:rPr>
          <w:i/>
          <w:kern w:val="1"/>
        </w:rPr>
        <w:t>Improving Public Safety Communications in the 800 MHz Band</w:t>
      </w:r>
      <w:r>
        <w:rPr>
          <w:i/>
          <w:kern w:val="1"/>
        </w:rPr>
        <w:t xml:space="preserve">, </w:t>
      </w:r>
      <w:r w:rsidRPr="00611333">
        <w:rPr>
          <w:iCs/>
          <w:kern w:val="1"/>
        </w:rPr>
        <w:t>Report and Order, Fifth Report and Order, Fourth Memorandum Opinion and Order, and Order</w:t>
      </w:r>
      <w:r>
        <w:rPr>
          <w:iCs/>
          <w:kern w:val="1"/>
        </w:rPr>
        <w:t xml:space="preserve">, </w:t>
      </w:r>
      <w:r>
        <w:rPr>
          <w:kern w:val="1"/>
        </w:rPr>
        <w:t xml:space="preserve">19 FCC </w:t>
      </w:r>
      <w:r>
        <w:rPr>
          <w:kern w:val="1"/>
        </w:rPr>
        <w:t>Rcd</w:t>
      </w:r>
      <w:r>
        <w:rPr>
          <w:kern w:val="1"/>
        </w:rPr>
        <w:t xml:space="preserve"> 14969, 14971-73, paras. 1-3 (2004) (</w:t>
      </w:r>
      <w:r>
        <w:rPr>
          <w:i/>
          <w:kern w:val="1"/>
        </w:rPr>
        <w:t>800 MHz Report and Order</w:t>
      </w:r>
      <w:r>
        <w:rPr>
          <w:kern w:val="1"/>
        </w:rPr>
        <w:t>)</w:t>
      </w:r>
      <w:r>
        <w:t>.</w:t>
      </w:r>
    </w:p>
  </w:footnote>
  <w:footnote w:id="6">
    <w:p w:rsidR="00DB5CE8" w:rsidP="00464F1F" w14:paraId="6D8223FC" w14:textId="77777777">
      <w:pPr>
        <w:pStyle w:val="FootnoteText"/>
      </w:pPr>
      <w:r>
        <w:rPr>
          <w:rStyle w:val="FootnoteReference"/>
        </w:rPr>
        <w:footnoteRef/>
      </w:r>
      <w:r>
        <w:t xml:space="preserve"> </w:t>
      </w:r>
      <w:r>
        <w:rPr>
          <w:i/>
        </w:rPr>
        <w:t xml:space="preserve">Id. </w:t>
      </w:r>
      <w:r>
        <w:t xml:space="preserve">at 15072, para. 195.  </w:t>
      </w:r>
      <w:r>
        <w:rPr>
          <w:i/>
        </w:rPr>
        <w:t>See also</w:t>
      </w:r>
      <w:r>
        <w:t xml:space="preserve"> </w:t>
      </w:r>
      <w:r w:rsidRPr="00611333">
        <w:rPr>
          <w:i/>
        </w:rPr>
        <w:t>Wireless Telecommunications Bureau Approves the Basic Reconfiguration Schedule Put Forth in the Transition Administrator's 800 MHz Regional Prioritization Plan</w:t>
      </w:r>
      <w:r>
        <w:t xml:space="preserve">, </w:t>
      </w:r>
      <w:r w:rsidRPr="00611333">
        <w:t>Public Notice</w:t>
      </w:r>
      <w:r>
        <w:t xml:space="preserve">, 20 FCC </w:t>
      </w:r>
      <w:r>
        <w:t>Rcd</w:t>
      </w:r>
      <w:r>
        <w:t xml:space="preserve"> 5159 (WTB 2005).  </w:t>
      </w:r>
    </w:p>
  </w:footnote>
  <w:footnote w:id="7">
    <w:p w:rsidR="00DB5CE8" w:rsidP="002F453E" w14:paraId="5C406789" w14:textId="7291A221">
      <w:pPr>
        <w:pStyle w:val="FootnoteText"/>
      </w:pPr>
      <w:r>
        <w:rPr>
          <w:rStyle w:val="FootnoteReference"/>
        </w:rPr>
        <w:footnoteRef/>
      </w:r>
      <w:r>
        <w:t xml:space="preserve"> </w:t>
      </w:r>
      <w:r>
        <w:rPr>
          <w:i/>
          <w:kern w:val="1"/>
        </w:rPr>
        <w:t xml:space="preserve">800 MHz Report and Order </w:t>
      </w:r>
      <w:r>
        <w:rPr>
          <w:kern w:val="1"/>
        </w:rPr>
        <w:t xml:space="preserve">at 15037-45, paras. 124-141. </w:t>
      </w:r>
      <w:r>
        <w:rPr>
          <w:iCs/>
        </w:rPr>
        <w:t xml:space="preserve"> </w:t>
      </w:r>
    </w:p>
  </w:footnote>
  <w:footnote w:id="8">
    <w:p w:rsidR="009F19B9" w14:paraId="45A33BBD" w14:textId="127D9B31">
      <w:pPr>
        <w:pStyle w:val="FootnoteText"/>
      </w:pPr>
      <w:r>
        <w:rPr>
          <w:rStyle w:val="FootnoteReference"/>
        </w:rPr>
        <w:footnoteRef/>
      </w:r>
      <w:r>
        <w:t xml:space="preserve"> </w:t>
      </w:r>
      <w:r w:rsidRPr="009F19B9">
        <w:t xml:space="preserve">800 MHz Transition Administrator, LLC, Notice of Program Completion and Request for Authorization to Terminate Program Agreements, WT Docket No. 02-55, at </w:t>
      </w:r>
      <w:r>
        <w:t>2</w:t>
      </w:r>
      <w:r w:rsidRPr="009F19B9">
        <w:t xml:space="preserve"> (filed </w:t>
      </w:r>
      <w:r>
        <w:t>Mar. 5, 2021</w:t>
      </w:r>
      <w:r w:rsidRPr="009F19B9">
        <w:t>)</w:t>
      </w:r>
      <w:r>
        <w:t>.</w:t>
      </w:r>
    </w:p>
  </w:footnote>
  <w:footnote w:id="9">
    <w:p w:rsidR="00683BC5" w14:paraId="0C55C4E7" w14:textId="5FCF976C">
      <w:pPr>
        <w:pStyle w:val="FootnoteText"/>
      </w:pPr>
      <w:r>
        <w:rPr>
          <w:rStyle w:val="FootnoteReference"/>
        </w:rPr>
        <w:footnoteRef/>
      </w:r>
      <w:r>
        <w:t xml:space="preserve"> </w:t>
      </w:r>
      <w:r w:rsidRPr="00B80A29">
        <w:rPr>
          <w:i/>
          <w:iCs/>
        </w:rPr>
        <w:t>Termination Order</w:t>
      </w:r>
      <w:r>
        <w:t xml:space="preserve"> at para. 3.</w:t>
      </w:r>
    </w:p>
  </w:footnote>
  <w:footnote w:id="10">
    <w:p w:rsidR="00DB5CE8" w:rsidP="00464F1F" w14:paraId="7D9FE37C" w14:textId="77777777">
      <w:pPr>
        <w:pStyle w:val="FootnoteText"/>
      </w:pPr>
      <w:r>
        <w:rPr>
          <w:rStyle w:val="FootnoteReference"/>
        </w:rPr>
        <w:footnoteRef/>
      </w:r>
      <w:r>
        <w:t xml:space="preserve"> </w:t>
      </w:r>
      <w:r w:rsidRPr="00D724E2">
        <w:rPr>
          <w:i/>
        </w:rPr>
        <w:t xml:space="preserve">See </w:t>
      </w:r>
      <w:r w:rsidRPr="00CB2A5D">
        <w:rPr>
          <w:i/>
        </w:rPr>
        <w:t>Public Safety and Homeland Security Bureau and Wireless Telecommunications Bureau Announce the Availability of Additional Sprint Vacated Channels and the Availability of Expansion Band and Guard Band Channels in Certain NPSPAC Regions</w:t>
      </w:r>
      <w:r>
        <w:t xml:space="preserve">, </w:t>
      </w:r>
      <w:r w:rsidRPr="00611333">
        <w:t>Public Notice</w:t>
      </w:r>
      <w:r>
        <w:t>, 34</w:t>
      </w:r>
      <w:r w:rsidRPr="00C647C1">
        <w:t xml:space="preserve"> FCC </w:t>
      </w:r>
      <w:r w:rsidRPr="00C647C1">
        <w:t>Rcd</w:t>
      </w:r>
      <w:r w:rsidRPr="00C647C1">
        <w:t xml:space="preserve"> </w:t>
      </w:r>
      <w:r w:rsidRPr="00CB2A5D">
        <w:t>2476</w:t>
      </w:r>
      <w:r>
        <w:t>, 2478-81 (PSHSB/WTB 2019) (</w:t>
      </w:r>
      <w:r>
        <w:rPr>
          <w:i/>
        </w:rPr>
        <w:t xml:space="preserve">Fourth </w:t>
      </w:r>
      <w:r w:rsidRPr="00D724E2">
        <w:rPr>
          <w:i/>
        </w:rPr>
        <w:t xml:space="preserve">Completion of </w:t>
      </w:r>
      <w:r w:rsidRPr="00D724E2">
        <w:rPr>
          <w:i/>
        </w:rPr>
        <w:t>Rebanding</w:t>
      </w:r>
      <w:r w:rsidRPr="00D724E2">
        <w:rPr>
          <w:i/>
        </w:rPr>
        <w:t xml:space="preserve"> P</w:t>
      </w:r>
      <w:r>
        <w:rPr>
          <w:i/>
        </w:rPr>
        <w:t xml:space="preserve">ublic </w:t>
      </w:r>
      <w:r w:rsidRPr="00D724E2">
        <w:rPr>
          <w:i/>
        </w:rPr>
        <w:t>N</w:t>
      </w:r>
      <w:r>
        <w:rPr>
          <w:i/>
        </w:rPr>
        <w:t>otice</w:t>
      </w:r>
      <w:r>
        <w:t>).</w:t>
      </w:r>
    </w:p>
  </w:footnote>
  <w:footnote w:id="11">
    <w:p w:rsidR="00DB5CE8" w:rsidP="00464F1F" w14:paraId="79E70FC5" w14:textId="77777777">
      <w:pPr>
        <w:pStyle w:val="FootnoteText"/>
      </w:pPr>
      <w:r>
        <w:rPr>
          <w:rStyle w:val="FootnoteReference"/>
        </w:rPr>
        <w:footnoteRef/>
      </w:r>
      <w:r>
        <w:t xml:space="preserve"> A definition of critical infrastructure industry is provided in Section 90.7 of the Commission’s Rules.  </w:t>
      </w:r>
      <w:r>
        <w:rPr>
          <w:i/>
        </w:rPr>
        <w:t xml:space="preserve">See </w:t>
      </w:r>
      <w:r>
        <w:t>47 CFR § 90.7.</w:t>
      </w:r>
    </w:p>
  </w:footnote>
  <w:footnote w:id="12">
    <w:p w:rsidR="00DB5CE8" w:rsidP="00464F1F" w14:paraId="3054EA62" w14:textId="15C4E35B">
      <w:pPr>
        <w:tabs>
          <w:tab w:val="left" w:pos="3960"/>
        </w:tabs>
        <w:autoSpaceDE w:val="0"/>
        <w:autoSpaceDN w:val="0"/>
        <w:adjustRightInd w:val="0"/>
        <w:spacing w:after="120"/>
        <w:rPr>
          <w:sz w:val="20"/>
        </w:rPr>
      </w:pPr>
      <w:r>
        <w:rPr>
          <w:rStyle w:val="FootnoteReference"/>
        </w:rPr>
        <w:footnoteRef/>
      </w:r>
      <w:r>
        <w:t xml:space="preserve"> </w:t>
      </w:r>
      <w:r>
        <w:rPr>
          <w:i/>
          <w:sz w:val="20"/>
        </w:rPr>
        <w:t>800 MHz Report and Order</w:t>
      </w:r>
      <w:r>
        <w:rPr>
          <w:sz w:val="20"/>
        </w:rPr>
        <w:t xml:space="preserve">, 19 FCC </w:t>
      </w:r>
      <w:r>
        <w:rPr>
          <w:sz w:val="20"/>
        </w:rPr>
        <w:t>Rcd</w:t>
      </w:r>
      <w:r>
        <w:rPr>
          <w:sz w:val="20"/>
        </w:rPr>
        <w:t xml:space="preserve"> at 15052, para. 152.  The exclusive filing windows for public safety and </w:t>
      </w:r>
      <w:r w:rsidR="007665F6">
        <w:rPr>
          <w:sz w:val="20"/>
        </w:rPr>
        <w:t>c</w:t>
      </w:r>
      <w:r>
        <w:rPr>
          <w:sz w:val="20"/>
        </w:rPr>
        <w:t xml:space="preserve">ritical </w:t>
      </w:r>
      <w:r w:rsidR="007665F6">
        <w:rPr>
          <w:sz w:val="20"/>
        </w:rPr>
        <w:t>i</w:t>
      </w:r>
      <w:r>
        <w:rPr>
          <w:sz w:val="20"/>
        </w:rPr>
        <w:t xml:space="preserve">nfrastructure applicants also apply to channels vacated by other licensees relocating to the ESMR band and licensees electing to relocate to the Guard Band.  </w:t>
      </w:r>
      <w:smartTag w:uri="urn:schemas-microsoft-com:office:smarttags" w:element="place">
        <w:smartTag w:uri="urn:schemas-microsoft-com:office:smarttags" w:element="State">
          <w:r>
            <w:rPr>
              <w:i/>
              <w:sz w:val="20"/>
            </w:rPr>
            <w:t>Id.</w:t>
          </w:r>
        </w:smartTag>
      </w:smartTag>
      <w:r>
        <w:rPr>
          <w:i/>
          <w:sz w:val="20"/>
        </w:rPr>
        <w:t xml:space="preserve">  See also Supplemental Order</w:t>
      </w:r>
      <w:r>
        <w:rPr>
          <w:sz w:val="20"/>
        </w:rPr>
        <w:t xml:space="preserve">, 19 FCC </w:t>
      </w:r>
      <w:r>
        <w:rPr>
          <w:sz w:val="20"/>
        </w:rPr>
        <w:t>Rcd</w:t>
      </w:r>
      <w:r>
        <w:rPr>
          <w:sz w:val="20"/>
        </w:rPr>
        <w:t xml:space="preserve"> at 25145 </w:t>
      </w:r>
      <w:r>
        <w:rPr>
          <w:sz w:val="20"/>
        </w:rPr>
        <w:t>para</w:t>
      </w:r>
      <w:r>
        <w:rPr>
          <w:sz w:val="20"/>
        </w:rPr>
        <w:t xml:space="preserve">. 58. </w:t>
      </w:r>
    </w:p>
  </w:footnote>
  <w:footnote w:id="13">
    <w:p w:rsidR="00DB5CE8" w:rsidP="00464F1F" w14:paraId="44B08825" w14:textId="77777777">
      <w:pPr>
        <w:pStyle w:val="FootnoteText"/>
      </w:pPr>
      <w:r>
        <w:rPr>
          <w:rStyle w:val="FootnoteReference"/>
        </w:rPr>
        <w:footnoteRef/>
      </w:r>
      <w:r>
        <w:t xml:space="preserve"> </w:t>
      </w:r>
      <w:r>
        <w:rPr>
          <w:i/>
        </w:rPr>
        <w:t>See Supplemental Order</w:t>
      </w:r>
      <w:r>
        <w:t xml:space="preserve">, 19 FCC </w:t>
      </w:r>
      <w:r>
        <w:t>Rcd</w:t>
      </w:r>
      <w:r>
        <w:t xml:space="preserve"> at 25145 </w:t>
      </w:r>
      <w:r>
        <w:t>para</w:t>
      </w:r>
      <w:r>
        <w:t xml:space="preserve">. 58.  </w:t>
      </w:r>
      <w:r>
        <w:rPr>
          <w:i/>
        </w:rPr>
        <w:t xml:space="preserve">See also </w:t>
      </w:r>
      <w:r>
        <w:t xml:space="preserve">47 CFR §§ 90.615, 90.617(g).  </w:t>
      </w:r>
      <w:r>
        <w:rPr>
          <w:snapToGrid w:val="0"/>
          <w:kern w:val="28"/>
        </w:rPr>
        <w:t xml:space="preserve">   </w:t>
      </w:r>
    </w:p>
  </w:footnote>
  <w:footnote w:id="14">
    <w:p w:rsidR="00DB5CE8" w:rsidP="00464F1F" w14:paraId="4363C56A" w14:textId="77777777">
      <w:pPr>
        <w:pStyle w:val="FootnoteText"/>
      </w:pPr>
      <w:r>
        <w:rPr>
          <w:rStyle w:val="FootnoteReference"/>
        </w:rPr>
        <w:footnoteRef/>
      </w:r>
      <w:r>
        <w:t xml:space="preserve"> This includes the counties listed in Attachment C where the application freeze is now being lifted.  </w:t>
      </w:r>
    </w:p>
  </w:footnote>
  <w:footnote w:id="15">
    <w:p w:rsidR="00DB5CE8" w:rsidP="00464F1F" w14:paraId="65994268" w14:textId="77777777">
      <w:pPr>
        <w:pStyle w:val="FootnoteText"/>
      </w:pPr>
      <w:r>
        <w:rPr>
          <w:rStyle w:val="FootnoteReference"/>
        </w:rPr>
        <w:footnoteRef/>
      </w:r>
      <w:r>
        <w:t xml:space="preserve"> </w:t>
      </w:r>
      <w:r>
        <w:rPr>
          <w:i/>
        </w:rPr>
        <w:t>See</w:t>
      </w:r>
      <w:r>
        <w:t xml:space="preserve"> </w:t>
      </w:r>
      <w:r w:rsidRPr="00611333">
        <w:rPr>
          <w:i/>
        </w:rPr>
        <w:t>Public Safety and Homeland Security Bureau and Wireless Telecommunications Bureau Establish New 800 MHz Vacated Channel Search Engine for Identifying Vacated Channels in the 800 MHz Interleaved Band That Will be Available for Licensing to Public Safety and Critical Infrastructure Industry Entities</w:t>
      </w:r>
      <w:r>
        <w:t xml:space="preserve">, </w:t>
      </w:r>
      <w:r w:rsidRPr="00611333">
        <w:t>Public Notice</w:t>
      </w:r>
      <w:r>
        <w:t xml:space="preserve">, 23 FCC </w:t>
      </w:r>
      <w:r>
        <w:t>Rcd</w:t>
      </w:r>
      <w:r>
        <w:t xml:space="preserve"> 16481 (PSHSB/WTB 2008) (</w:t>
      </w:r>
      <w:r w:rsidRPr="005F5669">
        <w:rPr>
          <w:i/>
          <w:iCs/>
        </w:rPr>
        <w:t>VCSE Public Notice</w:t>
      </w:r>
      <w:r>
        <w:t>).</w:t>
      </w:r>
    </w:p>
  </w:footnote>
  <w:footnote w:id="16">
    <w:p w:rsidR="00DB5CE8" w:rsidP="00464F1F" w14:paraId="439573E3" w14:textId="77777777">
      <w:pPr>
        <w:pStyle w:val="FootnoteText"/>
        <w:rPr>
          <w:b/>
        </w:rPr>
      </w:pPr>
      <w:r>
        <w:rPr>
          <w:rStyle w:val="FootnoteReference"/>
        </w:rPr>
        <w:footnoteRef/>
      </w:r>
      <w:r>
        <w:t xml:space="preserve"> 47 CFR § 90.175.    </w:t>
      </w:r>
    </w:p>
  </w:footnote>
  <w:footnote w:id="17">
    <w:p w:rsidR="00DB5CE8" w:rsidP="00464F1F" w14:paraId="578B98B7" w14:textId="77777777">
      <w:pPr>
        <w:pStyle w:val="FootnoteText"/>
      </w:pPr>
      <w:r>
        <w:rPr>
          <w:rStyle w:val="FootnoteReference"/>
        </w:rPr>
        <w:footnoteRef/>
      </w:r>
      <w:r>
        <w:t xml:space="preserve"> </w:t>
      </w:r>
      <w:r>
        <w:rPr>
          <w:i/>
        </w:rPr>
        <w:t xml:space="preserve">See </w:t>
      </w:r>
      <w:r w:rsidRPr="00611333">
        <w:rPr>
          <w:i/>
        </w:rPr>
        <w:t>Public Safety and Homeland Security Bureau Announces Application and Licensing Procedures for Channels Relinquished by Sprint Nextel Corporation in the 809-809.5/854-854.5 MHz Band</w:t>
      </w:r>
      <w:r>
        <w:t xml:space="preserve">, </w:t>
      </w:r>
      <w:r w:rsidRPr="00611333">
        <w:t>Public Notice</w:t>
      </w:r>
      <w:r>
        <w:rPr>
          <w:i/>
        </w:rPr>
        <w:t xml:space="preserve">, </w:t>
      </w:r>
      <w:r>
        <w:t xml:space="preserve">23 FCC </w:t>
      </w:r>
      <w:r>
        <w:t>Rcd</w:t>
      </w:r>
      <w:r>
        <w:t xml:space="preserve"> 18343, 18344-45 (PSHSB 2008) (</w:t>
      </w:r>
      <w:r>
        <w:rPr>
          <w:i/>
        </w:rPr>
        <w:t>Licensing Procedures Public Notice</w:t>
      </w:r>
      <w:r>
        <w:rPr>
          <w:iCs/>
        </w:rPr>
        <w:t>)</w:t>
      </w:r>
      <w:r>
        <w:t>.</w:t>
      </w:r>
    </w:p>
  </w:footnote>
  <w:footnote w:id="18">
    <w:p w:rsidR="00DB5CE8" w:rsidRPr="005E483E" w:rsidP="00464F1F" w14:paraId="216E88BD" w14:textId="77777777">
      <w:pPr>
        <w:pStyle w:val="FootnoteText"/>
      </w:pPr>
      <w:r>
        <w:rPr>
          <w:rStyle w:val="FootnoteReference"/>
        </w:rPr>
        <w:footnoteRef/>
      </w:r>
      <w:r>
        <w:t xml:space="preserve"> </w:t>
      </w:r>
      <w:r>
        <w:rPr>
          <w:i/>
        </w:rPr>
        <w:t>Id.</w:t>
      </w:r>
      <w:r>
        <w:t xml:space="preserve"> at 18344.</w:t>
      </w:r>
    </w:p>
  </w:footnote>
  <w:footnote w:id="19">
    <w:p w:rsidR="00DB5CE8" w:rsidP="00464F1F" w14:paraId="28806F7D" w14:textId="77777777">
      <w:pPr>
        <w:pStyle w:val="FootnoteText"/>
      </w:pPr>
      <w:r>
        <w:rPr>
          <w:rStyle w:val="FootnoteReference"/>
        </w:rPr>
        <w:footnoteRef/>
      </w:r>
      <w:r>
        <w:t xml:space="preserve"> 47 CFR § 90.693(b).</w:t>
      </w:r>
    </w:p>
  </w:footnote>
  <w:footnote w:id="20">
    <w:p w:rsidR="00DB5CE8" w:rsidP="00464F1F" w14:paraId="6241C40F" w14:textId="30BB3E4F">
      <w:pPr>
        <w:pStyle w:val="FootnoteText"/>
      </w:pPr>
      <w:r>
        <w:rPr>
          <w:rStyle w:val="FootnoteReference"/>
        </w:rPr>
        <w:footnoteRef/>
      </w:r>
      <w:r>
        <w:t xml:space="preserve"> The maximum Effective Radiated Power varies with the antenna height above average terrain.  For instance, a maximum ERP of 1000 watts is permitted for all antenna height above terrain values below 305 meters.  </w:t>
      </w:r>
      <w:r>
        <w:rPr>
          <w:i/>
        </w:rPr>
        <w:t xml:space="preserve">See </w:t>
      </w:r>
      <w:r>
        <w:t xml:space="preserve">47 CFR § 90.635(b).  </w:t>
      </w:r>
    </w:p>
  </w:footnote>
  <w:footnote w:id="21">
    <w:p w:rsidR="00DB5CE8" w:rsidP="00464F1F" w14:paraId="100B4F64" w14:textId="77777777">
      <w:pPr>
        <w:pStyle w:val="FootnoteText"/>
      </w:pPr>
      <w:r>
        <w:rPr>
          <w:rStyle w:val="FootnoteReference"/>
        </w:rPr>
        <w:footnoteRef/>
      </w:r>
      <w:r>
        <w:t xml:space="preserve"> 47 CFR § 90.689(b).</w:t>
      </w:r>
    </w:p>
  </w:footnote>
  <w:footnote w:id="22">
    <w:p w:rsidR="00DB5CE8" w:rsidP="00464F1F" w14:paraId="1CF15DF0" w14:textId="77777777">
      <w:pPr>
        <w:pStyle w:val="FootnoteText"/>
      </w:pPr>
      <w:r>
        <w:rPr>
          <w:rStyle w:val="FootnoteReference"/>
        </w:rPr>
        <w:footnoteRef/>
      </w:r>
      <w:r>
        <w:t xml:space="preserve"> </w:t>
      </w:r>
      <w:r>
        <w:rPr>
          <w:i/>
        </w:rPr>
        <w:t>Licensing Procedures Public Notice</w:t>
      </w:r>
      <w:r>
        <w:t xml:space="preserve">, 23 FCC </w:t>
      </w:r>
      <w:r>
        <w:t>Rcd</w:t>
      </w:r>
      <w:r>
        <w:t xml:space="preserve"> at 18344-45.</w:t>
      </w:r>
    </w:p>
  </w:footnote>
  <w:footnote w:id="23">
    <w:p w:rsidR="00DB5CE8" w:rsidP="00464F1F" w14:paraId="72AD72E9" w14:textId="77777777">
      <w:pPr>
        <w:pStyle w:val="FootnoteText"/>
      </w:pPr>
      <w:r>
        <w:rPr>
          <w:rStyle w:val="FootnoteReference"/>
        </w:rPr>
        <w:footnoteRef/>
      </w:r>
      <w:r>
        <w:t xml:space="preserve"> Coordinators may also accept applications submitted to them for coordination prior to the date of this </w:t>
      </w:r>
      <w:r w:rsidRPr="002C7649">
        <w:rPr>
          <w:i/>
        </w:rPr>
        <w:t>Public Notice</w:t>
      </w:r>
      <w:r>
        <w:t xml:space="preserve">, </w:t>
      </w:r>
      <w:r>
        <w:t>provided that</w:t>
      </w:r>
      <w:r>
        <w:t xml:space="preserve"> they comply with the pre-coordination notification procedures set forth in this </w:t>
      </w:r>
      <w:r w:rsidRPr="002C7649">
        <w:rPr>
          <w:i/>
        </w:rPr>
        <w:t>Public Notice</w:t>
      </w:r>
      <w:r>
        <w:t xml:space="preserve"> with respect to such applications.</w:t>
      </w:r>
    </w:p>
  </w:footnote>
  <w:footnote w:id="24">
    <w:p w:rsidR="00DB5CE8" w:rsidP="00464F1F" w14:paraId="031E53BA" w14:textId="77777777">
      <w:pPr>
        <w:pStyle w:val="FootnoteText"/>
      </w:pPr>
      <w:r>
        <w:rPr>
          <w:rStyle w:val="FootnoteReference"/>
        </w:rPr>
        <w:footnoteRef/>
      </w:r>
      <w:r>
        <w:t xml:space="preserve"> 47 CFR § 90.621(b)(4).</w:t>
      </w:r>
    </w:p>
  </w:footnote>
  <w:footnote w:id="25">
    <w:p w:rsidR="00DB5CE8" w:rsidRPr="00955BAC" w:rsidP="00464F1F" w14:paraId="3D7EBC72" w14:textId="77777777">
      <w:pPr>
        <w:pStyle w:val="FootnoteText"/>
      </w:pPr>
      <w:r>
        <w:rPr>
          <w:rStyle w:val="FootnoteReference"/>
        </w:rPr>
        <w:footnoteRef/>
      </w:r>
      <w:r>
        <w:t xml:space="preserve"> We encourage frequency coordinators first to explore engineering solutions and other rational bases on which to resolve mutual exclusivity.  If mutual exclusivity cannot otherwise be resolved before the filing window opens, it may be resolved </w:t>
      </w:r>
      <w:r>
        <w:t>on the basis of</w:t>
      </w:r>
      <w:r>
        <w:t xml:space="preserve"> the pre-coordination notification date and time stamp in order to avoid the filing of mutually exclusive applications.  </w:t>
      </w:r>
      <w:r>
        <w:rPr>
          <w:i/>
        </w:rPr>
        <w:t>See City of Aventura, Florida; City of Doral, Florida</w:t>
      </w:r>
      <w:r>
        <w:t xml:space="preserve">, Memorandum Opinion and Order, 28 FCC </w:t>
      </w:r>
      <w:r>
        <w:t>Rcd</w:t>
      </w:r>
      <w:r>
        <w:t xml:space="preserve"> 4439, 4442-43, para. 10 (PSHSB 2013) (</w:t>
      </w:r>
      <w:r>
        <w:rPr>
          <w:i/>
        </w:rPr>
        <w:t>Aventura</w:t>
      </w:r>
      <w:r>
        <w:t>).</w:t>
      </w:r>
    </w:p>
  </w:footnote>
  <w:footnote w:id="26">
    <w:p w:rsidR="00DB5CE8" w:rsidP="00464F1F" w14:paraId="42102BE5" w14:textId="77777777">
      <w:pPr>
        <w:pStyle w:val="FootnoteText"/>
      </w:pPr>
      <w:r>
        <w:rPr>
          <w:rStyle w:val="FootnoteReference"/>
        </w:rPr>
        <w:footnoteRef/>
      </w:r>
      <w:r>
        <w:t xml:space="preserve"> </w:t>
      </w:r>
      <w:r>
        <w:rPr>
          <w:i/>
        </w:rPr>
        <w:t>800 MHz Report and Order</w:t>
      </w:r>
      <w:r>
        <w:t xml:space="preserve">, 19 FCC </w:t>
      </w:r>
      <w:r>
        <w:t>Rcd</w:t>
      </w:r>
      <w:r>
        <w:t xml:space="preserve"> at 15053-55, paras. 154-158.  No Guard Band exists in the southeastern portion of the </w:t>
      </w:r>
      <w:smartTag w:uri="urn:schemas-microsoft-com:office:smarttags" w:element="place">
        <w:smartTag w:uri="urn:schemas-microsoft-com:office:smarttags" w:element="country-region">
          <w:r>
            <w:t>United States</w:t>
          </w:r>
        </w:smartTag>
      </w:smartTag>
      <w:r>
        <w:t xml:space="preserve"> in counties served by both Sprint and </w:t>
      </w:r>
      <w:r>
        <w:t>SouthernLINC</w:t>
      </w:r>
      <w:r>
        <w:t xml:space="preserve"> and in areas adjacent to the U.S./Canada border.  Furthermore, the Expansion Band consists of the 812.5-813.5 MHz/857.5-858.5 MHz segment of the band in those counties served by both Sprint and </w:t>
      </w:r>
      <w:r>
        <w:t>SouthernLINC</w:t>
      </w:r>
      <w:r>
        <w:t xml:space="preserve"> except for a seventy-mile radius around Atlanta where the Expansion Band is reduced to one-half megahertz.  </w:t>
      </w:r>
      <w:r>
        <w:rPr>
          <w:i/>
        </w:rPr>
        <w:t>Id.</w:t>
      </w:r>
      <w:r>
        <w:t xml:space="preserve"> at 15058, para. 166.  </w:t>
      </w:r>
      <w:r>
        <w:rPr>
          <w:i/>
        </w:rPr>
        <w:t>See also</w:t>
      </w:r>
      <w:r>
        <w:t xml:space="preserve"> </w:t>
      </w:r>
      <w:r w:rsidRPr="00611333">
        <w:rPr>
          <w:i/>
        </w:rPr>
        <w:t>Improving Public Safety Communications in the 800 MHz Band</w:t>
      </w:r>
      <w:r>
        <w:t xml:space="preserve">, </w:t>
      </w:r>
      <w:r w:rsidRPr="00611333">
        <w:t>Memorandum Opinion and Order</w:t>
      </w:r>
      <w:r>
        <w:t xml:space="preserve">, 20 FCC </w:t>
      </w:r>
      <w:r>
        <w:t>Rcd</w:t>
      </w:r>
      <w:r>
        <w:t xml:space="preserve"> 16015, 16036, para. 48 (2005).  There is no Guard Band or Expansion Band in NPSPAC Region 5: </w:t>
      </w:r>
      <w:r w:rsidRPr="00380BCE">
        <w:t>California – South</w:t>
      </w:r>
      <w:r>
        <w:t xml:space="preserve">.  </w:t>
      </w:r>
      <w:r w:rsidRPr="0077027C">
        <w:rPr>
          <w:i/>
          <w:iCs/>
        </w:rPr>
        <w:t>Improving Public Safety Communications in the 800 MHz Band</w:t>
      </w:r>
      <w:r>
        <w:t xml:space="preserve">, Fifth Report and Order, 28 FCC </w:t>
      </w:r>
      <w:r>
        <w:t>Rcd</w:t>
      </w:r>
      <w:r>
        <w:t xml:space="preserve"> 4085, 4098, para. 37 (2013).  </w:t>
      </w:r>
    </w:p>
  </w:footnote>
  <w:footnote w:id="27">
    <w:p w:rsidR="00DB5CE8" w:rsidP="00464F1F" w14:paraId="0170CFCE" w14:textId="77777777">
      <w:pPr>
        <w:pStyle w:val="FootnoteText"/>
      </w:pPr>
      <w:r>
        <w:rPr>
          <w:rStyle w:val="FootnoteReference"/>
        </w:rPr>
        <w:footnoteRef/>
      </w:r>
      <w:r>
        <w:t xml:space="preserve"> </w:t>
      </w:r>
      <w:r>
        <w:rPr>
          <w:i/>
        </w:rPr>
        <w:t xml:space="preserve">See </w:t>
      </w:r>
      <w:r>
        <w:t xml:space="preserve">47 CFR § 90.617(b), (d).  Expansion Band users also include Public Safety licensees that chose not to relocate out of the band.  </w:t>
      </w:r>
      <w:r>
        <w:rPr>
          <w:i/>
        </w:rPr>
        <w:t xml:space="preserve">See </w:t>
      </w:r>
      <w:r>
        <w:rPr>
          <w:i/>
          <w:color w:val="242021"/>
        </w:rPr>
        <w:t>800 MHz Report and Order</w:t>
      </w:r>
      <w:r>
        <w:t xml:space="preserve">, 19 FCC </w:t>
      </w:r>
      <w:r>
        <w:t>Rcd</w:t>
      </w:r>
      <w:r>
        <w:t xml:space="preserve"> at 15053, n.417.  They are permitted to expand geographically on the Expansion Band channels they retained and may obtain new Expansion Band channels through inter-category sharing.  </w:t>
      </w:r>
      <w:r>
        <w:rPr>
          <w:i/>
        </w:rPr>
        <w:t xml:space="preserve">See </w:t>
      </w:r>
      <w:r w:rsidRPr="00611333">
        <w:rPr>
          <w:i/>
        </w:rPr>
        <w:t>Public Safety and Homeland Security Bureau Clarifies the Rights of 800 MHz Public Safety Licensees Electing to Remain in the 800 MHz Expansion Band</w:t>
      </w:r>
      <w:r>
        <w:t xml:space="preserve">, </w:t>
      </w:r>
      <w:r w:rsidRPr="00611333">
        <w:t>Public Notice</w:t>
      </w:r>
      <w:r>
        <w:t xml:space="preserve">, 22 FCC </w:t>
      </w:r>
      <w:r>
        <w:t>Rcd</w:t>
      </w:r>
      <w:r>
        <w:t xml:space="preserve"> 6803, 6803-04 (PSHSB 2007); </w:t>
      </w:r>
      <w:r w:rsidRPr="00611333">
        <w:rPr>
          <w:i/>
        </w:rPr>
        <w:t>Public Safety and Homeland Security Bureau Clarifies the Process for Accepting Applications from Public Safety Licensees that Elected to Remain in the 800 MHz Expansion Band</w:t>
      </w:r>
      <w:r>
        <w:t xml:space="preserve">, </w:t>
      </w:r>
      <w:r w:rsidRPr="00611333">
        <w:t>Public Notice</w:t>
      </w:r>
      <w:r>
        <w:t xml:space="preserve">, 30 FCC </w:t>
      </w:r>
      <w:r>
        <w:t>Rcd</w:t>
      </w:r>
      <w:r>
        <w:t xml:space="preserve"> 3021 (PSHSB 2015).</w:t>
      </w:r>
    </w:p>
  </w:footnote>
  <w:footnote w:id="28">
    <w:p w:rsidR="00DB5CE8" w:rsidP="00464F1F" w14:paraId="5FE0BC9E" w14:textId="77777777">
      <w:pPr>
        <w:pStyle w:val="FootnoteText"/>
      </w:pPr>
      <w:r>
        <w:rPr>
          <w:rStyle w:val="FootnoteReference"/>
        </w:rPr>
        <w:footnoteRef/>
      </w:r>
      <w:r>
        <w:t xml:space="preserve"> </w:t>
      </w:r>
      <w:r>
        <w:rPr>
          <w:i/>
        </w:rPr>
        <w:t xml:space="preserve">See </w:t>
      </w:r>
      <w:r>
        <w:t>47 CFR § 90.615.</w:t>
      </w:r>
    </w:p>
  </w:footnote>
  <w:footnote w:id="29">
    <w:p w:rsidR="00DB5CE8" w:rsidP="00464F1F" w14:paraId="4E47AE93" w14:textId="77777777">
      <w:pPr>
        <w:pStyle w:val="FootnoteText"/>
      </w:pPr>
      <w:r>
        <w:rPr>
          <w:rStyle w:val="FootnoteReference"/>
        </w:rPr>
        <w:footnoteRef/>
      </w:r>
      <w:r>
        <w:t xml:space="preserve"> </w:t>
      </w:r>
      <w:r>
        <w:rPr>
          <w:i/>
        </w:rPr>
        <w:t xml:space="preserve">See </w:t>
      </w:r>
      <w:r w:rsidRPr="00BC0816">
        <w:rPr>
          <w:i/>
        </w:rPr>
        <w:t xml:space="preserve">Fourth Completion of </w:t>
      </w:r>
      <w:r w:rsidRPr="00BC0816">
        <w:rPr>
          <w:i/>
        </w:rPr>
        <w:t>Rebanding</w:t>
      </w:r>
      <w:r w:rsidRPr="00BC0816">
        <w:rPr>
          <w:i/>
        </w:rPr>
        <w:t xml:space="preserve"> Public Notice</w:t>
      </w:r>
      <w:r>
        <w:t>, 34</w:t>
      </w:r>
      <w:r w:rsidRPr="00C647C1">
        <w:t xml:space="preserve"> FCC </w:t>
      </w:r>
      <w:r w:rsidRPr="00C647C1">
        <w:t>Rcd</w:t>
      </w:r>
      <w:r>
        <w:t xml:space="preserve"> at 2481-84.</w:t>
      </w:r>
    </w:p>
  </w:footnote>
  <w:footnote w:id="30">
    <w:p w:rsidR="00DB5CE8" w:rsidP="00464F1F" w14:paraId="2F0112D2" w14:textId="3C46BE7B">
      <w:pPr>
        <w:pStyle w:val="FootnoteText"/>
      </w:pPr>
      <w:r>
        <w:rPr>
          <w:rStyle w:val="FootnoteReference"/>
        </w:rPr>
        <w:footnoteRef/>
      </w:r>
      <w:r>
        <w:t xml:space="preserve"> </w:t>
      </w:r>
      <w:r>
        <w:rPr>
          <w:i/>
        </w:rPr>
        <w:t xml:space="preserve">See </w:t>
      </w:r>
      <w:r w:rsidR="00221F33">
        <w:rPr>
          <w:i/>
          <w:iCs/>
        </w:rPr>
        <w:t>T</w:t>
      </w:r>
      <w:r w:rsidRPr="00B80A29" w:rsidR="00221F33">
        <w:rPr>
          <w:i/>
          <w:iCs/>
        </w:rPr>
        <w:t>ermination Order</w:t>
      </w:r>
      <w:r>
        <w:t>.</w:t>
      </w:r>
    </w:p>
  </w:footnote>
  <w:footnote w:id="31">
    <w:p w:rsidR="00DB5CE8" w:rsidP="00464F1F" w14:paraId="573BDED3" w14:textId="1DDC6817">
      <w:pPr>
        <w:pStyle w:val="FootnoteText"/>
      </w:pPr>
      <w:r>
        <w:rPr>
          <w:rStyle w:val="FootnoteReference"/>
        </w:rPr>
        <w:footnoteRef/>
      </w:r>
      <w:r>
        <w:t xml:space="preserve"> Certain Economic Area-based Sprint facilities in the Expansion Band and Guard Band are listed in the Vacated Channel Search Engine.  We will specify </w:t>
      </w:r>
      <w:r w:rsidRPr="00AF469E" w:rsidR="00AF469E">
        <w:rPr>
          <w:b/>
          <w:szCs w:val="22"/>
        </w:rPr>
        <w:t>August 14</w:t>
      </w:r>
      <w:r w:rsidRPr="00B837E0">
        <w:rPr>
          <w:b/>
          <w:szCs w:val="22"/>
        </w:rPr>
        <w:t>, 202</w:t>
      </w:r>
      <w:r>
        <w:rPr>
          <w:b/>
          <w:szCs w:val="22"/>
        </w:rPr>
        <w:t xml:space="preserve">1 </w:t>
      </w:r>
      <w:r>
        <w:t xml:space="preserve">as the availability date in the “Channel Availability” field for any such facilities included in the NPSPAC regions listed in Attachment A.    </w:t>
      </w:r>
    </w:p>
  </w:footnote>
  <w:footnote w:id="32">
    <w:p w:rsidR="00DB5CE8" w:rsidP="00464F1F" w14:paraId="2EE02B01" w14:textId="77777777">
      <w:pPr>
        <w:pStyle w:val="FootnoteText"/>
      </w:pPr>
      <w:r>
        <w:rPr>
          <w:rStyle w:val="FootnoteReference"/>
        </w:rPr>
        <w:footnoteRef/>
      </w:r>
      <w:r>
        <w:t xml:space="preserve"> </w:t>
      </w:r>
      <w:r w:rsidRPr="00EA0C4B">
        <w:t xml:space="preserve">Licensing Procedures Public Notice, 23 FCC </w:t>
      </w:r>
      <w:r w:rsidRPr="00EA0C4B">
        <w:t>Rcd</w:t>
      </w:r>
      <w:r w:rsidRPr="00EA0C4B">
        <w:t xml:space="preserve"> at 18344-45.</w:t>
      </w:r>
    </w:p>
  </w:footnote>
  <w:footnote w:id="33">
    <w:p w:rsidR="00DB5CE8" w:rsidP="00464F1F" w14:paraId="68DEA3D8" w14:textId="77777777">
      <w:pPr>
        <w:pStyle w:val="FootnoteText"/>
      </w:pPr>
      <w:r>
        <w:rPr>
          <w:rStyle w:val="FootnoteReference"/>
        </w:rPr>
        <w:footnoteRef/>
      </w:r>
      <w:r>
        <w:t xml:space="preserve"> Coordinators may also accept applications submitted to them for coordination prior to the date of this </w:t>
      </w:r>
      <w:r w:rsidRPr="002C7649">
        <w:rPr>
          <w:i/>
        </w:rPr>
        <w:t>Public Notice</w:t>
      </w:r>
      <w:r>
        <w:t xml:space="preserve">, </w:t>
      </w:r>
      <w:r>
        <w:t>provided that</w:t>
      </w:r>
      <w:r>
        <w:t xml:space="preserve"> they comply with the pre-coordination notification procedures set forth in this </w:t>
      </w:r>
      <w:r w:rsidRPr="002C7649">
        <w:rPr>
          <w:i/>
        </w:rPr>
        <w:t>Public Notice</w:t>
      </w:r>
      <w:r>
        <w:t xml:space="preserve"> with respect to such applications.</w:t>
      </w:r>
    </w:p>
  </w:footnote>
  <w:footnote w:id="34">
    <w:p w:rsidR="00DB5CE8" w:rsidP="00464F1F" w14:paraId="4040978B" w14:textId="77777777">
      <w:pPr>
        <w:pStyle w:val="FootnoteText"/>
      </w:pPr>
      <w:r>
        <w:rPr>
          <w:rStyle w:val="FootnoteReference"/>
        </w:rPr>
        <w:footnoteRef/>
      </w:r>
      <w:r>
        <w:t xml:space="preserve"> 47 CFR § 90.621(b)(4).</w:t>
      </w:r>
    </w:p>
  </w:footnote>
  <w:footnote w:id="35">
    <w:p w:rsidR="00DB5CE8" w:rsidRPr="00955BAC" w:rsidP="00464F1F" w14:paraId="090295ED" w14:textId="77777777">
      <w:pPr>
        <w:pStyle w:val="FootnoteText"/>
      </w:pPr>
      <w:r>
        <w:rPr>
          <w:rStyle w:val="FootnoteReference"/>
        </w:rPr>
        <w:footnoteRef/>
      </w:r>
      <w:r>
        <w:t xml:space="preserve"> We encourage frequency coordinators first to explore engineering solutions and other rational bases on which to resolve mutual exclusivity.  If mutual exclusivity cannot otherwise be resolved before the filing window opens, it may be resolved </w:t>
      </w:r>
      <w:r>
        <w:t>on the basis of</w:t>
      </w:r>
      <w:r>
        <w:t xml:space="preserve"> the pre-coordination notification date and time stamp in order to avoid the filing of mutually exclusive applications.  </w:t>
      </w:r>
      <w:r>
        <w:rPr>
          <w:i/>
        </w:rPr>
        <w:t>See Aventura</w:t>
      </w:r>
      <w:r>
        <w:t xml:space="preserve">, 28 FCC </w:t>
      </w:r>
      <w:r>
        <w:t>Rcd</w:t>
      </w:r>
      <w:r>
        <w:t xml:space="preserve"> at 4442-43, para. 10.</w:t>
      </w:r>
    </w:p>
  </w:footnote>
  <w:footnote w:id="36">
    <w:p w:rsidR="00DB5CE8" w:rsidP="00464F1F" w14:paraId="433E6430" w14:textId="77777777">
      <w:pPr>
        <w:pStyle w:val="FootnoteText"/>
      </w:pPr>
      <w:r>
        <w:rPr>
          <w:rStyle w:val="FootnoteReference"/>
        </w:rPr>
        <w:footnoteRef/>
      </w:r>
      <w:r>
        <w:t xml:space="preserve"> 47 CFR § 90.155(a).</w:t>
      </w:r>
    </w:p>
  </w:footnote>
  <w:footnote w:id="37">
    <w:p w:rsidR="00DB5CE8" w:rsidP="00464F1F" w14:paraId="4B965D07" w14:textId="77777777">
      <w:pPr>
        <w:pStyle w:val="FootnoteText"/>
      </w:pPr>
      <w:r>
        <w:rPr>
          <w:rStyle w:val="FootnoteReference"/>
        </w:rPr>
        <w:footnoteRef/>
      </w:r>
      <w:r>
        <w:t xml:space="preserve"> </w:t>
      </w:r>
      <w:r>
        <w:rPr>
          <w:i/>
        </w:rPr>
        <w:t>Id</w:t>
      </w:r>
      <w:r>
        <w:t xml:space="preserve">.  </w:t>
      </w:r>
      <w:r>
        <w:rPr>
          <w:i/>
        </w:rPr>
        <w:t xml:space="preserve">See also </w:t>
      </w:r>
      <w:r>
        <w:t xml:space="preserve">47 CFR §§ 1.953(c), 90.157(a).  </w:t>
      </w:r>
    </w:p>
  </w:footnote>
  <w:footnote w:id="38">
    <w:p w:rsidR="00DB5CE8" w:rsidP="00464F1F" w14:paraId="627BBC58" w14:textId="77777777">
      <w:pPr>
        <w:pStyle w:val="FootnoteText"/>
      </w:pPr>
      <w:r>
        <w:rPr>
          <w:rStyle w:val="FootnoteReference"/>
        </w:rPr>
        <w:footnoteRef/>
      </w:r>
      <w:r>
        <w:t xml:space="preserve"> 47 CFR § 1.946(e).</w:t>
      </w:r>
    </w:p>
  </w:footnote>
  <w:footnote w:id="39">
    <w:p w:rsidR="00DB5CE8" w:rsidRPr="00BE4E2C" w:rsidP="00464F1F" w14:paraId="3FF55DE6" w14:textId="77777777">
      <w:pPr>
        <w:pStyle w:val="FootnoteText"/>
      </w:pPr>
      <w:r w:rsidRPr="00020551">
        <w:rPr>
          <w:rStyle w:val="FootnoteReference"/>
        </w:rPr>
        <w:footnoteRef/>
      </w:r>
      <w:r w:rsidRPr="00020551">
        <w:t xml:space="preserve"> In the </w:t>
      </w:r>
      <w:r w:rsidRPr="00020551">
        <w:rPr>
          <w:i/>
        </w:rPr>
        <w:t>800 MHz Report and Order</w:t>
      </w:r>
      <w:r w:rsidRPr="00020551">
        <w:t>, the Commission provided flexibility to 900 MHz B/ILT licensees to allow them to convert their Private Land Mobile Radio authorizations to Commercial Mobile Radio Service authorizations</w:t>
      </w:r>
      <w:r>
        <w:t>,</w:t>
      </w:r>
      <w:r w:rsidRPr="00B722D3">
        <w:t xml:space="preserve"> </w:t>
      </w:r>
      <w:r>
        <w:rPr>
          <w:i/>
        </w:rPr>
        <w:t>s</w:t>
      </w:r>
      <w:r w:rsidRPr="00B722D3">
        <w:rPr>
          <w:i/>
        </w:rPr>
        <w:t>ee 800 MHz Report and Order</w:t>
      </w:r>
      <w:r w:rsidRPr="00B722D3">
        <w:t xml:space="preserve">, 19 FCC </w:t>
      </w:r>
      <w:r w:rsidRPr="00B722D3">
        <w:t>Rcd</w:t>
      </w:r>
      <w:r w:rsidRPr="00B722D3">
        <w:t xml:space="preserve"> at 15127</w:t>
      </w:r>
      <w:r>
        <w:t>, para.</w:t>
      </w:r>
      <w:r w:rsidRPr="00B722D3">
        <w:t xml:space="preserve"> 337</w:t>
      </w:r>
      <w:r>
        <w:t>, but it</w:t>
      </w:r>
      <w:r w:rsidRPr="00B722D3">
        <w:t xml:space="preserve"> also envisioned that Sprint would temporarily shift some of its operations to the 900 MHz band to create “green space” to facilitate 800 MHz </w:t>
      </w:r>
      <w:r w:rsidRPr="00B722D3">
        <w:t>rebanding</w:t>
      </w:r>
      <w:r>
        <w:t>,</w:t>
      </w:r>
      <w:r w:rsidRPr="00B722D3">
        <w:t xml:space="preserve"> </w:t>
      </w:r>
      <w:r>
        <w:rPr>
          <w:i/>
        </w:rPr>
        <w:t>see i</w:t>
      </w:r>
      <w:r w:rsidRPr="00B722D3">
        <w:rPr>
          <w:i/>
        </w:rPr>
        <w:t>d</w:t>
      </w:r>
      <w:r w:rsidRPr="00B722D3">
        <w:t>. at 15127</w:t>
      </w:r>
      <w:r>
        <w:t>, para.</w:t>
      </w:r>
      <w:r w:rsidRPr="00B722D3">
        <w:t xml:space="preserve"> 335-336.  Following the release of the </w:t>
      </w:r>
      <w:r w:rsidRPr="00B722D3">
        <w:rPr>
          <w:i/>
        </w:rPr>
        <w:t>800 MHz Report and Order</w:t>
      </w:r>
      <w:r w:rsidRPr="00B722D3">
        <w:t>, the Wireless Telecommunications Bureau received an exceptionally high number of applications for 900 MHz</w:t>
      </w:r>
      <w:r>
        <w:t xml:space="preserve"> B/ILT</w:t>
      </w:r>
      <w:r w:rsidRPr="00B722D3">
        <w:t xml:space="preserve"> licenses</w:t>
      </w:r>
      <w:r>
        <w:t xml:space="preserve">, so it </w:t>
      </w:r>
      <w:r w:rsidRPr="00B722D3">
        <w:t>imposed a freeze on new 900 MHz</w:t>
      </w:r>
      <w:r>
        <w:t xml:space="preserve"> B/ILT</w:t>
      </w:r>
      <w:r w:rsidRPr="00B722D3">
        <w:t xml:space="preserve"> licenses to ensure Sprint had adequate “green space</w:t>
      </w:r>
      <w:r>
        <w:t>.</w:t>
      </w:r>
      <w:r w:rsidRPr="00B722D3">
        <w:t xml:space="preserve">”  </w:t>
      </w:r>
      <w:r w:rsidRPr="00B722D3">
        <w:rPr>
          <w:i/>
        </w:rPr>
        <w:t>See</w:t>
      </w:r>
      <w:r w:rsidRPr="00B722D3">
        <w:t xml:space="preserve"> </w:t>
      </w:r>
      <w:r w:rsidRPr="00063E3B">
        <w:rPr>
          <w:i/>
        </w:rPr>
        <w:t>Wireless Telecommunications Bureau Freezes Applications in the 900 MHz Band</w:t>
      </w:r>
      <w:r w:rsidRPr="00B722D3">
        <w:t xml:space="preserve">, </w:t>
      </w:r>
      <w:r w:rsidRPr="00063E3B">
        <w:t>Public Notice</w:t>
      </w:r>
      <w:r w:rsidRPr="00B722D3">
        <w:t xml:space="preserve">, 19 FCC </w:t>
      </w:r>
      <w:r w:rsidRPr="00B722D3">
        <w:t>Rcd</w:t>
      </w:r>
      <w:r w:rsidRPr="00B722D3">
        <w:t xml:space="preserve"> 18277</w:t>
      </w:r>
      <w:r>
        <w:t>, 18277-78</w:t>
      </w:r>
      <w:r w:rsidRPr="00B722D3">
        <w:t xml:space="preserve"> (WTB 2004).  </w:t>
      </w:r>
    </w:p>
  </w:footnote>
  <w:footnote w:id="40">
    <w:p w:rsidR="00DB5CE8" w:rsidP="00464F1F" w14:paraId="432029E7" w14:textId="77777777">
      <w:pPr>
        <w:pStyle w:val="FootnoteText"/>
      </w:pPr>
      <w:r>
        <w:rPr>
          <w:rStyle w:val="FootnoteReference"/>
        </w:rPr>
        <w:footnoteRef/>
      </w:r>
      <w:r>
        <w:t xml:space="preserve"> </w:t>
      </w:r>
      <w:r w:rsidRPr="00934FA1">
        <w:rPr>
          <w:i/>
          <w:iCs/>
        </w:rPr>
        <w:t>Public Safety and Homeland Security Bureau Extends 800 MHz Application Freeze Along Border with Mexico</w:t>
      </w:r>
      <w:r w:rsidRPr="00934FA1">
        <w:t xml:space="preserve">, Public Notice, 32 FCC </w:t>
      </w:r>
      <w:r w:rsidRPr="00934FA1">
        <w:t>Rcd</w:t>
      </w:r>
      <w:r w:rsidRPr="00934FA1">
        <w:t xml:space="preserve"> 1817 (PSHSB 2017).</w:t>
      </w:r>
    </w:p>
  </w:footnote>
  <w:footnote w:id="41">
    <w:p w:rsidR="00DB5CE8" w:rsidP="00464F1F" w14:paraId="12D0768C" w14:textId="77777777">
      <w:pPr>
        <w:pStyle w:val="FootnoteText"/>
      </w:pPr>
      <w:r>
        <w:rPr>
          <w:rStyle w:val="FootnoteReference"/>
        </w:rPr>
        <w:footnoteRef/>
      </w:r>
      <w:r>
        <w:t xml:space="preserve"> 47 CFR § 1.925(c)(ii) (Denial of a rule waiver request associated with an application renders that application defective and may be dismissed without prejudice).</w:t>
      </w:r>
    </w:p>
  </w:footnote>
  <w:footnote w:id="42">
    <w:p w:rsidR="00CE5370" w:rsidP="00CE5370" w14:paraId="215116CB" w14:textId="6325729D">
      <w:pPr>
        <w:pStyle w:val="FootnoteText"/>
      </w:pPr>
      <w:r>
        <w:rPr>
          <w:rStyle w:val="FootnoteReference"/>
        </w:rPr>
        <w:footnoteRef/>
      </w:r>
      <w:r>
        <w:t xml:space="preserve"> </w:t>
      </w:r>
      <w:r w:rsidR="00884DAD">
        <w:rPr>
          <w:i/>
          <w:iCs/>
        </w:rPr>
        <w:t xml:space="preserve">800 MHz Report and Order </w:t>
      </w:r>
      <w:r>
        <w:t>at 15029, para. 105.</w:t>
      </w:r>
    </w:p>
  </w:footnote>
  <w:footnote w:id="43">
    <w:p w:rsidR="00CE5370" w:rsidP="00CE5370" w14:paraId="3EE41D26" w14:textId="77777777">
      <w:pPr>
        <w:pStyle w:val="FootnoteText"/>
      </w:pPr>
      <w:r>
        <w:rPr>
          <w:rStyle w:val="FootnoteReference"/>
        </w:rPr>
        <w:footnoteRef/>
      </w:r>
      <w:r>
        <w:t xml:space="preserve"> 47 CFR §§ 22.970(a), 90.672(a).</w:t>
      </w:r>
    </w:p>
  </w:footnote>
  <w:footnote w:id="44">
    <w:p w:rsidR="00CE5370" w:rsidP="00CE5370" w14:paraId="503F0582" w14:textId="556FD17E">
      <w:pPr>
        <w:pStyle w:val="FootnoteText"/>
      </w:pPr>
      <w:r>
        <w:rPr>
          <w:rStyle w:val="FootnoteReference"/>
        </w:rPr>
        <w:footnoteRef/>
      </w:r>
      <w:r>
        <w:t xml:space="preserve"> </w:t>
      </w:r>
      <w:r w:rsidRPr="00611333">
        <w:rPr>
          <w:i/>
          <w:kern w:val="1"/>
        </w:rPr>
        <w:t>Improving Public Safety Communications in the 800 MHz Band</w:t>
      </w:r>
      <w:r>
        <w:rPr>
          <w:i/>
          <w:kern w:val="1"/>
        </w:rPr>
        <w:t xml:space="preserve">, </w:t>
      </w:r>
      <w:r w:rsidRPr="00611333">
        <w:t>Supplemental Order</w:t>
      </w:r>
      <w:r>
        <w:t xml:space="preserve">, 19 FCC </w:t>
      </w:r>
      <w:r>
        <w:t>Rcd</w:t>
      </w:r>
      <w:r>
        <w:t xml:space="preserve"> 25120, 25137-39, paras. </w:t>
      </w:r>
      <w:r>
        <w:rPr>
          <w:kern w:val="28"/>
        </w:rPr>
        <w:t>38-39 (2004)</w:t>
      </w:r>
      <w:r>
        <w:t>.</w:t>
      </w:r>
    </w:p>
  </w:footnote>
  <w:footnote w:id="45">
    <w:p w:rsidR="00CE5370" w:rsidP="00CE5370" w14:paraId="06250584" w14:textId="77777777">
      <w:pPr>
        <w:pStyle w:val="FootnoteText"/>
      </w:pPr>
      <w:r>
        <w:rPr>
          <w:rStyle w:val="FootnoteReference"/>
        </w:rPr>
        <w:footnoteRef/>
      </w:r>
      <w:r>
        <w:t xml:space="preserve"> 47 CFR §§ 27.970(a), 90.672(a).</w:t>
      </w:r>
    </w:p>
  </w:footnote>
  <w:footnote w:id="46">
    <w:p w:rsidR="00EC5036" w14:paraId="2BB5A018" w14:textId="5E9B3F7B">
      <w:pPr>
        <w:pStyle w:val="FootnoteText"/>
      </w:pPr>
      <w:r>
        <w:rPr>
          <w:rStyle w:val="FootnoteReference"/>
        </w:rPr>
        <w:footnoteRef/>
      </w:r>
      <w:r>
        <w:t xml:space="preserve"> The TA certified each of these NPSPAC regions complete with </w:t>
      </w:r>
      <w:r>
        <w:t>rebanding</w:t>
      </w:r>
      <w:r w:rsidRPr="004E6EBE" w:rsidR="004E6EBE">
        <w:t xml:space="preserve"> </w:t>
      </w:r>
      <w:r w:rsidR="004E6EBE">
        <w:t xml:space="preserve">prior to adoption of the </w:t>
      </w:r>
      <w:r w:rsidRPr="008959BA" w:rsidR="004E6EBE">
        <w:rPr>
          <w:i/>
          <w:iCs/>
        </w:rPr>
        <w:t>Termination Order</w:t>
      </w:r>
      <w:r>
        <w:t xml:space="preserve"> </w:t>
      </w:r>
      <w:r w:rsidR="006A6B7D">
        <w:t>except Region 50 – El Paso, Texas</w:t>
      </w:r>
      <w:r w:rsidR="004E6EBE">
        <w:t>.</w:t>
      </w:r>
      <w:r w:rsidR="006A6B7D">
        <w:t xml:space="preserve">  </w:t>
      </w:r>
      <w:r w:rsidR="004E6EBE">
        <w:t xml:space="preserve">The Commission delegated authority to the Public Safety and Homeland Security Bureau to declare Region 50 – El Paso, Texas complete with </w:t>
      </w:r>
      <w:r w:rsidR="004E6EBE">
        <w:t>rebanding</w:t>
      </w:r>
      <w:r w:rsidR="004E6EBE">
        <w:t xml:space="preserve"> after adoption of the Termination Order.  </w:t>
      </w:r>
      <w:r w:rsidRPr="00D70181" w:rsidR="004E6EBE">
        <w:rPr>
          <w:i/>
          <w:iCs/>
        </w:rPr>
        <w:t>See</w:t>
      </w:r>
      <w:r w:rsidR="004E6EBE">
        <w:t xml:space="preserve"> </w:t>
      </w:r>
      <w:r w:rsidR="004E6EBE">
        <w:rPr>
          <w:i/>
          <w:iCs/>
        </w:rPr>
        <w:t xml:space="preserve">Termination Order </w:t>
      </w:r>
      <w:r w:rsidR="004E6EBE">
        <w:t xml:space="preserve">at para. 18.  </w:t>
      </w:r>
      <w:r w:rsidR="006A6B7D">
        <w:rPr>
          <w:i/>
          <w:iCs/>
        </w:rPr>
        <w:t>See</w:t>
      </w:r>
      <w:r w:rsidR="004E6EBE">
        <w:rPr>
          <w:i/>
          <w:iCs/>
        </w:rPr>
        <w:t xml:space="preserve"> also</w:t>
      </w:r>
      <w:r w:rsidR="006A6B7D">
        <w:rPr>
          <w:i/>
          <w:iCs/>
        </w:rPr>
        <w:t xml:space="preserve"> </w:t>
      </w:r>
      <w:r w:rsidR="006A6B7D">
        <w:t xml:space="preserve">Letters from Brett </w:t>
      </w:r>
      <w:r w:rsidR="006A6B7D">
        <w:t>Haan</w:t>
      </w:r>
      <w:r w:rsidR="006A6B7D">
        <w:t>, 800 MHz Transition Administrator, to David L. Furth, Deputy Chief, Public Safety and Homeland Security Bureau, Federal Communications Commission (</w:t>
      </w:r>
      <w:r w:rsidRPr="003A7E78" w:rsidR="006A6B7D">
        <w:t>Nov. 21, 2018, Feb. 14, 2019, Apr. 16, 2019, Sep. 16, 2019</w:t>
      </w:r>
      <w:r w:rsidR="006A6B7D">
        <w:t>,</w:t>
      </w:r>
      <w:r w:rsidRPr="003A7E78" w:rsidR="006A6B7D">
        <w:t xml:space="preserve"> Dec. 16, 2019</w:t>
      </w:r>
      <w:r w:rsidR="006A6B7D">
        <w:t xml:space="preserve">, May 1, 2020, Jun. 22, 2020 and Aug. 5, 2020).    </w:t>
      </w:r>
      <w:r>
        <w:t xml:space="preserve">  </w:t>
      </w:r>
    </w:p>
  </w:footnote>
  <w:footnote w:id="47">
    <w:p w:rsidR="00DB5CE8" w:rsidP="00464F1F" w14:paraId="6260818B" w14:textId="07347717">
      <w:pPr>
        <w:pStyle w:val="FootnoteText"/>
      </w:pPr>
      <w:r>
        <w:rPr>
          <w:rStyle w:val="FootnoteReference"/>
        </w:rPr>
        <w:footnoteRef/>
      </w:r>
      <w:r>
        <w:t xml:space="preserve"> Regions that are only a portion of a state or states are defined by counties.  For a list of the counties in each of these regions </w:t>
      </w:r>
      <w:r w:rsidRPr="00611333">
        <w:rPr>
          <w:i/>
        </w:rPr>
        <w:t>See</w:t>
      </w:r>
      <w:r>
        <w:t xml:space="preserve"> </w:t>
      </w:r>
      <w:r w:rsidRPr="00611333">
        <w:rPr>
          <w:i/>
        </w:rPr>
        <w:t>The Development of Operational, Technical and Spectrum Requirements For Meeting Federal, State and Local Public Safety Agency Communication Requirements Through the Year 2010</w:t>
      </w:r>
      <w:r>
        <w:t xml:space="preserve">, </w:t>
      </w:r>
      <w:r w:rsidRPr="00611333">
        <w:t>First Report and Order and Third Further Notice of Proposed Rule Making</w:t>
      </w:r>
      <w:r>
        <w:rPr>
          <w:i/>
        </w:rPr>
        <w:t>,</w:t>
      </w:r>
      <w:r>
        <w:t xml:space="preserve"> 14 FCC </w:t>
      </w:r>
      <w:r>
        <w:t>Rcd</w:t>
      </w:r>
      <w:r>
        <w:t xml:space="preserve"> 152 (1998), available at </w:t>
      </w:r>
      <w:hyperlink r:id="rId2" w:history="1">
        <w:r>
          <w:rPr>
            <w:rStyle w:val="Hyperlink"/>
          </w:rPr>
          <w:t>http://www.fcc.gov/Bureaus/Wireless/Orders/1998/fcc98191.txt</w:t>
        </w:r>
      </w:hyperlink>
      <w:r>
        <w:t>.</w:t>
      </w:r>
      <w:r>
        <w:rPr>
          <w:szCs w:val="22"/>
        </w:rPr>
        <w:t xml:space="preserve">  </w:t>
      </w:r>
    </w:p>
  </w:footnote>
  <w:footnote w:id="48">
    <w:p w:rsidR="00DB5CE8" w:rsidRPr="00110717" w:rsidP="00464F1F" w14:paraId="2B56A38A" w14:textId="77777777">
      <w:pPr>
        <w:pStyle w:val="FootnoteText"/>
      </w:pPr>
      <w:r>
        <w:rPr>
          <w:rStyle w:val="FootnoteReference"/>
        </w:rPr>
        <w:footnoteRef/>
      </w:r>
      <w:r>
        <w:t xml:space="preserve"> </w:t>
      </w:r>
      <w:r>
        <w:rPr>
          <w:i/>
        </w:rPr>
        <w:t>See Public Safety and Homeland Security Bureau a</w:t>
      </w:r>
      <w:r w:rsidRPr="00110717">
        <w:rPr>
          <w:i/>
        </w:rPr>
        <w:t>nd Wireless Tele</w:t>
      </w:r>
      <w:r>
        <w:rPr>
          <w:i/>
        </w:rPr>
        <w:t>communications Bureau Announce the Completion of 800 MHz Band Reconfiguration i</w:t>
      </w:r>
      <w:r w:rsidRPr="00110717">
        <w:rPr>
          <w:i/>
        </w:rPr>
        <w:t>n Certain N</w:t>
      </w:r>
      <w:r>
        <w:rPr>
          <w:i/>
        </w:rPr>
        <w:t xml:space="preserve">PSPAC </w:t>
      </w:r>
      <w:r w:rsidRPr="00110717">
        <w:rPr>
          <w:i/>
        </w:rPr>
        <w:t>Regions</w:t>
      </w:r>
      <w:r>
        <w:t xml:space="preserve">, Public Notice, </w:t>
      </w:r>
      <w:r w:rsidRPr="00110717">
        <w:t xml:space="preserve">27 FCC </w:t>
      </w:r>
      <w:r w:rsidRPr="00110717">
        <w:t>Rcd</w:t>
      </w:r>
      <w:r w:rsidRPr="00110717">
        <w:t xml:space="preserve"> 14775</w:t>
      </w:r>
      <w:r>
        <w:t xml:space="preserve"> (PSHSB/WTB 2012); </w:t>
      </w:r>
      <w:r>
        <w:rPr>
          <w:i/>
        </w:rPr>
        <w:t>Public Safety and Homeland Security Bureau a</w:t>
      </w:r>
      <w:r w:rsidRPr="00110717">
        <w:rPr>
          <w:i/>
        </w:rPr>
        <w:t>nd Wireless Tele</w:t>
      </w:r>
      <w:r>
        <w:rPr>
          <w:i/>
        </w:rPr>
        <w:t>communications Bureau Announce the Completion of 800 MHz Band Reconfiguration i</w:t>
      </w:r>
      <w:r w:rsidRPr="00110717">
        <w:rPr>
          <w:i/>
        </w:rPr>
        <w:t>n Certain N</w:t>
      </w:r>
      <w:r>
        <w:rPr>
          <w:i/>
        </w:rPr>
        <w:t xml:space="preserve">PSPAC </w:t>
      </w:r>
      <w:r w:rsidRPr="00110717">
        <w:rPr>
          <w:i/>
        </w:rPr>
        <w:t>Regions</w:t>
      </w:r>
      <w:r>
        <w:t xml:space="preserve">, Public Notice, </w:t>
      </w:r>
      <w:r w:rsidRPr="00110717">
        <w:t xml:space="preserve">29 FCC </w:t>
      </w:r>
      <w:r w:rsidRPr="00110717">
        <w:t>Rcd</w:t>
      </w:r>
      <w:r w:rsidRPr="00110717">
        <w:t xml:space="preserve"> 16290</w:t>
      </w:r>
      <w:r>
        <w:t xml:space="preserve"> (PSHSB/WTB 2014); </w:t>
      </w:r>
      <w:r>
        <w:rPr>
          <w:i/>
        </w:rPr>
        <w:t>Public Safety and Homeland Security Bureau and Wireless Telecommunications Bureau Announce the Completion of 800 MHz Band Reconfiguration in Certain NPSPAC Regions and the Availability of Additional Sprint Vacated Channels</w:t>
      </w:r>
      <w:r>
        <w:t xml:space="preserve">, Public Notice, 31 FCC </w:t>
      </w:r>
      <w:r>
        <w:t>Rcd</w:t>
      </w:r>
      <w:r>
        <w:t xml:space="preserve"> 12891, 12895-97 (PSHSB/WTB 2016); </w:t>
      </w:r>
      <w:r w:rsidRPr="00063E3B">
        <w:rPr>
          <w:i/>
          <w:spacing w:val="-2"/>
        </w:rPr>
        <w:t>Creation of Interstitial 12.5 Kilohertz Channels in the 800 MHz Band Between 809-817/854-862 MHz</w:t>
      </w:r>
      <w:r>
        <w:rPr>
          <w:i/>
          <w:spacing w:val="-2"/>
        </w:rPr>
        <w:t xml:space="preserve">; </w:t>
      </w:r>
      <w:r w:rsidRPr="009D44F0">
        <w:rPr>
          <w:i/>
          <w:spacing w:val="-2"/>
        </w:rPr>
        <w:t>Amendment of Part 90 of the Commission’s Rules to Improve Access to Private Land Mobile Radio Spectrum</w:t>
      </w:r>
      <w:r>
        <w:rPr>
          <w:i/>
          <w:spacing w:val="-2"/>
        </w:rPr>
        <w:t xml:space="preserve">; </w:t>
      </w:r>
      <w:r w:rsidRPr="009D44F0">
        <w:rPr>
          <w:i/>
          <w:spacing w:val="-2"/>
        </w:rPr>
        <w:t>Land Mobile Communications Council</w:t>
      </w:r>
      <w:r>
        <w:rPr>
          <w:i/>
          <w:spacing w:val="-2"/>
        </w:rPr>
        <w:t xml:space="preserve"> </w:t>
      </w:r>
      <w:r w:rsidRPr="009D44F0">
        <w:rPr>
          <w:i/>
          <w:spacing w:val="-2"/>
        </w:rPr>
        <w:t>Petition for Rulemaking Regarding Interim Eligibility for 800 MHz Expansion Band and Guard Band Frequencies</w:t>
      </w:r>
      <w:r>
        <w:rPr>
          <w:spacing w:val="-2"/>
        </w:rPr>
        <w:t xml:space="preserve">, </w:t>
      </w:r>
      <w:r w:rsidRPr="009D44F0">
        <w:rPr>
          <w:spacing w:val="-2"/>
        </w:rPr>
        <w:t>WP Docket No. 15-32</w:t>
      </w:r>
      <w:r>
        <w:rPr>
          <w:spacing w:val="-2"/>
        </w:rPr>
        <w:t xml:space="preserve">, </w:t>
      </w:r>
      <w:r w:rsidRPr="009D44F0">
        <w:rPr>
          <w:spacing w:val="-2"/>
        </w:rPr>
        <w:t>RM-11572</w:t>
      </w:r>
      <w:r>
        <w:rPr>
          <w:spacing w:val="-2"/>
        </w:rPr>
        <w:t xml:space="preserve">, </w:t>
      </w:r>
      <w:r w:rsidRPr="009D44F0">
        <w:rPr>
          <w:spacing w:val="-2"/>
        </w:rPr>
        <w:t>WP Docket No. 16-26</w:t>
      </w:r>
      <w:r>
        <w:rPr>
          <w:spacing w:val="-2"/>
        </w:rPr>
        <w:t xml:space="preserve">, </w:t>
      </w:r>
      <w:r w:rsidRPr="009D44F0">
        <w:rPr>
          <w:spacing w:val="-2"/>
        </w:rPr>
        <w:t>RM-11719</w:t>
      </w:r>
      <w:r>
        <w:rPr>
          <w:spacing w:val="-2"/>
        </w:rPr>
        <w:t xml:space="preserve">, </w:t>
      </w:r>
      <w:r w:rsidRPr="009D44F0">
        <w:rPr>
          <w:spacing w:val="-2"/>
        </w:rPr>
        <w:t>Report and Order</w:t>
      </w:r>
      <w:r>
        <w:rPr>
          <w:spacing w:val="-2"/>
        </w:rPr>
        <w:t xml:space="preserve"> and Order, </w:t>
      </w:r>
      <w:r w:rsidRPr="003B4D9D">
        <w:rPr>
          <w:spacing w:val="-2"/>
        </w:rPr>
        <w:t xml:space="preserve">33 FCC </w:t>
      </w:r>
      <w:r w:rsidRPr="003B4D9D">
        <w:rPr>
          <w:spacing w:val="-2"/>
        </w:rPr>
        <w:t>Rcd</w:t>
      </w:r>
      <w:r w:rsidRPr="003B4D9D">
        <w:rPr>
          <w:spacing w:val="-2"/>
        </w:rPr>
        <w:t xml:space="preserve"> 10222</w:t>
      </w:r>
      <w:r>
        <w:rPr>
          <w:spacing w:val="-2"/>
        </w:rPr>
        <w:t>, 10245-46, para. 59 (Oct. 22,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CE8" w14:paraId="1EC4E009" w14:textId="1EB619A6">
    <w:pPr>
      <w:tabs>
        <w:tab w:val="center" w:pos="4680"/>
        <w:tab w:val="right" w:pos="9360"/>
      </w:tabs>
    </w:pPr>
    <w:r>
      <w:rPr>
        <w:b/>
      </w:rPr>
      <w:tab/>
      <w:t>Federal Communications Commission</w:t>
    </w:r>
    <w:r>
      <w:rPr>
        <w:b/>
      </w:rPr>
      <w:tab/>
      <w:t xml:space="preserve">DA </w:t>
    </w:r>
    <w:r w:rsidRPr="00603558">
      <w:rPr>
        <w:b/>
      </w:rPr>
      <w:t>21-</w:t>
    </w:r>
    <w:r w:rsidR="00AE0A36">
      <w:rPr>
        <w:b/>
      </w:rPr>
      <w:t>706</w:t>
    </w:r>
  </w:p>
  <w:p w:rsidR="00DB5CE8" w14:paraId="01D38AF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B5CE8" w:rsidRPr="00D869B2" w:rsidP="00D869B2" w14:paraId="2B8618F1" w14:textId="77777777">
    <w:pPr>
      <w:spacing w:before="4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CE8" w:rsidRPr="00D869B2" w:rsidP="00D869B2" w14:paraId="15C7D94E" w14:textId="3FC5EABE">
    <w:pPr>
      <w:spacing w:before="40"/>
      <w:rPr>
        <w:rFonts w:ascii="Arial" w:hAnsi="Arial"/>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5CE8" w14:textId="77777777">
                          <w:pPr>
                            <w:rPr>
                              <w:rFonts w:ascii="Arial" w:hAnsi="Arial"/>
                              <w:b/>
                            </w:rPr>
                          </w:pPr>
                          <w:r>
                            <w:rPr>
                              <w:rFonts w:ascii="Arial" w:hAnsi="Arial"/>
                              <w:b/>
                            </w:rPr>
                            <w:t>Federal Communications Commission</w:t>
                          </w:r>
                        </w:p>
                        <w:p w:rsidR="00DB5CE8" w14:textId="77777777">
                          <w:pPr>
                            <w:rPr>
                              <w:rFonts w:ascii="Arial" w:hAnsi="Arial"/>
                              <w:b/>
                            </w:rPr>
                          </w:pPr>
                          <w:r>
                            <w:rPr>
                              <w:rFonts w:ascii="Arial" w:hAnsi="Arial"/>
                              <w:b/>
                            </w:rPr>
                            <w:t>45 L St., N.E.</w:t>
                          </w:r>
                        </w:p>
                        <w:p w:rsidR="00DB5CE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B5CE8" w14:paraId="31603099" w14:textId="77777777">
                    <w:pPr>
                      <w:rPr>
                        <w:rFonts w:ascii="Arial" w:hAnsi="Arial"/>
                        <w:b/>
                      </w:rPr>
                    </w:pPr>
                    <w:r>
                      <w:rPr>
                        <w:rFonts w:ascii="Arial" w:hAnsi="Arial"/>
                        <w:b/>
                      </w:rPr>
                      <w:t>Federal Communications Commission</w:t>
                    </w:r>
                  </w:p>
                  <w:p w:rsidR="00DB5CE8" w14:paraId="52352A62" w14:textId="77777777">
                    <w:pPr>
                      <w:rPr>
                        <w:rFonts w:ascii="Arial" w:hAnsi="Arial"/>
                        <w:b/>
                      </w:rPr>
                    </w:pPr>
                    <w:r>
                      <w:rPr>
                        <w:rFonts w:ascii="Arial" w:hAnsi="Arial"/>
                        <w:b/>
                      </w:rPr>
                      <w:t>45 L St., N.E.</w:t>
                    </w:r>
                  </w:p>
                  <w:p w:rsidR="00DB5CE8" w14:paraId="5CA7D268" w14:textId="77777777">
                    <w:pPr>
                      <w:rPr>
                        <w:rFonts w:ascii="Arial" w:hAnsi="Arial"/>
                        <w:sz w:val="24"/>
                      </w:rPr>
                    </w:pPr>
                    <w:r>
                      <w:rPr>
                        <w:rFonts w:ascii="Arial" w:hAnsi="Arial"/>
                        <w:b/>
                      </w:rPr>
                      <w:t>Washington, D.C. 20554</w:t>
                    </w:r>
                  </w:p>
                </w:txbxContent>
              </v:textbox>
              <w10:wrap anchorx="margin"/>
            </v:shape>
          </w:pict>
        </mc:Fallback>
      </mc:AlternateContent>
    </w:r>
    <w:r w:rsidRPr="00D869B2">
      <w:rPr>
        <w:rFonts w:ascii="Arial" w:hAnsi="Arial"/>
        <w:b/>
        <w:sz w:val="96"/>
      </w:rPr>
      <w:t>PUBLIC NOTICE</w:t>
    </w:r>
  </w:p>
  <w:p w:rsidR="00DB5CE8" w14:paraId="2EE84600"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5CE8" w14:textId="77777777">
                          <w:pPr>
                            <w:spacing w:before="40"/>
                            <w:jc w:val="right"/>
                            <w:rPr>
                              <w:rFonts w:ascii="Arial" w:hAnsi="Arial"/>
                              <w:b/>
                              <w:sz w:val="16"/>
                            </w:rPr>
                          </w:pPr>
                          <w:r>
                            <w:rPr>
                              <w:rFonts w:ascii="Arial" w:hAnsi="Arial"/>
                              <w:b/>
                              <w:sz w:val="16"/>
                            </w:rPr>
                            <w:t>News Media Information 202 / 418-0500</w:t>
                          </w:r>
                        </w:p>
                        <w:p w:rsidR="00DB5CE8" w14:textId="77777777">
                          <w:pPr>
                            <w:jc w:val="right"/>
                            <w:rPr>
                              <w:rFonts w:ascii="Arial" w:hAnsi="Arial"/>
                              <w:b/>
                              <w:sz w:val="16"/>
                            </w:rPr>
                          </w:pPr>
                          <w:r>
                            <w:rPr>
                              <w:rFonts w:ascii="Arial" w:hAnsi="Arial"/>
                              <w:b/>
                              <w:sz w:val="16"/>
                            </w:rPr>
                            <w:t xml:space="preserve">Internet: </w:t>
                          </w:r>
                          <w:bookmarkStart w:id="6" w:name="_Hlt233824"/>
                          <w:hyperlink r:id="rId2" w:history="1">
                            <w:r>
                              <w:rPr>
                                <w:rStyle w:val="Hyperlink"/>
                                <w:rFonts w:ascii="Arial" w:hAnsi="Arial"/>
                                <w:b/>
                                <w:sz w:val="16"/>
                              </w:rPr>
                              <w:t>h</w:t>
                            </w:r>
                            <w:bookmarkEnd w:id="6"/>
                            <w:r>
                              <w:rPr>
                                <w:rStyle w:val="Hyperlink"/>
                                <w:rFonts w:ascii="Arial" w:hAnsi="Arial"/>
                                <w:b/>
                                <w:sz w:val="16"/>
                              </w:rPr>
                              <w:t>ttps://www.fcc.gov</w:t>
                            </w:r>
                          </w:hyperlink>
                        </w:p>
                        <w:p w:rsidR="00DB5CE8"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DB5CE8" w14:paraId="04A92D6F" w14:textId="77777777">
                    <w:pPr>
                      <w:spacing w:before="40"/>
                      <w:jc w:val="right"/>
                      <w:rPr>
                        <w:rFonts w:ascii="Arial" w:hAnsi="Arial"/>
                        <w:b/>
                        <w:sz w:val="16"/>
                      </w:rPr>
                    </w:pPr>
                    <w:r>
                      <w:rPr>
                        <w:rFonts w:ascii="Arial" w:hAnsi="Arial"/>
                        <w:b/>
                        <w:sz w:val="16"/>
                      </w:rPr>
                      <w:t>News Media Information 202 / 418-0500</w:t>
                    </w:r>
                  </w:p>
                  <w:p w:rsidR="00DB5CE8" w14:paraId="69409FAA" w14:textId="77777777">
                    <w:pPr>
                      <w:jc w:val="right"/>
                      <w:rPr>
                        <w:rFonts w:ascii="Arial" w:hAnsi="Arial"/>
                        <w:b/>
                        <w:sz w:val="16"/>
                      </w:rPr>
                    </w:pPr>
                    <w:r>
                      <w:rPr>
                        <w:rFonts w:ascii="Arial" w:hAnsi="Arial"/>
                        <w:b/>
                        <w:sz w:val="16"/>
                      </w:rPr>
                      <w:t xml:space="preserve">Internet: </w:t>
                    </w:r>
                    <w:bookmarkStart w:id="6" w:name="_Hlt233824"/>
                    <w:hyperlink r:id="rId2" w:history="1">
                      <w:r>
                        <w:rPr>
                          <w:rStyle w:val="Hyperlink"/>
                          <w:rFonts w:ascii="Arial" w:hAnsi="Arial"/>
                          <w:b/>
                          <w:sz w:val="16"/>
                        </w:rPr>
                        <w:t>h</w:t>
                      </w:r>
                      <w:bookmarkEnd w:id="6"/>
                      <w:r>
                        <w:rPr>
                          <w:rStyle w:val="Hyperlink"/>
                          <w:rFonts w:ascii="Arial" w:hAnsi="Arial"/>
                          <w:b/>
                          <w:sz w:val="16"/>
                        </w:rPr>
                        <w:t>ttps://www.fcc.gov</w:t>
                      </w:r>
                    </w:hyperlink>
                  </w:p>
                  <w:p w:rsidR="00DB5CE8" w14:paraId="6F3A1A44" w14:textId="77777777">
                    <w:pPr>
                      <w:jc w:val="right"/>
                    </w:pPr>
                    <w:r>
                      <w:rPr>
                        <w:rFonts w:ascii="Arial" w:hAnsi="Arial"/>
                        <w:b/>
                        <w:sz w:val="16"/>
                      </w:rPr>
                      <w:t>TTY: 1-888-835-5322</w:t>
                    </w:r>
                  </w:p>
                </w:txbxContent>
              </v:textbox>
            </v:shape>
          </w:pict>
        </mc:Fallback>
      </mc:AlternateContent>
    </w:r>
  </w:p>
  <w:p w:rsidR="00DB5CE8" w:rsidRPr="00D869B2" w:rsidP="00D869B2" w14:paraId="1FD23E7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635CCB"/>
    <w:multiLevelType w:val="hybridMultilevel"/>
    <w:tmpl w:val="F3F0F2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7F29E9"/>
    <w:multiLevelType w:val="hybridMultilevel"/>
    <w:tmpl w:val="F304956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1F17A30"/>
    <w:multiLevelType w:val="hybridMultilevel"/>
    <w:tmpl w:val="B7442DDE"/>
    <w:lvl w:ilvl="0">
      <w:start w:val="1"/>
      <w:numFmt w:val="bullet"/>
      <w:lvlText w:val=""/>
      <w:lvlJc w:val="left"/>
      <w:pPr>
        <w:tabs>
          <w:tab w:val="num" w:pos="216"/>
        </w:tabs>
        <w:ind w:left="216" w:hanging="21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206EC8"/>
    <w:multiLevelType w:val="hybridMultilevel"/>
    <w:tmpl w:val="5FC0A828"/>
    <w:lvl w:ilvl="0">
      <w:start w:val="1"/>
      <w:numFmt w:val="bullet"/>
      <w:lvlText w:val=""/>
      <w:lvlJc w:val="left"/>
      <w:pPr>
        <w:tabs>
          <w:tab w:val="num" w:pos="1152"/>
        </w:tabs>
        <w:ind w:left="1152" w:hanging="216"/>
      </w:pPr>
      <w:rPr>
        <w:rFonts w:ascii="Wingdings" w:hAnsi="Wingdings" w:hint="default"/>
      </w:rPr>
    </w:lvl>
    <w:lvl w:ilvl="1">
      <w:start w:val="1"/>
      <w:numFmt w:val="bullet"/>
      <w:lvlText w:val="o"/>
      <w:lvlJc w:val="left"/>
      <w:pPr>
        <w:tabs>
          <w:tab w:val="num" w:pos="2376"/>
        </w:tabs>
        <w:ind w:left="2376" w:hanging="360"/>
      </w:pPr>
      <w:rPr>
        <w:rFonts w:ascii="Courier New" w:hAnsi="Courier New" w:cs="Courier New" w:hint="default"/>
      </w:rPr>
    </w:lvl>
    <w:lvl w:ilvl="2" w:tentative="1">
      <w:start w:val="1"/>
      <w:numFmt w:val="bullet"/>
      <w:lvlText w:val=""/>
      <w:lvlJc w:val="left"/>
      <w:pPr>
        <w:tabs>
          <w:tab w:val="num" w:pos="3096"/>
        </w:tabs>
        <w:ind w:left="3096" w:hanging="360"/>
      </w:pPr>
      <w:rPr>
        <w:rFonts w:ascii="Wingdings" w:hAnsi="Wingdings" w:hint="default"/>
      </w:rPr>
    </w:lvl>
    <w:lvl w:ilvl="3" w:tentative="1">
      <w:start w:val="1"/>
      <w:numFmt w:val="bullet"/>
      <w:lvlText w:val=""/>
      <w:lvlJc w:val="left"/>
      <w:pPr>
        <w:tabs>
          <w:tab w:val="num" w:pos="3816"/>
        </w:tabs>
        <w:ind w:left="3816" w:hanging="360"/>
      </w:pPr>
      <w:rPr>
        <w:rFonts w:ascii="Symbol" w:hAnsi="Symbol" w:hint="default"/>
      </w:rPr>
    </w:lvl>
    <w:lvl w:ilvl="4" w:tentative="1">
      <w:start w:val="1"/>
      <w:numFmt w:val="bullet"/>
      <w:lvlText w:val="o"/>
      <w:lvlJc w:val="left"/>
      <w:pPr>
        <w:tabs>
          <w:tab w:val="num" w:pos="4536"/>
        </w:tabs>
        <w:ind w:left="4536" w:hanging="360"/>
      </w:pPr>
      <w:rPr>
        <w:rFonts w:ascii="Courier New" w:hAnsi="Courier New" w:cs="Courier New" w:hint="default"/>
      </w:rPr>
    </w:lvl>
    <w:lvl w:ilvl="5" w:tentative="1">
      <w:start w:val="1"/>
      <w:numFmt w:val="bullet"/>
      <w:lvlText w:val=""/>
      <w:lvlJc w:val="left"/>
      <w:pPr>
        <w:tabs>
          <w:tab w:val="num" w:pos="5256"/>
        </w:tabs>
        <w:ind w:left="5256" w:hanging="360"/>
      </w:pPr>
      <w:rPr>
        <w:rFonts w:ascii="Wingdings" w:hAnsi="Wingdings" w:hint="default"/>
      </w:rPr>
    </w:lvl>
    <w:lvl w:ilvl="6" w:tentative="1">
      <w:start w:val="1"/>
      <w:numFmt w:val="bullet"/>
      <w:lvlText w:val=""/>
      <w:lvlJc w:val="left"/>
      <w:pPr>
        <w:tabs>
          <w:tab w:val="num" w:pos="5976"/>
        </w:tabs>
        <w:ind w:left="5976" w:hanging="360"/>
      </w:pPr>
      <w:rPr>
        <w:rFonts w:ascii="Symbol" w:hAnsi="Symbol" w:hint="default"/>
      </w:rPr>
    </w:lvl>
    <w:lvl w:ilvl="7" w:tentative="1">
      <w:start w:val="1"/>
      <w:numFmt w:val="bullet"/>
      <w:lvlText w:val="o"/>
      <w:lvlJc w:val="left"/>
      <w:pPr>
        <w:tabs>
          <w:tab w:val="num" w:pos="6696"/>
        </w:tabs>
        <w:ind w:left="6696" w:hanging="360"/>
      </w:pPr>
      <w:rPr>
        <w:rFonts w:ascii="Courier New" w:hAnsi="Courier New" w:cs="Courier New" w:hint="default"/>
      </w:rPr>
    </w:lvl>
    <w:lvl w:ilvl="8" w:tentative="1">
      <w:start w:val="1"/>
      <w:numFmt w:val="bullet"/>
      <w:lvlText w:val=""/>
      <w:lvlJc w:val="left"/>
      <w:pPr>
        <w:tabs>
          <w:tab w:val="num" w:pos="7416"/>
        </w:tabs>
        <w:ind w:left="7416" w:hanging="360"/>
      </w:pPr>
      <w:rPr>
        <w:rFonts w:ascii="Wingdings" w:hAnsi="Wingdings" w:hint="default"/>
      </w:rPr>
    </w:lvl>
  </w:abstractNum>
  <w:abstractNum w:abstractNumId="7">
    <w:nsid w:val="132B0CAE"/>
    <w:multiLevelType w:val="hybridMultilevel"/>
    <w:tmpl w:val="4CA4B492"/>
    <w:lvl w:ilvl="0">
      <w:start w:val="1"/>
      <w:numFmt w:val="bullet"/>
      <w:lvlText w:val=""/>
      <w:lvlJc w:val="left"/>
      <w:pPr>
        <w:tabs>
          <w:tab w:val="num" w:pos="1620"/>
        </w:tabs>
        <w:ind w:left="1620" w:hanging="360"/>
      </w:pPr>
      <w:rPr>
        <w:rFonts w:ascii="Symbol" w:hAnsi="Symbol" w:hint="default"/>
      </w:rPr>
    </w:lvl>
    <w:lvl w:ilvl="1" w:tentative="1">
      <w:start w:val="1"/>
      <w:numFmt w:val="bullet"/>
      <w:lvlText w:val="o"/>
      <w:lvlJc w:val="left"/>
      <w:pPr>
        <w:tabs>
          <w:tab w:val="num" w:pos="2340"/>
        </w:tabs>
        <w:ind w:left="2340" w:hanging="360"/>
      </w:pPr>
      <w:rPr>
        <w:rFonts w:ascii="Courier New" w:hAnsi="Courier New" w:cs="Courier New"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cs="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cs="Courier New"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C864FF0"/>
    <w:multiLevelType w:val="hybridMultilevel"/>
    <w:tmpl w:val="CA0CA26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DB92660"/>
    <w:multiLevelType w:val="hybridMultilevel"/>
    <w:tmpl w:val="CD862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F584B41"/>
    <w:multiLevelType w:val="hybridMultilevel"/>
    <w:tmpl w:val="8A322A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1E65DA7"/>
    <w:multiLevelType w:val="hybridMultilevel"/>
    <w:tmpl w:val="4EA6AD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434A23DD"/>
    <w:multiLevelType w:val="hybridMultilevel"/>
    <w:tmpl w:val="AFF86B74"/>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370266C"/>
    <w:multiLevelType w:val="hybridMultilevel"/>
    <w:tmpl w:val="48845B62"/>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75817F1"/>
    <w:multiLevelType w:val="hybridMultilevel"/>
    <w:tmpl w:val="581A4760"/>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25">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2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8">
    <w:nsid w:val="6CCE5AC5"/>
    <w:multiLevelType w:val="hybridMultilevel"/>
    <w:tmpl w:val="E9CA87EE"/>
    <w:lvl w:ilvl="0">
      <w:start w:val="1"/>
      <w:numFmt w:val="bullet"/>
      <w:pStyle w:val="StyleParaNum11p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0"/>
  </w:num>
  <w:num w:numId="4">
    <w:abstractNumId w:val="19"/>
  </w:num>
  <w:num w:numId="5">
    <w:abstractNumId w:val="9"/>
  </w:num>
  <w:num w:numId="6">
    <w:abstractNumId w:val="2"/>
  </w:num>
  <w:num w:numId="7">
    <w:abstractNumId w:val="0"/>
  </w:num>
  <w:num w:numId="8">
    <w:abstractNumId w:val="13"/>
  </w:num>
  <w:num w:numId="9">
    <w:abstractNumId w:val="29"/>
  </w:num>
  <w:num w:numId="10">
    <w:abstractNumId w:val="23"/>
  </w:num>
  <w:num w:numId="11">
    <w:abstractNumId w:val="17"/>
  </w:num>
  <w:num w:numId="12">
    <w:abstractNumId w:val="16"/>
  </w:num>
  <w:num w:numId="13">
    <w:abstractNumId w:val="1"/>
  </w:num>
  <w:num w:numId="14">
    <w:abstractNumId w:val="24"/>
  </w:num>
  <w:num w:numId="15">
    <w:abstractNumId w:val="21"/>
  </w:num>
  <w:num w:numId="16">
    <w:abstractNumId w:val="15"/>
  </w:num>
  <w:num w:numId="17">
    <w:abstractNumId w:val="4"/>
  </w:num>
  <w:num w:numId="18">
    <w:abstractNumId w:val="28"/>
  </w:num>
  <w:num w:numId="19">
    <w:abstractNumId w:val="25"/>
  </w:num>
  <w:num w:numId="20">
    <w:abstractNumId w:val="22"/>
  </w:num>
  <w:num w:numId="21">
    <w:abstractNumId w:val="26"/>
  </w:num>
  <w:num w:numId="22">
    <w:abstractNumId w:val="11"/>
  </w:num>
  <w:num w:numId="23">
    <w:abstractNumId w:val="20"/>
  </w:num>
  <w:num w:numId="24">
    <w:abstractNumId w:val="14"/>
  </w:num>
  <w:num w:numId="25">
    <w:abstractNumId w:val="18"/>
  </w:num>
  <w:num w:numId="26">
    <w:abstractNumId w:val="3"/>
  </w:num>
  <w:num w:numId="27">
    <w:abstractNumId w:val="12"/>
  </w:num>
  <w:num w:numId="28">
    <w:abstractNumId w:val="5"/>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01748"/>
    <w:rsid w:val="000017C3"/>
    <w:rsid w:val="0000280C"/>
    <w:rsid w:val="00003CD1"/>
    <w:rsid w:val="00003F62"/>
    <w:rsid w:val="00010EF7"/>
    <w:rsid w:val="000134E0"/>
    <w:rsid w:val="00013E86"/>
    <w:rsid w:val="000151C9"/>
    <w:rsid w:val="00020551"/>
    <w:rsid w:val="00020A89"/>
    <w:rsid w:val="00023FC4"/>
    <w:rsid w:val="00024C66"/>
    <w:rsid w:val="00025F1C"/>
    <w:rsid w:val="00026646"/>
    <w:rsid w:val="00027B31"/>
    <w:rsid w:val="00032F5A"/>
    <w:rsid w:val="000334A2"/>
    <w:rsid w:val="000335DB"/>
    <w:rsid w:val="00033C64"/>
    <w:rsid w:val="00034385"/>
    <w:rsid w:val="00034988"/>
    <w:rsid w:val="0003504B"/>
    <w:rsid w:val="00036D33"/>
    <w:rsid w:val="00037106"/>
    <w:rsid w:val="00037279"/>
    <w:rsid w:val="0004103E"/>
    <w:rsid w:val="000432C2"/>
    <w:rsid w:val="00045F62"/>
    <w:rsid w:val="0004659E"/>
    <w:rsid w:val="000469CA"/>
    <w:rsid w:val="00050DB0"/>
    <w:rsid w:val="00051397"/>
    <w:rsid w:val="00052A75"/>
    <w:rsid w:val="0005434B"/>
    <w:rsid w:val="0005545A"/>
    <w:rsid w:val="00055D58"/>
    <w:rsid w:val="00056F2F"/>
    <w:rsid w:val="0005780C"/>
    <w:rsid w:val="00061BF3"/>
    <w:rsid w:val="000620CC"/>
    <w:rsid w:val="00063096"/>
    <w:rsid w:val="00063E3B"/>
    <w:rsid w:val="0006474E"/>
    <w:rsid w:val="0006548B"/>
    <w:rsid w:val="00067471"/>
    <w:rsid w:val="000701FC"/>
    <w:rsid w:val="00071753"/>
    <w:rsid w:val="00072192"/>
    <w:rsid w:val="0007236C"/>
    <w:rsid w:val="000734F3"/>
    <w:rsid w:val="00074642"/>
    <w:rsid w:val="000751C4"/>
    <w:rsid w:val="000758A5"/>
    <w:rsid w:val="000770A8"/>
    <w:rsid w:val="000772F2"/>
    <w:rsid w:val="00077910"/>
    <w:rsid w:val="00080067"/>
    <w:rsid w:val="000822CC"/>
    <w:rsid w:val="000822D0"/>
    <w:rsid w:val="00086071"/>
    <w:rsid w:val="00086546"/>
    <w:rsid w:val="00087073"/>
    <w:rsid w:val="00087CEA"/>
    <w:rsid w:val="00091D03"/>
    <w:rsid w:val="00092BB0"/>
    <w:rsid w:val="00094646"/>
    <w:rsid w:val="00094716"/>
    <w:rsid w:val="00095C4D"/>
    <w:rsid w:val="00096840"/>
    <w:rsid w:val="0009727F"/>
    <w:rsid w:val="000A1CEE"/>
    <w:rsid w:val="000A3C64"/>
    <w:rsid w:val="000A3D24"/>
    <w:rsid w:val="000A4ECC"/>
    <w:rsid w:val="000A5242"/>
    <w:rsid w:val="000A7DF8"/>
    <w:rsid w:val="000B0079"/>
    <w:rsid w:val="000B1F43"/>
    <w:rsid w:val="000B2C39"/>
    <w:rsid w:val="000B3110"/>
    <w:rsid w:val="000B3E9D"/>
    <w:rsid w:val="000B4089"/>
    <w:rsid w:val="000B4B09"/>
    <w:rsid w:val="000C2383"/>
    <w:rsid w:val="000C3378"/>
    <w:rsid w:val="000C4B1B"/>
    <w:rsid w:val="000C5C4E"/>
    <w:rsid w:val="000C61E2"/>
    <w:rsid w:val="000C651B"/>
    <w:rsid w:val="000D111E"/>
    <w:rsid w:val="000D195F"/>
    <w:rsid w:val="000D24C0"/>
    <w:rsid w:val="000D2824"/>
    <w:rsid w:val="000D34CC"/>
    <w:rsid w:val="000D43EE"/>
    <w:rsid w:val="000D4702"/>
    <w:rsid w:val="000D5990"/>
    <w:rsid w:val="000D7548"/>
    <w:rsid w:val="000E16B8"/>
    <w:rsid w:val="000E2C33"/>
    <w:rsid w:val="000E6704"/>
    <w:rsid w:val="000E6D09"/>
    <w:rsid w:val="000E7C26"/>
    <w:rsid w:val="000F1439"/>
    <w:rsid w:val="000F1698"/>
    <w:rsid w:val="000F251B"/>
    <w:rsid w:val="000F3E9E"/>
    <w:rsid w:val="00100EAB"/>
    <w:rsid w:val="00102D68"/>
    <w:rsid w:val="001039CC"/>
    <w:rsid w:val="00104009"/>
    <w:rsid w:val="00104AF7"/>
    <w:rsid w:val="00110717"/>
    <w:rsid w:val="001112E5"/>
    <w:rsid w:val="00111ED2"/>
    <w:rsid w:val="001120D8"/>
    <w:rsid w:val="00115B4D"/>
    <w:rsid w:val="0012032D"/>
    <w:rsid w:val="001209FF"/>
    <w:rsid w:val="00120A01"/>
    <w:rsid w:val="00127720"/>
    <w:rsid w:val="0013010A"/>
    <w:rsid w:val="00133FC1"/>
    <w:rsid w:val="0013434F"/>
    <w:rsid w:val="00136968"/>
    <w:rsid w:val="0013724A"/>
    <w:rsid w:val="0013784D"/>
    <w:rsid w:val="0014126B"/>
    <w:rsid w:val="001452CF"/>
    <w:rsid w:val="001474F6"/>
    <w:rsid w:val="001501E4"/>
    <w:rsid w:val="00154012"/>
    <w:rsid w:val="001541F7"/>
    <w:rsid w:val="00154821"/>
    <w:rsid w:val="0015492F"/>
    <w:rsid w:val="001561A0"/>
    <w:rsid w:val="00156A1D"/>
    <w:rsid w:val="0016171F"/>
    <w:rsid w:val="001628C6"/>
    <w:rsid w:val="001638EA"/>
    <w:rsid w:val="00164DE9"/>
    <w:rsid w:val="00165C48"/>
    <w:rsid w:val="00170C2D"/>
    <w:rsid w:val="00172743"/>
    <w:rsid w:val="00172AFB"/>
    <w:rsid w:val="001815A3"/>
    <w:rsid w:val="0018160F"/>
    <w:rsid w:val="00187770"/>
    <w:rsid w:val="001900E2"/>
    <w:rsid w:val="001914DB"/>
    <w:rsid w:val="00192636"/>
    <w:rsid w:val="0019275C"/>
    <w:rsid w:val="00192DE3"/>
    <w:rsid w:val="00195270"/>
    <w:rsid w:val="0019574E"/>
    <w:rsid w:val="0019596B"/>
    <w:rsid w:val="00195B63"/>
    <w:rsid w:val="001A1C4A"/>
    <w:rsid w:val="001A248F"/>
    <w:rsid w:val="001A530E"/>
    <w:rsid w:val="001A549B"/>
    <w:rsid w:val="001A7411"/>
    <w:rsid w:val="001B0B23"/>
    <w:rsid w:val="001B0C1D"/>
    <w:rsid w:val="001B1EF4"/>
    <w:rsid w:val="001B213F"/>
    <w:rsid w:val="001B3927"/>
    <w:rsid w:val="001B3F26"/>
    <w:rsid w:val="001B6AA2"/>
    <w:rsid w:val="001B707B"/>
    <w:rsid w:val="001C0150"/>
    <w:rsid w:val="001C07DD"/>
    <w:rsid w:val="001C2E35"/>
    <w:rsid w:val="001C3F8E"/>
    <w:rsid w:val="001D0F0E"/>
    <w:rsid w:val="001D14BA"/>
    <w:rsid w:val="001D1C74"/>
    <w:rsid w:val="001D21F8"/>
    <w:rsid w:val="001D36E7"/>
    <w:rsid w:val="001D5890"/>
    <w:rsid w:val="001D613D"/>
    <w:rsid w:val="001D67F7"/>
    <w:rsid w:val="001E202F"/>
    <w:rsid w:val="001E2E0A"/>
    <w:rsid w:val="001E2E97"/>
    <w:rsid w:val="001E6440"/>
    <w:rsid w:val="001F3DDC"/>
    <w:rsid w:val="001F4316"/>
    <w:rsid w:val="001F667F"/>
    <w:rsid w:val="00200475"/>
    <w:rsid w:val="00201FD2"/>
    <w:rsid w:val="00202034"/>
    <w:rsid w:val="0020292B"/>
    <w:rsid w:val="002035DE"/>
    <w:rsid w:val="002052B0"/>
    <w:rsid w:val="00206E2F"/>
    <w:rsid w:val="002103BA"/>
    <w:rsid w:val="00210F92"/>
    <w:rsid w:val="00213533"/>
    <w:rsid w:val="0021551B"/>
    <w:rsid w:val="0021628B"/>
    <w:rsid w:val="00217378"/>
    <w:rsid w:val="0021757A"/>
    <w:rsid w:val="00221F33"/>
    <w:rsid w:val="002223C8"/>
    <w:rsid w:val="00223B9E"/>
    <w:rsid w:val="00225226"/>
    <w:rsid w:val="00231F04"/>
    <w:rsid w:val="00232864"/>
    <w:rsid w:val="00232C3E"/>
    <w:rsid w:val="00233684"/>
    <w:rsid w:val="002337D0"/>
    <w:rsid w:val="00234F51"/>
    <w:rsid w:val="00236F07"/>
    <w:rsid w:val="00240304"/>
    <w:rsid w:val="00241274"/>
    <w:rsid w:val="00242A48"/>
    <w:rsid w:val="002442C6"/>
    <w:rsid w:val="002501EE"/>
    <w:rsid w:val="00251E36"/>
    <w:rsid w:val="00252303"/>
    <w:rsid w:val="00253B2F"/>
    <w:rsid w:val="00261B2B"/>
    <w:rsid w:val="00264348"/>
    <w:rsid w:val="0026439E"/>
    <w:rsid w:val="00265141"/>
    <w:rsid w:val="002673E5"/>
    <w:rsid w:val="0027261F"/>
    <w:rsid w:val="002728F4"/>
    <w:rsid w:val="00272918"/>
    <w:rsid w:val="00274627"/>
    <w:rsid w:val="00276A8B"/>
    <w:rsid w:val="00276CF4"/>
    <w:rsid w:val="0028222B"/>
    <w:rsid w:val="00282AC5"/>
    <w:rsid w:val="00283214"/>
    <w:rsid w:val="002849AE"/>
    <w:rsid w:val="002850EB"/>
    <w:rsid w:val="00285301"/>
    <w:rsid w:val="0028560E"/>
    <w:rsid w:val="0028654B"/>
    <w:rsid w:val="00293EEC"/>
    <w:rsid w:val="00294164"/>
    <w:rsid w:val="00294575"/>
    <w:rsid w:val="00294B3A"/>
    <w:rsid w:val="00294BE8"/>
    <w:rsid w:val="00294F6B"/>
    <w:rsid w:val="00296406"/>
    <w:rsid w:val="002A0C49"/>
    <w:rsid w:val="002A154C"/>
    <w:rsid w:val="002B031B"/>
    <w:rsid w:val="002B1019"/>
    <w:rsid w:val="002B2A81"/>
    <w:rsid w:val="002B526E"/>
    <w:rsid w:val="002B5F2B"/>
    <w:rsid w:val="002C1876"/>
    <w:rsid w:val="002C68E9"/>
    <w:rsid w:val="002C7649"/>
    <w:rsid w:val="002D192D"/>
    <w:rsid w:val="002D2CE4"/>
    <w:rsid w:val="002D549F"/>
    <w:rsid w:val="002D550E"/>
    <w:rsid w:val="002E0228"/>
    <w:rsid w:val="002E266D"/>
    <w:rsid w:val="002E56E1"/>
    <w:rsid w:val="002E6741"/>
    <w:rsid w:val="002E7084"/>
    <w:rsid w:val="002F0E9D"/>
    <w:rsid w:val="002F12FC"/>
    <w:rsid w:val="002F2CD5"/>
    <w:rsid w:val="002F2F4A"/>
    <w:rsid w:val="002F453E"/>
    <w:rsid w:val="002F4DB8"/>
    <w:rsid w:val="002F5070"/>
    <w:rsid w:val="002F52CF"/>
    <w:rsid w:val="002F57D1"/>
    <w:rsid w:val="002F5AF9"/>
    <w:rsid w:val="00301D0E"/>
    <w:rsid w:val="00302AD7"/>
    <w:rsid w:val="003042BD"/>
    <w:rsid w:val="0030440F"/>
    <w:rsid w:val="0031345C"/>
    <w:rsid w:val="00313F54"/>
    <w:rsid w:val="003142CD"/>
    <w:rsid w:val="003202F1"/>
    <w:rsid w:val="0032392D"/>
    <w:rsid w:val="00323D34"/>
    <w:rsid w:val="00325881"/>
    <w:rsid w:val="0032685A"/>
    <w:rsid w:val="00327A6D"/>
    <w:rsid w:val="00335006"/>
    <w:rsid w:val="00337BDC"/>
    <w:rsid w:val="00337F23"/>
    <w:rsid w:val="00342549"/>
    <w:rsid w:val="003428E9"/>
    <w:rsid w:val="00343682"/>
    <w:rsid w:val="00350146"/>
    <w:rsid w:val="003507F8"/>
    <w:rsid w:val="00350BDD"/>
    <w:rsid w:val="00355C20"/>
    <w:rsid w:val="00356FD1"/>
    <w:rsid w:val="003570B6"/>
    <w:rsid w:val="00357BAB"/>
    <w:rsid w:val="003617D6"/>
    <w:rsid w:val="00365690"/>
    <w:rsid w:val="003656F0"/>
    <w:rsid w:val="00366960"/>
    <w:rsid w:val="00367F20"/>
    <w:rsid w:val="0037004B"/>
    <w:rsid w:val="003708E1"/>
    <w:rsid w:val="00372CE2"/>
    <w:rsid w:val="00380BCE"/>
    <w:rsid w:val="003812F8"/>
    <w:rsid w:val="00384A9F"/>
    <w:rsid w:val="00385D84"/>
    <w:rsid w:val="00386ACE"/>
    <w:rsid w:val="00386D90"/>
    <w:rsid w:val="003915DF"/>
    <w:rsid w:val="00392724"/>
    <w:rsid w:val="003945F8"/>
    <w:rsid w:val="003949DC"/>
    <w:rsid w:val="003A32D7"/>
    <w:rsid w:val="003A3D08"/>
    <w:rsid w:val="003A7E78"/>
    <w:rsid w:val="003B018E"/>
    <w:rsid w:val="003B08EB"/>
    <w:rsid w:val="003B3E54"/>
    <w:rsid w:val="003B4D9D"/>
    <w:rsid w:val="003B5D5A"/>
    <w:rsid w:val="003B5F58"/>
    <w:rsid w:val="003B697A"/>
    <w:rsid w:val="003B6D1D"/>
    <w:rsid w:val="003C0E6A"/>
    <w:rsid w:val="003C1A57"/>
    <w:rsid w:val="003C39C8"/>
    <w:rsid w:val="003C44A4"/>
    <w:rsid w:val="003C4986"/>
    <w:rsid w:val="003D2495"/>
    <w:rsid w:val="003D2ED8"/>
    <w:rsid w:val="003D478D"/>
    <w:rsid w:val="003E045A"/>
    <w:rsid w:val="003E0B7F"/>
    <w:rsid w:val="003E3836"/>
    <w:rsid w:val="003E475E"/>
    <w:rsid w:val="003E71CD"/>
    <w:rsid w:val="003E7424"/>
    <w:rsid w:val="003E75C7"/>
    <w:rsid w:val="003E777C"/>
    <w:rsid w:val="003E7995"/>
    <w:rsid w:val="003F0746"/>
    <w:rsid w:val="003F2BBD"/>
    <w:rsid w:val="003F4298"/>
    <w:rsid w:val="003F4B2F"/>
    <w:rsid w:val="003F4F39"/>
    <w:rsid w:val="003F5E20"/>
    <w:rsid w:val="003F60A0"/>
    <w:rsid w:val="004021C5"/>
    <w:rsid w:val="00403077"/>
    <w:rsid w:val="004064EF"/>
    <w:rsid w:val="00406A03"/>
    <w:rsid w:val="00407931"/>
    <w:rsid w:val="00410A11"/>
    <w:rsid w:val="00411030"/>
    <w:rsid w:val="00411B59"/>
    <w:rsid w:val="00411F4F"/>
    <w:rsid w:val="00413F99"/>
    <w:rsid w:val="004207C3"/>
    <w:rsid w:val="0042144B"/>
    <w:rsid w:val="00423D2F"/>
    <w:rsid w:val="00426790"/>
    <w:rsid w:val="00432310"/>
    <w:rsid w:val="004327E6"/>
    <w:rsid w:val="004332E8"/>
    <w:rsid w:val="00434170"/>
    <w:rsid w:val="00434AA0"/>
    <w:rsid w:val="00435623"/>
    <w:rsid w:val="00436405"/>
    <w:rsid w:val="0043643A"/>
    <w:rsid w:val="00436556"/>
    <w:rsid w:val="00436642"/>
    <w:rsid w:val="00437AD3"/>
    <w:rsid w:val="0044493B"/>
    <w:rsid w:val="004526DD"/>
    <w:rsid w:val="00455A2E"/>
    <w:rsid w:val="0045753B"/>
    <w:rsid w:val="0046417D"/>
    <w:rsid w:val="004643C7"/>
    <w:rsid w:val="004643F2"/>
    <w:rsid w:val="0046463C"/>
    <w:rsid w:val="00464F1F"/>
    <w:rsid w:val="0046562C"/>
    <w:rsid w:val="00467377"/>
    <w:rsid w:val="00476D27"/>
    <w:rsid w:val="00480CA0"/>
    <w:rsid w:val="00483B93"/>
    <w:rsid w:val="004845DD"/>
    <w:rsid w:val="00487385"/>
    <w:rsid w:val="0049112D"/>
    <w:rsid w:val="004912B7"/>
    <w:rsid w:val="00492583"/>
    <w:rsid w:val="00492C01"/>
    <w:rsid w:val="0049341F"/>
    <w:rsid w:val="00494F35"/>
    <w:rsid w:val="004A0D33"/>
    <w:rsid w:val="004A295D"/>
    <w:rsid w:val="004A3DE1"/>
    <w:rsid w:val="004A5C0C"/>
    <w:rsid w:val="004A7505"/>
    <w:rsid w:val="004B2DF3"/>
    <w:rsid w:val="004B3BB0"/>
    <w:rsid w:val="004B74EE"/>
    <w:rsid w:val="004C0F76"/>
    <w:rsid w:val="004C149E"/>
    <w:rsid w:val="004C219E"/>
    <w:rsid w:val="004C559C"/>
    <w:rsid w:val="004C6E18"/>
    <w:rsid w:val="004D0F5C"/>
    <w:rsid w:val="004D194A"/>
    <w:rsid w:val="004D2F09"/>
    <w:rsid w:val="004D3A15"/>
    <w:rsid w:val="004D4464"/>
    <w:rsid w:val="004D4F76"/>
    <w:rsid w:val="004D5ACE"/>
    <w:rsid w:val="004D6E9C"/>
    <w:rsid w:val="004D703B"/>
    <w:rsid w:val="004E0D7F"/>
    <w:rsid w:val="004E1681"/>
    <w:rsid w:val="004E37D4"/>
    <w:rsid w:val="004E4541"/>
    <w:rsid w:val="004E57A8"/>
    <w:rsid w:val="004E5B9D"/>
    <w:rsid w:val="004E65EB"/>
    <w:rsid w:val="004E6EBE"/>
    <w:rsid w:val="004F0AC7"/>
    <w:rsid w:val="004F1C87"/>
    <w:rsid w:val="004F1F8D"/>
    <w:rsid w:val="004F4E26"/>
    <w:rsid w:val="004F5627"/>
    <w:rsid w:val="004F6816"/>
    <w:rsid w:val="0050507E"/>
    <w:rsid w:val="00505238"/>
    <w:rsid w:val="00507A70"/>
    <w:rsid w:val="00507E30"/>
    <w:rsid w:val="00513D89"/>
    <w:rsid w:val="0052051B"/>
    <w:rsid w:val="005220F3"/>
    <w:rsid w:val="00522797"/>
    <w:rsid w:val="00526368"/>
    <w:rsid w:val="00526DB6"/>
    <w:rsid w:val="00527694"/>
    <w:rsid w:val="00530D58"/>
    <w:rsid w:val="00532BED"/>
    <w:rsid w:val="00534224"/>
    <w:rsid w:val="00534467"/>
    <w:rsid w:val="00536B72"/>
    <w:rsid w:val="0054138D"/>
    <w:rsid w:val="00545106"/>
    <w:rsid w:val="005500D1"/>
    <w:rsid w:val="00550C6E"/>
    <w:rsid w:val="0055248D"/>
    <w:rsid w:val="00553FBC"/>
    <w:rsid w:val="00556CA1"/>
    <w:rsid w:val="00560842"/>
    <w:rsid w:val="005611A1"/>
    <w:rsid w:val="0056506F"/>
    <w:rsid w:val="005651DB"/>
    <w:rsid w:val="00566402"/>
    <w:rsid w:val="0056661E"/>
    <w:rsid w:val="00571177"/>
    <w:rsid w:val="00573477"/>
    <w:rsid w:val="00575E74"/>
    <w:rsid w:val="00576933"/>
    <w:rsid w:val="00577864"/>
    <w:rsid w:val="005838EE"/>
    <w:rsid w:val="0058525D"/>
    <w:rsid w:val="005853EA"/>
    <w:rsid w:val="00587E17"/>
    <w:rsid w:val="005964A3"/>
    <w:rsid w:val="00597FCE"/>
    <w:rsid w:val="005A054B"/>
    <w:rsid w:val="005A2B0E"/>
    <w:rsid w:val="005A530F"/>
    <w:rsid w:val="005A6172"/>
    <w:rsid w:val="005A6A89"/>
    <w:rsid w:val="005A7757"/>
    <w:rsid w:val="005B0CDD"/>
    <w:rsid w:val="005B3229"/>
    <w:rsid w:val="005B3CFF"/>
    <w:rsid w:val="005B3FA8"/>
    <w:rsid w:val="005B68DA"/>
    <w:rsid w:val="005B6BA9"/>
    <w:rsid w:val="005B7FCF"/>
    <w:rsid w:val="005C0B9E"/>
    <w:rsid w:val="005C2058"/>
    <w:rsid w:val="005C2346"/>
    <w:rsid w:val="005C718D"/>
    <w:rsid w:val="005D09A4"/>
    <w:rsid w:val="005D1B5B"/>
    <w:rsid w:val="005D2B4E"/>
    <w:rsid w:val="005D4650"/>
    <w:rsid w:val="005D7679"/>
    <w:rsid w:val="005D7D67"/>
    <w:rsid w:val="005E42AF"/>
    <w:rsid w:val="005E454F"/>
    <w:rsid w:val="005E483E"/>
    <w:rsid w:val="005E5351"/>
    <w:rsid w:val="005E708F"/>
    <w:rsid w:val="005F074E"/>
    <w:rsid w:val="005F22E9"/>
    <w:rsid w:val="005F2BDB"/>
    <w:rsid w:val="005F4125"/>
    <w:rsid w:val="005F5669"/>
    <w:rsid w:val="005F7D5D"/>
    <w:rsid w:val="00600A01"/>
    <w:rsid w:val="00602FB7"/>
    <w:rsid w:val="006033FF"/>
    <w:rsid w:val="00603558"/>
    <w:rsid w:val="0060488C"/>
    <w:rsid w:val="00607962"/>
    <w:rsid w:val="006103BA"/>
    <w:rsid w:val="00610C7D"/>
    <w:rsid w:val="00610CB2"/>
    <w:rsid w:val="00611333"/>
    <w:rsid w:val="00612949"/>
    <w:rsid w:val="00615045"/>
    <w:rsid w:val="00616417"/>
    <w:rsid w:val="00616D1D"/>
    <w:rsid w:val="00620061"/>
    <w:rsid w:val="00620524"/>
    <w:rsid w:val="00621795"/>
    <w:rsid w:val="00623122"/>
    <w:rsid w:val="00624A89"/>
    <w:rsid w:val="006300CB"/>
    <w:rsid w:val="00634326"/>
    <w:rsid w:val="00634695"/>
    <w:rsid w:val="006349CB"/>
    <w:rsid w:val="00635B44"/>
    <w:rsid w:val="00636527"/>
    <w:rsid w:val="006367EC"/>
    <w:rsid w:val="00636F7F"/>
    <w:rsid w:val="0064321F"/>
    <w:rsid w:val="00644548"/>
    <w:rsid w:val="00646F25"/>
    <w:rsid w:val="006471C9"/>
    <w:rsid w:val="00651690"/>
    <w:rsid w:val="00656DEA"/>
    <w:rsid w:val="006579FC"/>
    <w:rsid w:val="00660F53"/>
    <w:rsid w:val="0066217F"/>
    <w:rsid w:val="0066669E"/>
    <w:rsid w:val="006711C2"/>
    <w:rsid w:val="0067698C"/>
    <w:rsid w:val="00683BC5"/>
    <w:rsid w:val="006849E5"/>
    <w:rsid w:val="00684FFC"/>
    <w:rsid w:val="00685BC3"/>
    <w:rsid w:val="00691696"/>
    <w:rsid w:val="0069349D"/>
    <w:rsid w:val="0069416D"/>
    <w:rsid w:val="00695019"/>
    <w:rsid w:val="00696DA6"/>
    <w:rsid w:val="006A0503"/>
    <w:rsid w:val="006A1C57"/>
    <w:rsid w:val="006A2D38"/>
    <w:rsid w:val="006A47C4"/>
    <w:rsid w:val="006A482C"/>
    <w:rsid w:val="006A6B7D"/>
    <w:rsid w:val="006A6E55"/>
    <w:rsid w:val="006A7AB6"/>
    <w:rsid w:val="006B6EB4"/>
    <w:rsid w:val="006C2A73"/>
    <w:rsid w:val="006C4C04"/>
    <w:rsid w:val="006C6FD4"/>
    <w:rsid w:val="006D1389"/>
    <w:rsid w:val="006D4BFD"/>
    <w:rsid w:val="006D5E52"/>
    <w:rsid w:val="006D714B"/>
    <w:rsid w:val="006E098A"/>
    <w:rsid w:val="006E1054"/>
    <w:rsid w:val="006E15CF"/>
    <w:rsid w:val="006E210A"/>
    <w:rsid w:val="006E274C"/>
    <w:rsid w:val="006E3BBD"/>
    <w:rsid w:val="006E4C29"/>
    <w:rsid w:val="006E74AA"/>
    <w:rsid w:val="006F0923"/>
    <w:rsid w:val="006F277A"/>
    <w:rsid w:val="006F2C1A"/>
    <w:rsid w:val="006F484D"/>
    <w:rsid w:val="006F6D91"/>
    <w:rsid w:val="006F6EC6"/>
    <w:rsid w:val="006F7BBD"/>
    <w:rsid w:val="00700A2C"/>
    <w:rsid w:val="00701329"/>
    <w:rsid w:val="007015B0"/>
    <w:rsid w:val="00701AEB"/>
    <w:rsid w:val="00702187"/>
    <w:rsid w:val="007024BA"/>
    <w:rsid w:val="00702F59"/>
    <w:rsid w:val="00703123"/>
    <w:rsid w:val="00712B63"/>
    <w:rsid w:val="007138B6"/>
    <w:rsid w:val="00714133"/>
    <w:rsid w:val="0071633E"/>
    <w:rsid w:val="00720570"/>
    <w:rsid w:val="007214F0"/>
    <w:rsid w:val="00721F3C"/>
    <w:rsid w:val="007226A5"/>
    <w:rsid w:val="00723842"/>
    <w:rsid w:val="00723BF3"/>
    <w:rsid w:val="00726FA8"/>
    <w:rsid w:val="00727000"/>
    <w:rsid w:val="00727B7E"/>
    <w:rsid w:val="00736BFC"/>
    <w:rsid w:val="00736EEC"/>
    <w:rsid w:val="00741064"/>
    <w:rsid w:val="007422E0"/>
    <w:rsid w:val="00742E88"/>
    <w:rsid w:val="007435A7"/>
    <w:rsid w:val="007540D7"/>
    <w:rsid w:val="00755A24"/>
    <w:rsid w:val="00757A78"/>
    <w:rsid w:val="00757EF7"/>
    <w:rsid w:val="007611C6"/>
    <w:rsid w:val="0076350A"/>
    <w:rsid w:val="00763874"/>
    <w:rsid w:val="00764544"/>
    <w:rsid w:val="00764FE8"/>
    <w:rsid w:val="00765988"/>
    <w:rsid w:val="007665F6"/>
    <w:rsid w:val="0077027C"/>
    <w:rsid w:val="00771366"/>
    <w:rsid w:val="007716FE"/>
    <w:rsid w:val="0077401B"/>
    <w:rsid w:val="00775987"/>
    <w:rsid w:val="0077626D"/>
    <w:rsid w:val="007776CA"/>
    <w:rsid w:val="0078151A"/>
    <w:rsid w:val="007816F7"/>
    <w:rsid w:val="00781DCA"/>
    <w:rsid w:val="007856C9"/>
    <w:rsid w:val="007900D4"/>
    <w:rsid w:val="00790939"/>
    <w:rsid w:val="007943DD"/>
    <w:rsid w:val="00794797"/>
    <w:rsid w:val="00796FB7"/>
    <w:rsid w:val="007A0C9A"/>
    <w:rsid w:val="007A119F"/>
    <w:rsid w:val="007A434E"/>
    <w:rsid w:val="007A5CBB"/>
    <w:rsid w:val="007A6167"/>
    <w:rsid w:val="007A67CA"/>
    <w:rsid w:val="007B20B6"/>
    <w:rsid w:val="007B3082"/>
    <w:rsid w:val="007B5F0F"/>
    <w:rsid w:val="007B7A70"/>
    <w:rsid w:val="007C2E19"/>
    <w:rsid w:val="007C348E"/>
    <w:rsid w:val="007C3ABF"/>
    <w:rsid w:val="007C6DF0"/>
    <w:rsid w:val="007C7160"/>
    <w:rsid w:val="007C7EC6"/>
    <w:rsid w:val="007D0F6F"/>
    <w:rsid w:val="007D3240"/>
    <w:rsid w:val="007D45C9"/>
    <w:rsid w:val="007D66A6"/>
    <w:rsid w:val="007E27E0"/>
    <w:rsid w:val="007E3431"/>
    <w:rsid w:val="007E491C"/>
    <w:rsid w:val="007E5666"/>
    <w:rsid w:val="007F1E08"/>
    <w:rsid w:val="007F2915"/>
    <w:rsid w:val="00801C15"/>
    <w:rsid w:val="008033C8"/>
    <w:rsid w:val="00807F89"/>
    <w:rsid w:val="00811455"/>
    <w:rsid w:val="00811555"/>
    <w:rsid w:val="00811A5F"/>
    <w:rsid w:val="00812202"/>
    <w:rsid w:val="00814781"/>
    <w:rsid w:val="008148B9"/>
    <w:rsid w:val="00814EFF"/>
    <w:rsid w:val="00816C95"/>
    <w:rsid w:val="008172D4"/>
    <w:rsid w:val="00821615"/>
    <w:rsid w:val="00821827"/>
    <w:rsid w:val="00827517"/>
    <w:rsid w:val="008302A7"/>
    <w:rsid w:val="0083318A"/>
    <w:rsid w:val="0083416C"/>
    <w:rsid w:val="00836851"/>
    <w:rsid w:val="00840FE5"/>
    <w:rsid w:val="00841E47"/>
    <w:rsid w:val="0084423E"/>
    <w:rsid w:val="0084488B"/>
    <w:rsid w:val="00852549"/>
    <w:rsid w:val="00852A49"/>
    <w:rsid w:val="00852E69"/>
    <w:rsid w:val="008550CF"/>
    <w:rsid w:val="00860017"/>
    <w:rsid w:val="00861111"/>
    <w:rsid w:val="00864364"/>
    <w:rsid w:val="0086532D"/>
    <w:rsid w:val="00865459"/>
    <w:rsid w:val="00866EB6"/>
    <w:rsid w:val="00871B1E"/>
    <w:rsid w:val="00872654"/>
    <w:rsid w:val="008735B2"/>
    <w:rsid w:val="00874642"/>
    <w:rsid w:val="008754DA"/>
    <w:rsid w:val="008762BB"/>
    <w:rsid w:val="008779BD"/>
    <w:rsid w:val="00877F15"/>
    <w:rsid w:val="00881640"/>
    <w:rsid w:val="00882B3D"/>
    <w:rsid w:val="00884DAD"/>
    <w:rsid w:val="00884F29"/>
    <w:rsid w:val="00892BB7"/>
    <w:rsid w:val="00892E1B"/>
    <w:rsid w:val="00893BD4"/>
    <w:rsid w:val="00894421"/>
    <w:rsid w:val="0089471C"/>
    <w:rsid w:val="008959BA"/>
    <w:rsid w:val="00897115"/>
    <w:rsid w:val="008A44A6"/>
    <w:rsid w:val="008A5728"/>
    <w:rsid w:val="008A7461"/>
    <w:rsid w:val="008B0C14"/>
    <w:rsid w:val="008B4870"/>
    <w:rsid w:val="008B495E"/>
    <w:rsid w:val="008C3023"/>
    <w:rsid w:val="008C32CD"/>
    <w:rsid w:val="008C5A96"/>
    <w:rsid w:val="008C6A37"/>
    <w:rsid w:val="008C7ACA"/>
    <w:rsid w:val="008D098A"/>
    <w:rsid w:val="008D1938"/>
    <w:rsid w:val="008D1F0A"/>
    <w:rsid w:val="008D4D41"/>
    <w:rsid w:val="008D64DD"/>
    <w:rsid w:val="008D7D7A"/>
    <w:rsid w:val="008E2790"/>
    <w:rsid w:val="008E52E6"/>
    <w:rsid w:val="008E5B49"/>
    <w:rsid w:val="008F09E1"/>
    <w:rsid w:val="008F0AA0"/>
    <w:rsid w:val="008F188C"/>
    <w:rsid w:val="008F50DB"/>
    <w:rsid w:val="008F51AA"/>
    <w:rsid w:val="008F5200"/>
    <w:rsid w:val="008F5501"/>
    <w:rsid w:val="00901227"/>
    <w:rsid w:val="00901821"/>
    <w:rsid w:val="009025BB"/>
    <w:rsid w:val="0090294E"/>
    <w:rsid w:val="00903189"/>
    <w:rsid w:val="009072E0"/>
    <w:rsid w:val="0090738B"/>
    <w:rsid w:val="00907DC7"/>
    <w:rsid w:val="00910368"/>
    <w:rsid w:val="00913435"/>
    <w:rsid w:val="00913D1E"/>
    <w:rsid w:val="00913D92"/>
    <w:rsid w:val="00916A11"/>
    <w:rsid w:val="00920A97"/>
    <w:rsid w:val="0092181F"/>
    <w:rsid w:val="00923FF0"/>
    <w:rsid w:val="00924D7F"/>
    <w:rsid w:val="009269B4"/>
    <w:rsid w:val="00930B10"/>
    <w:rsid w:val="00933077"/>
    <w:rsid w:val="0093328B"/>
    <w:rsid w:val="00934440"/>
    <w:rsid w:val="00934FA1"/>
    <w:rsid w:val="00935A3C"/>
    <w:rsid w:val="009362F5"/>
    <w:rsid w:val="00937420"/>
    <w:rsid w:val="00943D43"/>
    <w:rsid w:val="00944105"/>
    <w:rsid w:val="009472F4"/>
    <w:rsid w:val="009502F3"/>
    <w:rsid w:val="00953407"/>
    <w:rsid w:val="0095349A"/>
    <w:rsid w:val="0095534B"/>
    <w:rsid w:val="00955A82"/>
    <w:rsid w:val="00955BAC"/>
    <w:rsid w:val="0096009B"/>
    <w:rsid w:val="00960776"/>
    <w:rsid w:val="0096082E"/>
    <w:rsid w:val="00961AEF"/>
    <w:rsid w:val="00961D00"/>
    <w:rsid w:val="00963872"/>
    <w:rsid w:val="0096436D"/>
    <w:rsid w:val="00965E9F"/>
    <w:rsid w:val="00966C0C"/>
    <w:rsid w:val="00967F58"/>
    <w:rsid w:val="0097349C"/>
    <w:rsid w:val="009745F1"/>
    <w:rsid w:val="0097479B"/>
    <w:rsid w:val="00976053"/>
    <w:rsid w:val="00982B80"/>
    <w:rsid w:val="00985E98"/>
    <w:rsid w:val="0099087C"/>
    <w:rsid w:val="00990A58"/>
    <w:rsid w:val="00992E95"/>
    <w:rsid w:val="0099324C"/>
    <w:rsid w:val="009936BB"/>
    <w:rsid w:val="00994020"/>
    <w:rsid w:val="009953BD"/>
    <w:rsid w:val="00995A8A"/>
    <w:rsid w:val="009A1B1C"/>
    <w:rsid w:val="009A2F1E"/>
    <w:rsid w:val="009A30DB"/>
    <w:rsid w:val="009A6686"/>
    <w:rsid w:val="009A7ABD"/>
    <w:rsid w:val="009B1193"/>
    <w:rsid w:val="009B24EE"/>
    <w:rsid w:val="009B450A"/>
    <w:rsid w:val="009C0635"/>
    <w:rsid w:val="009C0EDF"/>
    <w:rsid w:val="009C2122"/>
    <w:rsid w:val="009C392A"/>
    <w:rsid w:val="009C4B33"/>
    <w:rsid w:val="009C60DB"/>
    <w:rsid w:val="009C6FFE"/>
    <w:rsid w:val="009C7BDD"/>
    <w:rsid w:val="009D0E22"/>
    <w:rsid w:val="009D43AC"/>
    <w:rsid w:val="009D44F0"/>
    <w:rsid w:val="009D464B"/>
    <w:rsid w:val="009D5F50"/>
    <w:rsid w:val="009E1D41"/>
    <w:rsid w:val="009E3CB7"/>
    <w:rsid w:val="009E6281"/>
    <w:rsid w:val="009E63DF"/>
    <w:rsid w:val="009E7207"/>
    <w:rsid w:val="009F04E5"/>
    <w:rsid w:val="009F0C9C"/>
    <w:rsid w:val="009F19B9"/>
    <w:rsid w:val="009F19E7"/>
    <w:rsid w:val="009F3F32"/>
    <w:rsid w:val="009F66F5"/>
    <w:rsid w:val="00A0369C"/>
    <w:rsid w:val="00A05B25"/>
    <w:rsid w:val="00A06376"/>
    <w:rsid w:val="00A065F2"/>
    <w:rsid w:val="00A12347"/>
    <w:rsid w:val="00A15976"/>
    <w:rsid w:val="00A221C1"/>
    <w:rsid w:val="00A22B89"/>
    <w:rsid w:val="00A23951"/>
    <w:rsid w:val="00A2450B"/>
    <w:rsid w:val="00A24B98"/>
    <w:rsid w:val="00A26886"/>
    <w:rsid w:val="00A27172"/>
    <w:rsid w:val="00A275FA"/>
    <w:rsid w:val="00A31EFD"/>
    <w:rsid w:val="00A35947"/>
    <w:rsid w:val="00A36735"/>
    <w:rsid w:val="00A36ACB"/>
    <w:rsid w:val="00A370FC"/>
    <w:rsid w:val="00A37657"/>
    <w:rsid w:val="00A43F91"/>
    <w:rsid w:val="00A44362"/>
    <w:rsid w:val="00A50E29"/>
    <w:rsid w:val="00A5103B"/>
    <w:rsid w:val="00A51C1D"/>
    <w:rsid w:val="00A53364"/>
    <w:rsid w:val="00A55C95"/>
    <w:rsid w:val="00A5708B"/>
    <w:rsid w:val="00A57B17"/>
    <w:rsid w:val="00A6086E"/>
    <w:rsid w:val="00A60FE9"/>
    <w:rsid w:val="00A61F7D"/>
    <w:rsid w:val="00A62097"/>
    <w:rsid w:val="00A62886"/>
    <w:rsid w:val="00A636F9"/>
    <w:rsid w:val="00A65220"/>
    <w:rsid w:val="00A65CFF"/>
    <w:rsid w:val="00A66653"/>
    <w:rsid w:val="00A674F7"/>
    <w:rsid w:val="00A70DDC"/>
    <w:rsid w:val="00A71DE6"/>
    <w:rsid w:val="00A724A7"/>
    <w:rsid w:val="00A724E7"/>
    <w:rsid w:val="00A752C8"/>
    <w:rsid w:val="00A753BA"/>
    <w:rsid w:val="00A76B0B"/>
    <w:rsid w:val="00A76DF8"/>
    <w:rsid w:val="00A81781"/>
    <w:rsid w:val="00A82268"/>
    <w:rsid w:val="00A85B26"/>
    <w:rsid w:val="00A86C58"/>
    <w:rsid w:val="00A92286"/>
    <w:rsid w:val="00A937FD"/>
    <w:rsid w:val="00A95F91"/>
    <w:rsid w:val="00A96DE4"/>
    <w:rsid w:val="00A97326"/>
    <w:rsid w:val="00A97FA6"/>
    <w:rsid w:val="00AA084A"/>
    <w:rsid w:val="00AA141D"/>
    <w:rsid w:val="00AA1595"/>
    <w:rsid w:val="00AA2E24"/>
    <w:rsid w:val="00AA34AA"/>
    <w:rsid w:val="00AA4B80"/>
    <w:rsid w:val="00AA63C2"/>
    <w:rsid w:val="00AA6EED"/>
    <w:rsid w:val="00AA7F20"/>
    <w:rsid w:val="00AB2C30"/>
    <w:rsid w:val="00AB6638"/>
    <w:rsid w:val="00AB7D60"/>
    <w:rsid w:val="00AC1802"/>
    <w:rsid w:val="00AC552B"/>
    <w:rsid w:val="00AC6433"/>
    <w:rsid w:val="00AD0A4C"/>
    <w:rsid w:val="00AD1AF3"/>
    <w:rsid w:val="00AD206D"/>
    <w:rsid w:val="00AD2E31"/>
    <w:rsid w:val="00AD2E5D"/>
    <w:rsid w:val="00AD3DC5"/>
    <w:rsid w:val="00AD440D"/>
    <w:rsid w:val="00AE0A36"/>
    <w:rsid w:val="00AE0CA2"/>
    <w:rsid w:val="00AE3FE2"/>
    <w:rsid w:val="00AE503B"/>
    <w:rsid w:val="00AE58CD"/>
    <w:rsid w:val="00AE7655"/>
    <w:rsid w:val="00AE7AA4"/>
    <w:rsid w:val="00AE7FAA"/>
    <w:rsid w:val="00AF3B81"/>
    <w:rsid w:val="00AF4489"/>
    <w:rsid w:val="00AF469E"/>
    <w:rsid w:val="00AF4919"/>
    <w:rsid w:val="00AF4C17"/>
    <w:rsid w:val="00AF5C52"/>
    <w:rsid w:val="00B01B85"/>
    <w:rsid w:val="00B04318"/>
    <w:rsid w:val="00B07FDF"/>
    <w:rsid w:val="00B122CE"/>
    <w:rsid w:val="00B14E1E"/>
    <w:rsid w:val="00B2074C"/>
    <w:rsid w:val="00B20E6F"/>
    <w:rsid w:val="00B22A22"/>
    <w:rsid w:val="00B258DE"/>
    <w:rsid w:val="00B32231"/>
    <w:rsid w:val="00B32CE0"/>
    <w:rsid w:val="00B35835"/>
    <w:rsid w:val="00B36836"/>
    <w:rsid w:val="00B3735D"/>
    <w:rsid w:val="00B44832"/>
    <w:rsid w:val="00B459B6"/>
    <w:rsid w:val="00B5093B"/>
    <w:rsid w:val="00B51DD0"/>
    <w:rsid w:val="00B51E7E"/>
    <w:rsid w:val="00B5370B"/>
    <w:rsid w:val="00B60610"/>
    <w:rsid w:val="00B6319F"/>
    <w:rsid w:val="00B67EA7"/>
    <w:rsid w:val="00B701E1"/>
    <w:rsid w:val="00B7186D"/>
    <w:rsid w:val="00B71D8C"/>
    <w:rsid w:val="00B722D3"/>
    <w:rsid w:val="00B7301A"/>
    <w:rsid w:val="00B731DB"/>
    <w:rsid w:val="00B737FA"/>
    <w:rsid w:val="00B7494B"/>
    <w:rsid w:val="00B76D5A"/>
    <w:rsid w:val="00B80A29"/>
    <w:rsid w:val="00B80DE1"/>
    <w:rsid w:val="00B837E0"/>
    <w:rsid w:val="00B83955"/>
    <w:rsid w:val="00B8462D"/>
    <w:rsid w:val="00B8511C"/>
    <w:rsid w:val="00B8553E"/>
    <w:rsid w:val="00B85A4B"/>
    <w:rsid w:val="00B87377"/>
    <w:rsid w:val="00B87E2D"/>
    <w:rsid w:val="00B91B2E"/>
    <w:rsid w:val="00B93580"/>
    <w:rsid w:val="00B9376D"/>
    <w:rsid w:val="00B95489"/>
    <w:rsid w:val="00B973F4"/>
    <w:rsid w:val="00B976B3"/>
    <w:rsid w:val="00B97CD1"/>
    <w:rsid w:val="00BA0585"/>
    <w:rsid w:val="00BA62FB"/>
    <w:rsid w:val="00BB3E05"/>
    <w:rsid w:val="00BB3EC8"/>
    <w:rsid w:val="00BB547A"/>
    <w:rsid w:val="00BB5F06"/>
    <w:rsid w:val="00BB6BC1"/>
    <w:rsid w:val="00BB708E"/>
    <w:rsid w:val="00BC0227"/>
    <w:rsid w:val="00BC0237"/>
    <w:rsid w:val="00BC0816"/>
    <w:rsid w:val="00BC168A"/>
    <w:rsid w:val="00BC22FE"/>
    <w:rsid w:val="00BC419F"/>
    <w:rsid w:val="00BC4744"/>
    <w:rsid w:val="00BD0F73"/>
    <w:rsid w:val="00BD345E"/>
    <w:rsid w:val="00BD4E76"/>
    <w:rsid w:val="00BE08B2"/>
    <w:rsid w:val="00BE4E2C"/>
    <w:rsid w:val="00BE6192"/>
    <w:rsid w:val="00BF1472"/>
    <w:rsid w:val="00BF3D73"/>
    <w:rsid w:val="00BF4AB1"/>
    <w:rsid w:val="00C007BE"/>
    <w:rsid w:val="00C00A85"/>
    <w:rsid w:val="00C00B0F"/>
    <w:rsid w:val="00C01CEE"/>
    <w:rsid w:val="00C0312B"/>
    <w:rsid w:val="00C05236"/>
    <w:rsid w:val="00C111EA"/>
    <w:rsid w:val="00C16B1F"/>
    <w:rsid w:val="00C17D2A"/>
    <w:rsid w:val="00C205FF"/>
    <w:rsid w:val="00C21DAF"/>
    <w:rsid w:val="00C22652"/>
    <w:rsid w:val="00C229B2"/>
    <w:rsid w:val="00C232C7"/>
    <w:rsid w:val="00C234C4"/>
    <w:rsid w:val="00C23B3D"/>
    <w:rsid w:val="00C250C0"/>
    <w:rsid w:val="00C316CF"/>
    <w:rsid w:val="00C34916"/>
    <w:rsid w:val="00C34AC1"/>
    <w:rsid w:val="00C35C18"/>
    <w:rsid w:val="00C41D41"/>
    <w:rsid w:val="00C42CDC"/>
    <w:rsid w:val="00C54723"/>
    <w:rsid w:val="00C56A78"/>
    <w:rsid w:val="00C579D7"/>
    <w:rsid w:val="00C60D6B"/>
    <w:rsid w:val="00C61643"/>
    <w:rsid w:val="00C6218F"/>
    <w:rsid w:val="00C62B5E"/>
    <w:rsid w:val="00C647C1"/>
    <w:rsid w:val="00C657BF"/>
    <w:rsid w:val="00C73A9B"/>
    <w:rsid w:val="00C74A86"/>
    <w:rsid w:val="00C75568"/>
    <w:rsid w:val="00C76F63"/>
    <w:rsid w:val="00C811AD"/>
    <w:rsid w:val="00C82B52"/>
    <w:rsid w:val="00C8323A"/>
    <w:rsid w:val="00C857B8"/>
    <w:rsid w:val="00C8736E"/>
    <w:rsid w:val="00C87DF1"/>
    <w:rsid w:val="00C92539"/>
    <w:rsid w:val="00C926D0"/>
    <w:rsid w:val="00C93E36"/>
    <w:rsid w:val="00C94CC2"/>
    <w:rsid w:val="00C96357"/>
    <w:rsid w:val="00C96FAD"/>
    <w:rsid w:val="00C97F19"/>
    <w:rsid w:val="00CA0A47"/>
    <w:rsid w:val="00CA28A0"/>
    <w:rsid w:val="00CA4501"/>
    <w:rsid w:val="00CA5797"/>
    <w:rsid w:val="00CA6A85"/>
    <w:rsid w:val="00CA7731"/>
    <w:rsid w:val="00CB0638"/>
    <w:rsid w:val="00CB099B"/>
    <w:rsid w:val="00CB2A5D"/>
    <w:rsid w:val="00CB2B4F"/>
    <w:rsid w:val="00CB2C5E"/>
    <w:rsid w:val="00CB3135"/>
    <w:rsid w:val="00CB3ED7"/>
    <w:rsid w:val="00CB5EFF"/>
    <w:rsid w:val="00CB7BA8"/>
    <w:rsid w:val="00CB7F65"/>
    <w:rsid w:val="00CC0B3E"/>
    <w:rsid w:val="00CC0CB5"/>
    <w:rsid w:val="00CC424F"/>
    <w:rsid w:val="00CC4A45"/>
    <w:rsid w:val="00CC4EDA"/>
    <w:rsid w:val="00CC6BDB"/>
    <w:rsid w:val="00CC7502"/>
    <w:rsid w:val="00CD1321"/>
    <w:rsid w:val="00CD2822"/>
    <w:rsid w:val="00CD2A91"/>
    <w:rsid w:val="00CD4B33"/>
    <w:rsid w:val="00CD5B66"/>
    <w:rsid w:val="00CD7161"/>
    <w:rsid w:val="00CE05B2"/>
    <w:rsid w:val="00CE5370"/>
    <w:rsid w:val="00CE7D4A"/>
    <w:rsid w:val="00CF202D"/>
    <w:rsid w:val="00CF3554"/>
    <w:rsid w:val="00CF35E9"/>
    <w:rsid w:val="00CF4EBB"/>
    <w:rsid w:val="00CF715B"/>
    <w:rsid w:val="00D029A9"/>
    <w:rsid w:val="00D02E39"/>
    <w:rsid w:val="00D03C6C"/>
    <w:rsid w:val="00D044A0"/>
    <w:rsid w:val="00D0450E"/>
    <w:rsid w:val="00D0517A"/>
    <w:rsid w:val="00D05805"/>
    <w:rsid w:val="00D05F61"/>
    <w:rsid w:val="00D118FF"/>
    <w:rsid w:val="00D13042"/>
    <w:rsid w:val="00D15179"/>
    <w:rsid w:val="00D15759"/>
    <w:rsid w:val="00D15BAA"/>
    <w:rsid w:val="00D17D26"/>
    <w:rsid w:val="00D20A6A"/>
    <w:rsid w:val="00D234C0"/>
    <w:rsid w:val="00D24C07"/>
    <w:rsid w:val="00D2618F"/>
    <w:rsid w:val="00D27144"/>
    <w:rsid w:val="00D30056"/>
    <w:rsid w:val="00D310EB"/>
    <w:rsid w:val="00D314A3"/>
    <w:rsid w:val="00D3163C"/>
    <w:rsid w:val="00D32497"/>
    <w:rsid w:val="00D336E0"/>
    <w:rsid w:val="00D3424C"/>
    <w:rsid w:val="00D34A02"/>
    <w:rsid w:val="00D40C85"/>
    <w:rsid w:val="00D41A07"/>
    <w:rsid w:val="00D42C81"/>
    <w:rsid w:val="00D432C6"/>
    <w:rsid w:val="00D53723"/>
    <w:rsid w:val="00D56963"/>
    <w:rsid w:val="00D6095F"/>
    <w:rsid w:val="00D65059"/>
    <w:rsid w:val="00D6702C"/>
    <w:rsid w:val="00D70181"/>
    <w:rsid w:val="00D724E2"/>
    <w:rsid w:val="00D728B5"/>
    <w:rsid w:val="00D74B54"/>
    <w:rsid w:val="00D74D29"/>
    <w:rsid w:val="00D750D9"/>
    <w:rsid w:val="00D76A62"/>
    <w:rsid w:val="00D770AD"/>
    <w:rsid w:val="00D77B20"/>
    <w:rsid w:val="00D80825"/>
    <w:rsid w:val="00D82C77"/>
    <w:rsid w:val="00D833C8"/>
    <w:rsid w:val="00D83BF4"/>
    <w:rsid w:val="00D8523C"/>
    <w:rsid w:val="00D8534B"/>
    <w:rsid w:val="00D85C4F"/>
    <w:rsid w:val="00D869B2"/>
    <w:rsid w:val="00D91D46"/>
    <w:rsid w:val="00D9676A"/>
    <w:rsid w:val="00DA0D77"/>
    <w:rsid w:val="00DA10CB"/>
    <w:rsid w:val="00DA1F23"/>
    <w:rsid w:val="00DA28A5"/>
    <w:rsid w:val="00DA61B6"/>
    <w:rsid w:val="00DA7437"/>
    <w:rsid w:val="00DA7D5A"/>
    <w:rsid w:val="00DB5ABF"/>
    <w:rsid w:val="00DB5CE8"/>
    <w:rsid w:val="00DB7B95"/>
    <w:rsid w:val="00DC1E7C"/>
    <w:rsid w:val="00DC2EAC"/>
    <w:rsid w:val="00DC456C"/>
    <w:rsid w:val="00DC57BE"/>
    <w:rsid w:val="00DC6683"/>
    <w:rsid w:val="00DC66D5"/>
    <w:rsid w:val="00DC78DA"/>
    <w:rsid w:val="00DD06D1"/>
    <w:rsid w:val="00DD23F7"/>
    <w:rsid w:val="00DD3AE8"/>
    <w:rsid w:val="00DD45D4"/>
    <w:rsid w:val="00DD5570"/>
    <w:rsid w:val="00DE20E3"/>
    <w:rsid w:val="00DE44D8"/>
    <w:rsid w:val="00DE4529"/>
    <w:rsid w:val="00DE5393"/>
    <w:rsid w:val="00DE6293"/>
    <w:rsid w:val="00DE7AB7"/>
    <w:rsid w:val="00DF2DF8"/>
    <w:rsid w:val="00E000D4"/>
    <w:rsid w:val="00E00A89"/>
    <w:rsid w:val="00E010EB"/>
    <w:rsid w:val="00E02DA9"/>
    <w:rsid w:val="00E048F5"/>
    <w:rsid w:val="00E11B69"/>
    <w:rsid w:val="00E13141"/>
    <w:rsid w:val="00E22BF2"/>
    <w:rsid w:val="00E2365D"/>
    <w:rsid w:val="00E27A16"/>
    <w:rsid w:val="00E30D03"/>
    <w:rsid w:val="00E3111B"/>
    <w:rsid w:val="00E3675F"/>
    <w:rsid w:val="00E4189A"/>
    <w:rsid w:val="00E4538D"/>
    <w:rsid w:val="00E454A4"/>
    <w:rsid w:val="00E464D9"/>
    <w:rsid w:val="00E47315"/>
    <w:rsid w:val="00E5072B"/>
    <w:rsid w:val="00E53DBD"/>
    <w:rsid w:val="00E54A1C"/>
    <w:rsid w:val="00E6095D"/>
    <w:rsid w:val="00E619D7"/>
    <w:rsid w:val="00E61B72"/>
    <w:rsid w:val="00E63C2E"/>
    <w:rsid w:val="00E64E2C"/>
    <w:rsid w:val="00E65327"/>
    <w:rsid w:val="00E66F67"/>
    <w:rsid w:val="00E67A56"/>
    <w:rsid w:val="00E73033"/>
    <w:rsid w:val="00E81A16"/>
    <w:rsid w:val="00E824AF"/>
    <w:rsid w:val="00E8312D"/>
    <w:rsid w:val="00E832E5"/>
    <w:rsid w:val="00E84970"/>
    <w:rsid w:val="00E85088"/>
    <w:rsid w:val="00E85C4E"/>
    <w:rsid w:val="00E86740"/>
    <w:rsid w:val="00E90F0D"/>
    <w:rsid w:val="00E9221B"/>
    <w:rsid w:val="00E92239"/>
    <w:rsid w:val="00E9450C"/>
    <w:rsid w:val="00E94C2D"/>
    <w:rsid w:val="00E94D35"/>
    <w:rsid w:val="00E94D68"/>
    <w:rsid w:val="00E95B11"/>
    <w:rsid w:val="00E967C6"/>
    <w:rsid w:val="00E969ED"/>
    <w:rsid w:val="00E96C73"/>
    <w:rsid w:val="00E97D88"/>
    <w:rsid w:val="00EA0C4B"/>
    <w:rsid w:val="00EA0EE6"/>
    <w:rsid w:val="00EA154B"/>
    <w:rsid w:val="00EB0F26"/>
    <w:rsid w:val="00EB4A3D"/>
    <w:rsid w:val="00EB50FE"/>
    <w:rsid w:val="00EB5933"/>
    <w:rsid w:val="00EB5B1C"/>
    <w:rsid w:val="00EB6534"/>
    <w:rsid w:val="00EB6FED"/>
    <w:rsid w:val="00EC056A"/>
    <w:rsid w:val="00EC5036"/>
    <w:rsid w:val="00ED044A"/>
    <w:rsid w:val="00ED12AB"/>
    <w:rsid w:val="00ED177F"/>
    <w:rsid w:val="00ED23D9"/>
    <w:rsid w:val="00ED4200"/>
    <w:rsid w:val="00ED58FB"/>
    <w:rsid w:val="00ED6D5C"/>
    <w:rsid w:val="00EE2238"/>
    <w:rsid w:val="00EE39C2"/>
    <w:rsid w:val="00EE69C1"/>
    <w:rsid w:val="00EF0046"/>
    <w:rsid w:val="00EF10D7"/>
    <w:rsid w:val="00EF1E95"/>
    <w:rsid w:val="00EF7EEB"/>
    <w:rsid w:val="00F008CA"/>
    <w:rsid w:val="00F02359"/>
    <w:rsid w:val="00F02746"/>
    <w:rsid w:val="00F03B74"/>
    <w:rsid w:val="00F14A25"/>
    <w:rsid w:val="00F17700"/>
    <w:rsid w:val="00F17945"/>
    <w:rsid w:val="00F17D7B"/>
    <w:rsid w:val="00F206E3"/>
    <w:rsid w:val="00F210DD"/>
    <w:rsid w:val="00F2137A"/>
    <w:rsid w:val="00F21397"/>
    <w:rsid w:val="00F21C8B"/>
    <w:rsid w:val="00F24511"/>
    <w:rsid w:val="00F2731C"/>
    <w:rsid w:val="00F31AC3"/>
    <w:rsid w:val="00F33484"/>
    <w:rsid w:val="00F33A56"/>
    <w:rsid w:val="00F40BCC"/>
    <w:rsid w:val="00F42374"/>
    <w:rsid w:val="00F44A34"/>
    <w:rsid w:val="00F44A72"/>
    <w:rsid w:val="00F4678B"/>
    <w:rsid w:val="00F5038C"/>
    <w:rsid w:val="00F51AC4"/>
    <w:rsid w:val="00F52804"/>
    <w:rsid w:val="00F53070"/>
    <w:rsid w:val="00F540A9"/>
    <w:rsid w:val="00F54D01"/>
    <w:rsid w:val="00F55B77"/>
    <w:rsid w:val="00F6147F"/>
    <w:rsid w:val="00F628EC"/>
    <w:rsid w:val="00F64B63"/>
    <w:rsid w:val="00F65859"/>
    <w:rsid w:val="00F71545"/>
    <w:rsid w:val="00F71798"/>
    <w:rsid w:val="00F727A0"/>
    <w:rsid w:val="00F72DE6"/>
    <w:rsid w:val="00F746E6"/>
    <w:rsid w:val="00F74B3C"/>
    <w:rsid w:val="00F80891"/>
    <w:rsid w:val="00F82E1E"/>
    <w:rsid w:val="00F83C70"/>
    <w:rsid w:val="00F83FC7"/>
    <w:rsid w:val="00F85FF0"/>
    <w:rsid w:val="00F8668D"/>
    <w:rsid w:val="00F91256"/>
    <w:rsid w:val="00F9223B"/>
    <w:rsid w:val="00F92F41"/>
    <w:rsid w:val="00F950B6"/>
    <w:rsid w:val="00F960B8"/>
    <w:rsid w:val="00F96E38"/>
    <w:rsid w:val="00FA0462"/>
    <w:rsid w:val="00FA17A5"/>
    <w:rsid w:val="00FA1C94"/>
    <w:rsid w:val="00FA1F66"/>
    <w:rsid w:val="00FA31B7"/>
    <w:rsid w:val="00FA3AE0"/>
    <w:rsid w:val="00FA5B07"/>
    <w:rsid w:val="00FA667B"/>
    <w:rsid w:val="00FA67DF"/>
    <w:rsid w:val="00FA7C48"/>
    <w:rsid w:val="00FB0537"/>
    <w:rsid w:val="00FB204D"/>
    <w:rsid w:val="00FB6A26"/>
    <w:rsid w:val="00FB7805"/>
    <w:rsid w:val="00FC197F"/>
    <w:rsid w:val="00FC3AAD"/>
    <w:rsid w:val="00FC654A"/>
    <w:rsid w:val="00FC7AAB"/>
    <w:rsid w:val="00FC7B74"/>
    <w:rsid w:val="00FD2784"/>
    <w:rsid w:val="00FD370B"/>
    <w:rsid w:val="00FD7F61"/>
    <w:rsid w:val="00FE20EA"/>
    <w:rsid w:val="00FE309C"/>
    <w:rsid w:val="00FE4096"/>
    <w:rsid w:val="00FE45AC"/>
    <w:rsid w:val="00FF06DA"/>
    <w:rsid w:val="00FF21E0"/>
    <w:rsid w:val="00FF4769"/>
    <w:rsid w:val="00FF5AB3"/>
    <w:rsid w:val="00FF7C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87F394"/>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23"/>
    <w:pPr>
      <w:widowControl w:val="0"/>
    </w:pPr>
    <w:rPr>
      <w:snapToGrid w:val="0"/>
      <w:kern w:val="28"/>
      <w:sz w:val="22"/>
    </w:rPr>
  </w:style>
  <w:style w:type="paragraph" w:styleId="Heading1">
    <w:name w:val="heading 1"/>
    <w:basedOn w:val="Normal"/>
    <w:next w:val="ParaNum"/>
    <w:qFormat/>
    <w:rsid w:val="008C302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C3023"/>
    <w:pPr>
      <w:keepNext/>
      <w:numPr>
        <w:ilvl w:val="1"/>
        <w:numId w:val="3"/>
      </w:numPr>
      <w:tabs>
        <w:tab w:val="clear" w:pos="1440"/>
        <w:tab w:val="num" w:pos="1656"/>
      </w:tabs>
      <w:spacing w:after="120"/>
      <w:ind w:hanging="144"/>
      <w:outlineLvl w:val="1"/>
    </w:pPr>
    <w:rPr>
      <w:b/>
    </w:rPr>
  </w:style>
  <w:style w:type="paragraph" w:styleId="Heading3">
    <w:name w:val="heading 3"/>
    <w:basedOn w:val="Normal"/>
    <w:next w:val="ParaNum"/>
    <w:qFormat/>
    <w:rsid w:val="008C3023"/>
    <w:pPr>
      <w:keepNext/>
      <w:numPr>
        <w:ilvl w:val="2"/>
        <w:numId w:val="3"/>
      </w:numPr>
      <w:tabs>
        <w:tab w:val="left" w:pos="2160"/>
      </w:tabs>
      <w:spacing w:after="120"/>
      <w:outlineLvl w:val="2"/>
    </w:pPr>
    <w:rPr>
      <w:b/>
    </w:rPr>
  </w:style>
  <w:style w:type="paragraph" w:styleId="Heading4">
    <w:name w:val="heading 4"/>
    <w:basedOn w:val="Normal"/>
    <w:next w:val="ParaNum"/>
    <w:qFormat/>
    <w:rsid w:val="008C3023"/>
    <w:pPr>
      <w:keepNext/>
      <w:numPr>
        <w:ilvl w:val="3"/>
        <w:numId w:val="3"/>
      </w:numPr>
      <w:tabs>
        <w:tab w:val="left" w:pos="2880"/>
      </w:tabs>
      <w:spacing w:after="120"/>
      <w:outlineLvl w:val="3"/>
    </w:pPr>
    <w:rPr>
      <w:b/>
    </w:rPr>
  </w:style>
  <w:style w:type="paragraph" w:styleId="Heading5">
    <w:name w:val="heading 5"/>
    <w:basedOn w:val="Normal"/>
    <w:next w:val="ParaNum"/>
    <w:qFormat/>
    <w:rsid w:val="008C302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C3023"/>
    <w:pPr>
      <w:numPr>
        <w:ilvl w:val="5"/>
        <w:numId w:val="3"/>
      </w:numPr>
      <w:tabs>
        <w:tab w:val="left" w:pos="4320"/>
      </w:tabs>
      <w:spacing w:after="120"/>
      <w:outlineLvl w:val="5"/>
    </w:pPr>
    <w:rPr>
      <w:b/>
    </w:rPr>
  </w:style>
  <w:style w:type="paragraph" w:styleId="Heading7">
    <w:name w:val="heading 7"/>
    <w:basedOn w:val="Normal"/>
    <w:next w:val="ParaNum"/>
    <w:qFormat/>
    <w:rsid w:val="008C302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C302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C302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8C3023"/>
    <w:pPr>
      <w:numPr>
        <w:numId w:val="2"/>
      </w:numPr>
      <w:tabs>
        <w:tab w:val="num" w:pos="720"/>
        <w:tab w:val="clear" w:pos="1080"/>
        <w:tab w:val="num" w:pos="1440"/>
      </w:tabs>
      <w:spacing w:after="120"/>
      <w:ind w:left="720" w:hanging="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fn Ch"/>
    <w:link w:val="FootnoteTextChar"/>
    <w:rsid w:val="008C3023"/>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8C3023"/>
    <w:rPr>
      <w:rFonts w:ascii="Times New Roman" w:hAnsi="Times New Roman"/>
      <w:dstrike w:val="0"/>
      <w:color w:val="auto"/>
      <w:sz w:val="22"/>
      <w:vertAlign w:val="superscript"/>
    </w:rPr>
  </w:style>
  <w:style w:type="paragraph" w:styleId="TOC1">
    <w:name w:val="toc 1"/>
    <w:basedOn w:val="Normal"/>
    <w:next w:val="Normal"/>
    <w:rsid w:val="008C3023"/>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C3023"/>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rsid w:val="008C3023"/>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8C3023"/>
    <w:pPr>
      <w:numPr>
        <w:numId w:val="1"/>
      </w:numPr>
      <w:tabs>
        <w:tab w:val="clear" w:pos="360"/>
        <w:tab w:val="left" w:pos="2160"/>
        <w:tab w:val="num" w:pos="252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rPr>
      <w:snapToGrid w:val="0"/>
      <w:kern w:val="28"/>
      <w:sz w:val="22"/>
    </w:rPr>
  </w:style>
  <w:style w:type="paragraph" w:styleId="BalloonText">
    <w:name w:val="Balloon Text"/>
    <w:basedOn w:val="Normal"/>
    <w:link w:val="BalloonTextChar"/>
    <w:semiHidden/>
    <w:unhideWhenUsed/>
    <w:rsid w:val="008C3023"/>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semiHidden/>
    <w:unhideWhenUsed/>
    <w:rsid w:val="008C3023"/>
    <w:rPr>
      <w:sz w:val="16"/>
      <w:szCs w:val="16"/>
    </w:rPr>
  </w:style>
  <w:style w:type="paragraph" w:styleId="CommentText">
    <w:name w:val="annotation text"/>
    <w:basedOn w:val="Normal"/>
    <w:link w:val="CommentTextChar"/>
    <w:semiHidden/>
    <w:unhideWhenUsed/>
    <w:rsid w:val="008C3023"/>
    <w:rPr>
      <w:sz w:val="20"/>
    </w:rPr>
  </w:style>
  <w:style w:type="character" w:customStyle="1" w:styleId="CommentTextChar">
    <w:name w:val="Comment Text Char"/>
    <w:basedOn w:val="DefaultParagraphFont"/>
    <w:link w:val="CommentText"/>
    <w:semiHidden/>
    <w:rPr>
      <w:snapToGrid w:val="0"/>
      <w:kern w:val="28"/>
    </w:rPr>
  </w:style>
  <w:style w:type="paragraph" w:styleId="CommentSubject">
    <w:name w:val="annotation subject"/>
    <w:basedOn w:val="CommentText"/>
    <w:next w:val="CommentText"/>
    <w:link w:val="CommentSubjectChar"/>
    <w:semiHidden/>
    <w:unhideWhenUsed/>
    <w:rsid w:val="008C3023"/>
    <w:rPr>
      <w:b/>
      <w:bCs/>
    </w:rPr>
  </w:style>
  <w:style w:type="character" w:customStyle="1" w:styleId="CommentSubjectChar">
    <w:name w:val="Comment Subject Char"/>
    <w:basedOn w:val="CommentTextChar"/>
    <w:link w:val="CommentSubject"/>
    <w:semiHidden/>
    <w:rPr>
      <w:b/>
      <w:bCs/>
      <w:snapToGrid w:val="0"/>
      <w:kern w:val="28"/>
    </w:rPr>
  </w:style>
  <w:style w:type="paragraph" w:styleId="Revision">
    <w:name w:val="Revision"/>
    <w:hidden/>
    <w:uiPriority w:val="99"/>
    <w:semiHidden/>
    <w:rsid w:val="008C3023"/>
    <w:rPr>
      <w:snapToGrid w:val="0"/>
      <w:kern w:val="28"/>
      <w:sz w:val="22"/>
    </w:rPr>
  </w:style>
  <w:style w:type="character" w:customStyle="1" w:styleId="UnresolvedMention1">
    <w:name w:val="Unresolved Mention1"/>
    <w:basedOn w:val="DefaultParagraphFont"/>
    <w:uiPriority w:val="99"/>
    <w:rsid w:val="00B9376D"/>
    <w:rPr>
      <w:color w:val="605E5C"/>
      <w:shd w:val="clear" w:color="auto" w:fill="E1DFDD"/>
    </w:rPr>
  </w:style>
  <w:style w:type="character" w:customStyle="1" w:styleId="FootnoteTextCharCharChar1">
    <w:name w:val="Footnote Text Char Char Char1"/>
    <w:aliases w:val="Footnote Text Char Char Char Char Char Char Char,Footnote Text Char1 Char Char Char Char1,Footnote Text Char1 Char1 Char1,Footnote Text Char1 Char2,Footnote Text Char2 Char1"/>
    <w:locked/>
    <w:rsid w:val="006F2C1A"/>
    <w:rPr>
      <w:rFonts w:ascii="Courier New" w:hAnsi="Courier New" w:cs="Times New Roman"/>
      <w:sz w:val="24"/>
      <w:lang w:val="en-US" w:eastAsia="en-US" w:bidi="ar-SA"/>
    </w:rPr>
  </w:style>
  <w:style w:type="character" w:customStyle="1" w:styleId="UnresolvedMention">
    <w:name w:val="Unresolved Mention"/>
    <w:basedOn w:val="DefaultParagraphFont"/>
    <w:uiPriority w:val="99"/>
    <w:rsid w:val="008C3023"/>
    <w:rPr>
      <w:color w:val="605E5C"/>
      <w:shd w:val="clear" w:color="auto" w:fill="E1DFDD"/>
    </w:rPr>
  </w:style>
  <w:style w:type="paragraph" w:styleId="Caption">
    <w:name w:val="caption"/>
    <w:basedOn w:val="Normal"/>
    <w:next w:val="Normal"/>
    <w:qFormat/>
    <w:rsid w:val="008C3023"/>
    <w:pPr>
      <w:widowControl/>
      <w:spacing w:before="120" w:after="120"/>
    </w:pPr>
    <w:rPr>
      <w:b/>
      <w:snapToGrid/>
      <w:kern w:val="0"/>
    </w:rPr>
  </w:style>
  <w:style w:type="paragraph" w:customStyle="1" w:styleId="NumberedList">
    <w:name w:val="Numbered List"/>
    <w:basedOn w:val="Normal"/>
    <w:rsid w:val="008C3023"/>
    <w:pPr>
      <w:widowControl/>
      <w:numPr>
        <w:numId w:val="23"/>
      </w:numPr>
      <w:tabs>
        <w:tab w:val="num" w:pos="360"/>
        <w:tab w:val="clear" w:pos="1080"/>
      </w:tabs>
      <w:spacing w:after="220"/>
      <w:ind w:firstLine="0"/>
    </w:pPr>
    <w:rPr>
      <w:snapToGrid/>
      <w:kern w:val="0"/>
    </w:rPr>
  </w:style>
  <w:style w:type="paragraph" w:customStyle="1" w:styleId="Paranum0">
    <w:name w:val="Paranum"/>
    <w:basedOn w:val="Normal"/>
    <w:rsid w:val="008C3023"/>
    <w:pPr>
      <w:numPr>
        <w:numId w:val="24"/>
      </w:numPr>
      <w:tabs>
        <w:tab w:val="num" w:pos="360"/>
        <w:tab w:val="clear" w:pos="1080"/>
      </w:tabs>
      <w:spacing w:after="220"/>
      <w:ind w:firstLine="0"/>
      <w:jc w:val="both"/>
    </w:pPr>
    <w:rPr>
      <w:snapToGrid/>
      <w:kern w:val="0"/>
    </w:rPr>
  </w:style>
  <w:style w:type="paragraph" w:customStyle="1" w:styleId="TableFormat0">
    <w:name w:val="Table Format"/>
    <w:basedOn w:val="Normal"/>
    <w:rsid w:val="008C3023"/>
    <w:pPr>
      <w:tabs>
        <w:tab w:val="left" w:pos="5040"/>
      </w:tabs>
      <w:spacing w:after="220"/>
      <w:ind w:left="5040" w:hanging="3600"/>
      <w:jc w:val="both"/>
    </w:pPr>
    <w:rPr>
      <w:snapToGrid/>
      <w:kern w:val="0"/>
    </w:rPr>
  </w:style>
  <w:style w:type="character" w:styleId="FollowedHyperlink">
    <w:name w:val="FollowedHyperlink"/>
    <w:rsid w:val="00464F1F"/>
    <w:rPr>
      <w:color w:val="800080"/>
      <w:u w:val="single"/>
    </w:rPr>
  </w:style>
  <w:style w:type="paragraph" w:styleId="BodyText3">
    <w:name w:val="Body Text 3"/>
    <w:basedOn w:val="Normal"/>
    <w:link w:val="BodyText3Char"/>
    <w:rsid w:val="008C3023"/>
    <w:pPr>
      <w:tabs>
        <w:tab w:val="left" w:pos="-720"/>
      </w:tabs>
      <w:suppressAutoHyphens/>
      <w:jc w:val="both"/>
    </w:pPr>
    <w:rPr>
      <w:kern w:val="0"/>
      <w:sz w:val="24"/>
    </w:rPr>
  </w:style>
  <w:style w:type="character" w:customStyle="1" w:styleId="BodyText3Char">
    <w:name w:val="Body Text 3 Char"/>
    <w:basedOn w:val="DefaultParagraphFont"/>
    <w:link w:val="BodyText3"/>
    <w:rsid w:val="00464F1F"/>
    <w:rPr>
      <w:snapToGrid w:val="0"/>
      <w:sz w:val="24"/>
    </w:rPr>
  </w:style>
  <w:style w:type="table" w:styleId="TableGrid">
    <w:name w:val="Table Grid"/>
    <w:basedOn w:val="TableNormal"/>
    <w:rsid w:val="00464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Num11pt">
    <w:name w:val="Style ParaNum + 11 pt"/>
    <w:basedOn w:val="ParaNum"/>
    <w:link w:val="StyleParaNum11ptChar"/>
    <w:autoRedefine/>
    <w:rsid w:val="008C3023"/>
    <w:pPr>
      <w:widowControl/>
      <w:numPr>
        <w:numId w:val="18"/>
      </w:numPr>
      <w:tabs>
        <w:tab w:val="num" w:pos="720"/>
        <w:tab w:val="left" w:pos="1440"/>
      </w:tabs>
      <w:spacing w:after="240"/>
      <w:ind w:left="0" w:firstLine="720"/>
    </w:pPr>
    <w:rPr>
      <w:snapToGrid/>
      <w:kern w:val="0"/>
      <w:szCs w:val="22"/>
    </w:rPr>
  </w:style>
  <w:style w:type="character" w:customStyle="1" w:styleId="StyleParaNum11ptChar">
    <w:name w:val="Style ParaNum + 11 pt Char"/>
    <w:link w:val="StyleParaNum11pt"/>
    <w:rsid w:val="00464F1F"/>
    <w:rPr>
      <w:sz w:val="22"/>
      <w:szCs w:val="22"/>
    </w:rPr>
  </w:style>
  <w:style w:type="paragraph" w:customStyle="1" w:styleId="Default">
    <w:name w:val="Default"/>
    <w:rsid w:val="00464F1F"/>
    <w:pPr>
      <w:autoSpaceDE w:val="0"/>
      <w:autoSpaceDN w:val="0"/>
      <w:adjustRightInd w:val="0"/>
    </w:pPr>
    <w:rPr>
      <w:rFonts w:ascii="NIJMAB+TimesNewRoman" w:hAnsi="NIJMAB+TimesNewRoman" w:cs="NIJMAB+TimesNewRoman"/>
      <w:color w:val="000000"/>
      <w:sz w:val="24"/>
      <w:szCs w:val="24"/>
    </w:rPr>
  </w:style>
  <w:style w:type="paragraph" w:customStyle="1" w:styleId="MacPacTrailer">
    <w:name w:val="MacPac Trailer"/>
    <w:rsid w:val="00464F1F"/>
    <w:pPr>
      <w:widowControl w:val="0"/>
    </w:pPr>
    <w:rPr>
      <w:rFonts w:ascii="Arial" w:eastAsia="Arial Unicode MS" w:hAnsi="Arial"/>
      <w:noProof/>
      <w:sz w:val="14"/>
    </w:rPr>
  </w:style>
  <w:style w:type="character" w:styleId="PlaceholderText">
    <w:name w:val="Placeholder Text"/>
    <w:uiPriority w:val="99"/>
    <w:semiHidden/>
    <w:rsid w:val="00464F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ireless2.fcc.gov/reband800/search_basic.htm" TargetMode="External" /><Relationship Id="rId6" Type="http://schemas.openxmlformats.org/officeDocument/2006/relationships/hyperlink" Target="http://wireless.fcc.gov/uls/index.htm?job=transaction&amp;page=weekly" TargetMode="External" /><Relationship Id="rId7" Type="http://schemas.openxmlformats.org/officeDocument/2006/relationships/hyperlink" Target="mailto:Brian.Marenco@fcc.gov" TargetMode="External" /><Relationship Id="rId8" Type="http://schemas.openxmlformats.org/officeDocument/2006/relationships/hyperlink" Target="mailto:Joshua.Smith@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t-mobile.com/news/t-mobile-sprint-one-company" TargetMode="External" /><Relationship Id="rId2" Type="http://schemas.openxmlformats.org/officeDocument/2006/relationships/hyperlink" Target="http://www.fcc.gov/Bureaus/Wireless/Orders/1998/fcc9819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