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RPr="00FE0540" w:rsidP="00FE0540" w14:paraId="05180410" w14:textId="4AACE84D">
            <w:pPr>
              <w:tabs>
                <w:tab w:val="center" w:pos="4680"/>
              </w:tabs>
              <w:suppressAutoHyphens/>
              <w:rPr>
                <w:b/>
                <w:spacing w:val="-2"/>
              </w:rPr>
            </w:pPr>
            <w:r>
              <w:rPr>
                <w:b/>
                <w:spacing w:val="-2"/>
              </w:rPr>
              <w:t>Words of Hope Media</w:t>
            </w:r>
          </w:p>
          <w:p w:rsidR="00FE0540" w:rsidRPr="00FE0540" w:rsidP="00FE0540" w14:paraId="05609084"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20EFD540">
            <w:pPr>
              <w:tabs>
                <w:tab w:val="center" w:pos="4680"/>
              </w:tabs>
              <w:suppressAutoHyphens/>
              <w:rPr>
                <w:spacing w:val="-2"/>
              </w:rPr>
            </w:pPr>
            <w:r w:rsidRPr="00FE0540">
              <w:rPr>
                <w:spacing w:val="-2"/>
              </w:rPr>
              <w:t xml:space="preserve">Station </w:t>
            </w:r>
            <w:r w:rsidR="00E52B98">
              <w:rPr>
                <w:spacing w:val="-2"/>
              </w:rPr>
              <w:t>KRWH-LP</w:t>
            </w:r>
          </w:p>
          <w:p w:rsidR="004C2EE3" w:rsidRPr="007115F7" w:rsidP="007115F7" w14:paraId="594146C3" w14:textId="18D818C9">
            <w:pPr>
              <w:tabs>
                <w:tab w:val="center" w:pos="4680"/>
              </w:tabs>
              <w:suppressAutoHyphens/>
              <w:rPr>
                <w:spacing w:val="-2"/>
              </w:rPr>
            </w:pPr>
            <w:r>
              <w:rPr>
                <w:spacing w:val="-2"/>
              </w:rPr>
              <w:t>Sioux Falls, South Dakota</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6284A27A">
            <w:pPr>
              <w:pStyle w:val="TOAHeading"/>
              <w:tabs>
                <w:tab w:val="center" w:pos="4680"/>
              </w:tabs>
              <w:rPr>
                <w:b/>
                <w:spacing w:val="-2"/>
              </w:rPr>
            </w:pPr>
            <w:r w:rsidRPr="00FE0540">
              <w:rPr>
                <w:spacing w:val="-2"/>
              </w:rPr>
              <w:t>Facility ID No.</w:t>
            </w:r>
            <w:r w:rsidRPr="00524E06">
              <w:rPr>
                <w:spacing w:val="-2"/>
              </w:rPr>
              <w:t xml:space="preserve"> </w:t>
            </w:r>
            <w:r w:rsidRPr="00524E06" w:rsidR="00524E06">
              <w:rPr>
                <w:spacing w:val="-2"/>
              </w:rPr>
              <w:t>1</w:t>
            </w:r>
            <w:r w:rsidR="00E52B98">
              <w:rPr>
                <w:spacing w:val="-2"/>
              </w:rPr>
              <w:t>94864</w:t>
            </w:r>
          </w:p>
          <w:p w:rsidR="00FE0540" w:rsidRPr="00FE0540" w:rsidP="00FE0540" w14:paraId="06391CBB" w14:textId="626DD456">
            <w:pPr>
              <w:pStyle w:val="TOAHeading"/>
              <w:tabs>
                <w:tab w:val="center" w:pos="4680"/>
              </w:tabs>
              <w:rPr>
                <w:spacing w:val="-2"/>
              </w:rPr>
            </w:pPr>
            <w:r w:rsidRPr="00FE0540">
              <w:rPr>
                <w:spacing w:val="-2"/>
              </w:rPr>
              <w:t xml:space="preserve">NAL/Acct. No. </w:t>
            </w:r>
            <w:r w:rsidRPr="001B35C7">
              <w:rPr>
                <w:spacing w:val="-2"/>
              </w:rPr>
              <w:t>MB-202</w:t>
            </w:r>
            <w:r w:rsidRPr="001B35C7" w:rsidR="00524E06">
              <w:rPr>
                <w:spacing w:val="-2"/>
              </w:rPr>
              <w:t>1</w:t>
            </w:r>
            <w:r w:rsidRPr="001B35C7" w:rsidR="008A39AC">
              <w:rPr>
                <w:spacing w:val="-2"/>
              </w:rPr>
              <w:t>4141</w:t>
            </w:r>
            <w:r w:rsidRPr="001B35C7" w:rsidR="001B35C7">
              <w:rPr>
                <w:spacing w:val="-2"/>
              </w:rPr>
              <w:t>0029</w:t>
            </w:r>
          </w:p>
          <w:p w:rsidR="00FE0540" w:rsidRPr="00FE0540" w:rsidP="00FE0540" w14:paraId="580FF7C4" w14:textId="7B08FD7E">
            <w:pPr>
              <w:pStyle w:val="TOAHeading"/>
              <w:tabs>
                <w:tab w:val="center" w:pos="4680"/>
              </w:tabs>
              <w:rPr>
                <w:spacing w:val="-2"/>
              </w:rPr>
            </w:pPr>
            <w:r w:rsidRPr="00FE0540">
              <w:rPr>
                <w:spacing w:val="-2"/>
              </w:rPr>
              <w:t xml:space="preserve">FRN:  </w:t>
            </w:r>
            <w:r w:rsidR="00E52B98">
              <w:rPr>
                <w:spacing w:val="-2"/>
              </w:rPr>
              <w:t>0023088370</w:t>
            </w:r>
          </w:p>
          <w:p w:rsidR="004C2EE3" w:rsidP="00FE0540" w14:paraId="77A0FF21" w14:textId="0D1F6562">
            <w:pPr>
              <w:tabs>
                <w:tab w:val="center" w:pos="4680"/>
              </w:tabs>
              <w:suppressAutoHyphens/>
              <w:rPr>
                <w:spacing w:val="-2"/>
              </w:rPr>
            </w:pPr>
            <w:r w:rsidRPr="00FE0540">
              <w:rPr>
                <w:spacing w:val="-2"/>
              </w:rPr>
              <w:t xml:space="preserve">File No. </w:t>
            </w:r>
            <w:r w:rsidRPr="00524E06" w:rsidR="00524E06">
              <w:rPr>
                <w:spacing w:val="-2"/>
              </w:rPr>
              <w:t>00001</w:t>
            </w:r>
            <w:r w:rsidR="00E52B98">
              <w:rPr>
                <w:spacing w:val="-2"/>
              </w:rPr>
              <w:t>31293</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7A23B68F">
      <w:pPr>
        <w:tabs>
          <w:tab w:val="left" w:pos="720"/>
          <w:tab w:val="right" w:pos="9360"/>
        </w:tabs>
        <w:suppressAutoHyphens/>
        <w:spacing w:line="227" w:lineRule="auto"/>
        <w:rPr>
          <w:spacing w:val="-2"/>
        </w:rPr>
      </w:pPr>
      <w:r>
        <w:rPr>
          <w:b/>
          <w:spacing w:val="-2"/>
        </w:rPr>
        <w:t xml:space="preserve">Adopted:  </w:t>
      </w:r>
      <w:r w:rsidR="00155BE1">
        <w:rPr>
          <w:b/>
          <w:spacing w:val="-2"/>
        </w:rPr>
        <w:t>June 16,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5BE1">
        <w:rPr>
          <w:b/>
          <w:spacing w:val="-2"/>
        </w:rPr>
        <w:t>June 16, 2021</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12E14A39">
      <w:pPr>
        <w:pStyle w:val="ParaNum"/>
      </w:pPr>
      <w:r w:rsidRPr="00FE0540">
        <w:t>The Media Bureau (Bureau) has before it the application (Application)</w:t>
      </w:r>
      <w:r>
        <w:rPr>
          <w:vertAlign w:val="superscript"/>
        </w:rPr>
        <w:footnoteReference w:id="3"/>
      </w:r>
      <w:r w:rsidRPr="00FE0540">
        <w:t xml:space="preserve"> of </w:t>
      </w:r>
      <w:r w:rsidR="00E52B98">
        <w:t>Words of Hope Media</w:t>
      </w:r>
      <w:r w:rsidR="00524E06">
        <w:t xml:space="preserve"> </w:t>
      </w:r>
      <w:r w:rsidRPr="00FE0540">
        <w:t xml:space="preserve">(Licensee)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E52B98">
        <w:t>KRWH-LP, Sioux Falls, South Dakota</w:t>
      </w:r>
      <w:r w:rsidRPr="00FE0540">
        <w:t xml:space="preserve"> (Station).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Rules 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FE0540" w:rsidRPr="00FE0540" w:rsidP="00E70391" w14:paraId="3A72154A" w14:textId="130785E7">
      <w:pPr>
        <w:pStyle w:val="ParaNum"/>
        <w:widowControl/>
      </w:pPr>
      <w:r w:rsidRPr="00FE0540">
        <w:t>Section 73.3539(a) of the Rules requires that applications for renewal of license for broadcast stations must be filed “not later than the first day of the fourth full calendar month prior to the expiration date of the license sought to be renewed.”</w:t>
      </w:r>
      <w:r>
        <w:rPr>
          <w:vertAlign w:val="superscript"/>
        </w:rPr>
        <w:footnoteReference w:id="6"/>
      </w:r>
      <w:r w:rsidRPr="00FE0540">
        <w:t xml:space="preserve">  An application for renewal of the Station’s license should have been </w:t>
      </w:r>
      <w:r w:rsidRPr="007B464B">
        <w:rPr>
          <w:szCs w:val="22"/>
        </w:rPr>
        <w:t xml:space="preserve">filed by </w:t>
      </w:r>
      <w:r w:rsidR="00E52B98">
        <w:rPr>
          <w:szCs w:val="22"/>
        </w:rPr>
        <w:t>December 1</w:t>
      </w:r>
      <w:r w:rsidRPr="007B464B">
        <w:rPr>
          <w:szCs w:val="22"/>
        </w:rPr>
        <w:t>, 20</w:t>
      </w:r>
      <w:r w:rsidRPr="007B464B" w:rsidR="00C23B3F">
        <w:rPr>
          <w:szCs w:val="22"/>
        </w:rPr>
        <w:t>20</w:t>
      </w:r>
      <w:r w:rsidRPr="007B464B">
        <w:rPr>
          <w:szCs w:val="22"/>
        </w:rPr>
        <w:t xml:space="preserve">, the first day of the fourth full calendar month prior to the Station’s </w:t>
      </w:r>
      <w:r w:rsidR="00E52B98">
        <w:rPr>
          <w:szCs w:val="22"/>
        </w:rPr>
        <w:t xml:space="preserve">April </w:t>
      </w:r>
      <w:r w:rsidRPr="007B464B">
        <w:rPr>
          <w:szCs w:val="22"/>
        </w:rPr>
        <w:t>1, 202</w:t>
      </w:r>
      <w:r w:rsidR="001B35C7">
        <w:rPr>
          <w:szCs w:val="22"/>
        </w:rPr>
        <w:t>1</w:t>
      </w:r>
      <w:r w:rsidRPr="007B464B">
        <w:rPr>
          <w:szCs w:val="22"/>
        </w:rPr>
        <w:t xml:space="preserve"> license expiration date.</w:t>
      </w:r>
      <w:r>
        <w:rPr>
          <w:szCs w:val="22"/>
          <w:vertAlign w:val="superscript"/>
        </w:rPr>
        <w:footnoteReference w:id="7"/>
      </w:r>
      <w:r w:rsidRPr="007B464B">
        <w:rPr>
          <w:szCs w:val="22"/>
        </w:rPr>
        <w:t xml:space="preserve">  The Application was not filed until </w:t>
      </w:r>
      <w:r w:rsidR="0063178F">
        <w:rPr>
          <w:szCs w:val="22"/>
        </w:rPr>
        <w:t>January 14, 2021</w:t>
      </w:r>
      <w:r w:rsidRPr="007B464B">
        <w:rPr>
          <w:szCs w:val="22"/>
        </w:rPr>
        <w:t xml:space="preserve">.  The Licensee </w:t>
      </w:r>
      <w:r w:rsidRPr="007B464B" w:rsidR="0073510B">
        <w:rPr>
          <w:szCs w:val="22"/>
        </w:rPr>
        <w:t>explains</w:t>
      </w:r>
      <w:r w:rsidRPr="007B464B" w:rsidR="00C23B3F">
        <w:rPr>
          <w:szCs w:val="22"/>
        </w:rPr>
        <w:t xml:space="preserve"> that</w:t>
      </w:r>
      <w:r w:rsidR="0063178F">
        <w:rPr>
          <w:szCs w:val="22"/>
        </w:rPr>
        <w:t xml:space="preserve"> in </w:t>
      </w:r>
      <w:r w:rsidR="00927EF5">
        <w:rPr>
          <w:szCs w:val="22"/>
        </w:rPr>
        <w:t>November</w:t>
      </w:r>
      <w:r w:rsidR="0063178F">
        <w:rPr>
          <w:szCs w:val="22"/>
        </w:rPr>
        <w:t xml:space="preserve"> 2020</w:t>
      </w:r>
      <w:r w:rsidRPr="007B464B" w:rsidR="00C23B3F">
        <w:rPr>
          <w:szCs w:val="22"/>
        </w:rPr>
        <w:t xml:space="preserve"> </w:t>
      </w:r>
      <w:r w:rsidR="0063178F">
        <w:rPr>
          <w:szCs w:val="22"/>
        </w:rPr>
        <w:t xml:space="preserve">its President, Drago Profir, </w:t>
      </w:r>
      <w:r w:rsidR="00AE3098">
        <w:rPr>
          <w:szCs w:val="22"/>
        </w:rPr>
        <w:t>was ill</w:t>
      </w:r>
      <w:r w:rsidR="0063178F">
        <w:rPr>
          <w:szCs w:val="22"/>
        </w:rPr>
        <w:t>, that his personal email was the contact address for the Licensee, and that he did</w:t>
      </w:r>
      <w:r w:rsidR="00927EF5">
        <w:rPr>
          <w:szCs w:val="22"/>
        </w:rPr>
        <w:t xml:space="preserve"> not</w:t>
      </w:r>
      <w:r w:rsidR="0063178F">
        <w:rPr>
          <w:szCs w:val="22"/>
        </w:rPr>
        <w:t xml:space="preserve"> </w:t>
      </w:r>
      <w:r w:rsidR="00927EF5">
        <w:rPr>
          <w:szCs w:val="22"/>
        </w:rPr>
        <w:t xml:space="preserve">see a notification from the Commission until </w:t>
      </w:r>
      <w:r w:rsidR="00927EF5">
        <w:rPr>
          <w:szCs w:val="22"/>
        </w:rPr>
        <w:t>January 13, 20</w:t>
      </w:r>
      <w:r w:rsidR="00E61098">
        <w:rPr>
          <w:szCs w:val="22"/>
        </w:rPr>
        <w:t>2</w:t>
      </w:r>
      <w:r w:rsidR="00927EF5">
        <w:rPr>
          <w:szCs w:val="22"/>
        </w:rPr>
        <w:t>1, when he returned to the Station</w:t>
      </w:r>
      <w:r w:rsidRPr="007B464B" w:rsidR="007B464B">
        <w:rPr>
          <w:szCs w:val="22"/>
        </w:rPr>
        <w:t>.</w:t>
      </w:r>
      <w:r>
        <w:rPr>
          <w:rStyle w:val="FootnoteReference"/>
          <w:szCs w:val="22"/>
        </w:rPr>
        <w:footnoteReference w:id="8"/>
      </w:r>
      <w:r w:rsidR="00927EF5">
        <w:rPr>
          <w:szCs w:val="22"/>
        </w:rPr>
        <w:t xml:space="preserve">  Licensee further notes that the staff of the Station had no access to his email and were unaware of the filing deadline.</w:t>
      </w:r>
      <w:r>
        <w:rPr>
          <w:rStyle w:val="FootnoteReference"/>
          <w:szCs w:val="22"/>
        </w:rPr>
        <w:footnoteReference w:id="9"/>
      </w:r>
      <w:r w:rsidRPr="007B464B" w:rsidR="007B464B">
        <w:rPr>
          <w:szCs w:val="22"/>
        </w:rPr>
        <w:t xml:space="preserve">  </w:t>
      </w:r>
    </w:p>
    <w:p w:rsidR="00FE0540" w:rsidRPr="00FE0540" w:rsidP="00FE0540" w14:paraId="45A78F53" w14:textId="77777777">
      <w:pPr>
        <w:pStyle w:val="Heading1"/>
      </w:pPr>
      <w:r w:rsidRPr="00FE0540">
        <w:t>DISCUSSION</w:t>
      </w:r>
    </w:p>
    <w:p w:rsidR="00FE0540" w:rsidP="006C2672" w14:paraId="48323C04" w14:textId="41E84B0B">
      <w:pPr>
        <w:pStyle w:val="ParaNum"/>
        <w:widowControl/>
      </w:pPr>
      <w:r w:rsidRPr="00FE0540">
        <w:rPr>
          <w:i/>
        </w:rPr>
        <w:t>Proposed Forfeiture</w:t>
      </w:r>
      <w:r w:rsidRPr="00FE0540">
        <w:t xml:space="preserve">.  In this case, the Licensee failed to file the Application on or before </w:t>
      </w:r>
      <w:r w:rsidR="00927EF5">
        <w:t>December 1</w:t>
      </w:r>
      <w:r w:rsidRPr="00FE0540" w:rsidR="00C23B3F">
        <w:t>, 20</w:t>
      </w:r>
      <w:r w:rsidR="00C23B3F">
        <w:t>20</w:t>
      </w:r>
      <w:r w:rsidRPr="00FE0540">
        <w:t xml:space="preserve">, as required by section 73.3539(a) of the Rules.  The Application was not received until </w:t>
      </w:r>
      <w:r w:rsidR="00927EF5">
        <w:t>January 14</w:t>
      </w:r>
      <w:r w:rsidRPr="00FE0540" w:rsidR="00C23B3F">
        <w:t>, 202</w:t>
      </w:r>
      <w:r w:rsidR="00927EF5">
        <w:t>1</w:t>
      </w:r>
      <w:r w:rsidRPr="00FE0540">
        <w:t xml:space="preserve">.  </w:t>
      </w:r>
      <w:r w:rsidR="00897334">
        <w:t xml:space="preserve">The Licensee explains that it was not aware of its filing obligations </w:t>
      </w:r>
      <w:r w:rsidR="00927EF5">
        <w:t>due to the illness of its President.</w:t>
      </w:r>
      <w:r w:rsidRPr="00FE0540">
        <w:t xml:space="preserve">   </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10"/>
      </w:r>
      <w:r w:rsidRPr="0089695D">
        <w:t xml:space="preserve">  Section 312(f)(1) of the Act defines willful as “the conscious and deliberate commission or omission of [any] act, irrespective of any intent to violate” the law.</w:t>
      </w:r>
      <w:r>
        <w:rPr>
          <w:vertAlign w:val="superscript"/>
        </w:rPr>
        <w:footnoteReference w:id="11"/>
      </w:r>
      <w:r w:rsidRPr="0089695D">
        <w:t xml:space="preserve">  The legislative history to section 312(f)(1) of the Act clarifies that this definition of willful applies to both sections 312 and 503(b) of the Act,</w:t>
      </w:r>
      <w:r>
        <w:rPr>
          <w:vertAlign w:val="superscript"/>
        </w:rPr>
        <w:footnoteReference w:id="12"/>
      </w:r>
      <w:r w:rsidRPr="0089695D">
        <w:t xml:space="preserve"> and the Commission has so interpreted the term in the section 503(b)</w:t>
      </w:r>
      <w:r w:rsidRPr="00FE0540">
        <w:t xml:space="preserve"> context.</w:t>
      </w:r>
      <w:r>
        <w:rPr>
          <w:vertAlign w:val="superscript"/>
        </w:rPr>
        <w:footnoteReference w:id="13"/>
      </w:r>
    </w:p>
    <w:p w:rsidR="009922F5" w:rsidP="007C377D" w14:paraId="188EC2A7" w14:textId="30ACE536">
      <w:pPr>
        <w:pStyle w:val="ParaNum"/>
        <w:widowControl/>
      </w:pPr>
      <w:r>
        <w:t>The Commission has held that violations resulting from inadvertent error or failure to become familiar with the</w:t>
      </w:r>
      <w:r w:rsidR="00D27175">
        <w:t xml:space="preserve"> Commission</w:t>
      </w:r>
      <w:r>
        <w:t>’s requirements are willful violations.</w:t>
      </w:r>
      <w:bookmarkStart w:id="0" w:name="co_tablefootnote_10_1"/>
      <w:bookmarkEnd w:id="0"/>
      <w:r>
        <w:rPr>
          <w:rStyle w:val="FootnoteReference"/>
        </w:rPr>
        <w:footnoteReference w:id="14"/>
      </w:r>
      <w:r>
        <w:t xml:space="preserve"> </w:t>
      </w:r>
      <w:r w:rsidR="0067201F">
        <w:t xml:space="preserve"> </w:t>
      </w:r>
      <w:r>
        <w:t>Moreover, the Commission has long held that “licensees are responsible for the acts and omissions of their employees and independent contractors,”</w:t>
      </w:r>
      <w:bookmarkStart w:id="1" w:name="co_tablefootnote_12_1"/>
      <w:bookmarkEnd w:id="1"/>
      <w:r>
        <w:rPr>
          <w:rStyle w:val="FootnoteReference"/>
        </w:rPr>
        <w:footnoteReference w:id="15"/>
      </w:r>
      <w:r w:rsidR="00930967">
        <w:t xml:space="preserve"> </w:t>
      </w:r>
      <w:r>
        <w:t xml:space="preserve">and has consistently “refused to excuse licensees from forfeiture </w:t>
      </w:r>
      <w:r w:rsidRPr="007C377D">
        <w:t>penalties</w:t>
      </w:r>
      <w:r>
        <w:t xml:space="preserve"> where the actions of employees or independent contractors have resulted in violations.”</w:t>
      </w:r>
      <w:bookmarkStart w:id="2" w:name="co_tablefootnote_13_1"/>
      <w:bookmarkEnd w:id="2"/>
      <w:r>
        <w:rPr>
          <w:rStyle w:val="FootnoteReference"/>
        </w:rPr>
        <w:footnoteReference w:id="16"/>
      </w:r>
      <w:r>
        <w:t xml:space="preserve"> </w:t>
      </w:r>
      <w:r w:rsidR="00D27175">
        <w:t xml:space="preserve"> </w:t>
      </w:r>
      <w:r>
        <w:t xml:space="preserve">While we are sympathetic to </w:t>
      </w:r>
      <w:r w:rsidR="00E52B98">
        <w:t xml:space="preserve">Mr. </w:t>
      </w:r>
      <w:r w:rsidR="00E52B98">
        <w:t>Profir’s</w:t>
      </w:r>
      <w:r w:rsidR="00E52B98">
        <w:t xml:space="preserve"> illness and the </w:t>
      </w:r>
      <w:r w:rsidR="0063178F">
        <w:t>impact of the pandemic on</w:t>
      </w:r>
      <w:r>
        <w:t xml:space="preserve"> the Station, Licensee was ultimately responsible for ensuring it complied with the </w:t>
      </w:r>
      <w:r w:rsidR="00D27175">
        <w:t>R</w:t>
      </w:r>
      <w:r>
        <w:t>ules by filing a timely renewal application.</w:t>
      </w:r>
      <w:bookmarkStart w:id="3" w:name="co_tablefootnote_14_1"/>
      <w:bookmarkEnd w:id="3"/>
      <w:r>
        <w:rPr>
          <w:rStyle w:val="FootnoteReference"/>
        </w:rPr>
        <w:footnoteReference w:id="17"/>
      </w:r>
      <w:r w:rsidR="007C377D">
        <w:t xml:space="preserve"> </w:t>
      </w:r>
      <w:r w:rsidR="00E61098">
        <w:t xml:space="preserve"> </w:t>
      </w:r>
      <w:r w:rsidR="007C377D">
        <w:t xml:space="preserve">It did not do so. </w:t>
      </w:r>
    </w:p>
    <w:p w:rsidR="00FE0540" w:rsidRPr="00FE0540" w:rsidP="00FE0540" w14:paraId="7A3C95B9" w14:textId="53355730">
      <w:pPr>
        <w:pStyle w:val="ParaNum"/>
      </w:pPr>
      <w:r w:rsidRPr="00FE0540">
        <w:t xml:space="preserve">The Commission's </w:t>
      </w:r>
      <w:r w:rsidRPr="00FE0540">
        <w:rPr>
          <w:i/>
        </w:rPr>
        <w:t>Forfeiture Policy Statement</w:t>
      </w:r>
      <w:r w:rsidRPr="00FE0540">
        <w:t xml:space="preserve"> and section 1.80(b)(</w:t>
      </w:r>
      <w:r w:rsidR="0089695D">
        <w:t>9</w:t>
      </w:r>
      <w:r w:rsidRPr="00FE0540">
        <w:t xml:space="preserve">) of the Rules </w:t>
      </w:r>
      <w:r w:rsidRPr="00FE0540">
        <w:t>establish a base forfeiture amount of $3,000 for the failure to file a required form.</w:t>
      </w:r>
      <w:r>
        <w:rPr>
          <w:vertAlign w:val="superscript"/>
        </w:rPr>
        <w:footnoteReference w:id="18"/>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9"/>
      </w:r>
    </w:p>
    <w:p w:rsidR="00FE0540" w:rsidP="00B86644" w14:paraId="0148C9EE" w14:textId="4C8577A2">
      <w:pPr>
        <w:pStyle w:val="ParaNum"/>
      </w:pPr>
      <w:r w:rsidRPr="00FE0540">
        <w:t>In this case, the Licensee failed to file a timely renewal application for the Station</w:t>
      </w:r>
      <w:r w:rsidR="00B86644">
        <w:t xml:space="preserve">. Further, Licensee’s explanation that it was unaware of the filing requirement does not </w:t>
      </w:r>
      <w:r w:rsidRPr="00C15FEA" w:rsidR="00B86644">
        <w:t>excuse its</w:t>
      </w:r>
      <w:r w:rsidR="0067201F">
        <w:t xml:space="preserve"> inaction</w:t>
      </w:r>
      <w:r w:rsidRPr="00C15FEA" w:rsidR="00B86644">
        <w:t>.</w:t>
      </w:r>
      <w:r w:rsidR="00B86644">
        <w:t xml:space="preserve">  </w:t>
      </w:r>
      <w:r w:rsidRPr="00FE0540">
        <w:t xml:space="preserve">However, the 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20"/>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21"/>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22"/>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23"/>
      </w:r>
      <w:r w:rsidRPr="00FE0540">
        <w:t xml:space="preserve"> </w:t>
      </w:r>
    </w:p>
    <w:p w:rsidR="00FE0540" w:rsidRPr="00FE0540" w:rsidP="006C2672" w14:paraId="5E1E6E3D" w14:textId="77777777">
      <w:pPr>
        <w:pStyle w:val="ParaNum"/>
        <w:widowControl/>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24"/>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927EF5" w14:paraId="2919E4A9" w14:textId="718D5D73">
      <w:pPr>
        <w:pStyle w:val="ParaNum"/>
        <w:widowControl/>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25"/>
      </w:r>
      <w:r w:rsidRPr="00FE0540">
        <w:t xml:space="preserve"> that </w:t>
      </w:r>
      <w:r w:rsidR="0063178F">
        <w:t>Words of Hope Media</w:t>
      </w:r>
      <w:r w:rsidRPr="00FE0540">
        <w:t xml:space="preserve"> 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6"/>
      </w:r>
    </w:p>
    <w:p w:rsidR="00FE0540" w:rsidRPr="00FE0540" w:rsidP="00FE0540" w14:paraId="6165E56F" w14:textId="1BDDF0FF">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FE0540">
        <w:rPr>
          <w:i/>
        </w:rPr>
        <w:t xml:space="preserve">, </w:t>
      </w:r>
      <w:r w:rsidR="0063178F">
        <w:t>Words of Hope Media</w:t>
      </w:r>
      <w:r w:rsidRPr="00FE0540">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FE0540" w:rsidRPr="00C33011" w:rsidP="00FE0540" w14:paraId="1D1FBC73" w14:textId="77777777">
      <w:pPr>
        <w:pStyle w:val="ParaNum"/>
      </w:pPr>
      <w:r w:rsidRPr="00FE0540">
        <w:t>Payment of the forfeiture must be made by credit card, ACH (Automated Clearing House) debit from a bank account using the Commission’s Fee Filer (the Commission’s online payment system),</w:t>
      </w:r>
      <w:r>
        <w:rPr>
          <w:vertAlign w:val="superscript"/>
        </w:rPr>
        <w:footnoteReference w:id="27"/>
      </w:r>
      <w:r w:rsidRPr="00FE0540">
        <w:t xml:space="preserve"> or by wire transfer.  The Commission no longer accepts forfeiture payments by check or money order.  Below are instructions that payors should follow based on the form of payment selected:</w:t>
      </w:r>
      <w:r>
        <w:rPr>
          <w:vertAlign w:val="superscript"/>
        </w:rPr>
        <w:footnoteReference w:id="28"/>
      </w:r>
      <w:r w:rsidRPr="00FE0540">
        <w:t xml:space="preserve"> </w:t>
      </w:r>
    </w:p>
    <w:p w:rsidR="00FE0540" w:rsidRPr="00C33011" w:rsidP="00FE0540" w14:paraId="658D5B8C" w14:textId="77777777">
      <w:pPr>
        <w:pStyle w:val="ParaNum"/>
        <w:rPr>
          <w:bCs/>
        </w:rPr>
      </w:pPr>
      <w:r w:rsidRPr="00FE054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FE0540">
          <w:rPr>
            <w:rStyle w:val="Hyperlink"/>
          </w:rPr>
          <w:t>RROGWireFaxes@fcc.gov</w:t>
        </w:r>
      </w:hyperlink>
      <w:r w:rsidRPr="00FE054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9"/>
      </w:r>
      <w:r w:rsidRPr="00FE0540">
        <w:t xml:space="preserve">  For additional detail and wire transfer instructions, go to </w:t>
      </w:r>
      <w:hyperlink r:id="rId6" w:history="1">
        <w:r w:rsidRPr="00FE0540">
          <w:rPr>
            <w:rStyle w:val="Hyperlink"/>
          </w:rPr>
          <w:t>https://www.fcc.gov/licensing-databases/fees/wire-transfer</w:t>
        </w:r>
      </w:hyperlink>
      <w:r w:rsidRPr="00FE0540">
        <w:t>.</w:t>
      </w:r>
    </w:p>
    <w:p w:rsidR="00FE0540" w:rsidRPr="00C33011" w:rsidP="006C2672" w14:paraId="7AFDE68B" w14:textId="77777777">
      <w:pPr>
        <w:pStyle w:val="ParaNum"/>
        <w:widowControl/>
        <w:rPr>
          <w:bCs/>
        </w:rPr>
      </w:pPr>
      <w:r w:rsidRPr="00FE0540">
        <w:t xml:space="preserve">Payment by credit card must be made by using the Commission’s Fee Filer website at </w:t>
      </w:r>
      <w:hyperlink r:id="rId7" w:history="1">
        <w:r w:rsidRPr="00FE0540">
          <w:rPr>
            <w:rStyle w:val="Hyperlink"/>
          </w:rPr>
          <w:t>https://apps.fcc.gov/FeeFiler/login.cfm</w:t>
        </w:r>
      </w:hyperlink>
      <w:r w:rsidRPr="00FE054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FE0540" w:rsidRPr="00FE0540" w:rsidP="00FE0540" w14:paraId="798256C8" w14:textId="77777777">
      <w:pPr>
        <w:pStyle w:val="ParaNum"/>
      </w:pPr>
      <w:r w:rsidRPr="00FE0540">
        <w:t xml:space="preserve">Payment by ACH must be made by using the Commission’s Fee Filer website at </w:t>
      </w:r>
      <w:hyperlink r:id="rId7" w:history="1">
        <w:r w:rsidRPr="00FE0540">
          <w:rPr>
            <w:rStyle w:val="Hyperlink"/>
          </w:rPr>
          <w:t>https://apps.fcc.gov/FeeFiler/login.cfm</w:t>
        </w:r>
      </w:hyperlink>
      <w:r w:rsidRPr="00FE054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FE0540" w:rsidP="00E70391" w14:paraId="18483344" w14:textId="0FEB53C8">
      <w:pPr>
        <w:pStyle w:val="ParaNum"/>
        <w:widowControl/>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 xml:space="preserve">45 L </w:t>
      </w:r>
      <w:r w:rsidRPr="00C33011" w:rsidR="00C33011">
        <w:t>Street, NE</w:t>
      </w:r>
      <w:r w:rsidRPr="00FE0540">
        <w:t>, Washington, DC 20554.</w:t>
      </w:r>
      <w:r>
        <w:rPr>
          <w:vertAlign w:val="superscript"/>
        </w:rPr>
        <w:footnoteReference w:id="30"/>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8" w:history="1">
        <w:r w:rsidRPr="00FE0540">
          <w:rPr>
            <w:rStyle w:val="Hyperlink"/>
          </w:rPr>
          <w:t>ARINQUIRIES@fcc.gov</w:t>
        </w:r>
      </w:hyperlink>
      <w:r w:rsidRPr="00FE0540">
        <w:t>.</w:t>
      </w:r>
    </w:p>
    <w:p w:rsidR="008A39AC" w:rsidRPr="00344EC6" w:rsidP="00927EF5" w14:paraId="1F68881F" w14:textId="7DAACA86">
      <w:pPr>
        <w:pStyle w:val="ParaNum"/>
        <w:widowControl/>
      </w:pPr>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31"/>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594F74">
        <w:rPr>
          <w:b/>
          <w:bCs/>
        </w:rPr>
        <w:t>MUST INCLUDE</w:t>
      </w:r>
      <w:r w:rsidRPr="00947B4D">
        <w:t xml:space="preserve"> the NAL/Acct. No. referenced above.</w:t>
      </w:r>
      <w:r>
        <w:t xml:space="preserve">  </w:t>
      </w:r>
      <w:bookmarkStart w:id="4"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32"/>
      </w:r>
      <w:r w:rsidRPr="00344EC6">
        <w:t xml:space="preserve"> A courtesy copy emailed to </w:t>
      </w:r>
      <w:hyperlink r:id="rId9" w:history="1">
        <w:r w:rsidRPr="00FE0C2F">
          <w:rPr>
            <w:rStyle w:val="Hyperlink"/>
          </w:rPr>
          <w:t>Alexander.Sanjenis@fcc.gov</w:t>
        </w:r>
      </w:hyperlink>
      <w:r w:rsidRPr="00344EC6">
        <w:t xml:space="preserve"> will assist in processing the response.</w:t>
      </w:r>
    </w:p>
    <w:p w:rsidR="008A39AC" w:rsidRPr="00344EC6" w:rsidP="008A39AC" w14:paraId="083ACFA7" w14:textId="77777777">
      <w:pPr>
        <w:pStyle w:val="ParaNum"/>
        <w:numPr>
          <w:ilvl w:val="0"/>
          <w:numId w:val="8"/>
        </w:numPr>
      </w:pPr>
      <w:r w:rsidRPr="00344EC6">
        <w:t xml:space="preserve">Commercial overnight mail (other than U.S. Postal Service Express Mail and Priority Mail) must be sent to 9050 Junction Drive, Annapolis Junction, MD 20701. </w:t>
      </w:r>
    </w:p>
    <w:p w:rsidR="008A39AC" w:rsidRPr="00344EC6" w:rsidP="008A39AC" w14:paraId="533CEA98" w14:textId="77777777">
      <w:pPr>
        <w:pStyle w:val="ParaNum"/>
        <w:numPr>
          <w:ilvl w:val="0"/>
          <w:numId w:val="8"/>
        </w:numPr>
      </w:pPr>
      <w:r w:rsidRPr="00344EC6">
        <w:t>Postal Service first-class, Express, and Priority mail must be addressed to 45 L Street, NE, Washington, DC 20554.</w:t>
      </w:r>
    </w:p>
    <w:bookmarkEnd w:id="4"/>
    <w:p w:rsidR="00BE0988" w:rsidP="00BE0988" w14:paraId="09AC6214" w14:textId="77777777">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33"/>
      </w:r>
      <w:r w:rsidRPr="00344EC6" w:rsidR="008A39AC">
        <w:t xml:space="preserve">  </w:t>
      </w:r>
    </w:p>
    <w:p w:rsidR="00303C5B" w:rsidRPr="00BE0988" w:rsidP="00BE0988" w14:paraId="0D5DFB02" w14:textId="11C51138">
      <w:pPr>
        <w:pStyle w:val="ParaNum"/>
      </w:pPr>
      <w:r w:rsidRPr="00BE0988">
        <w:rPr>
          <w:b/>
          <w:bCs/>
          <w:szCs w:val="22"/>
        </w:rPr>
        <w:t>IT IS FURTHER ORDERED</w:t>
      </w:r>
      <w:r w:rsidRPr="00BE0988">
        <w:rPr>
          <w:szCs w:val="22"/>
        </w:rPr>
        <w:t xml:space="preserve">, that copies of this </w:t>
      </w:r>
      <w:r w:rsidRPr="00BE0988">
        <w:rPr>
          <w:szCs w:val="22"/>
        </w:rPr>
        <w:t xml:space="preserve">Notice of Apparent Liability </w:t>
      </w:r>
      <w:r w:rsidRPr="00BE0988">
        <w:rPr>
          <w:szCs w:val="22"/>
        </w:rPr>
        <w:t xml:space="preserve">shall be sent by First Class and Certified Mail, Return Receipt Requested, to </w:t>
      </w:r>
      <w:r w:rsidR="00927EF5">
        <w:rPr>
          <w:szCs w:val="22"/>
        </w:rPr>
        <w:t>Word</w:t>
      </w:r>
      <w:r w:rsidR="009379FD">
        <w:rPr>
          <w:szCs w:val="22"/>
        </w:rPr>
        <w:t>s</w:t>
      </w:r>
      <w:r w:rsidR="00927EF5">
        <w:rPr>
          <w:szCs w:val="22"/>
        </w:rPr>
        <w:t xml:space="preserve"> of Hope Media, c/o Dragos Profir, 7100 E 26</w:t>
      </w:r>
      <w:r w:rsidRPr="00927EF5" w:rsidR="00927EF5">
        <w:rPr>
          <w:szCs w:val="22"/>
          <w:vertAlign w:val="superscript"/>
        </w:rPr>
        <w:t>th</w:t>
      </w:r>
      <w:r w:rsidR="00927EF5">
        <w:rPr>
          <w:szCs w:val="22"/>
        </w:rPr>
        <w:t xml:space="preserve"> St, Sioux Falls, SD 57110</w:t>
      </w:r>
      <w:r w:rsidR="00545050">
        <w:rPr>
          <w:szCs w:val="22"/>
        </w:rPr>
        <w:t xml:space="preserve">, and to its representative, James E. Price, III, Sterling Communications, PO Box 1877, </w:t>
      </w:r>
      <w:r w:rsidR="00545050">
        <w:rPr>
          <w:szCs w:val="22"/>
        </w:rPr>
        <w:t>LaFayette</w:t>
      </w:r>
      <w:r w:rsidR="00545050">
        <w:rPr>
          <w:szCs w:val="22"/>
        </w:rPr>
        <w:t>, GA 30728.</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C415F39" w14:textId="77777777"/>
    <w:p w:rsidR="00C33011" w:rsidP="0017296B" w14:paraId="32EEE573" w14:textId="0118E5E2"/>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0EA6" w14:paraId="3AE47834" w14:textId="77777777">
      <w:r>
        <w:separator/>
      </w:r>
    </w:p>
  </w:footnote>
  <w:footnote w:type="continuationSeparator" w:id="1">
    <w:p w:rsidR="000D0EA6" w:rsidP="00C721AC" w14:paraId="715FC19B" w14:textId="77777777">
      <w:pPr>
        <w:spacing w:before="120"/>
        <w:rPr>
          <w:sz w:val="20"/>
        </w:rPr>
      </w:pPr>
      <w:r>
        <w:rPr>
          <w:sz w:val="20"/>
        </w:rPr>
        <w:t xml:space="preserve">(Continued from previous page)  </w:t>
      </w:r>
      <w:r>
        <w:rPr>
          <w:sz w:val="20"/>
        </w:rPr>
        <w:separator/>
      </w:r>
    </w:p>
  </w:footnote>
  <w:footnote w:type="continuationNotice" w:id="2">
    <w:p w:rsidR="000D0EA6" w:rsidP="00C721AC" w14:paraId="0C0CD44A" w14:textId="77777777">
      <w:pPr>
        <w:jc w:val="right"/>
        <w:rPr>
          <w:sz w:val="20"/>
        </w:rPr>
      </w:pPr>
      <w:r>
        <w:rPr>
          <w:sz w:val="20"/>
        </w:rPr>
        <w:t>(continued….)</w:t>
      </w:r>
    </w:p>
  </w:footnote>
  <w:footnote w:id="3">
    <w:p w:rsidR="00FE0540" w:rsidRPr="000725CB" w:rsidP="00FE0540" w14:paraId="3E1EC6BD" w14:textId="71F08BCB">
      <w:pPr>
        <w:pStyle w:val="FootnoteText"/>
      </w:pPr>
      <w:r w:rsidRPr="000725CB">
        <w:rPr>
          <w:rStyle w:val="FootnoteReference"/>
        </w:rPr>
        <w:footnoteRef/>
      </w:r>
      <w:r w:rsidRPr="000725CB">
        <w:t xml:space="preserve"> File No.</w:t>
      </w:r>
      <w:r>
        <w:t xml:space="preserve"> </w:t>
      </w:r>
      <w:r w:rsidRPr="00524E06" w:rsidR="00524E06">
        <w:t>00001</w:t>
      </w:r>
      <w:r w:rsidR="0063178F">
        <w:t>31293</w:t>
      </w:r>
      <w:r w:rsidR="00A304DF">
        <w:t xml:space="preserve"> (Application)</w:t>
      </w:r>
      <w:r w:rsidRPr="00524E06">
        <w:t>.</w:t>
      </w:r>
    </w:p>
  </w:footnote>
  <w:footnote w:id="4">
    <w:p w:rsidR="00FE0540" w:rsidRPr="000725CB" w:rsidP="00FE0540" w14:paraId="3DBB0C43"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7B464B" w14:paraId="173B13F3" w14:textId="293762B4">
      <w:pPr>
        <w:pStyle w:val="FootnoteText"/>
      </w:pPr>
      <w:r>
        <w:rPr>
          <w:rStyle w:val="FootnoteReference"/>
        </w:rPr>
        <w:footnoteRef/>
      </w:r>
      <w:r>
        <w:t xml:space="preserve"> </w:t>
      </w:r>
      <w:r w:rsidR="00A304DF">
        <w:t xml:space="preserve">Application, Attachment, </w:t>
      </w:r>
      <w:r w:rsidR="0063178F">
        <w:t>KRHW-LP Request for License</w:t>
      </w:r>
      <w:r w:rsidR="00A304DF">
        <w:t xml:space="preserve">. </w:t>
      </w:r>
    </w:p>
  </w:footnote>
  <w:footnote w:id="9">
    <w:p w:rsidR="00927EF5" w:rsidRPr="00927EF5" w14:paraId="51E2BA49" w14:textId="68A62A9E">
      <w:pPr>
        <w:pStyle w:val="FootnoteText"/>
      </w:pPr>
      <w:r>
        <w:rPr>
          <w:rStyle w:val="FootnoteReference"/>
        </w:rPr>
        <w:footnoteRef/>
      </w:r>
      <w:r>
        <w:t xml:space="preserve"> </w:t>
      </w:r>
      <w:r>
        <w:rPr>
          <w:i/>
          <w:iCs/>
        </w:rPr>
        <w:t>Id</w:t>
      </w:r>
      <w:r>
        <w:t>.</w:t>
      </w:r>
    </w:p>
  </w:footnote>
  <w:footnote w:id="10">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11">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2">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3">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Rcd 4387, 4388, para. 5 (1991), </w:t>
      </w:r>
      <w:r w:rsidRPr="00D27175">
        <w:rPr>
          <w:i/>
        </w:rPr>
        <w:t>recon. denied</w:t>
      </w:r>
      <w:r w:rsidRPr="00D27175">
        <w:t>, Memorandum Opinion and Order, 7 FCC Rcd 3454 (1992).</w:t>
      </w:r>
    </w:p>
  </w:footnote>
  <w:footnote w:id="14">
    <w:p w:rsidR="00800237" w:rsidRPr="00D27175" w14:paraId="13563908" w14:textId="487A9274">
      <w:pPr>
        <w:pStyle w:val="FootnoteText"/>
      </w:pPr>
      <w:r w:rsidRPr="00D27175">
        <w:rPr>
          <w:rStyle w:val="FootnoteReference"/>
        </w:rPr>
        <w:footnoteRef/>
      </w:r>
      <w:r w:rsidRPr="00D27175">
        <w:t xml:space="preserve"> </w:t>
      </w:r>
      <w:r w:rsidRPr="00D27175" w:rsidR="002252D3">
        <w:rPr>
          <w:rStyle w:val="Emphasis"/>
          <w:bdr w:val="none" w:sz="0" w:space="0" w:color="auto" w:frame="1"/>
          <w:shd w:val="clear" w:color="auto" w:fill="FFFFFF"/>
        </w:rPr>
        <w:t>Whidbey Island Center for the Arts</w:t>
      </w:r>
      <w:r w:rsidRPr="00D27175" w:rsidR="002252D3">
        <w:rPr>
          <w:rStyle w:val="Emphasis"/>
          <w:i w:val="0"/>
          <w:iCs w:val="0"/>
          <w:bdr w:val="none" w:sz="0" w:space="0" w:color="auto" w:frame="1"/>
          <w:shd w:val="clear" w:color="auto" w:fill="FFFFFF"/>
        </w:rPr>
        <w:t>, Forfeiture Order, 25 FCC Rcd 8204 (MB 2010) (</w:t>
      </w:r>
      <w:r w:rsidRPr="00D27175" w:rsidR="002252D3">
        <w:rPr>
          <w:rStyle w:val="Emphasis"/>
          <w:bdr w:val="none" w:sz="0" w:space="0" w:color="auto" w:frame="1"/>
          <w:shd w:val="clear" w:color="auto" w:fill="FFFFFF"/>
        </w:rPr>
        <w:t>Whidbey Island Forfeiture Order</w:t>
      </w:r>
      <w:r w:rsidRPr="00D27175" w:rsidR="002252D3">
        <w:rPr>
          <w:rStyle w:val="Emphasis"/>
          <w:i w:val="0"/>
          <w:iCs w:val="0"/>
          <w:bdr w:val="none" w:sz="0" w:space="0" w:color="auto" w:frame="1"/>
          <w:shd w:val="clear" w:color="auto" w:fill="FFFFFF"/>
        </w:rPr>
        <w:t>)</w:t>
      </w:r>
      <w:r w:rsidRPr="00D27175" w:rsidR="00040666">
        <w:rPr>
          <w:rStyle w:val="Emphasis"/>
          <w:i w:val="0"/>
          <w:iCs w:val="0"/>
          <w:bdr w:val="none" w:sz="0" w:space="0" w:color="auto" w:frame="1"/>
          <w:shd w:val="clear" w:color="auto" w:fill="FFFFFF"/>
        </w:rPr>
        <w:t xml:space="preserve"> (citing </w:t>
      </w:r>
      <w:r w:rsidRPr="00D27175" w:rsidR="00A871FD">
        <w:rPr>
          <w:rStyle w:val="Emphasis"/>
          <w:bdr w:val="none" w:sz="0" w:space="0" w:color="auto" w:frame="1"/>
          <w:shd w:val="clear" w:color="auto" w:fill="FFFFFF"/>
        </w:rPr>
        <w:t>PJB Communications of Virginia, Inc.</w:t>
      </w:r>
      <w:r w:rsidRPr="00D27175" w:rsidR="00A871FD">
        <w:rPr>
          <w:shd w:val="clear" w:color="auto" w:fill="FFFFFF"/>
        </w:rPr>
        <w:t>, Memorandum Opinion and Order, </w:t>
      </w:r>
      <w:r w:rsidRPr="00D27175" w:rsidR="00A871FD">
        <w:rPr>
          <w:bdr w:val="none" w:sz="0" w:space="0" w:color="auto" w:frame="1"/>
          <w:shd w:val="clear" w:color="auto" w:fill="FFFFFF"/>
        </w:rPr>
        <w:t>7 FCC Rcd 2088 (1992)</w:t>
      </w:r>
      <w:r w:rsidRPr="00D27175" w:rsidR="00A871FD">
        <w:rPr>
          <w:shd w:val="clear" w:color="auto" w:fill="FFFFFF"/>
        </w:rPr>
        <w:t>; </w:t>
      </w:r>
      <w:r w:rsidRPr="00D27175" w:rsidR="00A871FD">
        <w:rPr>
          <w:rStyle w:val="Emphasis"/>
          <w:bdr w:val="none" w:sz="0" w:space="0" w:color="auto" w:frame="1"/>
          <w:shd w:val="clear" w:color="auto" w:fill="FFFFFF"/>
        </w:rPr>
        <w:t>Southern California Broadcasting Co.,</w:t>
      </w:r>
      <w:r w:rsidRPr="00D27175" w:rsidR="00A871FD">
        <w:rPr>
          <w:shd w:val="clear" w:color="auto" w:fill="FFFFFF"/>
        </w:rPr>
        <w:t> Memorandum Opinion and Order, </w:t>
      </w:r>
      <w:r w:rsidRPr="00D27175" w:rsidR="00A871FD">
        <w:rPr>
          <w:bdr w:val="none" w:sz="0" w:space="0" w:color="auto" w:frame="1"/>
          <w:shd w:val="clear" w:color="auto" w:fill="FFFFFF"/>
        </w:rPr>
        <w:t>6 FCC Rcd 4387, 4387 (1991)</w:t>
      </w:r>
      <w:r w:rsidRPr="00D27175" w:rsidR="00A871FD">
        <w:rPr>
          <w:shd w:val="clear" w:color="auto" w:fill="FFFFFF"/>
        </w:rPr>
        <w:t>, </w:t>
      </w:r>
      <w:r w:rsidRPr="00D27175" w:rsidR="00A871FD">
        <w:rPr>
          <w:rStyle w:val="Emphasis"/>
          <w:bdr w:val="none" w:sz="0" w:space="0" w:color="auto" w:frame="1"/>
          <w:shd w:val="clear" w:color="auto" w:fill="FFFFFF"/>
        </w:rPr>
        <w:t>recon. denied,</w:t>
      </w:r>
      <w:r w:rsidRPr="00D27175" w:rsidR="00A871FD">
        <w:rPr>
          <w:shd w:val="clear" w:color="auto" w:fill="FFFFFF"/>
        </w:rPr>
        <w:t> </w:t>
      </w:r>
      <w:r w:rsidRPr="00D27175" w:rsidR="00A871FD">
        <w:rPr>
          <w:bdr w:val="none" w:sz="0" w:space="0" w:color="auto" w:frame="1"/>
          <w:shd w:val="clear" w:color="auto" w:fill="FFFFFF"/>
        </w:rPr>
        <w:t>7 FCC Rcd 3454 (1992)</w:t>
      </w:r>
      <w:r w:rsidRPr="00D27175" w:rsidR="00A871FD">
        <w:rPr>
          <w:shd w:val="clear" w:color="auto" w:fill="FFFFFF"/>
        </w:rPr>
        <w:t> (stating that “inadvertence ... is at best, ignorance of the law, which the Commission does not consider a mitigating circumstance”); </w:t>
      </w:r>
      <w:r w:rsidRPr="00D27175" w:rsidR="00A871FD">
        <w:rPr>
          <w:rStyle w:val="Emphasis"/>
          <w:bdr w:val="none" w:sz="0" w:space="0" w:color="auto" w:frame="1"/>
          <w:shd w:val="clear" w:color="auto" w:fill="FFFFFF"/>
        </w:rPr>
        <w:t>Standard Communications Corp.,</w:t>
      </w:r>
      <w:r w:rsidRPr="00D27175" w:rsidR="00040666">
        <w:rPr>
          <w:rStyle w:val="Emphasis"/>
          <w:bdr w:val="none" w:sz="0" w:space="0" w:color="auto" w:frame="1"/>
          <w:shd w:val="clear" w:color="auto" w:fill="FFFFFF"/>
        </w:rPr>
        <w:t xml:space="preserve"> </w:t>
      </w:r>
      <w:r w:rsidRPr="00D27175" w:rsidR="00A871FD">
        <w:rPr>
          <w:shd w:val="clear" w:color="auto" w:fill="FFFFFF"/>
        </w:rPr>
        <w:t>Memorandum Opinion and Order, </w:t>
      </w:r>
      <w:r w:rsidRPr="00D27175" w:rsidR="00A871FD">
        <w:rPr>
          <w:bdr w:val="none" w:sz="0" w:space="0" w:color="auto" w:frame="1"/>
          <w:shd w:val="clear" w:color="auto" w:fill="FFFFFF"/>
        </w:rPr>
        <w:t>1 FCC Rcd 358 (1986)</w:t>
      </w:r>
      <w:r w:rsidRPr="00D27175" w:rsidR="00E12895">
        <w:rPr>
          <w:bdr w:val="none" w:sz="0" w:space="0" w:color="auto" w:frame="1"/>
          <w:shd w:val="clear" w:color="auto" w:fill="FFFFFF"/>
        </w:rPr>
        <w:t xml:space="preserve"> </w:t>
      </w:r>
      <w:r w:rsidRPr="00D27175" w:rsidR="00A871FD">
        <w:rPr>
          <w:shd w:val="clear" w:color="auto" w:fill="FFFFFF"/>
        </w:rPr>
        <w:t>(stating that “employee acts or omissions, such as clerical errors in failing to file required forms, do not excuse violations”)</w:t>
      </w:r>
      <w:r w:rsidRPr="00D27175" w:rsidR="00040666">
        <w:rPr>
          <w:shd w:val="clear" w:color="auto" w:fill="FFFFFF"/>
        </w:rPr>
        <w:t>)</w:t>
      </w:r>
      <w:r w:rsidRPr="00D27175" w:rsidR="00A871FD">
        <w:rPr>
          <w:shd w:val="clear" w:color="auto" w:fill="FFFFFF"/>
        </w:rPr>
        <w:t xml:space="preserve">. </w:t>
      </w:r>
    </w:p>
  </w:footnote>
  <w:footnote w:id="15">
    <w:p w:rsidR="00930967" w:rsidRPr="00D27175" w14:paraId="09C8601C" w14:textId="71C36BE0">
      <w:pPr>
        <w:pStyle w:val="FootnoteText"/>
      </w:pPr>
      <w:r w:rsidRPr="00D27175">
        <w:rPr>
          <w:rStyle w:val="FootnoteReference"/>
        </w:rPr>
        <w:footnoteRef/>
      </w:r>
      <w:r w:rsidRPr="00D27175">
        <w:t xml:space="preserve"> </w:t>
      </w:r>
      <w:r w:rsidRPr="00D27175" w:rsidR="00040666">
        <w:rPr>
          <w:rStyle w:val="Emphasis"/>
          <w:bdr w:val="none" w:sz="0" w:space="0" w:color="auto" w:frame="1"/>
          <w:shd w:val="clear" w:color="auto" w:fill="FFFFFF"/>
        </w:rPr>
        <w:t>Whidbey Island Forfeiture Order</w:t>
      </w:r>
      <w:r w:rsidRPr="00D27175" w:rsidR="00040666">
        <w:rPr>
          <w:rStyle w:val="Emphasis"/>
          <w:i w:val="0"/>
          <w:iCs w:val="0"/>
          <w:bdr w:val="none" w:sz="0" w:space="0" w:color="auto" w:frame="1"/>
          <w:shd w:val="clear" w:color="auto" w:fill="FFFFFF"/>
        </w:rPr>
        <w:t>, 25 FCC Rcd at 8205, para 6</w:t>
      </w:r>
      <w:r w:rsidR="007D3B81">
        <w:rPr>
          <w:rStyle w:val="Emphasis"/>
          <w:i w:val="0"/>
          <w:iCs w:val="0"/>
          <w:bdr w:val="none" w:sz="0" w:space="0" w:color="auto" w:frame="1"/>
          <w:shd w:val="clear" w:color="auto" w:fill="FFFFFF"/>
        </w:rPr>
        <w:t xml:space="preserve"> (rejecting argument that proposed forfeiture for untimely </w:t>
      </w:r>
      <w:r w:rsidR="00591634">
        <w:rPr>
          <w:rStyle w:val="Emphasis"/>
          <w:i w:val="0"/>
          <w:iCs w:val="0"/>
          <w:bdr w:val="none" w:sz="0" w:space="0" w:color="auto" w:frame="1"/>
          <w:shd w:val="clear" w:color="auto" w:fill="FFFFFF"/>
        </w:rPr>
        <w:t>filing of renewal application should be reduced or cancelled based on</w:t>
      </w:r>
      <w:r w:rsidR="007D3B81">
        <w:rPr>
          <w:rStyle w:val="Emphasis"/>
          <w:i w:val="0"/>
          <w:iCs w:val="0"/>
          <w:bdr w:val="none" w:sz="0" w:space="0" w:color="auto" w:frame="1"/>
          <w:shd w:val="clear" w:color="auto" w:fill="FFFFFF"/>
        </w:rPr>
        <w:t xml:space="preserve"> </w:t>
      </w:r>
      <w:r w:rsidR="005404A0">
        <w:rPr>
          <w:rStyle w:val="Emphasis"/>
          <w:i w:val="0"/>
          <w:iCs w:val="0"/>
          <w:bdr w:val="none" w:sz="0" w:space="0" w:color="auto" w:frame="1"/>
          <w:shd w:val="clear" w:color="auto" w:fill="FFFFFF"/>
        </w:rPr>
        <w:t xml:space="preserve">the </w:t>
      </w:r>
      <w:r w:rsidR="007D3B81">
        <w:rPr>
          <w:rStyle w:val="Emphasis"/>
          <w:i w:val="0"/>
          <w:iCs w:val="0"/>
          <w:bdr w:val="none" w:sz="0" w:space="0" w:color="auto" w:frame="1"/>
          <w:shd w:val="clear" w:color="auto" w:fill="FFFFFF"/>
        </w:rPr>
        <w:t>health issues</w:t>
      </w:r>
      <w:r w:rsidR="00DC1DEF">
        <w:rPr>
          <w:rStyle w:val="Emphasis"/>
          <w:i w:val="0"/>
          <w:iCs w:val="0"/>
          <w:bdr w:val="none" w:sz="0" w:space="0" w:color="auto" w:frame="1"/>
          <w:shd w:val="clear" w:color="auto" w:fill="FFFFFF"/>
        </w:rPr>
        <w:t xml:space="preserve"> and </w:t>
      </w:r>
      <w:r w:rsidR="005404A0">
        <w:rPr>
          <w:rStyle w:val="Emphasis"/>
          <w:i w:val="0"/>
          <w:iCs w:val="0"/>
          <w:bdr w:val="none" w:sz="0" w:space="0" w:color="auto" w:frame="1"/>
          <w:shd w:val="clear" w:color="auto" w:fill="FFFFFF"/>
        </w:rPr>
        <w:t>departure</w:t>
      </w:r>
      <w:r w:rsidR="00DC1DEF">
        <w:rPr>
          <w:rStyle w:val="Emphasis"/>
          <w:i w:val="0"/>
          <w:iCs w:val="0"/>
          <w:bdr w:val="none" w:sz="0" w:space="0" w:color="auto" w:frame="1"/>
          <w:shd w:val="clear" w:color="auto" w:fill="FFFFFF"/>
        </w:rPr>
        <w:t xml:space="preserve"> of the party responsible for Commission filings</w:t>
      </w:r>
      <w:r w:rsidR="00591634">
        <w:rPr>
          <w:rStyle w:val="Emphasis"/>
          <w:i w:val="0"/>
          <w:iCs w:val="0"/>
          <w:bdr w:val="none" w:sz="0" w:space="0" w:color="auto" w:frame="1"/>
          <w:shd w:val="clear" w:color="auto" w:fill="FFFFFF"/>
        </w:rPr>
        <w:t>).</w:t>
      </w:r>
    </w:p>
  </w:footnote>
  <w:footnote w:id="16">
    <w:p w:rsidR="00930967" w:rsidRPr="00D27175" w14:paraId="40D94709" w14:textId="4A16B62E">
      <w:pPr>
        <w:pStyle w:val="FootnoteText"/>
      </w:pPr>
      <w:r w:rsidRPr="00D27175">
        <w:rPr>
          <w:rStyle w:val="FootnoteReference"/>
        </w:rPr>
        <w:footnoteRef/>
      </w:r>
      <w:r w:rsidRPr="00D27175">
        <w:t xml:space="preserve"> </w:t>
      </w:r>
      <w:r w:rsidRPr="00D27175" w:rsidR="00E12895">
        <w:rPr>
          <w:i/>
          <w:iCs/>
        </w:rPr>
        <w:t>I</w:t>
      </w:r>
      <w:r w:rsidRPr="00D27175" w:rsidR="00E12895">
        <w:rPr>
          <w:rStyle w:val="Emphasis"/>
          <w:bdr w:val="none" w:sz="0" w:space="0" w:color="auto" w:frame="1"/>
          <w:shd w:val="clear" w:color="auto" w:fill="FFFFFF"/>
        </w:rPr>
        <w:t xml:space="preserve">d. </w:t>
      </w:r>
    </w:p>
  </w:footnote>
  <w:footnote w:id="17">
    <w:p w:rsidR="00930967" w:rsidRPr="00D27175" w14:paraId="0D8C04EA" w14:textId="408F9ED9">
      <w:pPr>
        <w:pStyle w:val="FootnoteText"/>
      </w:pPr>
      <w:r w:rsidRPr="00D27175">
        <w:rPr>
          <w:rStyle w:val="FootnoteReference"/>
        </w:rPr>
        <w:footnoteRef/>
      </w:r>
      <w:r w:rsidRPr="00D27175">
        <w:t xml:space="preserve"> </w:t>
      </w:r>
      <w:r w:rsidRPr="00D27175" w:rsidR="00E12895">
        <w:rPr>
          <w:i/>
          <w:iCs/>
        </w:rPr>
        <w:t>See id</w:t>
      </w:r>
      <w:r w:rsidRPr="00D27175" w:rsidR="00E12895">
        <w:t xml:space="preserve">. </w:t>
      </w:r>
      <w:r w:rsidRPr="0067201F" w:rsidR="007D3B81">
        <w:rPr>
          <w:i/>
          <w:iCs/>
        </w:rPr>
        <w:t>See also</w:t>
      </w:r>
      <w:r w:rsidR="007D3B81">
        <w:t xml:space="preserve"> </w:t>
      </w:r>
      <w:r w:rsidRPr="0067201F" w:rsidR="007D3B81">
        <w:rPr>
          <w:i/>
          <w:iCs/>
        </w:rPr>
        <w:t>Community Celebrations</w:t>
      </w:r>
      <w:r w:rsidR="007D3B81">
        <w:t>, Memorandum Opinion and Order and Notice of Apparent Liability for Forfeiture, 22 FCC Rcd 2053 (MB 2007) (issuing $1,500 notice of apparent liability where licensee explained untimely filing of license renewal application was attributed to principal’s death).</w:t>
      </w:r>
    </w:p>
  </w:footnote>
  <w:footnote w:id="18">
    <w:p w:rsidR="00FE0540" w:rsidP="00FE0540" w14:paraId="409FE156" w14:textId="0BE3144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89695D">
        <w:rPr>
          <w:sz w:val="20"/>
        </w:rPr>
        <w:t>9</w:t>
      </w:r>
      <w:r>
        <w:rPr>
          <w:sz w:val="20"/>
        </w:rPr>
        <w:t>), note to paragraph (b)(</w:t>
      </w:r>
      <w:r w:rsidR="0089695D">
        <w:rPr>
          <w:sz w:val="20"/>
        </w:rPr>
        <w:t>9</w:t>
      </w:r>
      <w:r>
        <w:rPr>
          <w:sz w:val="20"/>
        </w:rPr>
        <w:t>), Section I.</w:t>
      </w:r>
    </w:p>
  </w:footnote>
  <w:footnote w:id="19">
    <w:p w:rsidR="00FE0540" w:rsidRPr="00D423B0" w:rsidP="00FE0540" w14:paraId="509482D9" w14:textId="76CAA0B5">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89695D">
        <w:t>9</w:t>
      </w:r>
      <w:r>
        <w:t xml:space="preserve">). </w:t>
      </w:r>
    </w:p>
  </w:footnote>
  <w:footnote w:id="20">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21">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2">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3">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24">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5">
    <w:p w:rsidR="008A39AC" w14:paraId="288F8E5B" w14:textId="4A89202A">
      <w:pPr>
        <w:pStyle w:val="FootnoteText"/>
      </w:pPr>
      <w:r>
        <w:rPr>
          <w:rStyle w:val="FootnoteReference"/>
        </w:rPr>
        <w:footnoteRef/>
      </w:r>
      <w:r>
        <w:t xml:space="preserve"> 47 U.S.C. § 503(b); 47 CFR § 1.80.</w:t>
      </w:r>
    </w:p>
  </w:footnote>
  <w:footnote w:id="26">
    <w:p w:rsidR="008A39AC" w14:paraId="2FAD067E" w14:textId="61158C6A">
      <w:pPr>
        <w:pStyle w:val="FootnoteText"/>
      </w:pPr>
      <w:r>
        <w:rPr>
          <w:rStyle w:val="FootnoteReference"/>
        </w:rPr>
        <w:footnoteRef/>
      </w:r>
      <w:r>
        <w:t xml:space="preserve"> 47 CFR § 73.3539.</w:t>
      </w:r>
    </w:p>
  </w:footnote>
  <w:footnote w:id="27">
    <w:p w:rsidR="00FE0540" w:rsidRPr="00132193" w:rsidP="00FE0540" w14:paraId="1D8176DA"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8">
    <w:p w:rsidR="00FE0540" w:rsidRPr="00132193" w:rsidP="00FE0540" w14:paraId="0AB942BE"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9">
    <w:p w:rsidR="00FE0540" w:rsidRPr="004B33E9" w:rsidP="00FE0540" w14:paraId="004239AF"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30">
    <w:p w:rsidR="00FE0540" w:rsidRPr="004B33E9" w:rsidP="00FE0540" w14:paraId="07ABAD11"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31">
    <w:p w:rsidR="008A39AC" w:rsidP="008A39AC" w14:paraId="2DFFFFA5" w14:textId="77777777">
      <w:pPr>
        <w:pStyle w:val="FootnoteText"/>
        <w:widowControl w:val="0"/>
      </w:pPr>
      <w:r>
        <w:rPr>
          <w:rStyle w:val="FootnoteReference"/>
        </w:rPr>
        <w:footnoteRef/>
      </w:r>
      <w:r>
        <w:t xml:space="preserve"> 47 CFR §§ 1.16 and 1.80(f)(3).</w:t>
      </w:r>
    </w:p>
  </w:footnote>
  <w:footnote w:id="32">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33">
    <w:p w:rsidR="008A39AC" w:rsidP="008A39AC" w14:paraId="4C37B4AD"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2A7E2454">
    <w:pPr>
      <w:pStyle w:val="Header"/>
      <w:rPr>
        <w:b w:val="0"/>
      </w:rPr>
    </w:pPr>
    <w:r>
      <w:tab/>
      <w:t>Federal Communications Commission</w:t>
    </w:r>
    <w:r>
      <w:tab/>
      <w:t>DA 21-</w:t>
    </w:r>
    <w:r w:rsidR="00155BE1">
      <w:t>708</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3DB284A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155BE1">
      <w:rPr>
        <w:spacing w:val="-2"/>
      </w:rPr>
      <w:t>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652D"/>
    <w:rsid w:val="00036039"/>
    <w:rsid w:val="00037F90"/>
    <w:rsid w:val="00040666"/>
    <w:rsid w:val="000725CB"/>
    <w:rsid w:val="000875BF"/>
    <w:rsid w:val="00096D8C"/>
    <w:rsid w:val="000A65AC"/>
    <w:rsid w:val="000C0B65"/>
    <w:rsid w:val="000D0EA6"/>
    <w:rsid w:val="000E05FE"/>
    <w:rsid w:val="000E3D42"/>
    <w:rsid w:val="00122BD5"/>
    <w:rsid w:val="00132193"/>
    <w:rsid w:val="00133F79"/>
    <w:rsid w:val="00141BD4"/>
    <w:rsid w:val="00155BE1"/>
    <w:rsid w:val="0017296B"/>
    <w:rsid w:val="00177AF1"/>
    <w:rsid w:val="00194A66"/>
    <w:rsid w:val="001B35C7"/>
    <w:rsid w:val="001D6BCF"/>
    <w:rsid w:val="001E01CA"/>
    <w:rsid w:val="001E24D9"/>
    <w:rsid w:val="002252D3"/>
    <w:rsid w:val="002546D1"/>
    <w:rsid w:val="0026699D"/>
    <w:rsid w:val="00275CF5"/>
    <w:rsid w:val="0028301F"/>
    <w:rsid w:val="00285017"/>
    <w:rsid w:val="002A2D2E"/>
    <w:rsid w:val="002B39D0"/>
    <w:rsid w:val="002C00E8"/>
    <w:rsid w:val="002C7CD5"/>
    <w:rsid w:val="00303C5B"/>
    <w:rsid w:val="0031050C"/>
    <w:rsid w:val="00317AFA"/>
    <w:rsid w:val="00343749"/>
    <w:rsid w:val="00344EC6"/>
    <w:rsid w:val="003660ED"/>
    <w:rsid w:val="003B0550"/>
    <w:rsid w:val="003B694F"/>
    <w:rsid w:val="003D30E6"/>
    <w:rsid w:val="003F171C"/>
    <w:rsid w:val="003F5E50"/>
    <w:rsid w:val="00412FC5"/>
    <w:rsid w:val="00422276"/>
    <w:rsid w:val="004242F1"/>
    <w:rsid w:val="0043351F"/>
    <w:rsid w:val="004450EA"/>
    <w:rsid w:val="00445A00"/>
    <w:rsid w:val="00451B0F"/>
    <w:rsid w:val="00464742"/>
    <w:rsid w:val="004B33E9"/>
    <w:rsid w:val="004C2EE3"/>
    <w:rsid w:val="004C44C7"/>
    <w:rsid w:val="004E4A22"/>
    <w:rsid w:val="00511968"/>
    <w:rsid w:val="00512331"/>
    <w:rsid w:val="00514C8E"/>
    <w:rsid w:val="00524E06"/>
    <w:rsid w:val="00525F98"/>
    <w:rsid w:val="005404A0"/>
    <w:rsid w:val="00545050"/>
    <w:rsid w:val="0055494B"/>
    <w:rsid w:val="00555D44"/>
    <w:rsid w:val="0055614C"/>
    <w:rsid w:val="00566D06"/>
    <w:rsid w:val="00591634"/>
    <w:rsid w:val="00594F74"/>
    <w:rsid w:val="005E14C2"/>
    <w:rsid w:val="00607BA5"/>
    <w:rsid w:val="0061180A"/>
    <w:rsid w:val="00626EB6"/>
    <w:rsid w:val="0063178F"/>
    <w:rsid w:val="00641A34"/>
    <w:rsid w:val="00655D03"/>
    <w:rsid w:val="0067201F"/>
    <w:rsid w:val="00683388"/>
    <w:rsid w:val="00683750"/>
    <w:rsid w:val="00683F84"/>
    <w:rsid w:val="006A6A81"/>
    <w:rsid w:val="006C2672"/>
    <w:rsid w:val="006F7393"/>
    <w:rsid w:val="0070224F"/>
    <w:rsid w:val="007115F7"/>
    <w:rsid w:val="0073510B"/>
    <w:rsid w:val="00756FC8"/>
    <w:rsid w:val="007846AA"/>
    <w:rsid w:val="00785689"/>
    <w:rsid w:val="0079754B"/>
    <w:rsid w:val="007A1E6D"/>
    <w:rsid w:val="007B0EB2"/>
    <w:rsid w:val="007B464B"/>
    <w:rsid w:val="007C377D"/>
    <w:rsid w:val="007D3B81"/>
    <w:rsid w:val="00800237"/>
    <w:rsid w:val="00810B6F"/>
    <w:rsid w:val="00815718"/>
    <w:rsid w:val="00822CE0"/>
    <w:rsid w:val="00832EC7"/>
    <w:rsid w:val="00841AB1"/>
    <w:rsid w:val="008668C6"/>
    <w:rsid w:val="00874E66"/>
    <w:rsid w:val="0089695D"/>
    <w:rsid w:val="00897334"/>
    <w:rsid w:val="008A39AC"/>
    <w:rsid w:val="008C68F1"/>
    <w:rsid w:val="008F6FFF"/>
    <w:rsid w:val="00921803"/>
    <w:rsid w:val="00924C2F"/>
    <w:rsid w:val="00926503"/>
    <w:rsid w:val="00927EF5"/>
    <w:rsid w:val="00930967"/>
    <w:rsid w:val="009379FD"/>
    <w:rsid w:val="00947B4D"/>
    <w:rsid w:val="009726D8"/>
    <w:rsid w:val="009922F5"/>
    <w:rsid w:val="009D7308"/>
    <w:rsid w:val="009F36FF"/>
    <w:rsid w:val="009F76DB"/>
    <w:rsid w:val="00A304DF"/>
    <w:rsid w:val="00A32C3B"/>
    <w:rsid w:val="00A45F4F"/>
    <w:rsid w:val="00A600A9"/>
    <w:rsid w:val="00A72D95"/>
    <w:rsid w:val="00A871FD"/>
    <w:rsid w:val="00AA55B7"/>
    <w:rsid w:val="00AA5B9E"/>
    <w:rsid w:val="00AB0CFB"/>
    <w:rsid w:val="00AB2407"/>
    <w:rsid w:val="00AB53DF"/>
    <w:rsid w:val="00AD2902"/>
    <w:rsid w:val="00AE3098"/>
    <w:rsid w:val="00B07E5C"/>
    <w:rsid w:val="00B811F7"/>
    <w:rsid w:val="00B86644"/>
    <w:rsid w:val="00B97556"/>
    <w:rsid w:val="00BA5DC6"/>
    <w:rsid w:val="00BA6196"/>
    <w:rsid w:val="00BC6D8C"/>
    <w:rsid w:val="00BE0988"/>
    <w:rsid w:val="00C1209E"/>
    <w:rsid w:val="00C15FEA"/>
    <w:rsid w:val="00C23B3F"/>
    <w:rsid w:val="00C33011"/>
    <w:rsid w:val="00C34006"/>
    <w:rsid w:val="00C36B4C"/>
    <w:rsid w:val="00C426B1"/>
    <w:rsid w:val="00C66160"/>
    <w:rsid w:val="00C721AC"/>
    <w:rsid w:val="00C90D6A"/>
    <w:rsid w:val="00CA247E"/>
    <w:rsid w:val="00CA6D21"/>
    <w:rsid w:val="00CC72B6"/>
    <w:rsid w:val="00D0218D"/>
    <w:rsid w:val="00D25FB5"/>
    <w:rsid w:val="00D27175"/>
    <w:rsid w:val="00D423B0"/>
    <w:rsid w:val="00D44223"/>
    <w:rsid w:val="00DA2529"/>
    <w:rsid w:val="00DB130A"/>
    <w:rsid w:val="00DB2EBB"/>
    <w:rsid w:val="00DC024C"/>
    <w:rsid w:val="00DC10A1"/>
    <w:rsid w:val="00DC1DEF"/>
    <w:rsid w:val="00DC655F"/>
    <w:rsid w:val="00DD0B59"/>
    <w:rsid w:val="00DD7EBD"/>
    <w:rsid w:val="00DF1523"/>
    <w:rsid w:val="00DF62B6"/>
    <w:rsid w:val="00E07225"/>
    <w:rsid w:val="00E1189A"/>
    <w:rsid w:val="00E12895"/>
    <w:rsid w:val="00E4519B"/>
    <w:rsid w:val="00E52B98"/>
    <w:rsid w:val="00E5409F"/>
    <w:rsid w:val="00E61098"/>
    <w:rsid w:val="00E70391"/>
    <w:rsid w:val="00E938D4"/>
    <w:rsid w:val="00EE6488"/>
    <w:rsid w:val="00F021FA"/>
    <w:rsid w:val="00F62E97"/>
    <w:rsid w:val="00F64209"/>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226D2"/>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E1"/>
    <w:pPr>
      <w:widowControl w:val="0"/>
    </w:pPr>
    <w:rPr>
      <w:snapToGrid w:val="0"/>
      <w:kern w:val="28"/>
      <w:sz w:val="22"/>
    </w:rPr>
  </w:style>
  <w:style w:type="paragraph" w:styleId="Heading1">
    <w:name w:val="heading 1"/>
    <w:basedOn w:val="Normal"/>
    <w:next w:val="ParaNum"/>
    <w:qFormat/>
    <w:rsid w:val="00155BE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55BE1"/>
    <w:pPr>
      <w:keepNext/>
      <w:numPr>
        <w:ilvl w:val="1"/>
        <w:numId w:val="3"/>
      </w:numPr>
      <w:spacing w:after="120"/>
      <w:outlineLvl w:val="1"/>
    </w:pPr>
    <w:rPr>
      <w:b/>
    </w:rPr>
  </w:style>
  <w:style w:type="paragraph" w:styleId="Heading3">
    <w:name w:val="heading 3"/>
    <w:basedOn w:val="Normal"/>
    <w:next w:val="ParaNum"/>
    <w:qFormat/>
    <w:rsid w:val="00155BE1"/>
    <w:pPr>
      <w:keepNext/>
      <w:numPr>
        <w:ilvl w:val="2"/>
        <w:numId w:val="3"/>
      </w:numPr>
      <w:tabs>
        <w:tab w:val="left" w:pos="2160"/>
      </w:tabs>
      <w:spacing w:after="120"/>
      <w:outlineLvl w:val="2"/>
    </w:pPr>
    <w:rPr>
      <w:b/>
    </w:rPr>
  </w:style>
  <w:style w:type="paragraph" w:styleId="Heading4">
    <w:name w:val="heading 4"/>
    <w:basedOn w:val="Normal"/>
    <w:next w:val="ParaNum"/>
    <w:qFormat/>
    <w:rsid w:val="00155BE1"/>
    <w:pPr>
      <w:keepNext/>
      <w:numPr>
        <w:ilvl w:val="3"/>
        <w:numId w:val="3"/>
      </w:numPr>
      <w:tabs>
        <w:tab w:val="left" w:pos="2880"/>
      </w:tabs>
      <w:spacing w:after="120"/>
      <w:outlineLvl w:val="3"/>
    </w:pPr>
    <w:rPr>
      <w:b/>
    </w:rPr>
  </w:style>
  <w:style w:type="paragraph" w:styleId="Heading5">
    <w:name w:val="heading 5"/>
    <w:basedOn w:val="Normal"/>
    <w:next w:val="ParaNum"/>
    <w:qFormat/>
    <w:rsid w:val="00155BE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55BE1"/>
    <w:pPr>
      <w:numPr>
        <w:ilvl w:val="5"/>
        <w:numId w:val="3"/>
      </w:numPr>
      <w:tabs>
        <w:tab w:val="left" w:pos="4320"/>
      </w:tabs>
      <w:spacing w:after="120"/>
      <w:outlineLvl w:val="5"/>
    </w:pPr>
    <w:rPr>
      <w:b/>
    </w:rPr>
  </w:style>
  <w:style w:type="paragraph" w:styleId="Heading7">
    <w:name w:val="heading 7"/>
    <w:basedOn w:val="Normal"/>
    <w:next w:val="ParaNum"/>
    <w:qFormat/>
    <w:rsid w:val="00155BE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55BE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55BE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5B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5BE1"/>
  </w:style>
  <w:style w:type="paragraph" w:customStyle="1" w:styleId="ParaNum">
    <w:name w:val="ParaNum"/>
    <w:basedOn w:val="Normal"/>
    <w:link w:val="ParaNumChar"/>
    <w:rsid w:val="00155BE1"/>
    <w:pPr>
      <w:numPr>
        <w:numId w:val="2"/>
      </w:numPr>
      <w:tabs>
        <w:tab w:val="clear" w:pos="1080"/>
        <w:tab w:val="num" w:pos="1440"/>
      </w:tabs>
      <w:spacing w:after="120"/>
    </w:pPr>
  </w:style>
  <w:style w:type="paragraph" w:styleId="EndnoteText">
    <w:name w:val="endnote text"/>
    <w:basedOn w:val="Normal"/>
    <w:semiHidden/>
    <w:rsid w:val="00155BE1"/>
    <w:rPr>
      <w:sz w:val="20"/>
    </w:rPr>
  </w:style>
  <w:style w:type="character" w:styleId="EndnoteReference">
    <w:name w:val="endnote reference"/>
    <w:semiHidden/>
    <w:rsid w:val="00155BE1"/>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155BE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55BE1"/>
    <w:rPr>
      <w:rFonts w:ascii="Times New Roman" w:hAnsi="Times New Roman"/>
      <w:dstrike w:val="0"/>
      <w:color w:val="auto"/>
      <w:sz w:val="20"/>
      <w:vertAlign w:val="superscript"/>
    </w:rPr>
  </w:style>
  <w:style w:type="paragraph" w:styleId="TOC1">
    <w:name w:val="toc 1"/>
    <w:basedOn w:val="Normal"/>
    <w:next w:val="Normal"/>
    <w:semiHidden/>
    <w:rsid w:val="00155BE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5BE1"/>
    <w:pPr>
      <w:tabs>
        <w:tab w:val="left" w:pos="720"/>
        <w:tab w:val="right" w:leader="dot" w:pos="9360"/>
      </w:tabs>
      <w:suppressAutoHyphens/>
      <w:ind w:left="720" w:right="720" w:hanging="360"/>
    </w:pPr>
    <w:rPr>
      <w:noProof/>
    </w:rPr>
  </w:style>
  <w:style w:type="paragraph" w:styleId="TOC3">
    <w:name w:val="toc 3"/>
    <w:basedOn w:val="Normal"/>
    <w:next w:val="Normal"/>
    <w:semiHidden/>
    <w:rsid w:val="00155BE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5BE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5BE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5BE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5BE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5BE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5BE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5BE1"/>
    <w:pPr>
      <w:tabs>
        <w:tab w:val="right" w:pos="9360"/>
      </w:tabs>
      <w:suppressAutoHyphens/>
    </w:pPr>
  </w:style>
  <w:style w:type="character" w:customStyle="1" w:styleId="EquationCaption">
    <w:name w:val="_Equation Caption"/>
    <w:rsid w:val="00155BE1"/>
  </w:style>
  <w:style w:type="paragraph" w:styleId="Header">
    <w:name w:val="header"/>
    <w:basedOn w:val="Normal"/>
    <w:autoRedefine/>
    <w:rsid w:val="00155BE1"/>
    <w:pPr>
      <w:tabs>
        <w:tab w:val="center" w:pos="4680"/>
        <w:tab w:val="right" w:pos="9360"/>
      </w:tabs>
    </w:pPr>
    <w:rPr>
      <w:b/>
    </w:rPr>
  </w:style>
  <w:style w:type="paragraph" w:styleId="Footer">
    <w:name w:val="footer"/>
    <w:basedOn w:val="Normal"/>
    <w:link w:val="FooterChar"/>
    <w:uiPriority w:val="99"/>
    <w:rsid w:val="00155BE1"/>
    <w:pPr>
      <w:tabs>
        <w:tab w:val="center" w:pos="4320"/>
        <w:tab w:val="right" w:pos="8640"/>
      </w:tabs>
    </w:pPr>
  </w:style>
  <w:style w:type="character" w:styleId="PageNumber">
    <w:name w:val="page number"/>
    <w:basedOn w:val="DefaultParagraphFont"/>
    <w:rsid w:val="00155BE1"/>
  </w:style>
  <w:style w:type="paragraph" w:styleId="BlockText">
    <w:name w:val="Block Text"/>
    <w:basedOn w:val="Normal"/>
    <w:rsid w:val="00155BE1"/>
    <w:pPr>
      <w:spacing w:after="240"/>
      <w:ind w:left="1440" w:right="1440"/>
    </w:pPr>
  </w:style>
  <w:style w:type="paragraph" w:customStyle="1" w:styleId="Paratitle">
    <w:name w:val="Para title"/>
    <w:basedOn w:val="Normal"/>
    <w:rsid w:val="00155BE1"/>
    <w:pPr>
      <w:tabs>
        <w:tab w:val="center" w:pos="9270"/>
      </w:tabs>
      <w:spacing w:after="240"/>
    </w:pPr>
    <w:rPr>
      <w:spacing w:val="-2"/>
    </w:rPr>
  </w:style>
  <w:style w:type="paragraph" w:customStyle="1" w:styleId="Bullet">
    <w:name w:val="Bullet"/>
    <w:basedOn w:val="Normal"/>
    <w:rsid w:val="00155BE1"/>
    <w:pPr>
      <w:tabs>
        <w:tab w:val="left" w:pos="2160"/>
      </w:tabs>
      <w:spacing w:after="220"/>
      <w:ind w:left="2160" w:hanging="720"/>
    </w:pPr>
  </w:style>
  <w:style w:type="paragraph" w:customStyle="1" w:styleId="TableFormat">
    <w:name w:val="TableFormat"/>
    <w:basedOn w:val="Bullet"/>
    <w:rsid w:val="00155BE1"/>
    <w:pPr>
      <w:tabs>
        <w:tab w:val="clear" w:pos="2160"/>
        <w:tab w:val="left" w:pos="5040"/>
      </w:tabs>
      <w:ind w:left="5040" w:hanging="3600"/>
    </w:pPr>
  </w:style>
  <w:style w:type="paragraph" w:customStyle="1" w:styleId="TOCTitle">
    <w:name w:val="TOC Title"/>
    <w:basedOn w:val="Normal"/>
    <w:rsid w:val="00155BE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5BE1"/>
    <w:pPr>
      <w:jc w:val="center"/>
    </w:pPr>
    <w:rPr>
      <w:rFonts w:ascii="Times New Roman Bold" w:hAnsi="Times New Roman Bold"/>
      <w:b/>
      <w:bCs/>
      <w:caps/>
      <w:szCs w:val="22"/>
    </w:rPr>
  </w:style>
  <w:style w:type="character" w:styleId="Hyperlink">
    <w:name w:val="Hyperlink"/>
    <w:rsid w:val="00155BE1"/>
    <w:rPr>
      <w:color w:val="0000FF"/>
      <w:u w:val="single"/>
    </w:rPr>
  </w:style>
  <w:style w:type="character" w:customStyle="1" w:styleId="FooterChar">
    <w:name w:val="Footer Char"/>
    <w:link w:val="Footer"/>
    <w:uiPriority w:val="99"/>
    <w:rsid w:val="00155BE1"/>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