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F7295" w:rsidRPr="00017E8A" w:rsidP="007F7295" w14:paraId="6C6A1975" w14:textId="77777777">
      <w:pPr>
        <w:jc w:val="right"/>
        <w:rPr>
          <w:szCs w:val="22"/>
        </w:rPr>
      </w:pPr>
      <w:bookmarkStart w:id="0" w:name="_Hlk74665823"/>
    </w:p>
    <w:p w:rsidR="007F7295" w:rsidRPr="00017E8A" w:rsidP="007F7295" w14:paraId="3D5F7F5C" w14:textId="022CFFFD">
      <w:pPr>
        <w:jc w:val="right"/>
        <w:rPr>
          <w:b/>
          <w:szCs w:val="22"/>
        </w:rPr>
      </w:pPr>
      <w:r w:rsidRPr="00017E8A">
        <w:rPr>
          <w:b/>
          <w:szCs w:val="22"/>
        </w:rPr>
        <w:t>DA 21-</w:t>
      </w:r>
      <w:r w:rsidR="00DF38F3">
        <w:rPr>
          <w:b/>
          <w:szCs w:val="22"/>
        </w:rPr>
        <w:t>715</w:t>
      </w:r>
    </w:p>
    <w:p w:rsidR="007F7295" w:rsidRPr="00017E8A" w:rsidP="007F7295" w14:paraId="13A5CEF5" w14:textId="3298EE22">
      <w:pPr>
        <w:spacing w:before="60"/>
        <w:jc w:val="right"/>
        <w:rPr>
          <w:b/>
          <w:szCs w:val="22"/>
        </w:rPr>
      </w:pPr>
      <w:r w:rsidRPr="00017E8A">
        <w:rPr>
          <w:b/>
          <w:szCs w:val="22"/>
        </w:rPr>
        <w:t xml:space="preserve">Released:  </w:t>
      </w:r>
      <w:r w:rsidR="00DF38F3">
        <w:rPr>
          <w:b/>
          <w:szCs w:val="22"/>
        </w:rPr>
        <w:t>June 17, 2021</w:t>
      </w:r>
    </w:p>
    <w:p w:rsidR="007F7295" w:rsidRPr="00017E8A" w:rsidP="007F7295" w14:paraId="5B013B02" w14:textId="77777777">
      <w:pPr>
        <w:jc w:val="right"/>
        <w:rPr>
          <w:szCs w:val="22"/>
        </w:rPr>
      </w:pPr>
    </w:p>
    <w:p w:rsidR="007F7295" w:rsidRPr="00017E8A" w:rsidP="007F7295" w14:paraId="5941A9CC" w14:textId="5952B630">
      <w:pPr>
        <w:pStyle w:val="paragraph"/>
        <w:jc w:val="center"/>
        <w:textAlignment w:val="baseline"/>
        <w:rPr>
          <w:rStyle w:val="normaltextrun"/>
          <w:rFonts w:ascii="Times New Roman Bold" w:hAnsi="Times New Roman Bold"/>
          <w:b/>
          <w:caps/>
          <w:sz w:val="22"/>
          <w:szCs w:val="22"/>
        </w:rPr>
      </w:pPr>
      <w:r w:rsidRPr="00017E8A">
        <w:rPr>
          <w:rStyle w:val="normaltextrun"/>
          <w:rFonts w:ascii="Times New Roman Bold" w:hAnsi="Times New Roman Bold"/>
          <w:b/>
          <w:caps/>
          <w:sz w:val="22"/>
          <w:szCs w:val="22"/>
        </w:rPr>
        <w:t xml:space="preserve">Enforcement Bureau REQUESTS COMMENTS </w:t>
      </w:r>
      <w:r>
        <w:rPr>
          <w:rStyle w:val="normaltextrun"/>
          <w:rFonts w:ascii="Times New Roman Bold" w:hAnsi="Times New Roman Bold"/>
          <w:b/>
          <w:caps/>
          <w:sz w:val="22"/>
          <w:szCs w:val="22"/>
        </w:rPr>
        <w:t>ON SELECTION OF THE</w:t>
      </w:r>
      <w:r w:rsidRPr="00017E8A">
        <w:rPr>
          <w:rFonts w:ascii="Times New Roman Bold" w:hAnsi="Times New Roman Bold"/>
          <w:b/>
          <w:caps/>
          <w:sz w:val="22"/>
          <w:szCs w:val="22"/>
        </w:rPr>
        <w:t xml:space="preserve"> registered Traceback consortium </w:t>
      </w:r>
    </w:p>
    <w:p w:rsidR="007F7295" w:rsidRPr="00017E8A" w:rsidP="007F7295" w14:paraId="471BCA6E" w14:textId="77777777">
      <w:pPr>
        <w:pStyle w:val="paragraph"/>
        <w:jc w:val="center"/>
        <w:textAlignment w:val="baseline"/>
        <w:rPr>
          <w:rFonts w:ascii="Times New Roman Bold" w:hAnsi="Times New Roman Bold"/>
          <w:b/>
          <w:caps/>
          <w:sz w:val="22"/>
          <w:szCs w:val="22"/>
        </w:rPr>
      </w:pPr>
    </w:p>
    <w:p w:rsidR="007F7295" w:rsidP="007F7295" w14:paraId="1031B734" w14:textId="77777777">
      <w:pPr>
        <w:pStyle w:val="paragraph"/>
        <w:jc w:val="center"/>
        <w:textAlignment w:val="baseline"/>
        <w:rPr>
          <w:rFonts w:ascii="Times New Roman Bold" w:hAnsi="Times New Roman Bold"/>
          <w:b/>
          <w:sz w:val="22"/>
          <w:szCs w:val="22"/>
        </w:rPr>
      </w:pPr>
      <w:r>
        <w:rPr>
          <w:rFonts w:ascii="Times New Roman Bold" w:hAnsi="Times New Roman Bold"/>
          <w:b/>
          <w:sz w:val="22"/>
          <w:szCs w:val="22"/>
        </w:rPr>
        <w:t>EB Docket No. 20-22</w:t>
      </w:r>
    </w:p>
    <w:p w:rsidR="007F7295" w:rsidP="007F7295" w14:paraId="5E4E062D" w14:textId="77777777">
      <w:pPr>
        <w:pStyle w:val="paragraph"/>
        <w:jc w:val="center"/>
        <w:textAlignment w:val="baseline"/>
        <w:rPr>
          <w:rFonts w:ascii="Times New Roman Bold" w:hAnsi="Times New Roman Bold"/>
          <w:b/>
          <w:sz w:val="22"/>
          <w:szCs w:val="22"/>
        </w:rPr>
      </w:pPr>
    </w:p>
    <w:p w:rsidR="007F7295" w:rsidRPr="00017E8A" w:rsidP="007F7295" w14:paraId="724FE6B4" w14:textId="1F9602E5">
      <w:pPr>
        <w:pStyle w:val="paragraph"/>
        <w:textAlignment w:val="baseline"/>
        <w:rPr>
          <w:rFonts w:ascii="Times New Roman Bold" w:hAnsi="Times New Roman Bold"/>
          <w:b/>
          <w:caps/>
          <w:sz w:val="22"/>
          <w:szCs w:val="22"/>
        </w:rPr>
      </w:pPr>
      <w:r>
        <w:rPr>
          <w:rFonts w:ascii="Times New Roman Bold" w:hAnsi="Times New Roman Bold"/>
          <w:b/>
          <w:sz w:val="22"/>
          <w:szCs w:val="22"/>
        </w:rPr>
        <w:t xml:space="preserve">Comment Date:  </w:t>
      </w:r>
      <w:r w:rsidR="00DF38F3">
        <w:rPr>
          <w:rFonts w:ascii="Times New Roman Bold" w:hAnsi="Times New Roman Bold"/>
          <w:b/>
          <w:sz w:val="22"/>
          <w:szCs w:val="22"/>
        </w:rPr>
        <w:t>July 2, 2021</w:t>
      </w:r>
    </w:p>
    <w:p w:rsidR="007F7295" w:rsidRPr="00017E8A" w:rsidP="007F7295" w14:paraId="7E5278FA" w14:textId="77777777">
      <w:pPr>
        <w:pStyle w:val="paragraph"/>
        <w:jc w:val="center"/>
        <w:textAlignment w:val="baseline"/>
        <w:rPr>
          <w:rFonts w:ascii="Times New Roman Bold" w:hAnsi="Times New Roman Bold"/>
          <w:b/>
          <w:caps/>
          <w:sz w:val="22"/>
          <w:szCs w:val="22"/>
        </w:rPr>
      </w:pPr>
    </w:p>
    <w:p w:rsidR="007F7295" w:rsidP="007F7295" w14:paraId="1581929E" w14:textId="7976C304">
      <w:pPr>
        <w:spacing w:after="120"/>
        <w:rPr>
          <w:szCs w:val="22"/>
        </w:rPr>
      </w:pPr>
      <w:r>
        <w:rPr>
          <w:szCs w:val="22"/>
        </w:rPr>
        <w:t>T</w:t>
      </w:r>
      <w:r w:rsidRPr="00714D1D">
        <w:rPr>
          <w:szCs w:val="22"/>
        </w:rPr>
        <w:t xml:space="preserve">he Enforcement Bureau </w:t>
      </w:r>
      <w:r>
        <w:rPr>
          <w:szCs w:val="22"/>
        </w:rPr>
        <w:t>seeks comments on the selection of the industry-led registered consortium to conduct tracebacks of calls that use spoofed caller identification</w:t>
      </w:r>
      <w:r w:rsidRPr="00663298">
        <w:rPr>
          <w:szCs w:val="22"/>
        </w:rPr>
        <w:t>.</w:t>
      </w:r>
    </w:p>
    <w:p w:rsidR="007F7295" w:rsidRPr="006A2AB4" w:rsidP="007F7295" w14:paraId="26E269E7" w14:textId="5C245647">
      <w:pPr>
        <w:spacing w:after="120"/>
        <w:rPr>
          <w:rStyle w:val="normaltextrun"/>
          <w:szCs w:val="22"/>
        </w:rPr>
      </w:pPr>
      <w:r w:rsidRPr="00E16D88">
        <w:rPr>
          <w:szCs w:val="22"/>
        </w:rPr>
        <w:t>The Pallone-Thune Telephone Robocall Abuse Criminal Enforcement and Deterrence Act (TRACED Act) was signed into law on December 30, 2019.</w:t>
      </w:r>
      <w:r>
        <w:rPr>
          <w:rStyle w:val="FootnoteReference"/>
          <w:szCs w:val="22"/>
        </w:rPr>
        <w:footnoteReference w:id="3"/>
      </w:r>
      <w:r w:rsidRPr="00E16D88">
        <w:rPr>
          <w:szCs w:val="22"/>
        </w:rPr>
        <w:t xml:space="preserve">  Congress required the Federal Communications Commission (Commission) to “issue rules to establish a registration process</w:t>
      </w:r>
      <w:r w:rsidRPr="006A2AB4">
        <w:rPr>
          <w:szCs w:val="22"/>
        </w:rPr>
        <w:t xml:space="preserve"> for the registration of a single consortium that conducts private-led efforts to trace back the origin of suspected unlawful robocalls.”</w:t>
      </w:r>
      <w:r>
        <w:rPr>
          <w:rStyle w:val="FootnoteReference"/>
          <w:szCs w:val="22"/>
        </w:rPr>
        <w:footnoteReference w:id="4"/>
      </w:r>
      <w:r w:rsidRPr="006A2AB4">
        <w:rPr>
          <w:szCs w:val="22"/>
        </w:rPr>
        <w:t xml:space="preserve">  The Commission adopted rules to require any new consortium that seeks to be selected as the single registered consortium to file a Letter of Intent to conduct private-led traceback efforts.</w:t>
      </w:r>
      <w:r>
        <w:rPr>
          <w:rStyle w:val="FootnoteReference"/>
          <w:szCs w:val="22"/>
        </w:rPr>
        <w:footnoteReference w:id="5"/>
      </w:r>
      <w:r w:rsidRPr="006A2AB4">
        <w:rPr>
          <w:szCs w:val="22"/>
        </w:rPr>
        <w:t xml:space="preserve">  </w:t>
      </w:r>
      <w:r>
        <w:rPr>
          <w:szCs w:val="22"/>
        </w:rPr>
        <w:t>Additionally, t</w:t>
      </w:r>
      <w:r w:rsidRPr="006A2AB4">
        <w:rPr>
          <w:szCs w:val="22"/>
        </w:rPr>
        <w:t>he Commission set forth a set of principles for the Bureau to use in selecting the registered consortium to ensure that it satisfies the statutory requirements.</w:t>
      </w:r>
      <w:r>
        <w:rPr>
          <w:rStyle w:val="FootnoteReference"/>
          <w:szCs w:val="22"/>
        </w:rPr>
        <w:footnoteReference w:id="6"/>
      </w:r>
      <w:r w:rsidRPr="006A2AB4">
        <w:rPr>
          <w:szCs w:val="22"/>
        </w:rPr>
        <w:t xml:space="preserve">  On July 27, 2020, the Bureau designated USTelecom – the Broadband Association’s Industry Traceback Group </w:t>
      </w:r>
      <w:r>
        <w:rPr>
          <w:szCs w:val="22"/>
        </w:rPr>
        <w:t>(</w:t>
      </w:r>
      <w:r>
        <w:rPr>
          <w:szCs w:val="22"/>
        </w:rPr>
        <w:t>USTelecom</w:t>
      </w:r>
      <w:r>
        <w:rPr>
          <w:szCs w:val="22"/>
        </w:rPr>
        <w:t xml:space="preserve"> </w:t>
      </w:r>
      <w:r>
        <w:rPr>
          <w:szCs w:val="22"/>
        </w:rPr>
        <w:t>ITG</w:t>
      </w:r>
      <w:r>
        <w:rPr>
          <w:szCs w:val="22"/>
        </w:rPr>
        <w:t xml:space="preserve">) </w:t>
      </w:r>
      <w:r w:rsidRPr="006A2AB4">
        <w:rPr>
          <w:szCs w:val="22"/>
        </w:rPr>
        <w:t>as the registered consortium for coordinating industry-led efforts to trace back the origin of suspected unlawful robocalls.</w:t>
      </w:r>
      <w:r>
        <w:rPr>
          <w:rStyle w:val="FootnoteReference"/>
          <w:szCs w:val="22"/>
        </w:rPr>
        <w:footnoteReference w:id="7"/>
      </w:r>
      <w:r w:rsidRPr="006A2AB4">
        <w:rPr>
          <w:szCs w:val="22"/>
        </w:rPr>
        <w:t xml:space="preserve">  </w:t>
      </w:r>
    </w:p>
    <w:p w:rsidR="007F7295" w:rsidP="007F7295" w14:paraId="570586BA" w14:textId="2155EFEC">
      <w:pPr>
        <w:pStyle w:val="paragraph"/>
        <w:spacing w:after="120"/>
        <w:textAlignment w:val="baseline"/>
        <w:rPr>
          <w:snapToGrid w:val="0"/>
          <w:kern w:val="28"/>
          <w:sz w:val="22"/>
          <w:szCs w:val="22"/>
        </w:rPr>
      </w:pPr>
      <w:r w:rsidRPr="006A2AB4">
        <w:rPr>
          <w:sz w:val="22"/>
          <w:szCs w:val="22"/>
        </w:rPr>
        <w:t>The TRACED Act requires that the Commission consider new interested consortia on an annual basis.</w:t>
      </w:r>
      <w:r>
        <w:rPr>
          <w:rStyle w:val="FootnoteReference"/>
          <w:szCs w:val="22"/>
        </w:rPr>
        <w:footnoteReference w:id="8"/>
      </w:r>
      <w:r w:rsidRPr="006A2AB4">
        <w:rPr>
          <w:sz w:val="22"/>
          <w:szCs w:val="22"/>
        </w:rPr>
        <w:t xml:space="preserve">  </w:t>
      </w:r>
      <w:r>
        <w:rPr>
          <w:sz w:val="22"/>
          <w:szCs w:val="22"/>
        </w:rPr>
        <w:t xml:space="preserve">On April 27, 2021 </w:t>
      </w:r>
      <w:r>
        <w:rPr>
          <w:rStyle w:val="normaltextrun"/>
          <w:sz w:val="22"/>
          <w:szCs w:val="22"/>
        </w:rPr>
        <w:t>t</w:t>
      </w:r>
      <w:r w:rsidRPr="006A2AB4">
        <w:rPr>
          <w:rStyle w:val="normaltextrun"/>
          <w:sz w:val="22"/>
          <w:szCs w:val="22"/>
        </w:rPr>
        <w:t>he Bureau request</w:t>
      </w:r>
      <w:r>
        <w:rPr>
          <w:rStyle w:val="normaltextrun"/>
          <w:sz w:val="22"/>
          <w:szCs w:val="22"/>
        </w:rPr>
        <w:t>ed</w:t>
      </w:r>
      <w:r w:rsidRPr="006A2AB4">
        <w:rPr>
          <w:rStyle w:val="normaltextrun"/>
          <w:sz w:val="22"/>
          <w:szCs w:val="22"/>
        </w:rPr>
        <w:t xml:space="preserve"> interested consortia, other than the incumbent registered consortium</w:t>
      </w:r>
      <w:r>
        <w:rPr>
          <w:rStyle w:val="normaltextrun"/>
          <w:sz w:val="22"/>
          <w:szCs w:val="22"/>
        </w:rPr>
        <w:t>,</w:t>
      </w:r>
      <w:r>
        <w:rPr>
          <w:rStyle w:val="FootnoteReference"/>
          <w:szCs w:val="22"/>
        </w:rPr>
        <w:footnoteReference w:id="9"/>
      </w:r>
      <w:r w:rsidRPr="006A2AB4">
        <w:rPr>
          <w:rStyle w:val="normaltextrun"/>
          <w:sz w:val="22"/>
          <w:szCs w:val="22"/>
        </w:rPr>
        <w:t xml:space="preserve"> to provide Letters of Intent in accordance with the Commission’s rules and the </w:t>
      </w:r>
      <w:r w:rsidRPr="006A2AB4">
        <w:rPr>
          <w:rStyle w:val="normaltextrun"/>
          <w:i/>
          <w:iCs/>
          <w:sz w:val="22"/>
          <w:szCs w:val="22"/>
        </w:rPr>
        <w:t xml:space="preserve">Consortium </w:t>
      </w:r>
      <w:r w:rsidRPr="006A2AB4">
        <w:rPr>
          <w:rStyle w:val="normaltextrun"/>
          <w:i/>
          <w:iCs/>
          <w:sz w:val="22"/>
          <w:szCs w:val="22"/>
        </w:rPr>
        <w:t xml:space="preserve">Registration </w:t>
      </w:r>
      <w:r w:rsidRPr="006A2AB4">
        <w:rPr>
          <w:rStyle w:val="normaltextrun"/>
          <w:i/>
          <w:sz w:val="22"/>
          <w:szCs w:val="22"/>
        </w:rPr>
        <w:t>Order</w:t>
      </w:r>
      <w:r w:rsidRPr="006A2AB4">
        <w:rPr>
          <w:rStyle w:val="normaltextrun"/>
          <w:sz w:val="22"/>
          <w:szCs w:val="22"/>
        </w:rPr>
        <w:t>.</w:t>
      </w:r>
      <w:r>
        <w:rPr>
          <w:rStyle w:val="FootnoteReference"/>
          <w:szCs w:val="22"/>
        </w:rPr>
        <w:footnoteReference w:id="10"/>
      </w:r>
      <w:r w:rsidRPr="006A2AB4">
        <w:rPr>
          <w:sz w:val="22"/>
          <w:szCs w:val="22"/>
        </w:rPr>
        <w:t xml:space="preserve">  </w:t>
      </w:r>
      <w:r w:rsidRPr="00D956D1">
        <w:rPr>
          <w:sz w:val="22"/>
          <w:szCs w:val="22"/>
        </w:rPr>
        <w:t xml:space="preserve">The Letter of Intent must demonstrate that </w:t>
      </w:r>
      <w:r w:rsidR="0042650E">
        <w:rPr>
          <w:sz w:val="22"/>
          <w:szCs w:val="22"/>
        </w:rPr>
        <w:t>the filing entity</w:t>
      </w:r>
      <w:r w:rsidRPr="00D956D1">
        <w:rPr>
          <w:sz w:val="22"/>
          <w:szCs w:val="22"/>
        </w:rPr>
        <w:t xml:space="preserve"> satisfies the statutory requirements necessary to </w:t>
      </w:r>
      <w:r w:rsidRPr="00380575">
        <w:rPr>
          <w:sz w:val="22"/>
          <w:szCs w:val="22"/>
        </w:rPr>
        <w:t>serve as the single registered consortium.</w:t>
      </w:r>
      <w:r>
        <w:rPr>
          <w:sz w:val="22"/>
          <w:szCs w:val="22"/>
        </w:rPr>
        <w:t xml:space="preserve">  On </w:t>
      </w:r>
      <w:r w:rsidR="00D50368">
        <w:rPr>
          <w:sz w:val="22"/>
          <w:szCs w:val="22"/>
        </w:rPr>
        <w:t>May 27, 2021</w:t>
      </w:r>
      <w:r w:rsidR="00F603A6">
        <w:rPr>
          <w:sz w:val="22"/>
          <w:szCs w:val="22"/>
        </w:rPr>
        <w:t>,</w:t>
      </w:r>
      <w:r>
        <w:rPr>
          <w:sz w:val="22"/>
          <w:szCs w:val="22"/>
        </w:rPr>
        <w:t xml:space="preserve"> </w:t>
      </w:r>
      <w:r w:rsidRPr="00776C7E">
        <w:rPr>
          <w:sz w:val="22"/>
          <w:szCs w:val="22"/>
        </w:rPr>
        <w:t>ZipDX</w:t>
      </w:r>
      <w:r w:rsidR="00E76819">
        <w:rPr>
          <w:sz w:val="22"/>
          <w:szCs w:val="22"/>
        </w:rPr>
        <w:t xml:space="preserve"> LLC</w:t>
      </w:r>
      <w:r>
        <w:rPr>
          <w:sz w:val="22"/>
          <w:szCs w:val="22"/>
        </w:rPr>
        <w:t xml:space="preserve"> </w:t>
      </w:r>
      <w:r w:rsidR="00D50368">
        <w:rPr>
          <w:sz w:val="22"/>
          <w:szCs w:val="22"/>
        </w:rPr>
        <w:t>s</w:t>
      </w:r>
      <w:r w:rsidRPr="00776C7E">
        <w:rPr>
          <w:sz w:val="22"/>
          <w:szCs w:val="22"/>
        </w:rPr>
        <w:t>ubmitted a letter of intent to be designated as the registered consortium.</w:t>
      </w:r>
      <w:r w:rsidRPr="00E16D88">
        <w:rPr>
          <w:snapToGrid w:val="0"/>
          <w:kern w:val="28"/>
          <w:sz w:val="22"/>
          <w:szCs w:val="22"/>
        </w:rPr>
        <w:t xml:space="preserve"> </w:t>
      </w:r>
      <w:r>
        <w:rPr>
          <w:snapToGrid w:val="0"/>
          <w:kern w:val="28"/>
          <w:sz w:val="22"/>
          <w:szCs w:val="22"/>
        </w:rPr>
        <w:t xml:space="preserve"> That submission is available </w:t>
      </w:r>
      <w:r w:rsidR="00D50368">
        <w:rPr>
          <w:snapToGrid w:val="0"/>
          <w:kern w:val="28"/>
          <w:sz w:val="22"/>
          <w:szCs w:val="22"/>
        </w:rPr>
        <w:t xml:space="preserve">in </w:t>
      </w:r>
      <w:r w:rsidRPr="00D50368" w:rsidR="00D50368">
        <w:rPr>
          <w:snapToGrid w:val="0"/>
          <w:kern w:val="28"/>
          <w:sz w:val="22"/>
          <w:szCs w:val="22"/>
        </w:rPr>
        <w:t xml:space="preserve">EB Docket No. 20-22. </w:t>
      </w:r>
    </w:p>
    <w:p w:rsidR="007E5165" w:rsidP="007F7295" w14:paraId="0ACA9572" w14:textId="77777777">
      <w:pPr>
        <w:pStyle w:val="paragraph"/>
        <w:spacing w:after="120"/>
        <w:textAlignment w:val="baseline"/>
        <w:rPr>
          <w:sz w:val="22"/>
          <w:szCs w:val="22"/>
        </w:rPr>
      </w:pPr>
      <w:r>
        <w:rPr>
          <w:snapToGrid w:val="0"/>
          <w:kern w:val="28"/>
          <w:sz w:val="22"/>
          <w:szCs w:val="22"/>
        </w:rPr>
        <w:t xml:space="preserve">We invite interested parties to comment on </w:t>
      </w:r>
      <w:r>
        <w:rPr>
          <w:snapToGrid w:val="0"/>
          <w:kern w:val="28"/>
          <w:sz w:val="22"/>
          <w:szCs w:val="22"/>
        </w:rPr>
        <w:t>ZipDXs</w:t>
      </w:r>
      <w:r>
        <w:rPr>
          <w:snapToGrid w:val="0"/>
          <w:kern w:val="28"/>
          <w:sz w:val="22"/>
          <w:szCs w:val="22"/>
        </w:rPr>
        <w:t xml:space="preserve"> submission, as well as on the continuation of </w:t>
      </w:r>
      <w:r>
        <w:rPr>
          <w:snapToGrid w:val="0"/>
          <w:kern w:val="28"/>
          <w:sz w:val="22"/>
          <w:szCs w:val="22"/>
        </w:rPr>
        <w:t>USTelecom</w:t>
      </w:r>
      <w:r>
        <w:rPr>
          <w:snapToGrid w:val="0"/>
          <w:kern w:val="28"/>
          <w:sz w:val="22"/>
          <w:szCs w:val="22"/>
        </w:rPr>
        <w:t xml:space="preserve"> </w:t>
      </w:r>
      <w:r>
        <w:rPr>
          <w:snapToGrid w:val="0"/>
          <w:kern w:val="28"/>
          <w:sz w:val="22"/>
          <w:szCs w:val="22"/>
        </w:rPr>
        <w:t>ITG</w:t>
      </w:r>
      <w:r>
        <w:rPr>
          <w:snapToGrid w:val="0"/>
          <w:kern w:val="28"/>
          <w:sz w:val="22"/>
          <w:szCs w:val="22"/>
        </w:rPr>
        <w:t xml:space="preserve"> as the registered traceback consortium.  </w:t>
      </w:r>
      <w:r w:rsidRPr="001D5640">
        <w:rPr>
          <w:snapToGrid w:val="0"/>
          <w:kern w:val="28"/>
          <w:sz w:val="22"/>
          <w:szCs w:val="22"/>
        </w:rPr>
        <w:t>The Bureau will select the registered consortium by August 25, 2021.</w:t>
      </w:r>
      <w:r>
        <w:rPr>
          <w:snapToGrid w:val="0"/>
          <w:kern w:val="28"/>
          <w:sz w:val="22"/>
          <w:szCs w:val="22"/>
          <w:vertAlign w:val="superscript"/>
        </w:rPr>
        <w:footnoteReference w:id="11"/>
      </w:r>
      <w:r w:rsidRPr="001D5640">
        <w:rPr>
          <w:snapToGrid w:val="0"/>
          <w:kern w:val="28"/>
          <w:sz w:val="22"/>
          <w:szCs w:val="22"/>
        </w:rPr>
        <w:t xml:space="preserve"> </w:t>
      </w:r>
      <w:r>
        <w:rPr>
          <w:snapToGrid w:val="0"/>
          <w:kern w:val="28"/>
          <w:sz w:val="22"/>
          <w:szCs w:val="22"/>
        </w:rPr>
        <w:t xml:space="preserve"> </w:t>
      </w:r>
    </w:p>
    <w:p w:rsidR="007F7295" w:rsidRPr="00017E8A" w:rsidP="007F7295" w14:paraId="7A840098" w14:textId="4897527E">
      <w:pPr>
        <w:pStyle w:val="paragraph"/>
        <w:spacing w:after="120"/>
        <w:textAlignment w:val="baseline"/>
        <w:rPr>
          <w:sz w:val="22"/>
          <w:szCs w:val="22"/>
        </w:rPr>
      </w:pPr>
      <w:r w:rsidRPr="00017E8A">
        <w:rPr>
          <w:b/>
          <w:bCs/>
          <w:sz w:val="22"/>
          <w:szCs w:val="22"/>
        </w:rPr>
        <w:t>Deadline to Submit Comments</w:t>
      </w:r>
      <w:r w:rsidRPr="00017E8A">
        <w:rPr>
          <w:sz w:val="22"/>
          <w:szCs w:val="22"/>
        </w:rPr>
        <w:t xml:space="preserve">: </w:t>
      </w:r>
      <w:r w:rsidR="00DF38F3">
        <w:rPr>
          <w:sz w:val="22"/>
          <w:szCs w:val="22"/>
        </w:rPr>
        <w:t>July 2, 2021.</w:t>
      </w:r>
    </w:p>
    <w:p w:rsidR="007F7295" w:rsidRPr="00017E8A" w:rsidP="007F7295" w14:paraId="69B529B9" w14:textId="41C29563">
      <w:pPr>
        <w:pStyle w:val="paragraph"/>
        <w:textAlignment w:val="baseline"/>
        <w:rPr>
          <w:sz w:val="22"/>
          <w:szCs w:val="22"/>
        </w:rPr>
      </w:pPr>
      <w:r w:rsidRPr="0063744D">
        <w:rPr>
          <w:sz w:val="22"/>
          <w:szCs w:val="22"/>
        </w:rPr>
        <w:t>Pursuant to sections 1.415 and 1.419 of the Commission’s rules,</w:t>
      </w:r>
      <w:r>
        <w:rPr>
          <w:rStyle w:val="FootnoteReference"/>
          <w:szCs w:val="22"/>
        </w:rPr>
        <w:footnoteReference w:id="12"/>
      </w:r>
      <w:r w:rsidRPr="0063744D">
        <w:rPr>
          <w:sz w:val="22"/>
          <w:szCs w:val="22"/>
        </w:rPr>
        <w:t xml:space="preserve"> interested parties may file comments on or before the date indicated on the first page of this document.  Comments may be filed using the Commission’s Electronic Comment Filing System (ECFS)</w:t>
      </w:r>
      <w:r w:rsidRPr="00017E8A">
        <w:rPr>
          <w:sz w:val="22"/>
          <w:szCs w:val="22"/>
        </w:rPr>
        <w:t>.</w:t>
      </w:r>
      <w:r>
        <w:rPr>
          <w:sz w:val="22"/>
          <w:szCs w:val="22"/>
          <w:vertAlign w:val="superscript"/>
        </w:rPr>
        <w:footnoteReference w:id="13"/>
      </w:r>
      <w:r w:rsidRPr="00017E8A">
        <w:rPr>
          <w:sz w:val="22"/>
          <w:szCs w:val="22"/>
        </w:rPr>
        <w:t xml:space="preserve">  </w:t>
      </w:r>
    </w:p>
    <w:p w:rsidR="007F7295" w:rsidRPr="00A20BEF" w:rsidP="00D50368" w14:paraId="660E99B0" w14:textId="77777777"/>
    <w:p w:rsidR="007F7295" w:rsidRPr="00017E8A" w:rsidP="007F7295" w14:paraId="592ADBF6" w14:textId="77777777">
      <w:pPr>
        <w:pStyle w:val="paragraph"/>
        <w:numPr>
          <w:ilvl w:val="0"/>
          <w:numId w:val="7"/>
        </w:numPr>
        <w:textAlignment w:val="baseline"/>
        <w:rPr>
          <w:sz w:val="22"/>
          <w:szCs w:val="22"/>
        </w:rPr>
      </w:pPr>
      <w:r w:rsidRPr="00017E8A">
        <w:rPr>
          <w:sz w:val="22"/>
          <w:szCs w:val="22"/>
        </w:rPr>
        <w:t xml:space="preserve">Electronic Filers:  Comments may be filed electronically using the Internet by accessing the ECFS:  </w:t>
      </w:r>
      <w:hyperlink r:id="rId5" w:history="1">
        <w:r w:rsidRPr="00017E8A">
          <w:rPr>
            <w:rStyle w:val="Hyperlink"/>
            <w:sz w:val="22"/>
            <w:szCs w:val="22"/>
          </w:rPr>
          <w:t>http://apps.fcc.gov/ecfs/</w:t>
        </w:r>
      </w:hyperlink>
      <w:r w:rsidRPr="00017E8A">
        <w:rPr>
          <w:sz w:val="22"/>
          <w:szCs w:val="22"/>
        </w:rPr>
        <w:t xml:space="preserve">.  </w:t>
      </w:r>
    </w:p>
    <w:p w:rsidR="007F7295" w:rsidRPr="00017E8A" w:rsidP="007F7295" w14:paraId="5C456334" w14:textId="5EA6ED1B">
      <w:pPr>
        <w:pStyle w:val="paragraph"/>
        <w:numPr>
          <w:ilvl w:val="0"/>
          <w:numId w:val="7"/>
        </w:numPr>
        <w:textAlignment w:val="baseline"/>
        <w:rPr>
          <w:sz w:val="22"/>
          <w:szCs w:val="22"/>
        </w:rPr>
      </w:pPr>
      <w:r w:rsidRPr="00017E8A">
        <w:rPr>
          <w:sz w:val="22"/>
          <w:szCs w:val="22"/>
        </w:rPr>
        <w:t xml:space="preserve">Paper Filers:  Parties </w:t>
      </w:r>
      <w:r w:rsidR="0038593E">
        <w:rPr>
          <w:sz w:val="22"/>
          <w:szCs w:val="22"/>
        </w:rPr>
        <w:t>who</w:t>
      </w:r>
      <w:r w:rsidRPr="00017E8A" w:rsidR="0038593E">
        <w:rPr>
          <w:sz w:val="22"/>
          <w:szCs w:val="22"/>
        </w:rPr>
        <w:t xml:space="preserve"> </w:t>
      </w:r>
      <w:r w:rsidRPr="00017E8A">
        <w:rPr>
          <w:sz w:val="22"/>
          <w:szCs w:val="22"/>
        </w:rPr>
        <w:t xml:space="preserve">choose to file by paper must file an original and one copy of each filing. </w:t>
      </w:r>
    </w:p>
    <w:p w:rsidR="007F7295" w:rsidRPr="00017E8A" w:rsidP="007F7295" w14:paraId="6CFB9EE0" w14:textId="77777777">
      <w:pPr>
        <w:pStyle w:val="paragraph"/>
        <w:numPr>
          <w:ilvl w:val="0"/>
          <w:numId w:val="7"/>
        </w:numPr>
        <w:textAlignment w:val="baseline"/>
        <w:rPr>
          <w:sz w:val="22"/>
          <w:szCs w:val="22"/>
        </w:rPr>
      </w:pPr>
      <w:r w:rsidRPr="00017E8A">
        <w:rPr>
          <w:sz w:val="22"/>
          <w:szCs w:val="22"/>
        </w:rPr>
        <w:t>Filings can be sent by commercial overnight courier, or by first-class or overnight U.S. Postal Service mail.  All filings must be addressed to the Commission’s Secretary, Office of the Secretary, Federal Communications Commission.</w:t>
      </w:r>
    </w:p>
    <w:p w:rsidR="007F7295" w:rsidRPr="009F4582" w:rsidP="007F7295" w14:paraId="0C0AE12D" w14:textId="77777777">
      <w:pPr>
        <w:pStyle w:val="paragraph"/>
        <w:numPr>
          <w:ilvl w:val="0"/>
          <w:numId w:val="7"/>
        </w:numPr>
        <w:textAlignment w:val="baseline"/>
        <w:rPr>
          <w:sz w:val="22"/>
          <w:szCs w:val="22"/>
        </w:rPr>
      </w:pPr>
      <w:r w:rsidRPr="00017E8A">
        <w:rPr>
          <w:sz w:val="22"/>
          <w:szCs w:val="22"/>
        </w:rPr>
        <w:t xml:space="preserve">Commercial overnight mail (other than U.S. Postal Service Express Mail and Priority Mail) must be sent to </w:t>
      </w:r>
      <w:r w:rsidRPr="0063744D">
        <w:rPr>
          <w:sz w:val="22"/>
          <w:szCs w:val="22"/>
        </w:rPr>
        <w:t xml:space="preserve">9050 Junction Drive, Annapolis Junction, MD 20701, U.S. </w:t>
      </w:r>
    </w:p>
    <w:p w:rsidR="007F7295" w:rsidRPr="0063744D" w:rsidP="007F7295" w14:paraId="186D411C" w14:textId="44E31235">
      <w:pPr>
        <w:pStyle w:val="paragraph"/>
        <w:numPr>
          <w:ilvl w:val="0"/>
          <w:numId w:val="7"/>
        </w:numPr>
        <w:textAlignment w:val="baseline"/>
        <w:rPr>
          <w:sz w:val="22"/>
          <w:szCs w:val="22"/>
        </w:rPr>
      </w:pPr>
      <w:r w:rsidRPr="009F4582">
        <w:rPr>
          <w:sz w:val="22"/>
          <w:szCs w:val="22"/>
        </w:rPr>
        <w:t>Postal Service first-class, Express, and Priority mail must be addressed to</w:t>
      </w:r>
      <w:r w:rsidRPr="0063744D">
        <w:t xml:space="preserve"> </w:t>
      </w:r>
      <w:r w:rsidRPr="0063744D">
        <w:rPr>
          <w:sz w:val="22"/>
          <w:szCs w:val="22"/>
        </w:rPr>
        <w:t>45 L St</w:t>
      </w:r>
      <w:r w:rsidRPr="0063744D" w:rsidR="007733CD">
        <w:rPr>
          <w:sz w:val="22"/>
          <w:szCs w:val="22"/>
        </w:rPr>
        <w:t>reet</w:t>
      </w:r>
      <w:r w:rsidRPr="0063744D">
        <w:rPr>
          <w:sz w:val="22"/>
          <w:szCs w:val="22"/>
        </w:rPr>
        <w:t>, NE, Washington, DC 20554.</w:t>
      </w:r>
    </w:p>
    <w:p w:rsidR="007E5165" w:rsidP="00D50368" w14:paraId="5184B7E0" w14:textId="77777777">
      <w:pPr>
        <w:pStyle w:val="paragraph"/>
        <w:numPr>
          <w:ilvl w:val="0"/>
          <w:numId w:val="7"/>
        </w:numPr>
        <w:textAlignment w:val="baseline"/>
        <w:rPr>
          <w:sz w:val="22"/>
          <w:szCs w:val="22"/>
        </w:rPr>
      </w:pPr>
      <w:r w:rsidRPr="00D50368">
        <w:rPr>
          <w:sz w:val="22"/>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 w:val="22"/>
          <w:szCs w:val="22"/>
          <w:vertAlign w:val="superscript"/>
        </w:rPr>
        <w:footnoteReference w:id="14"/>
      </w:r>
      <w:r w:rsidRPr="00A95DB3">
        <w:rPr>
          <w:sz w:val="22"/>
          <w:szCs w:val="22"/>
        </w:rPr>
        <w:t xml:space="preserve"> </w:t>
      </w:r>
      <w:r w:rsidRPr="00D50368">
        <w:rPr>
          <w:sz w:val="22"/>
          <w:szCs w:val="22"/>
        </w:rPr>
        <w:t xml:space="preserve"> </w:t>
      </w:r>
    </w:p>
    <w:p w:rsidR="007E5165" w:rsidP="007E5165" w14:paraId="7ED79287" w14:textId="77777777">
      <w:pPr>
        <w:pStyle w:val="paragraph"/>
        <w:ind w:left="360"/>
        <w:textAlignment w:val="baseline"/>
        <w:rPr>
          <w:sz w:val="22"/>
          <w:szCs w:val="22"/>
        </w:rPr>
      </w:pPr>
    </w:p>
    <w:p w:rsidR="0038593E" w:rsidRPr="007E5165" w:rsidP="007E5165" w14:paraId="7526C104" w14:textId="6D15F7FD">
      <w:pPr>
        <w:pStyle w:val="paragraph"/>
        <w:ind w:left="360"/>
        <w:textAlignment w:val="baseline"/>
        <w:rPr>
          <w:sz w:val="22"/>
          <w:szCs w:val="22"/>
        </w:rPr>
      </w:pPr>
      <w:r w:rsidRPr="007E5165">
        <w:rPr>
          <w:sz w:val="22"/>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38593E" w:rsidRPr="00A20BEF" w:rsidP="00D50368" w14:paraId="1712D7D1" w14:textId="77777777"/>
    <w:p w:rsidR="007F7295" w:rsidRPr="007F7295" w:rsidP="00D50368" w14:paraId="529A4F0A" w14:textId="127DAAAD">
      <w:pPr>
        <w:pStyle w:val="paragraph"/>
        <w:spacing w:after="120"/>
        <w:textAlignment w:val="baseline"/>
      </w:pPr>
      <w:r w:rsidRPr="00A971AA">
        <w:rPr>
          <w:b/>
          <w:bCs/>
          <w:sz w:val="22"/>
          <w:szCs w:val="22"/>
        </w:rPr>
        <w:t>Additional Information</w:t>
      </w:r>
      <w:r w:rsidRPr="00A971AA">
        <w:rPr>
          <w:sz w:val="22"/>
          <w:szCs w:val="22"/>
        </w:rPr>
        <w:t xml:space="preserve">.  For further information, contact Kristi Thompson, Chief, Telecommunications Consumers Division, Enforcement Bureau, at 202-418-1318 or </w:t>
      </w:r>
      <w:hyperlink r:id="rId6" w:history="1">
        <w:r w:rsidRPr="00A971AA">
          <w:rPr>
            <w:rStyle w:val="Hyperlink"/>
            <w:sz w:val="22"/>
            <w:szCs w:val="22"/>
          </w:rPr>
          <w:t>kristi.thompson@fcc.gov</w:t>
        </w:r>
      </w:hyperlink>
      <w:bookmarkEnd w:id="0"/>
      <w:r w:rsidRPr="00D50368" w:rsidR="00A06323">
        <w:t>.</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57" w14:paraId="3474BE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214257" w14:paraId="7DB63F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57" w14:paraId="0306E183" w14:textId="77777777">
    <w:pPr>
      <w:pStyle w:val="Footer"/>
      <w:jc w:val="center"/>
    </w:pPr>
    <w:r>
      <w:fldChar w:fldCharType="begin"/>
    </w:r>
    <w:r>
      <w:instrText xml:space="preserve"> PAGE   \* MERGEFORMAT </w:instrText>
    </w:r>
    <w:r>
      <w:fldChar w:fldCharType="separate"/>
    </w:r>
    <w:r w:rsidR="0042650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57" w14:paraId="55743D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EEF" w14:paraId="6B335D42" w14:textId="77777777">
      <w:r>
        <w:separator/>
      </w:r>
    </w:p>
  </w:footnote>
  <w:footnote w:type="continuationSeparator" w:id="1">
    <w:p w:rsidR="007A4EEF" w14:paraId="4D8DC542" w14:textId="77777777">
      <w:pPr>
        <w:rPr>
          <w:sz w:val="20"/>
        </w:rPr>
      </w:pPr>
      <w:r>
        <w:rPr>
          <w:sz w:val="20"/>
        </w:rPr>
        <w:t xml:space="preserve">(Continued from previous page)  </w:t>
      </w:r>
      <w:r>
        <w:rPr>
          <w:sz w:val="20"/>
        </w:rPr>
        <w:separator/>
      </w:r>
    </w:p>
  </w:footnote>
  <w:footnote w:type="continuationNotice" w:id="2">
    <w:p w:rsidR="007A4EEF" w14:paraId="5B6BA309" w14:textId="77777777">
      <w:pPr>
        <w:jc w:val="right"/>
        <w:rPr>
          <w:sz w:val="20"/>
        </w:rPr>
      </w:pPr>
      <w:r>
        <w:rPr>
          <w:sz w:val="20"/>
        </w:rPr>
        <w:t>(continued….)</w:t>
      </w:r>
    </w:p>
  </w:footnote>
  <w:footnote w:id="3">
    <w:p w:rsidR="007F7295" w:rsidP="007F7295" w14:paraId="10B50785" w14:textId="77777777">
      <w:pPr>
        <w:pStyle w:val="FootnoteText"/>
      </w:pPr>
      <w:r>
        <w:rPr>
          <w:rStyle w:val="FootnoteReference"/>
        </w:rPr>
        <w:footnoteRef/>
      </w:r>
      <w:r>
        <w:t xml:space="preserve"> Pallone-Thune Telephone Robocall Abuse Criminal Enforcement and Deterrence Act, Pub. L. No. 116-105, 133 Stat. 3274 (2019) (TRACED Act).</w:t>
      </w:r>
    </w:p>
  </w:footnote>
  <w:footnote w:id="4">
    <w:p w:rsidR="007F7295" w:rsidP="007F7295" w14:paraId="0BEE308B" w14:textId="77777777">
      <w:pPr>
        <w:pStyle w:val="FootnoteText"/>
      </w:pPr>
      <w:r>
        <w:rPr>
          <w:rStyle w:val="FootnoteReference"/>
        </w:rPr>
        <w:footnoteRef/>
      </w:r>
      <w:r>
        <w:t xml:space="preserve"> </w:t>
      </w:r>
      <w:r w:rsidRPr="006A6436">
        <w:t>TRACED Act § 13(d)(1)</w:t>
      </w:r>
      <w:r>
        <w:t>.</w:t>
      </w:r>
    </w:p>
  </w:footnote>
  <w:footnote w:id="5">
    <w:p w:rsidR="00B61CC9" w14:paraId="62B1C1AA" w14:textId="67F4B274">
      <w:pPr>
        <w:pStyle w:val="FootnoteText"/>
      </w:pPr>
      <w:r>
        <w:rPr>
          <w:rStyle w:val="FootnoteReference"/>
        </w:rPr>
        <w:footnoteRef/>
      </w:r>
      <w:r>
        <w:t xml:space="preserve"> </w:t>
      </w:r>
      <w:r w:rsidRPr="00637CA5" w:rsidR="00993D16">
        <w:rPr>
          <w:i/>
          <w:iCs/>
        </w:rPr>
        <w:t xml:space="preserve">Implementing Section 13(d) of the Pallone-Thune Robocall Abuse Criminal Enforcement and Deterrence Act, </w:t>
      </w:r>
      <w:r w:rsidRPr="00B61CC9" w:rsidR="00993D16">
        <w:t>Report and Order and Further Notice of Proposed Rulemaking</w:t>
      </w:r>
      <w:r w:rsidRPr="005A2586" w:rsidR="00993D16">
        <w:t xml:space="preserve">, 35 FCC </w:t>
      </w:r>
      <w:r w:rsidRPr="005A2586" w:rsidR="00993D16">
        <w:t>Rcd</w:t>
      </w:r>
      <w:r w:rsidRPr="005A2586" w:rsidR="00993D16">
        <w:t xml:space="preserve"> 3113, 3115, para. </w:t>
      </w:r>
      <w:r w:rsidR="00993D16">
        <w:t>1</w:t>
      </w:r>
      <w:r w:rsidR="007733CD">
        <w:t>0</w:t>
      </w:r>
      <w:r w:rsidRPr="005A2586" w:rsidR="00993D16">
        <w:t xml:space="preserve"> (2020) (</w:t>
      </w:r>
      <w:r w:rsidRPr="00D50368" w:rsidR="00993D16">
        <w:rPr>
          <w:i/>
          <w:iCs/>
        </w:rPr>
        <w:t>Consortium Registration Order</w:t>
      </w:r>
      <w:r w:rsidRPr="005A2586" w:rsidR="00993D16">
        <w:t>)</w:t>
      </w:r>
      <w:r w:rsidR="00993D16">
        <w:t>.</w:t>
      </w:r>
    </w:p>
  </w:footnote>
  <w:footnote w:id="6">
    <w:p w:rsidR="007F7295" w:rsidRPr="00CC5AFC" w:rsidP="007F7295" w14:paraId="4BC8F2F4" w14:textId="53E5C925">
      <w:pPr>
        <w:pStyle w:val="FootnoteText"/>
      </w:pPr>
      <w:r>
        <w:rPr>
          <w:rStyle w:val="FootnoteReference"/>
        </w:rPr>
        <w:footnoteRef/>
      </w:r>
      <w:r>
        <w:t xml:space="preserve"> </w:t>
      </w:r>
      <w:r w:rsidRPr="00D50368">
        <w:t xml:space="preserve">TRACED Act § 13(d)(1)(A)-(D) (requiring neutrality; competent management; written best practices; a concerted focus on fraudulent, abusive, or unlawful traffic; and advance notice to the Commission of an intent to conduct traceback efforts); </w:t>
      </w:r>
      <w:r w:rsidRPr="005A2586">
        <w:rPr>
          <w:i/>
          <w:iCs/>
        </w:rPr>
        <w:t>Consortium Registration Order</w:t>
      </w:r>
      <w:r w:rsidRPr="00D50368">
        <w:t xml:space="preserve">, 35 FCC </w:t>
      </w:r>
      <w:r w:rsidRPr="00D50368">
        <w:t>Rcd</w:t>
      </w:r>
      <w:r w:rsidRPr="00D50368">
        <w:t xml:space="preserve"> at 3115, para. 11</w:t>
      </w:r>
      <w:r w:rsidRPr="005A2586">
        <w:t>.</w:t>
      </w:r>
    </w:p>
  </w:footnote>
  <w:footnote w:id="7">
    <w:p w:rsidR="007F7295" w:rsidP="007F7295" w14:paraId="771D45CA" w14:textId="07FCBC59">
      <w:pPr>
        <w:pStyle w:val="FootnoteText"/>
      </w:pPr>
      <w:r>
        <w:rPr>
          <w:rStyle w:val="FootnoteReference"/>
        </w:rPr>
        <w:footnoteRef/>
      </w:r>
      <w:r>
        <w:t xml:space="preserve"> </w:t>
      </w:r>
      <w:r w:rsidRPr="002469C4">
        <w:rPr>
          <w:i/>
          <w:iCs/>
        </w:rPr>
        <w:t>Implementing Section 13(d) of the Pallone-Thune Robocall Abuse Criminal Enforcement and Deterrence Act</w:t>
      </w:r>
      <w:r w:rsidRPr="002469C4">
        <w:t xml:space="preserve">, </w:t>
      </w:r>
      <w:r w:rsidRPr="002469C4">
        <w:rPr>
          <w:iCs/>
        </w:rPr>
        <w:t>Report and Order</w:t>
      </w:r>
      <w:r w:rsidRPr="002469C4">
        <w:t xml:space="preserve">, </w:t>
      </w:r>
      <w:r>
        <w:t xml:space="preserve">35 FCC </w:t>
      </w:r>
      <w:r>
        <w:t>Rcd</w:t>
      </w:r>
      <w:r>
        <w:t xml:space="preserve"> 7886, 7886</w:t>
      </w:r>
      <w:r w:rsidR="007733CD">
        <w:t>-87</w:t>
      </w:r>
      <w:r>
        <w:t xml:space="preserve">, para. 3 </w:t>
      </w:r>
      <w:r w:rsidRPr="002469C4">
        <w:t>(</w:t>
      </w:r>
      <w:r>
        <w:t xml:space="preserve">EB </w:t>
      </w:r>
      <w:r w:rsidRPr="002469C4">
        <w:t>2020).</w:t>
      </w:r>
    </w:p>
  </w:footnote>
  <w:footnote w:id="8">
    <w:p w:rsidR="007F7295" w:rsidP="007F7295" w14:paraId="390B5DB4" w14:textId="77777777">
      <w:pPr>
        <w:pStyle w:val="FootnoteText"/>
      </w:pPr>
      <w:r>
        <w:rPr>
          <w:rStyle w:val="FootnoteReference"/>
        </w:rPr>
        <w:footnoteRef/>
      </w:r>
      <w:r>
        <w:t xml:space="preserve"> </w:t>
      </w:r>
      <w:r w:rsidRPr="00065461">
        <w:rPr>
          <w:i/>
          <w:iCs/>
        </w:rPr>
        <w:t xml:space="preserve">See </w:t>
      </w:r>
      <w:r w:rsidRPr="00065461">
        <w:t xml:space="preserve">TRACED Act § 13(d)(2).  </w:t>
      </w:r>
    </w:p>
  </w:footnote>
  <w:footnote w:id="9">
    <w:p w:rsidR="007F7295" w:rsidRPr="00B3431F" w:rsidP="007F7295" w14:paraId="04169E08" w14:textId="26665241">
      <w:pPr>
        <w:pStyle w:val="FootnoteText"/>
        <w:rPr>
          <w:b/>
          <w:bCs/>
        </w:rPr>
      </w:pPr>
      <w:r>
        <w:rPr>
          <w:rStyle w:val="FootnoteReference"/>
        </w:rPr>
        <w:footnoteRef/>
      </w:r>
      <w:r>
        <w:t xml:space="preserve"> </w:t>
      </w:r>
      <w:r w:rsidRPr="00A039B5">
        <w:rPr>
          <w:i/>
          <w:iCs/>
        </w:rPr>
        <w:t>Consortium Registration Order</w:t>
      </w:r>
      <w:r w:rsidRPr="00A039B5">
        <w:t xml:space="preserve">, 35 FCC </w:t>
      </w:r>
      <w:r w:rsidRPr="00A039B5">
        <w:t>Rcd</w:t>
      </w:r>
      <w:r w:rsidRPr="00A039B5">
        <w:t xml:space="preserve"> at 3116, para. 12</w:t>
      </w:r>
      <w:r>
        <w:t xml:space="preserve"> (providing that t</w:t>
      </w:r>
      <w:r w:rsidRPr="00A039B5">
        <w:t>he incumbent registered consortium does not need to file a new Letter of Intent.  The certifications contained in the registered consortium’s initial Letter of Intent will continue in effect for each subsequent year unless the incumbent consortium notifies the Commission otherwise in writing before the deadline to submit Letters of Intent.</w:t>
      </w:r>
      <w:r>
        <w:t>)</w:t>
      </w:r>
      <w:r w:rsidR="00761F69">
        <w:t>.</w:t>
      </w:r>
      <w:r w:rsidRPr="00A039B5">
        <w:t xml:space="preserve"> </w:t>
      </w:r>
    </w:p>
  </w:footnote>
  <w:footnote w:id="10">
    <w:p w:rsidR="007F7295" w:rsidRPr="00017E8A" w:rsidP="007F7295" w14:paraId="72B95200" w14:textId="51F41AAF">
      <w:pPr>
        <w:pStyle w:val="FootnoteText"/>
        <w:rPr>
          <w:i/>
          <w:iCs/>
        </w:rPr>
      </w:pPr>
      <w:r>
        <w:rPr>
          <w:rStyle w:val="FootnoteReference"/>
        </w:rPr>
        <w:footnoteRef/>
      </w:r>
      <w:r>
        <w:t xml:space="preserve"> </w:t>
      </w:r>
      <w:r>
        <w:rPr>
          <w:i/>
          <w:iCs/>
        </w:rPr>
        <w:t>See</w:t>
      </w:r>
      <w:r>
        <w:t xml:space="preserve"> </w:t>
      </w:r>
      <w:r>
        <w:rPr>
          <w:i/>
          <w:iCs/>
        </w:rPr>
        <w:t>Enforcement Bureau Requests Letters of Intent to Become the Registered Industry Consortium for Tracebacks</w:t>
      </w:r>
      <w:r>
        <w:t xml:space="preserve">, Public Notice, DA 21-474 (EB </w:t>
      </w:r>
      <w:r w:rsidRPr="00A52758" w:rsidR="00A52758">
        <w:t>Apr</w:t>
      </w:r>
      <w:r w:rsidR="00A52758">
        <w:t>.</w:t>
      </w:r>
      <w:r w:rsidRPr="00A52758" w:rsidR="00A52758">
        <w:t xml:space="preserve"> 26, </w:t>
      </w:r>
      <w:r>
        <w:t>2021).</w:t>
      </w:r>
      <w:r w:rsidRPr="002E31C3">
        <w:rPr>
          <w:sz w:val="22"/>
          <w:szCs w:val="22"/>
        </w:rPr>
        <w:t xml:space="preserve"> </w:t>
      </w:r>
      <w:r>
        <w:rPr>
          <w:sz w:val="22"/>
          <w:szCs w:val="22"/>
        </w:rPr>
        <w:t xml:space="preserve"> </w:t>
      </w:r>
      <w:r w:rsidRPr="00017E8A">
        <w:t>The deadline to submit Letters of Intent was May 27, 2021.</w:t>
      </w:r>
      <w:r>
        <w:t xml:space="preserve">  </w:t>
      </w:r>
      <w:r>
        <w:rPr>
          <w:i/>
          <w:iCs/>
        </w:rPr>
        <w:t>Id.</w:t>
      </w:r>
    </w:p>
  </w:footnote>
  <w:footnote w:id="11">
    <w:p w:rsidR="007F7295" w:rsidRPr="00B607DB" w:rsidP="007F7295" w14:paraId="4A8BB393" w14:textId="77777777">
      <w:pPr>
        <w:pStyle w:val="FootnoteText"/>
      </w:pPr>
      <w:r>
        <w:rPr>
          <w:rStyle w:val="FootnoteReference"/>
        </w:rPr>
        <w:footnoteRef/>
      </w:r>
      <w:r>
        <w:t xml:space="preserve"> </w:t>
      </w:r>
      <w:r w:rsidRPr="001D5640">
        <w:rPr>
          <w:bCs/>
          <w:i/>
        </w:rPr>
        <w:t>Consortium Registration Order</w:t>
      </w:r>
      <w:r w:rsidRPr="00D50368">
        <w:rPr>
          <w:bCs/>
        </w:rPr>
        <w:t xml:space="preserve">, 35 FCC </w:t>
      </w:r>
      <w:r w:rsidRPr="00D50368">
        <w:rPr>
          <w:bCs/>
        </w:rPr>
        <w:t>Rcd</w:t>
      </w:r>
      <w:r w:rsidRPr="00D50368">
        <w:rPr>
          <w:bCs/>
        </w:rPr>
        <w:t xml:space="preserve"> at 3116, para. 12.</w:t>
      </w:r>
    </w:p>
  </w:footnote>
  <w:footnote w:id="12">
    <w:p w:rsidR="009F4582" w14:paraId="1795830F" w14:textId="6560B3B3">
      <w:pPr>
        <w:pStyle w:val="FootnoteText"/>
      </w:pPr>
      <w:r>
        <w:rPr>
          <w:rStyle w:val="FootnoteReference"/>
        </w:rPr>
        <w:footnoteRef/>
      </w:r>
      <w:r>
        <w:t xml:space="preserve"> </w:t>
      </w:r>
      <w:r w:rsidRPr="009F4582">
        <w:t>47 CFR §§ 1.415, 1.419</w:t>
      </w:r>
      <w:r>
        <w:t>.</w:t>
      </w:r>
    </w:p>
  </w:footnote>
  <w:footnote w:id="13">
    <w:p w:rsidR="007F7295" w:rsidP="007F7295" w14:paraId="6C74E5B1" w14:textId="25594E5F">
      <w:pPr>
        <w:pStyle w:val="FootnoteText"/>
      </w:pPr>
      <w:r>
        <w:rPr>
          <w:rStyle w:val="FootnoteReference"/>
        </w:rPr>
        <w:footnoteRef/>
      </w:r>
      <w:r>
        <w:t xml:space="preserve"> </w:t>
      </w:r>
      <w:r w:rsidRPr="00534F5A">
        <w:rPr>
          <w:i/>
          <w:szCs w:val="22"/>
        </w:rPr>
        <w:t>See Electronic Filing of Documents in Rulemaking Proceedings</w:t>
      </w:r>
      <w:r w:rsidRPr="00534F5A">
        <w:rPr>
          <w:szCs w:val="22"/>
        </w:rPr>
        <w:t xml:space="preserve">, 63 </w:t>
      </w:r>
      <w:r w:rsidRPr="00B50E04" w:rsidR="00B50E04">
        <w:rPr>
          <w:szCs w:val="22"/>
        </w:rPr>
        <w:t xml:space="preserve">Fed. Reg. </w:t>
      </w:r>
      <w:r w:rsidRPr="00534F5A">
        <w:rPr>
          <w:szCs w:val="22"/>
        </w:rPr>
        <w:t>24121 (</w:t>
      </w:r>
      <w:r w:rsidR="00B50E04">
        <w:rPr>
          <w:szCs w:val="22"/>
        </w:rPr>
        <w:t>May 1,</w:t>
      </w:r>
      <w:r w:rsidRPr="00534F5A">
        <w:rPr>
          <w:szCs w:val="22"/>
        </w:rPr>
        <w:t>1998).</w:t>
      </w:r>
    </w:p>
  </w:footnote>
  <w:footnote w:id="14">
    <w:p w:rsidR="007F7295" w:rsidRPr="0052705D" w:rsidP="007F7295" w14:paraId="5B9CA897" w14:textId="385A51D4">
      <w:pPr>
        <w:pStyle w:val="FootnoteText"/>
      </w:pPr>
      <w:r w:rsidRPr="0052705D">
        <w:rPr>
          <w:rStyle w:val="FootnoteReference"/>
        </w:rPr>
        <w:footnoteRef/>
      </w:r>
      <w:r w:rsidRPr="0052705D">
        <w:t xml:space="preserve"> </w:t>
      </w:r>
      <w:r w:rsidRPr="008D4F6A">
        <w:rPr>
          <w:i/>
          <w:iCs/>
        </w:rPr>
        <w:t>See</w:t>
      </w:r>
      <w:r w:rsidRPr="008D4F6A">
        <w:t xml:space="preserve"> </w:t>
      </w:r>
      <w:r w:rsidRPr="008D4F6A">
        <w:rPr>
          <w:i/>
          <w:iCs/>
        </w:rPr>
        <w:t>FCC Announces Closure of FCC Headquarters Open Window and Change in Hand-Delivery Policy</w:t>
      </w:r>
      <w:r w:rsidRPr="008D4F6A">
        <w:t xml:space="preserve">, Public Notice, </w:t>
      </w:r>
      <w:r w:rsidRPr="005A2586" w:rsidR="005A2586">
        <w:t xml:space="preserve">35 FCC </w:t>
      </w:r>
      <w:r w:rsidRPr="005A2586" w:rsidR="005A2586">
        <w:t>Rcd</w:t>
      </w:r>
      <w:r w:rsidRPr="005A2586" w:rsidR="005A2586">
        <w:t xml:space="preserve"> 2788</w:t>
      </w:r>
      <w:r w:rsidRPr="008D4F6A">
        <w:t xml:space="preserve"> (</w:t>
      </w:r>
      <w:r w:rsidR="005A2586">
        <w:t>OMD</w:t>
      </w:r>
      <w:r w:rsidRPr="008D4F6A">
        <w:t xml:space="preserve"> 2020), </w:t>
      </w:r>
      <w:hyperlink r:id="rId1" w:history="1">
        <w:r w:rsidRPr="008D4F6A">
          <w:rPr>
            <w:rStyle w:val="Hyperlink"/>
          </w:rPr>
          <w:t>https://www.fcc.gov/document/fcc-closes-headquarters-open-window-and-changes-hand-delivery-policy</w:t>
        </w:r>
      </w:hyperlink>
      <w:r w:rsidRPr="00D503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57" w14:paraId="36D54393" w14:textId="321D2681">
    <w:pPr>
      <w:tabs>
        <w:tab w:val="center" w:pos="4680"/>
        <w:tab w:val="right" w:pos="9360"/>
      </w:tabs>
    </w:pPr>
    <w:r>
      <w:rPr>
        <w:b/>
      </w:rPr>
      <w:tab/>
      <w:t>Federal Communications Commission</w:t>
    </w:r>
    <w:r>
      <w:rPr>
        <w:b/>
      </w:rPr>
      <w:tab/>
    </w:r>
    <w:r w:rsidR="00DF38F3">
      <w:rPr>
        <w:b/>
      </w:rPr>
      <w:t>DA 21-715</w:t>
    </w:r>
  </w:p>
  <w:p w:rsidR="00214257" w:rsidP="00D50368" w14:paraId="20B47856" w14:textId="7A095A9A">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57" w14:paraId="156E8DAC" w14:textId="076639DF">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F7295"/>
    <w:rsid w:val="00006E90"/>
    <w:rsid w:val="00017E8A"/>
    <w:rsid w:val="00065461"/>
    <w:rsid w:val="000F30E6"/>
    <w:rsid w:val="00114F27"/>
    <w:rsid w:val="001D5640"/>
    <w:rsid w:val="00214257"/>
    <w:rsid w:val="002469C4"/>
    <w:rsid w:val="00257A94"/>
    <w:rsid w:val="002E31C3"/>
    <w:rsid w:val="00380575"/>
    <w:rsid w:val="0038593E"/>
    <w:rsid w:val="003C08E5"/>
    <w:rsid w:val="003D7FE4"/>
    <w:rsid w:val="003F3F77"/>
    <w:rsid w:val="0042650E"/>
    <w:rsid w:val="00486E47"/>
    <w:rsid w:val="0052705D"/>
    <w:rsid w:val="00534F5A"/>
    <w:rsid w:val="005A2586"/>
    <w:rsid w:val="005E2247"/>
    <w:rsid w:val="0063744D"/>
    <w:rsid w:val="00637CA5"/>
    <w:rsid w:val="0065160E"/>
    <w:rsid w:val="00663298"/>
    <w:rsid w:val="006A2AB4"/>
    <w:rsid w:val="006A6436"/>
    <w:rsid w:val="00714D1D"/>
    <w:rsid w:val="00717E4C"/>
    <w:rsid w:val="00761F69"/>
    <w:rsid w:val="007733CD"/>
    <w:rsid w:val="00776C7E"/>
    <w:rsid w:val="007A4EEF"/>
    <w:rsid w:val="007E5165"/>
    <w:rsid w:val="007F146E"/>
    <w:rsid w:val="007F7295"/>
    <w:rsid w:val="008274F3"/>
    <w:rsid w:val="008D4F6A"/>
    <w:rsid w:val="00993D16"/>
    <w:rsid w:val="009F4582"/>
    <w:rsid w:val="00A039B5"/>
    <w:rsid w:val="00A06323"/>
    <w:rsid w:val="00A20BEF"/>
    <w:rsid w:val="00A52758"/>
    <w:rsid w:val="00A814E2"/>
    <w:rsid w:val="00A95DB3"/>
    <w:rsid w:val="00A971AA"/>
    <w:rsid w:val="00B2585B"/>
    <w:rsid w:val="00B3431F"/>
    <w:rsid w:val="00B50E04"/>
    <w:rsid w:val="00B607DB"/>
    <w:rsid w:val="00B61CC9"/>
    <w:rsid w:val="00B87CFE"/>
    <w:rsid w:val="00BB0E5D"/>
    <w:rsid w:val="00CC5AFC"/>
    <w:rsid w:val="00D50368"/>
    <w:rsid w:val="00D956D1"/>
    <w:rsid w:val="00DF06E8"/>
    <w:rsid w:val="00DF38F3"/>
    <w:rsid w:val="00E16D88"/>
    <w:rsid w:val="00E76819"/>
    <w:rsid w:val="00F603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73ACF9"/>
  <w15:docId w15:val="{E1B7BA27-CFF0-4BF8-A3CB-C36A11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27"/>
    <w:pPr>
      <w:widowControl w:val="0"/>
    </w:pPr>
    <w:rPr>
      <w:snapToGrid w:val="0"/>
      <w:kern w:val="28"/>
      <w:sz w:val="22"/>
    </w:rPr>
  </w:style>
  <w:style w:type="paragraph" w:styleId="Heading1">
    <w:name w:val="heading 1"/>
    <w:basedOn w:val="Normal"/>
    <w:next w:val="ParaNum"/>
    <w:qFormat/>
    <w:rsid w:val="00114F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4F27"/>
    <w:pPr>
      <w:keepNext/>
      <w:numPr>
        <w:ilvl w:val="1"/>
        <w:numId w:val="3"/>
      </w:numPr>
      <w:spacing w:after="120"/>
      <w:outlineLvl w:val="1"/>
    </w:pPr>
    <w:rPr>
      <w:b/>
    </w:rPr>
  </w:style>
  <w:style w:type="paragraph" w:styleId="Heading3">
    <w:name w:val="heading 3"/>
    <w:basedOn w:val="Normal"/>
    <w:next w:val="ParaNum"/>
    <w:qFormat/>
    <w:rsid w:val="00114F27"/>
    <w:pPr>
      <w:keepNext/>
      <w:numPr>
        <w:ilvl w:val="2"/>
        <w:numId w:val="3"/>
      </w:numPr>
      <w:tabs>
        <w:tab w:val="left" w:pos="2160"/>
      </w:tabs>
      <w:spacing w:after="120"/>
      <w:outlineLvl w:val="2"/>
    </w:pPr>
    <w:rPr>
      <w:b/>
    </w:rPr>
  </w:style>
  <w:style w:type="paragraph" w:styleId="Heading4">
    <w:name w:val="heading 4"/>
    <w:basedOn w:val="Normal"/>
    <w:next w:val="ParaNum"/>
    <w:qFormat/>
    <w:rsid w:val="00114F27"/>
    <w:pPr>
      <w:keepNext/>
      <w:numPr>
        <w:ilvl w:val="3"/>
        <w:numId w:val="3"/>
      </w:numPr>
      <w:tabs>
        <w:tab w:val="left" w:pos="2880"/>
      </w:tabs>
      <w:spacing w:after="120"/>
      <w:outlineLvl w:val="3"/>
    </w:pPr>
    <w:rPr>
      <w:b/>
    </w:rPr>
  </w:style>
  <w:style w:type="paragraph" w:styleId="Heading5">
    <w:name w:val="heading 5"/>
    <w:basedOn w:val="Normal"/>
    <w:next w:val="ParaNum"/>
    <w:qFormat/>
    <w:rsid w:val="00114F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4F27"/>
    <w:pPr>
      <w:numPr>
        <w:ilvl w:val="5"/>
        <w:numId w:val="3"/>
      </w:numPr>
      <w:tabs>
        <w:tab w:val="left" w:pos="4320"/>
      </w:tabs>
      <w:spacing w:after="120"/>
      <w:outlineLvl w:val="5"/>
    </w:pPr>
    <w:rPr>
      <w:b/>
    </w:rPr>
  </w:style>
  <w:style w:type="paragraph" w:styleId="Heading7">
    <w:name w:val="heading 7"/>
    <w:basedOn w:val="Normal"/>
    <w:next w:val="ParaNum"/>
    <w:qFormat/>
    <w:rsid w:val="00114F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4F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4F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14F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14F27"/>
  </w:style>
  <w:style w:type="paragraph" w:customStyle="1" w:styleId="ParaNum">
    <w:name w:val="ParaNum"/>
    <w:basedOn w:val="Normal"/>
    <w:rsid w:val="00114F27"/>
    <w:pPr>
      <w:numPr>
        <w:numId w:val="2"/>
      </w:numPr>
      <w:tabs>
        <w:tab w:val="clear" w:pos="1080"/>
        <w:tab w:val="num" w:pos="1440"/>
      </w:tabs>
      <w:spacing w:after="120"/>
    </w:pPr>
  </w:style>
  <w:style w:type="paragraph" w:styleId="EndnoteText">
    <w:name w:val="endnote text"/>
    <w:basedOn w:val="Normal"/>
    <w:semiHidden/>
    <w:rsid w:val="00114F27"/>
    <w:rPr>
      <w:sz w:val="20"/>
    </w:rPr>
  </w:style>
  <w:style w:type="character" w:styleId="EndnoteReference">
    <w:name w:val="endnote reference"/>
    <w:semiHidden/>
    <w:rsid w:val="00114F2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114F27"/>
    <w:pPr>
      <w:spacing w:after="120"/>
    </w:pPr>
  </w:style>
  <w:style w:type="character" w:styleId="FootnoteReference">
    <w:name w:val="footnote reference"/>
    <w:aliases w:val="(NECG) Footnote Reference,Appel note de bas de p,FR,Footnote Reference/,Style 12,Style 124,Style 13,Style 17,Style 3,Style 6,Style 7,fr,o"/>
    <w:rsid w:val="00114F27"/>
    <w:rPr>
      <w:rFonts w:ascii="Times New Roman" w:hAnsi="Times New Roman"/>
      <w:dstrike w:val="0"/>
      <w:color w:val="auto"/>
      <w:sz w:val="22"/>
      <w:vertAlign w:val="superscript"/>
    </w:rPr>
  </w:style>
  <w:style w:type="paragraph" w:styleId="TOC1">
    <w:name w:val="toc 1"/>
    <w:basedOn w:val="Normal"/>
    <w:next w:val="Normal"/>
    <w:uiPriority w:val="39"/>
    <w:rsid w:val="00114F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4F27"/>
    <w:pPr>
      <w:tabs>
        <w:tab w:val="left" w:pos="720"/>
        <w:tab w:val="right" w:leader="dot" w:pos="9360"/>
      </w:tabs>
      <w:suppressAutoHyphens/>
      <w:ind w:left="720" w:right="720" w:hanging="360"/>
    </w:pPr>
    <w:rPr>
      <w:noProof/>
    </w:rPr>
  </w:style>
  <w:style w:type="paragraph" w:styleId="TOC3">
    <w:name w:val="toc 3"/>
    <w:basedOn w:val="Normal"/>
    <w:next w:val="Normal"/>
    <w:semiHidden/>
    <w:rsid w:val="00114F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4F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4F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4F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4F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4F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4F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4F27"/>
    <w:pPr>
      <w:tabs>
        <w:tab w:val="right" w:pos="9360"/>
      </w:tabs>
      <w:suppressAutoHyphens/>
    </w:pPr>
  </w:style>
  <w:style w:type="character" w:customStyle="1" w:styleId="EquationCaption">
    <w:name w:val="_Equation Caption"/>
    <w:rsid w:val="00114F27"/>
  </w:style>
  <w:style w:type="paragraph" w:styleId="Header">
    <w:name w:val="header"/>
    <w:basedOn w:val="Normal"/>
    <w:autoRedefine/>
    <w:rsid w:val="00114F27"/>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114F27"/>
    <w:pPr>
      <w:tabs>
        <w:tab w:val="center" w:pos="4320"/>
        <w:tab w:val="right" w:pos="8640"/>
      </w:tabs>
    </w:pPr>
  </w:style>
  <w:style w:type="character" w:styleId="PageNumber">
    <w:name w:val="page number"/>
    <w:basedOn w:val="DefaultParagraphFont"/>
    <w:rsid w:val="00114F27"/>
  </w:style>
  <w:style w:type="paragraph" w:styleId="BlockText">
    <w:name w:val="Block Text"/>
    <w:basedOn w:val="Normal"/>
    <w:rsid w:val="00114F27"/>
    <w:pPr>
      <w:spacing w:after="240"/>
      <w:ind w:left="1440" w:right="1440"/>
    </w:pPr>
  </w:style>
  <w:style w:type="paragraph" w:customStyle="1" w:styleId="Paratitle">
    <w:name w:val="Para title"/>
    <w:basedOn w:val="Normal"/>
    <w:rsid w:val="00114F27"/>
    <w:pPr>
      <w:tabs>
        <w:tab w:val="center" w:pos="9270"/>
      </w:tabs>
      <w:spacing w:after="240"/>
    </w:pPr>
    <w:rPr>
      <w:spacing w:val="-2"/>
    </w:rPr>
  </w:style>
  <w:style w:type="paragraph" w:customStyle="1" w:styleId="Bullet">
    <w:name w:val="Bullet"/>
    <w:basedOn w:val="Normal"/>
    <w:rsid w:val="00114F27"/>
    <w:pPr>
      <w:numPr>
        <w:numId w:val="1"/>
      </w:numPr>
      <w:tabs>
        <w:tab w:val="clear" w:pos="360"/>
        <w:tab w:val="left" w:pos="2160"/>
      </w:tabs>
      <w:spacing w:after="220"/>
      <w:ind w:left="2160" w:hanging="720"/>
    </w:pPr>
  </w:style>
  <w:style w:type="paragraph" w:customStyle="1" w:styleId="TableFormat">
    <w:name w:val="TableFormat"/>
    <w:basedOn w:val="Bullet"/>
    <w:rsid w:val="00114F27"/>
    <w:pPr>
      <w:numPr>
        <w:numId w:val="0"/>
      </w:numPr>
      <w:tabs>
        <w:tab w:val="clear" w:pos="2160"/>
        <w:tab w:val="left" w:pos="5040"/>
      </w:tabs>
      <w:ind w:left="5040" w:hanging="3600"/>
    </w:pPr>
  </w:style>
  <w:style w:type="paragraph" w:customStyle="1" w:styleId="TOCTitle">
    <w:name w:val="TOC Title"/>
    <w:basedOn w:val="Normal"/>
    <w:rsid w:val="00114F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4F27"/>
    <w:pPr>
      <w:jc w:val="center"/>
    </w:pPr>
    <w:rPr>
      <w:rFonts w:ascii="Times New Roman Bold" w:hAnsi="Times New Roman Bold"/>
      <w:b/>
      <w:bCs/>
      <w:caps/>
      <w:szCs w:val="22"/>
    </w:rPr>
  </w:style>
  <w:style w:type="character" w:styleId="Hyperlink">
    <w:name w:val="Hyperlink"/>
    <w:rsid w:val="00114F27"/>
    <w:rPr>
      <w:color w:val="0000FF"/>
      <w:u w:val="single"/>
    </w:rPr>
  </w:style>
  <w:style w:type="character" w:customStyle="1" w:styleId="FooterChar">
    <w:name w:val="Footer Char"/>
    <w:link w:val="Footer"/>
    <w:uiPriority w:val="99"/>
    <w:rsid w:val="00114F27"/>
    <w:rPr>
      <w:snapToGrid w:val="0"/>
      <w:kern w:val="28"/>
      <w:sz w:val="22"/>
    </w:rPr>
  </w:style>
  <w:style w:type="character" w:customStyle="1" w:styleId="UnresolvedMention1">
    <w:name w:val="Unresolved Mention1"/>
    <w:uiPriority w:val="99"/>
    <w:semiHidden/>
    <w:unhideWhenUsed/>
    <w:rsid w:val="00D50368"/>
    <w:rPr>
      <w:color w:val="605E5C"/>
      <w:shd w:val="clear" w:color="auto" w:fill="E1DFDD"/>
    </w:rPr>
  </w:style>
  <w:style w:type="paragraph" w:styleId="BalloonText">
    <w:name w:val="Balloon Text"/>
    <w:basedOn w:val="Normal"/>
    <w:link w:val="BalloonTextChar"/>
    <w:uiPriority w:val="99"/>
    <w:semiHidden/>
    <w:unhideWhenUsed/>
    <w:rsid w:val="00A95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B3"/>
    <w:rPr>
      <w:rFonts w:ascii="Segoe UI" w:hAnsi="Segoe UI" w:cs="Segoe UI"/>
      <w:snapToGrid w:val="0"/>
      <w:kern w:val="28"/>
      <w:sz w:val="18"/>
      <w:szCs w:val="18"/>
    </w:rPr>
  </w:style>
  <w:style w:type="paragraph" w:customStyle="1" w:styleId="paragraph">
    <w:name w:val="paragraph"/>
    <w:basedOn w:val="Normal"/>
    <w:rsid w:val="007F7295"/>
    <w:pPr>
      <w:widowControl/>
    </w:pPr>
    <w:rPr>
      <w:snapToGrid/>
      <w:kern w:val="0"/>
      <w:sz w:val="24"/>
      <w:szCs w:val="24"/>
    </w:rPr>
  </w:style>
  <w:style w:type="character" w:customStyle="1" w:styleId="normaltextrun">
    <w:name w:val="normaltextrun"/>
    <w:rsid w:val="007F7295"/>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7F7295"/>
  </w:style>
  <w:style w:type="character" w:styleId="CommentReference">
    <w:name w:val="annotation reference"/>
    <w:uiPriority w:val="99"/>
    <w:semiHidden/>
    <w:unhideWhenUsed/>
    <w:rsid w:val="007F7295"/>
    <w:rPr>
      <w:sz w:val="16"/>
      <w:szCs w:val="16"/>
    </w:rPr>
  </w:style>
  <w:style w:type="paragraph" w:styleId="CommentText">
    <w:name w:val="annotation text"/>
    <w:basedOn w:val="Normal"/>
    <w:link w:val="CommentTextChar"/>
    <w:uiPriority w:val="99"/>
    <w:semiHidden/>
    <w:unhideWhenUsed/>
    <w:rsid w:val="007F7295"/>
    <w:rPr>
      <w:sz w:val="20"/>
    </w:rPr>
  </w:style>
  <w:style w:type="character" w:customStyle="1" w:styleId="CommentTextChar">
    <w:name w:val="Comment Text Char"/>
    <w:basedOn w:val="DefaultParagraphFont"/>
    <w:link w:val="CommentText"/>
    <w:uiPriority w:val="99"/>
    <w:semiHidden/>
    <w:rsid w:val="007F7295"/>
    <w:rPr>
      <w:snapToGrid w:val="0"/>
      <w:kern w:val="28"/>
    </w:rPr>
  </w:style>
  <w:style w:type="paragraph" w:styleId="CommentSubject">
    <w:name w:val="annotation subject"/>
    <w:basedOn w:val="CommentText"/>
    <w:next w:val="CommentText"/>
    <w:link w:val="CommentSubjectChar"/>
    <w:uiPriority w:val="99"/>
    <w:semiHidden/>
    <w:unhideWhenUsed/>
    <w:rsid w:val="0038593E"/>
    <w:rPr>
      <w:b/>
      <w:bCs/>
    </w:rPr>
  </w:style>
  <w:style w:type="character" w:customStyle="1" w:styleId="CommentSubjectChar">
    <w:name w:val="Comment Subject Char"/>
    <w:basedOn w:val="CommentTextChar"/>
    <w:link w:val="CommentSubject"/>
    <w:uiPriority w:val="99"/>
    <w:semiHidden/>
    <w:rsid w:val="0038593E"/>
    <w:rPr>
      <w:b/>
      <w:bCs/>
      <w:snapToGrid w:val="0"/>
      <w:kern w:val="28"/>
    </w:rPr>
  </w:style>
  <w:style w:type="character" w:customStyle="1" w:styleId="UnresolvedMention">
    <w:name w:val="Unresolved Mention"/>
    <w:uiPriority w:val="99"/>
    <w:semiHidden/>
    <w:unhideWhenUsed/>
    <w:rsid w:val="0011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D:\Users\monica.echevarria\Downloads\kristi.thomps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