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90716D" w14:paraId="60D91898" w14:textId="77777777">
      <w:pPr>
        <w:jc w:val="right"/>
        <w:rPr>
          <w:sz w:val="24"/>
        </w:rPr>
      </w:pPr>
    </w:p>
    <w:p w:rsidR="00414610" w:rsidRPr="00B20363" w:rsidP="00414610" w14:paraId="75CDBEAF" w14:textId="1877D6DB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C572CC">
        <w:rPr>
          <w:b/>
          <w:sz w:val="24"/>
        </w:rPr>
        <w:t>716</w:t>
      </w:r>
    </w:p>
    <w:p w:rsidR="00414610" w:rsidRPr="00B20363" w:rsidP="00414610" w14:paraId="71192A0C" w14:textId="2DFA32D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June </w:t>
      </w:r>
      <w:r w:rsidR="00774530">
        <w:rPr>
          <w:b/>
          <w:sz w:val="24"/>
        </w:rPr>
        <w:t>17</w:t>
      </w:r>
      <w:r>
        <w:rPr>
          <w:b/>
          <w:sz w:val="24"/>
        </w:rPr>
        <w:t>, 2021</w:t>
      </w:r>
    </w:p>
    <w:p w:rsidR="00414610" w:rsidP="00414610" w14:paraId="6D6EF815" w14:textId="77777777">
      <w:pPr>
        <w:jc w:val="right"/>
        <w:rPr>
          <w:sz w:val="24"/>
        </w:rPr>
      </w:pPr>
    </w:p>
    <w:p w:rsidR="00414610" w:rsidP="00414610" w14:paraId="553022DB" w14:textId="77777777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</w:t>
      </w:r>
      <w:r>
        <w:rPr>
          <w:b/>
          <w:sz w:val="24"/>
          <w:szCs w:val="24"/>
        </w:rPr>
        <w:t xml:space="preserve"> IMPROVING LOW POWER FM RADIO (MB DOCKET NO. 19-193)  </w:t>
      </w:r>
    </w:p>
    <w:p w:rsidR="00414610" w:rsidRPr="00427DA9" w:rsidP="00414610" w14:paraId="32B614AF" w14:textId="77777777">
      <w:pPr>
        <w:widowControl/>
        <w:suppressAutoHyphens/>
        <w:spacing w:before="90" w:after="54"/>
        <w:jc w:val="center"/>
        <w:rPr>
          <w:sz w:val="24"/>
          <w:szCs w:val="24"/>
        </w:rPr>
      </w:pPr>
    </w:p>
    <w:p w:rsidR="00414610" w:rsidRPr="00FB3F63" w:rsidP="00414610" w14:paraId="0E445159" w14:textId="77777777">
      <w:pPr>
        <w:rPr>
          <w:szCs w:val="22"/>
        </w:rPr>
      </w:pPr>
      <w:r w:rsidRPr="00FB3F63">
        <w:rPr>
          <w:szCs w:val="22"/>
        </w:rPr>
        <w:t xml:space="preserve">Notice is hereby given that the Commission received </w:t>
      </w:r>
      <w:r>
        <w:rPr>
          <w:szCs w:val="22"/>
        </w:rPr>
        <w:t xml:space="preserve">during the Sunshine Agenda Period </w:t>
      </w:r>
      <w:r w:rsidRPr="00FB3F63">
        <w:rPr>
          <w:szCs w:val="22"/>
        </w:rPr>
        <w:t>prohibited written presentation</w:t>
      </w:r>
      <w:r>
        <w:rPr>
          <w:szCs w:val="22"/>
        </w:rPr>
        <w:t>s listed in the attached Appendix</w:t>
      </w:r>
      <w:r w:rsidRPr="00FB3F63">
        <w:rPr>
          <w:szCs w:val="22"/>
        </w:rPr>
        <w:t xml:space="preserve">.         </w:t>
      </w:r>
    </w:p>
    <w:p w:rsidR="00414610" w:rsidRPr="00FB3F63" w:rsidP="00414610" w14:paraId="6DF179A7" w14:textId="77777777">
      <w:pPr>
        <w:rPr>
          <w:szCs w:val="22"/>
        </w:rPr>
      </w:pPr>
    </w:p>
    <w:p w:rsidR="00414610" w:rsidRPr="00FB3F63" w:rsidP="00414610" w14:paraId="63D4EFF4" w14:textId="77777777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>
        <w:rPr>
          <w:szCs w:val="22"/>
        </w:rPr>
        <w:t xml:space="preserve"> </w:t>
      </w:r>
      <w:r w:rsidRPr="00FB3F63">
        <w:rPr>
          <w:szCs w:val="22"/>
        </w:rPr>
        <w:t>§</w:t>
      </w:r>
      <w:r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Sunshine Agenda.  The instant presentation</w:t>
      </w:r>
      <w:r>
        <w:rPr>
          <w:szCs w:val="22"/>
        </w:rPr>
        <w:t>s</w:t>
      </w:r>
      <w:r w:rsidRPr="00FB3F63">
        <w:rPr>
          <w:szCs w:val="22"/>
        </w:rPr>
        <w:t xml:space="preserve"> addressed the merits of the above-referenced proceeding, which was included on the Commission's Sunshine Agenda by Public Notice released </w:t>
      </w:r>
      <w:r>
        <w:rPr>
          <w:szCs w:val="22"/>
        </w:rPr>
        <w:t xml:space="preserve">June 10, 2021 </w:t>
      </w:r>
      <w:r w:rsidRPr="00FB3F63">
        <w:rPr>
          <w:szCs w:val="22"/>
        </w:rPr>
        <w:t xml:space="preserve">for consideration at the </w:t>
      </w:r>
      <w:r>
        <w:rPr>
          <w:szCs w:val="22"/>
        </w:rPr>
        <w:t>June 17 o</w:t>
      </w:r>
      <w:r w:rsidRPr="00FB3F63">
        <w:rPr>
          <w:szCs w:val="22"/>
        </w:rPr>
        <w:t xml:space="preserve">pen Commission meeting.  The Commission </w:t>
      </w:r>
      <w:r>
        <w:rPr>
          <w:szCs w:val="22"/>
        </w:rPr>
        <w:t xml:space="preserve">deleted the item from the Sunshine Agenda by public notice released June 16, 2021.  </w:t>
      </w:r>
      <w:r w:rsidRPr="00FB3F63">
        <w:rPr>
          <w:szCs w:val="22"/>
        </w:rPr>
        <w:t xml:space="preserve">    </w:t>
      </w:r>
    </w:p>
    <w:p w:rsidR="00414610" w:rsidRPr="00FB3F63" w:rsidP="00414610" w14:paraId="7B06603E" w14:textId="77777777">
      <w:pPr>
        <w:rPr>
          <w:szCs w:val="22"/>
        </w:rPr>
      </w:pPr>
    </w:p>
    <w:p w:rsidR="00414610" w:rsidRPr="00FB3F63" w:rsidP="00414610" w14:paraId="3EA72D59" w14:textId="77777777">
      <w:pPr>
        <w:rPr>
          <w:szCs w:val="22"/>
        </w:rPr>
      </w:pPr>
      <w:r w:rsidRPr="00FB3F63">
        <w:rPr>
          <w:szCs w:val="22"/>
        </w:rPr>
        <w:t xml:space="preserve">Under </w:t>
      </w:r>
      <w:r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</w:t>
      </w:r>
      <w:r>
        <w:rPr>
          <w:szCs w:val="22"/>
        </w:rPr>
        <w:t>neither</w:t>
      </w:r>
      <w:r w:rsidRPr="00FB3F63">
        <w:rPr>
          <w:szCs w:val="22"/>
        </w:rPr>
        <w:t xml:space="preserve"> meet an exception provided by </w:t>
      </w:r>
      <w:r>
        <w:rPr>
          <w:szCs w:val="22"/>
        </w:rPr>
        <w:t>section</w:t>
      </w:r>
      <w:r w:rsidRPr="00FB3F63">
        <w:rPr>
          <w:szCs w:val="22"/>
        </w:rPr>
        <w:t xml:space="preserve"> 1.1204(a)</w:t>
      </w:r>
      <w:r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</w:t>
      </w:r>
      <w:r>
        <w:rPr>
          <w:szCs w:val="22"/>
        </w:rPr>
        <w:t>nor are covered by</w:t>
      </w:r>
      <w:r w:rsidRPr="00FB3F63">
        <w:rPr>
          <w:szCs w:val="22"/>
        </w:rPr>
        <w:t xml:space="preserve"> a Commission waiver</w:t>
      </w:r>
      <w:r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of, the record in the above-referenced proceeding.    </w:t>
      </w:r>
    </w:p>
    <w:p w:rsidR="00414610" w:rsidRPr="00FB3F63" w:rsidP="00414610" w14:paraId="2E838EDE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414610" w:rsidRPr="00FB3F63" w:rsidP="00414610" w14:paraId="080CA4D5" w14:textId="77777777">
      <w:pPr>
        <w:rPr>
          <w:szCs w:val="22"/>
        </w:rPr>
      </w:pPr>
      <w:r>
        <w:rPr>
          <w:szCs w:val="22"/>
        </w:rPr>
        <w:t xml:space="preserve">Commission headquarters remains closed due to the COVID-19 pandemic.  </w:t>
      </w:r>
      <w:r>
        <w:rPr>
          <w:i/>
          <w:iCs/>
          <w:szCs w:val="22"/>
        </w:rPr>
        <w:t xml:space="preserve">See FCC Announces Updated Restrictions on Visitors to its Facilities, </w:t>
      </w:r>
      <w:r>
        <w:rPr>
          <w:szCs w:val="22"/>
        </w:rPr>
        <w:t>Public Notice (Mar. 12, 2020).  When it is open to the public, t</w:t>
      </w:r>
      <w:r w:rsidRPr="00653DC6">
        <w:rPr>
          <w:szCs w:val="22"/>
        </w:rPr>
        <w:t>he</w:t>
      </w:r>
      <w:r w:rsidRPr="00FB3F63">
        <w:rPr>
          <w:szCs w:val="22"/>
        </w:rPr>
        <w:t xml:space="preserve"> full text</w:t>
      </w:r>
      <w:r>
        <w:rPr>
          <w:szCs w:val="22"/>
        </w:rPr>
        <w:t>s</w:t>
      </w:r>
      <w:r w:rsidRPr="00FB3F63">
        <w:rPr>
          <w:szCs w:val="22"/>
        </w:rPr>
        <w:t xml:space="preserve"> of th</w:t>
      </w:r>
      <w:r>
        <w:rPr>
          <w:szCs w:val="22"/>
        </w:rPr>
        <w:t>ese</w:t>
      </w:r>
      <w:r w:rsidRPr="00FB3F63">
        <w:rPr>
          <w:szCs w:val="22"/>
        </w:rPr>
        <w:t xml:space="preserve"> presentation</w:t>
      </w:r>
      <w:r>
        <w:rPr>
          <w:szCs w:val="22"/>
        </w:rPr>
        <w:t xml:space="preserve">s will be </w:t>
      </w:r>
      <w:r w:rsidRPr="00FB3F63">
        <w:rPr>
          <w:szCs w:val="22"/>
        </w:rPr>
        <w:t xml:space="preserve">available for public inspection and copying during regular business hours at the FCC Reference Information Center, </w:t>
      </w:r>
      <w:r>
        <w:rPr>
          <w:szCs w:val="22"/>
        </w:rPr>
        <w:t xml:space="preserve">45 L Street, NE, </w:t>
      </w:r>
      <w:r w:rsidRPr="00FB3F63">
        <w:rPr>
          <w:szCs w:val="22"/>
        </w:rPr>
        <w:t>Washington, DC 20554.  Th</w:t>
      </w:r>
      <w:r>
        <w:rPr>
          <w:szCs w:val="22"/>
        </w:rPr>
        <w:t>ese</w:t>
      </w:r>
      <w:r w:rsidRPr="00FB3F63">
        <w:rPr>
          <w:szCs w:val="22"/>
        </w:rPr>
        <w:t xml:space="preserve"> filing</w:t>
      </w:r>
      <w:r>
        <w:rPr>
          <w:szCs w:val="22"/>
        </w:rPr>
        <w:t>s</w:t>
      </w:r>
      <w:r w:rsidRPr="00FB3F63">
        <w:rPr>
          <w:szCs w:val="22"/>
        </w:rPr>
        <w:t xml:space="preserve"> may also be viewed in the Commission’s Electronic Comment Filing System (ECFS) at </w:t>
      </w:r>
      <w:hyperlink r:id="rId4" w:history="1">
        <w:r>
          <w:rPr>
            <w:rStyle w:val="Hyperlink"/>
          </w:rPr>
          <w:t>https://www.fcc.gov/ecfs/</w:t>
        </w:r>
      </w:hyperlink>
      <w:hyperlink r:id="rId5" w:history="1"/>
      <w:r w:rsidRPr="00FB3F63">
        <w:rPr>
          <w:szCs w:val="22"/>
        </w:rPr>
        <w:t xml:space="preserve">.  </w:t>
      </w:r>
    </w:p>
    <w:p w:rsidR="00414610" w:rsidRPr="00FB3F63" w:rsidP="00414610" w14:paraId="681C2C1C" w14:textId="77777777">
      <w:pPr>
        <w:rPr>
          <w:szCs w:val="22"/>
        </w:rPr>
      </w:pPr>
    </w:p>
    <w:p w:rsidR="00414610" w:rsidP="00414610" w14:paraId="1BD518DF" w14:textId="77777777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414610" w:rsidP="00414610" w14:paraId="5927EFA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414610" w:rsidP="00414610" w14:paraId="6C221FA0" w14:textId="77777777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414610" w:rsidP="00414610" w14:paraId="74243947" w14:textId="77777777">
      <w:pPr>
        <w:jc w:val="center"/>
        <w:rPr>
          <w:b/>
          <w:szCs w:val="22"/>
        </w:rPr>
      </w:pPr>
    </w:p>
    <w:p w:rsidR="00414610" w:rsidP="00414610" w14:paraId="2CB6583F" w14:textId="77777777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414610" w:rsidP="00414610" w14:paraId="6A6441AD" w14:textId="77777777">
      <w:pPr>
        <w:rPr>
          <w:b/>
          <w:szCs w:val="22"/>
        </w:rPr>
      </w:pPr>
    </w:p>
    <w:p w:rsidR="00414610" w:rsidP="00414610" w14:paraId="23386D0E" w14:textId="77777777">
      <w:pPr>
        <w:rPr>
          <w:szCs w:val="22"/>
        </w:rPr>
      </w:pPr>
      <w:r>
        <w:rPr>
          <w:szCs w:val="22"/>
        </w:rPr>
        <w:t xml:space="preserve">Common Frequency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11, 2021</w:t>
      </w:r>
    </w:p>
    <w:p w:rsidR="00414610" w:rsidP="00414610" w14:paraId="46BC7872" w14:textId="77777777">
      <w:pPr>
        <w:rPr>
          <w:szCs w:val="22"/>
        </w:rPr>
      </w:pPr>
    </w:p>
    <w:p w:rsidR="00414610" w:rsidP="00414610" w14:paraId="47657665" w14:textId="77777777">
      <w:pPr>
        <w:rPr>
          <w:szCs w:val="22"/>
        </w:rPr>
      </w:pPr>
      <w:r>
        <w:rPr>
          <w:szCs w:val="22"/>
        </w:rPr>
        <w:t>Justin C. Brown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15, 2021</w:t>
      </w:r>
    </w:p>
    <w:p w:rsidR="00414610" w:rsidP="00414610" w14:paraId="1A7BD763" w14:textId="77777777">
      <w:pPr>
        <w:rPr>
          <w:szCs w:val="22"/>
        </w:rPr>
      </w:pPr>
    </w:p>
    <w:p w:rsidR="00414610" w:rsidP="00414610" w14:paraId="1C02AA83" w14:textId="7777777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14610" w:rsidP="00414610" w14:paraId="2D542A40" w14:textId="77777777">
      <w:pPr>
        <w:rPr>
          <w:szCs w:val="22"/>
        </w:rPr>
      </w:pPr>
    </w:p>
    <w:p w:rsidR="0090716D" w14:paraId="1CB16C28" w14:textId="013BFFB7">
      <w:pPr>
        <w:jc w:val="center"/>
        <w:rPr>
          <w:b/>
          <w:sz w:val="24"/>
        </w:rPr>
      </w:pPr>
    </w:p>
    <w:p w:rsidR="0090716D" w14:paraId="5D8EFE7D" w14:textId="77777777">
      <w:bookmarkStart w:id="0" w:name="TOChere"/>
    </w:p>
    <w:p w:rsidR="0090716D" w14:paraId="51C5F7F2" w14:textId="77777777"/>
    <w:p w:rsidR="0090716D" w14:paraId="32C5E664" w14:textId="77777777"/>
    <w:bookmarkEnd w:id="0"/>
    <w:p w:rsidR="00414610" w14:paraId="6D245E3F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0C2AEF0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90716D" w14:paraId="66211A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3EB31D3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418C8A9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625642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0CDC9902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90716D" w14:paraId="05E686E5" w14:textId="2622EA6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0716D" w14:paraId="77D1B64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716D" w14:paraId="40838C8E" w14:textId="6102E3D8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0"/>
    <w:rsid w:val="00414610"/>
    <w:rsid w:val="00427DA9"/>
    <w:rsid w:val="00653DC6"/>
    <w:rsid w:val="00774530"/>
    <w:rsid w:val="0090716D"/>
    <w:rsid w:val="00B20363"/>
    <w:rsid w:val="00C572CC"/>
    <w:rsid w:val="00FB3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1A52F6"/>
  <w15:chartTrackingRefBased/>
  <w15:docId w15:val="{D2D595B9-4CC9-473F-A6AF-647D9E8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1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