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4C2EE3" w14:paraId="12ED8B82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 w14:paraId="3E0DC036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 w14:paraId="3093A41F" w14:textId="77777777">
      <w:pPr>
        <w:pStyle w:val="StyleBoldCentered"/>
      </w:pPr>
      <w:r>
        <w:rPr>
          <w:caps w:val="0"/>
        </w:rPr>
        <w:t>Washington, D.C. 20554</w:t>
      </w:r>
    </w:p>
    <w:p w:rsidR="004C2EE3" w:rsidP="0070224F" w14:paraId="0623A234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61453A44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 w14:paraId="201256CC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14:paraId="7A988288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P="007115F7" w14:paraId="3D993088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Chinese Voice of Golden City</w:t>
            </w:r>
          </w:p>
          <w:p w:rsidR="00832698" w:rsidRPr="007115F7" w:rsidP="007115F7" w14:paraId="47D4A4F9" w14:textId="0AE9FFEB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DKQLS-LP, Las Vegas, Nevada, Facility ID No. 194198</w:t>
            </w:r>
          </w:p>
        </w:tc>
        <w:tc>
          <w:tcPr>
            <w:tcW w:w="630" w:type="dxa"/>
          </w:tcPr>
          <w:p w:rsidR="004C2EE3" w14:paraId="43C9D12E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306A9AB1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04BD4EFF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6D8C462E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396D3FBB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Pr="000825F2" w14:paraId="23A6177B" w14:textId="20B5198E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 w14:paraId="35DF7EF5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14:paraId="5A165C76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4C2EE3" w14:paraId="3F502689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File No. EB-FIELDWR-21-00031760</w:t>
            </w:r>
          </w:p>
          <w:p w:rsidR="00832698" w14:paraId="26E60471" w14:textId="1A32C85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FRN:  0023130925</w:t>
            </w:r>
          </w:p>
        </w:tc>
      </w:tr>
    </w:tbl>
    <w:p w:rsidR="004C2EE3" w:rsidP="0070224F" w14:paraId="37D92D07" w14:textId="77777777"/>
    <w:p w:rsidR="00841AB1" w:rsidP="00F021FA" w14:paraId="21A135B8" w14:textId="05C86203">
      <w:pPr>
        <w:pStyle w:val="StyleBoldCentered"/>
      </w:pPr>
      <w:r>
        <w:t>Order</w:t>
      </w:r>
    </w:p>
    <w:p w:rsidR="004C2EE3" w14:paraId="409694F5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133F79" w14:paraId="6BDD4EEC" w14:textId="2E7E0B42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A471F8">
        <w:rPr>
          <w:b/>
          <w:spacing w:val="-2"/>
        </w:rPr>
        <w:t>June 21, 2021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A471F8">
        <w:rPr>
          <w:b/>
          <w:spacing w:val="-2"/>
        </w:rPr>
        <w:t>June 21, 2021</w:t>
      </w:r>
    </w:p>
    <w:p w:rsidR="00822CE0" w14:paraId="24299E5C" w14:textId="77777777"/>
    <w:p w:rsidR="004C2EE3" w14:paraId="6BACF52E" w14:textId="7E63CB0E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832698">
        <w:t xml:space="preserve">Chief, Enforcement Bureau: </w:t>
      </w:r>
    </w:p>
    <w:p w:rsidR="00412FC5" w:rsidP="00427F6B" w14:paraId="66CD6EEE" w14:textId="0F3C4FD4">
      <w:pPr>
        <w:pStyle w:val="Heading1"/>
        <w:numPr>
          <w:ilvl w:val="0"/>
          <w:numId w:val="0"/>
        </w:numPr>
      </w:pPr>
    </w:p>
    <w:p w:rsidR="00427F6B" w:rsidP="00427F6B" w14:paraId="6BE0196D" w14:textId="6EAEF9EC">
      <w:pPr>
        <w:pStyle w:val="ParaNum"/>
      </w:pPr>
      <w:r>
        <w:t xml:space="preserve">On November 19, 2019, the </w:t>
      </w:r>
      <w:r w:rsidR="00DE2BF7">
        <w:t xml:space="preserve">Media Bureau </w:t>
      </w:r>
      <w:r>
        <w:t xml:space="preserve">notified </w:t>
      </w:r>
      <w:r w:rsidR="00203B30">
        <w:t>Chinese Voice of Golden City (CVGC)</w:t>
      </w:r>
      <w:r>
        <w:t xml:space="preserve"> that its license for </w:t>
      </w:r>
      <w:r w:rsidR="00203B30">
        <w:t>station DKQLS-LP, Las Vegas, Nevada, Facility ID No. 194198 (Station)</w:t>
      </w:r>
      <w:r>
        <w:t xml:space="preserve"> had expired pursuant to section 312(g) of the Act.</w:t>
      </w:r>
      <w:r>
        <w:rPr>
          <w:rStyle w:val="FootnoteReference"/>
        </w:rPr>
        <w:footnoteReference w:id="3"/>
      </w:r>
      <w:r>
        <w:t xml:space="preserve">  On April 23, 2021, </w:t>
      </w:r>
      <w:r w:rsidR="00A61A40">
        <w:t xml:space="preserve">the Enforcement Bureau </w:t>
      </w:r>
      <w:r w:rsidR="00856F56">
        <w:t xml:space="preserve">(Bureau) </w:t>
      </w:r>
      <w:r w:rsidR="00A61A40">
        <w:t xml:space="preserve">sent a </w:t>
      </w:r>
      <w:r>
        <w:t>Letter of Inquiry</w:t>
      </w:r>
      <w:r w:rsidR="00A61A40">
        <w:t xml:space="preserve"> (LOI)</w:t>
      </w:r>
      <w:r>
        <w:t xml:space="preserve"> </w:t>
      </w:r>
      <w:r w:rsidR="00A61A40">
        <w:t xml:space="preserve">to CVGC </w:t>
      </w:r>
      <w:r w:rsidR="00B17B07">
        <w:t>regard</w:t>
      </w:r>
      <w:r w:rsidR="00A61A40">
        <w:t>ing whether it had continued to operate the Station after its license expired.</w:t>
      </w:r>
      <w:r>
        <w:rPr>
          <w:rStyle w:val="FootnoteReference"/>
        </w:rPr>
        <w:footnoteReference w:id="4"/>
      </w:r>
      <w:r w:rsidR="00A61A40">
        <w:t xml:space="preserve">  </w:t>
      </w:r>
      <w:r>
        <w:t xml:space="preserve">On May 10, 2021, CVGC </w:t>
      </w:r>
      <w:r w:rsidR="0021261A">
        <w:t xml:space="preserve">filed with the Commission </w:t>
      </w:r>
      <w:r w:rsidR="00973819">
        <w:t xml:space="preserve">both </w:t>
      </w:r>
      <w:r w:rsidR="0021261A">
        <w:t xml:space="preserve">a </w:t>
      </w:r>
      <w:r w:rsidR="004B640C">
        <w:t xml:space="preserve">Motion to Quash </w:t>
      </w:r>
      <w:r w:rsidR="0023384C">
        <w:t xml:space="preserve">the </w:t>
      </w:r>
      <w:r w:rsidR="00A61A40">
        <w:t>LOI</w:t>
      </w:r>
      <w:r w:rsidR="00F66F60">
        <w:t xml:space="preserve"> </w:t>
      </w:r>
      <w:r w:rsidR="0023384C">
        <w:t>and a Motion for Stay</w:t>
      </w:r>
      <w:r>
        <w:rPr>
          <w:rStyle w:val="FootnoteReference"/>
        </w:rPr>
        <w:footnoteReference w:id="5"/>
      </w:r>
      <w:r w:rsidR="0023384C">
        <w:t xml:space="preserve"> of the Bureau’s investigation into whether </w:t>
      </w:r>
      <w:r w:rsidR="00276163">
        <w:t>CVGC violated the Communications Act of 1934, as amended</w:t>
      </w:r>
      <w:r w:rsidR="007969B1">
        <w:t xml:space="preserve"> (Act),</w:t>
      </w:r>
      <w:r>
        <w:rPr>
          <w:rStyle w:val="FootnoteReference"/>
        </w:rPr>
        <w:footnoteReference w:id="6"/>
      </w:r>
      <w:r w:rsidR="00276163">
        <w:t xml:space="preserve"> </w:t>
      </w:r>
      <w:r w:rsidR="007969B1">
        <w:t>and</w:t>
      </w:r>
      <w:r w:rsidR="00276163">
        <w:t xml:space="preserve"> the Commission’s rules by continuing to operate the Station</w:t>
      </w:r>
      <w:r w:rsidR="00597BE0">
        <w:t>.</w:t>
      </w:r>
      <w:r w:rsidR="00BC667A">
        <w:t xml:space="preserve"> </w:t>
      </w:r>
      <w:r w:rsidR="00057AC5">
        <w:t xml:space="preserve"> For the reasons set forth below, we </w:t>
      </w:r>
      <w:r w:rsidR="00526340">
        <w:t xml:space="preserve">(a) </w:t>
      </w:r>
      <w:r w:rsidR="00057AC5">
        <w:t xml:space="preserve">dismiss the Motion to Quash as procedurally defective </w:t>
      </w:r>
      <w:r w:rsidR="002F6571">
        <w:t>and otherwise deny it</w:t>
      </w:r>
      <w:r w:rsidR="00526340">
        <w:t xml:space="preserve">, and (b) </w:t>
      </w:r>
      <w:r w:rsidR="00B17B07">
        <w:t xml:space="preserve">deny </w:t>
      </w:r>
      <w:r w:rsidR="00526340">
        <w:t xml:space="preserve">the Motion for Stay.  </w:t>
      </w:r>
    </w:p>
    <w:p w:rsidR="00526340" w:rsidP="00E21482" w14:paraId="73A0F822" w14:textId="0D98CD57">
      <w:pPr>
        <w:pStyle w:val="ParaNum"/>
        <w:widowControl/>
      </w:pPr>
      <w:r>
        <w:t xml:space="preserve">CVGC </w:t>
      </w:r>
      <w:r w:rsidR="004D370E">
        <w:t>brings its Motion to Quash under section 1.334 of the Commission’s rules</w:t>
      </w:r>
      <w:r w:rsidR="00B1341B">
        <w:t>, which, on its face, applies only to subpoenas.</w:t>
      </w:r>
      <w:r>
        <w:rPr>
          <w:rStyle w:val="FootnoteReference"/>
        </w:rPr>
        <w:footnoteReference w:id="7"/>
      </w:r>
      <w:r w:rsidR="004D370E">
        <w:t xml:space="preserve">  </w:t>
      </w:r>
      <w:r w:rsidR="0067674C">
        <w:t xml:space="preserve">The Bureau issued </w:t>
      </w:r>
      <w:r w:rsidR="00A61A40">
        <w:t xml:space="preserve">the </w:t>
      </w:r>
      <w:r w:rsidR="0067674C">
        <w:t xml:space="preserve">LOI </w:t>
      </w:r>
      <w:r w:rsidR="003968B9">
        <w:t xml:space="preserve">pursuant to sections </w:t>
      </w:r>
      <w:r w:rsidR="004D6F61">
        <w:t>4(i), 4(j) and 403 of the Act</w:t>
      </w:r>
      <w:r w:rsidR="00A61A40">
        <w:t>,</w:t>
      </w:r>
      <w:r w:rsidR="004D6F61">
        <w:t xml:space="preserve"> </w:t>
      </w:r>
      <w:r w:rsidR="0067674C">
        <w:t xml:space="preserve">not under its subpoena power </w:t>
      </w:r>
      <w:r w:rsidR="00D958C2">
        <w:t>in section 409(e) of the Act.</w:t>
      </w:r>
      <w:r>
        <w:rPr>
          <w:rStyle w:val="FootnoteReference"/>
        </w:rPr>
        <w:footnoteReference w:id="8"/>
      </w:r>
      <w:r w:rsidR="00D958C2">
        <w:t xml:space="preserve"> </w:t>
      </w:r>
      <w:r w:rsidR="007C47A0">
        <w:t xml:space="preserve"> Because section 1.334 is specific to subpoenas, and because </w:t>
      </w:r>
      <w:r w:rsidR="00A61A40">
        <w:t>the LOI</w:t>
      </w:r>
      <w:r w:rsidR="007C47A0">
        <w:t xml:space="preserve"> is not a subpoena, the Motion to </w:t>
      </w:r>
      <w:r w:rsidR="007E3138">
        <w:t xml:space="preserve">Quash is procedurally defective and </w:t>
      </w:r>
      <w:r w:rsidR="000502E7">
        <w:t>we</w:t>
      </w:r>
      <w:r w:rsidR="007E3138">
        <w:t xml:space="preserve"> therefore dismiss</w:t>
      </w:r>
      <w:r w:rsidR="007E1C5F">
        <w:t xml:space="preserve"> it</w:t>
      </w:r>
      <w:r w:rsidR="007E3138">
        <w:t xml:space="preserve">.  </w:t>
      </w:r>
    </w:p>
    <w:p w:rsidR="00A61A40" w:rsidP="008F1CCB" w14:paraId="4E25AFEB" w14:textId="66191369">
      <w:pPr>
        <w:pStyle w:val="ParaNum"/>
      </w:pPr>
      <w:r>
        <w:t>We also deny</w:t>
      </w:r>
      <w:r w:rsidR="005018D8">
        <w:t>, on alternate and independent grounds,</w:t>
      </w:r>
      <w:r>
        <w:t xml:space="preserve"> the substantive legal arguments set forth in the Motion to Quash. </w:t>
      </w:r>
      <w:r w:rsidR="00B94525">
        <w:t xml:space="preserve"> The Motion to Quash </w:t>
      </w:r>
      <w:r w:rsidR="00561CD0">
        <w:t xml:space="preserve">enumerates nine overlapping arguments, which </w:t>
      </w:r>
      <w:r w:rsidR="005F5A10">
        <w:t xml:space="preserve">effectively set forth </w:t>
      </w:r>
      <w:r w:rsidR="0003789C">
        <w:t>four</w:t>
      </w:r>
      <w:r w:rsidR="005F5A10">
        <w:t xml:space="preserve"> legal claims</w:t>
      </w:r>
      <w:r w:rsidR="00003131">
        <w:t xml:space="preserve">.  </w:t>
      </w:r>
      <w:r w:rsidRPr="005018D8" w:rsidR="00003131">
        <w:rPr>
          <w:i/>
          <w:iCs/>
        </w:rPr>
        <w:t>First</w:t>
      </w:r>
      <w:r w:rsidR="00003131">
        <w:t>, the Motion to Quash argues that</w:t>
      </w:r>
      <w:r w:rsidR="007E7461">
        <w:t xml:space="preserve"> the Bureau lacks jurisdiction to investigate CVGC’s conduct in light of its </w:t>
      </w:r>
      <w:r w:rsidR="00561CD0">
        <w:t xml:space="preserve">pending appeal </w:t>
      </w:r>
      <w:r w:rsidR="00221214">
        <w:t>to the</w:t>
      </w:r>
      <w:r w:rsidR="0069247C">
        <w:t xml:space="preserve"> United States Court of Appeals for the District of Columbia Circuit</w:t>
      </w:r>
      <w:r w:rsidR="00221214">
        <w:t xml:space="preserve"> </w:t>
      </w:r>
      <w:r w:rsidR="00561CD0">
        <w:t>of the Commission’s</w:t>
      </w:r>
      <w:r w:rsidR="00341E88">
        <w:rPr>
          <w:i/>
          <w:iCs/>
        </w:rPr>
        <w:t xml:space="preserve"> </w:t>
      </w:r>
      <w:r w:rsidR="00FB2DB1">
        <w:t xml:space="preserve">determination </w:t>
      </w:r>
      <w:r w:rsidR="00DE2BF7">
        <w:t xml:space="preserve">on further review of the Media Bureau’s orders </w:t>
      </w:r>
      <w:r w:rsidR="00FB2DB1">
        <w:t xml:space="preserve">that the Station’s license </w:t>
      </w:r>
      <w:r w:rsidR="00DE2BF7">
        <w:t xml:space="preserve">had </w:t>
      </w:r>
      <w:r w:rsidR="00FB2DB1">
        <w:t>expired pursuant to section 312(g) of the Act</w:t>
      </w:r>
      <w:r w:rsidR="00003131">
        <w:t>.</w:t>
      </w:r>
      <w:r>
        <w:rPr>
          <w:rStyle w:val="FootnoteReference"/>
        </w:rPr>
        <w:footnoteReference w:id="9"/>
      </w:r>
      <w:r w:rsidR="00003131">
        <w:t xml:space="preserve">  We </w:t>
      </w:r>
      <w:r w:rsidR="00B17B07">
        <w:t>disagree</w:t>
      </w:r>
      <w:r w:rsidR="002E3FB1">
        <w:t>.</w:t>
      </w:r>
      <w:r w:rsidR="001E7640">
        <w:t xml:space="preserve">  </w:t>
      </w:r>
      <w:r w:rsidR="00EB5902">
        <w:t>T</w:t>
      </w:r>
      <w:r w:rsidR="002E69EF">
        <w:t xml:space="preserve">he </w:t>
      </w:r>
      <w:r w:rsidR="00DE2BF7">
        <w:t>Notification Letter</w:t>
      </w:r>
      <w:r w:rsidR="00DE2BF7">
        <w:rPr>
          <w:i/>
          <w:iCs/>
        </w:rPr>
        <w:t xml:space="preserve"> </w:t>
      </w:r>
      <w:r w:rsidR="00DE2BF7">
        <w:t>took</w:t>
      </w:r>
      <w:r w:rsidR="00EB5902">
        <w:t xml:space="preserve"> </w:t>
      </w:r>
      <w:r w:rsidR="00735A2E">
        <w:t>effect</w:t>
      </w:r>
      <w:r w:rsidR="00DE2BF7">
        <w:t xml:space="preserve"> on release</w:t>
      </w:r>
      <w:r w:rsidR="00735A2E">
        <w:t xml:space="preserve">, and CVGC’s license </w:t>
      </w:r>
      <w:r w:rsidR="00EB5902">
        <w:t xml:space="preserve">has </w:t>
      </w:r>
      <w:r w:rsidR="00735A2E">
        <w:t>expired.</w:t>
      </w:r>
      <w:r>
        <w:rPr>
          <w:rStyle w:val="FootnoteReference"/>
        </w:rPr>
        <w:footnoteReference w:id="10"/>
      </w:r>
      <w:r w:rsidR="00735A2E">
        <w:t xml:space="preserve">  Further, a</w:t>
      </w:r>
      <w:r w:rsidRPr="00735A2E" w:rsidR="00424C13">
        <w:t>lthough</w:t>
      </w:r>
      <w:r w:rsidR="00424C13">
        <w:t xml:space="preserve"> the </w:t>
      </w:r>
      <w:r w:rsidR="004C1FAA">
        <w:t xml:space="preserve">LOI </w:t>
      </w:r>
      <w:r w:rsidR="00521576">
        <w:t xml:space="preserve">asks whether CVGC operated the station after the Station’s license expired, </w:t>
      </w:r>
      <w:r w:rsidR="00B72F16">
        <w:t xml:space="preserve">it also </w:t>
      </w:r>
      <w:r w:rsidR="00521576">
        <w:t xml:space="preserve">seeks information </w:t>
      </w:r>
      <w:r w:rsidR="001A1294">
        <w:t xml:space="preserve">that the Bureau needs to assess whether such operations complied with the Commission’s rules pertaining to </w:t>
      </w:r>
      <w:r w:rsidR="008E0F33">
        <w:t xml:space="preserve">low power FM radio stations.  </w:t>
      </w:r>
      <w:r w:rsidR="001A1294">
        <w:t xml:space="preserve">For example, the LOI seeks information regarding the Station’s power output, location, and </w:t>
      </w:r>
      <w:r w:rsidR="002A7AE3">
        <w:t xml:space="preserve">its participation </w:t>
      </w:r>
      <w:r w:rsidR="006C0B7A">
        <w:t>the Emergency Alert System</w:t>
      </w:r>
      <w:r w:rsidR="002A7AE3">
        <w:t>.</w:t>
      </w:r>
      <w:r>
        <w:rPr>
          <w:rStyle w:val="FootnoteReference"/>
        </w:rPr>
        <w:footnoteReference w:id="11"/>
      </w:r>
      <w:r w:rsidR="00F44CC9">
        <w:t xml:space="preserve">  Accordingly, the </w:t>
      </w:r>
      <w:r w:rsidR="00AF36CA">
        <w:t xml:space="preserve">Bureau’s investigation of CVGC through the LOI </w:t>
      </w:r>
      <w:r w:rsidR="004C1FAA">
        <w:t xml:space="preserve">is </w:t>
      </w:r>
      <w:r w:rsidR="00696D42">
        <w:t>distinct</w:t>
      </w:r>
      <w:r w:rsidR="004C1FAA">
        <w:t xml:space="preserve"> from the matter before the court</w:t>
      </w:r>
      <w:r w:rsidR="007831BB">
        <w:t>,</w:t>
      </w:r>
      <w:r w:rsidR="004C1FAA">
        <w:t xml:space="preserve"> and therefore does not conflict with the court’s review.  </w:t>
      </w:r>
    </w:p>
    <w:p w:rsidR="00B17B07" w:rsidP="008F1CCB" w14:paraId="4015D72C" w14:textId="1C3FFC96">
      <w:pPr>
        <w:pStyle w:val="ParaNum"/>
      </w:pPr>
      <w:r>
        <w:rPr>
          <w:i/>
          <w:iCs/>
        </w:rPr>
        <w:t xml:space="preserve">Second, </w:t>
      </w:r>
      <w:r w:rsidR="005030F6">
        <w:t xml:space="preserve">the Motion to Quash argues that the LOI is </w:t>
      </w:r>
      <w:r w:rsidR="0003789C">
        <w:t>threatening</w:t>
      </w:r>
      <w:r w:rsidR="00341E88">
        <w:t xml:space="preserve">, </w:t>
      </w:r>
      <w:r w:rsidR="0003789C">
        <w:t>coercive</w:t>
      </w:r>
      <w:r w:rsidR="00F37222">
        <w:t>,</w:t>
      </w:r>
      <w:r w:rsidR="005030F6">
        <w:t xml:space="preserve"> and is meant to thwart CVGC’s ability to seek </w:t>
      </w:r>
      <w:r w:rsidR="00341E88">
        <w:t xml:space="preserve">judicial </w:t>
      </w:r>
      <w:r w:rsidR="005030F6">
        <w:t>review</w:t>
      </w:r>
      <w:r w:rsidR="00677DAF">
        <w:t>.</w:t>
      </w:r>
      <w:r>
        <w:rPr>
          <w:rStyle w:val="FootnoteReference"/>
        </w:rPr>
        <w:footnoteReference w:id="12"/>
      </w:r>
      <w:r w:rsidR="00677DAF">
        <w:t xml:space="preserve">  We reject this argument</w:t>
      </w:r>
      <w:r w:rsidR="00F37222">
        <w:t>.  T</w:t>
      </w:r>
      <w:r w:rsidRPr="00D67931" w:rsidR="004C1FAA">
        <w:t>he</w:t>
      </w:r>
      <w:r w:rsidR="004C1FAA">
        <w:t xml:space="preserve"> LOI merely seeks information regarding CVGC’s conduct;</w:t>
      </w:r>
      <w:r>
        <w:rPr>
          <w:rStyle w:val="FootnoteReference"/>
        </w:rPr>
        <w:footnoteReference w:id="13"/>
      </w:r>
      <w:r w:rsidR="004C1FAA">
        <w:t xml:space="preserve"> it does not</w:t>
      </w:r>
      <w:r w:rsidR="00062ED2">
        <w:t xml:space="preserve"> order</w:t>
      </w:r>
      <w:r w:rsidR="004C1FAA">
        <w:t xml:space="preserve"> CVGC to cease operating the Station, nor does it </w:t>
      </w:r>
      <w:r w:rsidR="0002073F">
        <w:t xml:space="preserve">propose </w:t>
      </w:r>
      <w:r w:rsidR="004C1FAA">
        <w:t xml:space="preserve">forfeitures </w:t>
      </w:r>
      <w:r w:rsidR="0002073F">
        <w:t xml:space="preserve">pursuant to </w:t>
      </w:r>
      <w:r w:rsidR="00010BA3">
        <w:t xml:space="preserve">section </w:t>
      </w:r>
      <w:r w:rsidR="0002073F">
        <w:t xml:space="preserve">503(b) of the Act for apparent liability </w:t>
      </w:r>
      <w:r w:rsidR="004C1FAA">
        <w:t>or make findings that the company violated the Act or the Commission’s rules</w:t>
      </w:r>
      <w:r w:rsidR="00677DAF">
        <w:t>.</w:t>
      </w:r>
      <w:r>
        <w:rPr>
          <w:rStyle w:val="FootnoteReference"/>
        </w:rPr>
        <w:footnoteReference w:id="14"/>
      </w:r>
      <w:r w:rsidR="00677DAF">
        <w:t xml:space="preserve">  </w:t>
      </w:r>
    </w:p>
    <w:p w:rsidR="00B17B07" w:rsidP="008F1CCB" w14:paraId="10066FAD" w14:textId="488C39B2">
      <w:pPr>
        <w:pStyle w:val="ParaNum"/>
      </w:pPr>
      <w:r>
        <w:rPr>
          <w:i/>
          <w:iCs/>
        </w:rPr>
        <w:t>Third,</w:t>
      </w:r>
      <w:r>
        <w:t xml:space="preserve"> the Motion to Quash asserts that </w:t>
      </w:r>
      <w:r w:rsidR="0041423A">
        <w:t>CVGC has a right to continue to operate the Station pending the resolution of its appeal</w:t>
      </w:r>
      <w:r>
        <w:t>.</w:t>
      </w:r>
      <w:r>
        <w:rPr>
          <w:rStyle w:val="FootnoteReference"/>
        </w:rPr>
        <w:footnoteReference w:id="15"/>
      </w:r>
      <w:r>
        <w:t xml:space="preserve">  We reject this argument as premature.  </w:t>
      </w:r>
      <w:r w:rsidR="00C66E2F">
        <w:t xml:space="preserve">The Bureau presently lacks sufficient information to make a determination as to whether </w:t>
      </w:r>
      <w:r>
        <w:t xml:space="preserve">CVGC operated </w:t>
      </w:r>
      <w:r w:rsidR="00C66E2F">
        <w:t xml:space="preserve">the Station </w:t>
      </w:r>
      <w:r w:rsidR="00C52D29">
        <w:t xml:space="preserve">following the expiration of its license and, if so, whether it lacked the authority to do so.  Were the Bureau to take any position regarding this argument, </w:t>
      </w:r>
      <w:r w:rsidR="00E92A08">
        <w:t xml:space="preserve">it would effectively pre-judge its own investigation.  </w:t>
      </w:r>
    </w:p>
    <w:p w:rsidR="00061A1B" w:rsidP="008F1CCB" w14:paraId="31BE175C" w14:textId="5A0DF47C">
      <w:pPr>
        <w:pStyle w:val="ParaNum"/>
      </w:pPr>
      <w:r>
        <w:rPr>
          <w:i/>
          <w:iCs/>
        </w:rPr>
        <w:t>Fourth</w:t>
      </w:r>
      <w:r>
        <w:t xml:space="preserve">, the Motion to Quash asserts that </w:t>
      </w:r>
      <w:r w:rsidR="00A40244">
        <w:t xml:space="preserve">granting it would </w:t>
      </w:r>
      <w:r w:rsidR="0041423A">
        <w:t>serve the public interest.</w:t>
      </w:r>
      <w:r>
        <w:rPr>
          <w:rStyle w:val="FootnoteReference"/>
        </w:rPr>
        <w:footnoteReference w:id="16"/>
      </w:r>
      <w:r w:rsidR="0041423A">
        <w:t xml:space="preserve">  </w:t>
      </w:r>
      <w:r w:rsidR="00B17B07">
        <w:t>Not so</w:t>
      </w:r>
      <w:r w:rsidR="00A40244">
        <w:t xml:space="preserve">.  </w:t>
      </w:r>
      <w:r w:rsidR="00CA126D">
        <w:t xml:space="preserve">Congress has tasked the Commission with the management of radio spectrum </w:t>
      </w:r>
      <w:r w:rsidR="00251649">
        <w:t>and has authorized it to enforce its rules.</w:t>
      </w:r>
      <w:r>
        <w:rPr>
          <w:rStyle w:val="FootnoteReference"/>
        </w:rPr>
        <w:footnoteReference w:id="17"/>
      </w:r>
      <w:r w:rsidR="00251649">
        <w:t xml:space="preserve">  Were we to grant CVGC’s motion, it would </w:t>
      </w:r>
      <w:r w:rsidR="00425C7D">
        <w:t>set a pr</w:t>
      </w:r>
      <w:r w:rsidR="00B11305">
        <w:t xml:space="preserve">ecedent that would enable </w:t>
      </w:r>
      <w:r w:rsidR="00B17B07">
        <w:t xml:space="preserve">all </w:t>
      </w:r>
      <w:r w:rsidR="00813CAD">
        <w:t xml:space="preserve">appellants </w:t>
      </w:r>
      <w:r w:rsidR="00055406">
        <w:t xml:space="preserve">in licensing matters to </w:t>
      </w:r>
      <w:r w:rsidR="001A1C47">
        <w:t xml:space="preserve">avoid </w:t>
      </w:r>
      <w:r w:rsidR="004C27F1">
        <w:t xml:space="preserve">any </w:t>
      </w:r>
      <w:r w:rsidR="001A1C47">
        <w:t xml:space="preserve">scrutiny of their conduct pending the outcome of their appeal.  </w:t>
      </w:r>
      <w:r w:rsidR="006E220F">
        <w:t xml:space="preserve">  </w:t>
      </w:r>
    </w:p>
    <w:p w:rsidR="0017321B" w:rsidP="00EE6D81" w14:paraId="40EA71EC" w14:textId="35E3191B">
      <w:pPr>
        <w:pStyle w:val="ParaNum"/>
        <w:widowControl/>
      </w:pPr>
      <w:r>
        <w:t xml:space="preserve">Turning to the Motion for Stay, </w:t>
      </w:r>
      <w:r w:rsidR="00C47113">
        <w:t xml:space="preserve">CVGC </w:t>
      </w:r>
      <w:r w:rsidR="002C4651">
        <w:t xml:space="preserve">bases its motion on its likelihood to prevail both in its Motion to Quash and in its pending appeal </w:t>
      </w:r>
      <w:r w:rsidR="00CB7DDE">
        <w:t xml:space="preserve">of the </w:t>
      </w:r>
      <w:r w:rsidR="008C41F2">
        <w:rPr>
          <w:i/>
          <w:iCs/>
        </w:rPr>
        <w:t>Review Order</w:t>
      </w:r>
      <w:r w:rsidR="00CB7DDE">
        <w:t>.</w:t>
      </w:r>
      <w:r>
        <w:rPr>
          <w:rStyle w:val="FootnoteReference"/>
        </w:rPr>
        <w:footnoteReference w:id="18"/>
      </w:r>
      <w:r w:rsidR="00CB7DDE">
        <w:t xml:space="preserve">  Having dismissed and otherwise </w:t>
      </w:r>
      <w:r w:rsidR="00CB7DDE">
        <w:t xml:space="preserve">denied the Motion to Quash, </w:t>
      </w:r>
      <w:r w:rsidR="0032384D">
        <w:t>CVGC’s arguments regarding its likelihood of prevailing in that motion are</w:t>
      </w:r>
      <w:r w:rsidR="00650590">
        <w:t xml:space="preserve"> </w:t>
      </w:r>
      <w:r w:rsidR="001238F6">
        <w:t>moot</w:t>
      </w:r>
      <w:r w:rsidR="0032384D">
        <w:t xml:space="preserve">.  </w:t>
      </w:r>
      <w:r w:rsidR="0088748D">
        <w:t xml:space="preserve">CVGC’s appeal of the </w:t>
      </w:r>
      <w:r w:rsidR="008C41F2">
        <w:rPr>
          <w:i/>
          <w:iCs/>
        </w:rPr>
        <w:t>Review Order</w:t>
      </w:r>
      <w:r w:rsidR="0088748D">
        <w:t xml:space="preserve"> </w:t>
      </w:r>
      <w:r w:rsidR="009C51DD">
        <w:t xml:space="preserve">does not prevent the Bureau from investigating the facts surrounding </w:t>
      </w:r>
      <w:r w:rsidR="00411B1C">
        <w:t xml:space="preserve">CVGC’s alleged </w:t>
      </w:r>
      <w:r w:rsidR="00DB3CFC">
        <w:t xml:space="preserve">operation of the Station </w:t>
      </w:r>
      <w:r w:rsidR="00B17B07">
        <w:t>after</w:t>
      </w:r>
      <w:r w:rsidR="008E6C23">
        <w:t xml:space="preserve"> the </w:t>
      </w:r>
      <w:r w:rsidR="00296E65">
        <w:t xml:space="preserve">expiration of the Station’s license.  </w:t>
      </w:r>
      <w:r w:rsidR="00FA5D20">
        <w:t>E</w:t>
      </w:r>
      <w:r w:rsidR="00E140A4">
        <w:t xml:space="preserve">ven </w:t>
      </w:r>
      <w:r w:rsidR="00FA5D20">
        <w:t xml:space="preserve">if </w:t>
      </w:r>
      <w:r w:rsidR="00E140A4">
        <w:t xml:space="preserve">CVGC prevails in its appeal, </w:t>
      </w:r>
      <w:r w:rsidR="009740AD">
        <w:t>the Bureau has a basis to investigate CVGC’s compliance with the Commission’s service rules pertaining to the Station</w:t>
      </w:r>
      <w:r w:rsidR="00701CCA">
        <w:t>.</w:t>
      </w:r>
      <w:r w:rsidR="003D628D">
        <w:t xml:space="preserve"> </w:t>
      </w:r>
      <w:r w:rsidR="00515920">
        <w:t xml:space="preserve"> </w:t>
      </w:r>
      <w:r w:rsidR="0096558A">
        <w:t xml:space="preserve">We therefore </w:t>
      </w:r>
      <w:r w:rsidR="00B17B07">
        <w:t xml:space="preserve">deny </w:t>
      </w:r>
      <w:r w:rsidR="0096558A">
        <w:t>the Motion for Stay</w:t>
      </w:r>
      <w:r w:rsidR="009615D2">
        <w:t xml:space="preserve">.  </w:t>
      </w:r>
    </w:p>
    <w:p w:rsidR="009615D2" w:rsidP="002A7512" w14:paraId="273BA805" w14:textId="2F70A6A8">
      <w:pPr>
        <w:pStyle w:val="ParaNum"/>
        <w:widowControl/>
      </w:pPr>
      <w:r>
        <w:t xml:space="preserve">Accordingly, </w:t>
      </w:r>
      <w:r w:rsidR="003625E1">
        <w:rPr>
          <w:b/>
          <w:bCs/>
        </w:rPr>
        <w:t>IT IS ORDERED</w:t>
      </w:r>
      <w:r w:rsidR="003625E1">
        <w:t xml:space="preserve"> that, pursuant to section</w:t>
      </w:r>
      <w:r w:rsidR="0027723C">
        <w:t>s</w:t>
      </w:r>
      <w:r w:rsidR="003625E1">
        <w:t xml:space="preserve"> </w:t>
      </w:r>
      <w:r w:rsidR="0027723C">
        <w:t>4(i)</w:t>
      </w:r>
      <w:r w:rsidR="006E24FA">
        <w:t>,</w:t>
      </w:r>
      <w:r w:rsidR="0027723C">
        <w:t xml:space="preserve"> 4(j)</w:t>
      </w:r>
      <w:r w:rsidR="006E24FA">
        <w:t xml:space="preserve"> and 403</w:t>
      </w:r>
      <w:r w:rsidR="003625E1">
        <w:t xml:space="preserve"> of the Act,</w:t>
      </w:r>
      <w:r>
        <w:rPr>
          <w:rStyle w:val="FootnoteReference"/>
        </w:rPr>
        <w:footnoteReference w:id="19"/>
      </w:r>
      <w:r w:rsidR="003625E1">
        <w:t xml:space="preserve"> </w:t>
      </w:r>
      <w:r w:rsidR="00D757F0">
        <w:t>the Motion to Quash</w:t>
      </w:r>
      <w:r w:rsidR="003609E1">
        <w:t xml:space="preserve"> filed by Chinese Voice of Golden City </w:t>
      </w:r>
      <w:r w:rsidR="00FD6C34">
        <w:t>is hereby</w:t>
      </w:r>
      <w:r w:rsidR="003609E1">
        <w:t xml:space="preserve"> </w:t>
      </w:r>
      <w:r w:rsidRPr="004E49B6" w:rsidR="003609E1">
        <w:rPr>
          <w:b/>
          <w:bCs/>
        </w:rPr>
        <w:t>DISMISSED</w:t>
      </w:r>
      <w:r w:rsidR="003609E1">
        <w:t xml:space="preserve"> </w:t>
      </w:r>
      <w:r w:rsidR="00FD6C34">
        <w:t xml:space="preserve">and otherwise </w:t>
      </w:r>
      <w:r w:rsidRPr="004E49B6" w:rsidR="00FD6C34">
        <w:rPr>
          <w:b/>
          <w:bCs/>
        </w:rPr>
        <w:t>DENIED</w:t>
      </w:r>
      <w:r w:rsidR="00FD6C34">
        <w:t>.</w:t>
      </w:r>
    </w:p>
    <w:p w:rsidR="00900494" w:rsidP="008F1CCB" w14:paraId="3FEFFCBF" w14:textId="75ECEB37">
      <w:pPr>
        <w:pStyle w:val="ParaNum"/>
      </w:pPr>
      <w:r>
        <w:rPr>
          <w:b/>
          <w:bCs/>
        </w:rPr>
        <w:t>IT IS FURTHER ORDERED</w:t>
      </w:r>
      <w:r>
        <w:t xml:space="preserve"> that, pursuant to section</w:t>
      </w:r>
      <w:r w:rsidR="00B75064">
        <w:t>s 4(i)</w:t>
      </w:r>
      <w:r w:rsidR="006E24FA">
        <w:t>,</w:t>
      </w:r>
      <w:r w:rsidR="00B75064">
        <w:t xml:space="preserve"> 4(j)</w:t>
      </w:r>
      <w:r w:rsidR="006E24FA">
        <w:t>, and 403</w:t>
      </w:r>
      <w:r w:rsidR="00B75064">
        <w:t xml:space="preserve"> </w:t>
      </w:r>
      <w:r>
        <w:t>of the Act,</w:t>
      </w:r>
      <w:r>
        <w:rPr>
          <w:rStyle w:val="FootnoteReference"/>
        </w:rPr>
        <w:footnoteReference w:id="20"/>
      </w:r>
      <w:r>
        <w:t xml:space="preserve"> </w:t>
      </w:r>
      <w:r w:rsidR="008E7DED">
        <w:t xml:space="preserve">the Motion for Stay </w:t>
      </w:r>
      <w:r w:rsidR="004E49B6">
        <w:t xml:space="preserve">filed by Chinese Voice of Golden City </w:t>
      </w:r>
      <w:r w:rsidR="008E7DED">
        <w:t xml:space="preserve">is </w:t>
      </w:r>
      <w:r w:rsidRPr="004E49B6" w:rsidR="008E7DED">
        <w:rPr>
          <w:b/>
          <w:bCs/>
        </w:rPr>
        <w:t>DENIED</w:t>
      </w:r>
      <w:r w:rsidR="008E7DED">
        <w:t>.</w:t>
      </w:r>
    </w:p>
    <w:p w:rsidR="004E49B6" w:rsidP="008F1CCB" w14:paraId="602A12B4" w14:textId="25914850">
      <w:pPr>
        <w:pStyle w:val="ParaNum"/>
      </w:pPr>
      <w:r>
        <w:rPr>
          <w:b/>
          <w:bCs/>
        </w:rPr>
        <w:t>IT IS FURTHER ORDERED</w:t>
      </w:r>
      <w:r>
        <w:t xml:space="preserve"> that, pursuant to section</w:t>
      </w:r>
      <w:r w:rsidR="00156AB2">
        <w:t>s 4(i), 4(j), and 403 of the Act</w:t>
      </w:r>
      <w:r>
        <w:t>,</w:t>
      </w:r>
      <w:r>
        <w:rPr>
          <w:rStyle w:val="FootnoteReference"/>
        </w:rPr>
        <w:footnoteReference w:id="21"/>
      </w:r>
      <w:r>
        <w:t xml:space="preserve"> Chinese Voice of Golden City </w:t>
      </w:r>
      <w:r w:rsidRPr="00960778">
        <w:rPr>
          <w:b/>
          <w:bCs/>
        </w:rPr>
        <w:t xml:space="preserve">SHALL </w:t>
      </w:r>
      <w:r w:rsidR="00C27E49">
        <w:rPr>
          <w:b/>
          <w:bCs/>
        </w:rPr>
        <w:t>SUBMIT</w:t>
      </w:r>
      <w:r w:rsidR="00C05BAD">
        <w:rPr>
          <w:b/>
          <w:bCs/>
        </w:rPr>
        <w:t xml:space="preserve"> </w:t>
      </w:r>
      <w:r w:rsidR="00C05BAD">
        <w:t>its response</w:t>
      </w:r>
      <w:r>
        <w:t xml:space="preserve"> to the Bureau’s Letter of Inquiry on or before </w:t>
      </w:r>
      <w:r w:rsidR="00E5031B">
        <w:t>July 6, 2021.</w:t>
      </w:r>
    </w:p>
    <w:p w:rsidR="00FD1DE0" w:rsidP="00DF6A07" w14:paraId="2B7F4061" w14:textId="5D87CDD4">
      <w:pPr>
        <w:pStyle w:val="ParaNum"/>
      </w:pPr>
      <w:r>
        <w:rPr>
          <w:b/>
          <w:bCs/>
        </w:rPr>
        <w:t>IT IS FURTHER ORDERED</w:t>
      </w:r>
      <w:r>
        <w:t xml:space="preserve"> that a copy of this Order shall be sent by first class mail and certified mail, return receipt requested, </w:t>
      </w:r>
      <w:r w:rsidR="00057709">
        <w:t xml:space="preserve">to Bo Tian, President, Chinese Voice of Golden City, </w:t>
      </w:r>
      <w:r w:rsidR="00483813">
        <w:t xml:space="preserve">2801 South Valley View Boulevard, Suite 5E, Las Vegas, Nevada 89102, and to </w:t>
      </w:r>
      <w:r w:rsidR="00402828">
        <w:t xml:space="preserve">James L. Winston, Esq., Rubin, Winston, </w:t>
      </w:r>
      <w:r w:rsidR="00402828">
        <w:t>Diercks</w:t>
      </w:r>
      <w:r w:rsidR="00402828">
        <w:t>, Harris &amp; Cooke, LLP, 1250 Connecticut Avenue, NW, Suite 700</w:t>
      </w:r>
      <w:r w:rsidR="00DF6A07">
        <w:t xml:space="preserve">, </w:t>
      </w:r>
      <w:r w:rsidR="00402828">
        <w:t>Washington, DC 20036</w:t>
      </w:r>
      <w:r w:rsidR="00DF6A07">
        <w:t>.</w:t>
      </w:r>
    </w:p>
    <w:p w:rsidR="00A37535" w:rsidRPr="00DD5E96" w:rsidP="00A37535" w14:paraId="0B896987" w14:textId="77777777">
      <w:r w:rsidRPr="003E07CC">
        <w:rPr>
          <w:szCs w:val="22"/>
        </w:rPr>
        <w:tab/>
      </w:r>
      <w:r w:rsidRPr="003E07CC">
        <w:rPr>
          <w:szCs w:val="22"/>
        </w:rPr>
        <w:tab/>
      </w:r>
      <w:r w:rsidRPr="003E07CC">
        <w:rPr>
          <w:szCs w:val="22"/>
        </w:rPr>
        <w:tab/>
      </w:r>
      <w:r w:rsidRPr="003E07CC">
        <w:rPr>
          <w:szCs w:val="22"/>
        </w:rPr>
        <w:tab/>
      </w:r>
      <w:r w:rsidRPr="003E07CC">
        <w:rPr>
          <w:szCs w:val="22"/>
        </w:rPr>
        <w:tab/>
      </w:r>
      <w:r w:rsidRPr="003E07CC">
        <w:rPr>
          <w:szCs w:val="22"/>
        </w:rPr>
        <w:tab/>
      </w:r>
      <w:r w:rsidRPr="00DD5E96">
        <w:t>FEDERAL COMMUNICATIONS COMMISSION</w:t>
      </w:r>
    </w:p>
    <w:p w:rsidR="00A37535" w:rsidP="00A37535" w14:paraId="31A21505" w14:textId="77777777">
      <w:pPr>
        <w:rPr>
          <w:szCs w:val="22"/>
        </w:rPr>
      </w:pPr>
    </w:p>
    <w:p w:rsidR="00A37535" w:rsidRPr="003E07CC" w:rsidP="00A37535" w14:paraId="320D2467" w14:textId="77777777">
      <w:pPr>
        <w:rPr>
          <w:szCs w:val="22"/>
        </w:rPr>
      </w:pPr>
    </w:p>
    <w:p w:rsidR="00A37535" w:rsidRPr="003E07CC" w:rsidP="00A37535" w14:paraId="3D3A571D" w14:textId="77777777">
      <w:pPr>
        <w:rPr>
          <w:szCs w:val="22"/>
        </w:rPr>
      </w:pPr>
    </w:p>
    <w:p w:rsidR="00A37535" w:rsidRPr="003E07CC" w:rsidP="00A37535" w14:paraId="022CC942" w14:textId="77777777">
      <w:pPr>
        <w:rPr>
          <w:szCs w:val="22"/>
        </w:rPr>
      </w:pPr>
    </w:p>
    <w:p w:rsidR="00A37535" w:rsidRPr="003E07CC" w:rsidP="00A37535" w14:paraId="0B3194AA" w14:textId="77777777">
      <w:pPr>
        <w:rPr>
          <w:szCs w:val="22"/>
        </w:rPr>
      </w:pPr>
    </w:p>
    <w:p w:rsidR="00A37535" w:rsidP="00A37535" w14:paraId="0820ED45" w14:textId="7575CC6C">
      <w:pPr>
        <w:rPr>
          <w:szCs w:val="22"/>
        </w:rPr>
      </w:pPr>
      <w:r w:rsidRPr="003E07CC">
        <w:rPr>
          <w:szCs w:val="22"/>
        </w:rPr>
        <w:tab/>
      </w:r>
      <w:r w:rsidRPr="003E07CC">
        <w:rPr>
          <w:szCs w:val="22"/>
        </w:rPr>
        <w:tab/>
      </w:r>
      <w:r w:rsidRPr="003E07CC">
        <w:rPr>
          <w:szCs w:val="22"/>
        </w:rPr>
        <w:tab/>
      </w:r>
      <w:r w:rsidRPr="003E07CC">
        <w:rPr>
          <w:szCs w:val="22"/>
        </w:rPr>
        <w:tab/>
      </w:r>
      <w:r w:rsidRPr="003E07CC">
        <w:rPr>
          <w:szCs w:val="22"/>
        </w:rPr>
        <w:tab/>
      </w:r>
      <w:r w:rsidRPr="003E07CC">
        <w:rPr>
          <w:szCs w:val="22"/>
        </w:rPr>
        <w:tab/>
      </w:r>
      <w:r>
        <w:rPr>
          <w:szCs w:val="22"/>
        </w:rPr>
        <w:t>Rosemary C. Harold</w:t>
      </w:r>
    </w:p>
    <w:p w:rsidR="00A37535" w:rsidRPr="003E07CC" w:rsidP="00A37535" w14:paraId="433033AF" w14:textId="69D4B20A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Chief</w:t>
      </w:r>
    </w:p>
    <w:p w:rsidR="00A37535" w:rsidRPr="001B6AB2" w:rsidP="00A37535" w14:paraId="723B1A50" w14:textId="43289846">
      <w:pPr>
        <w:rPr>
          <w:szCs w:val="22"/>
        </w:rPr>
      </w:pPr>
      <w:r w:rsidRPr="003E07CC">
        <w:rPr>
          <w:szCs w:val="22"/>
        </w:rPr>
        <w:tab/>
      </w:r>
      <w:r w:rsidRPr="003E07CC">
        <w:rPr>
          <w:szCs w:val="22"/>
        </w:rPr>
        <w:tab/>
      </w:r>
      <w:r w:rsidRPr="003E07CC">
        <w:rPr>
          <w:szCs w:val="22"/>
        </w:rPr>
        <w:tab/>
      </w:r>
      <w:r w:rsidRPr="003E07CC">
        <w:rPr>
          <w:szCs w:val="22"/>
        </w:rPr>
        <w:tab/>
      </w:r>
      <w:r w:rsidRPr="003E07CC">
        <w:rPr>
          <w:szCs w:val="22"/>
        </w:rPr>
        <w:tab/>
      </w:r>
      <w:r w:rsidRPr="003E07CC">
        <w:rPr>
          <w:szCs w:val="22"/>
        </w:rPr>
        <w:tab/>
      </w:r>
      <w:r>
        <w:rPr>
          <w:szCs w:val="22"/>
        </w:rPr>
        <w:t>Enforcement Bureau</w:t>
      </w:r>
    </w:p>
    <w:p w:rsidR="00FD1DE0" w:rsidRPr="00427F6B" w:rsidP="00576CBA" w14:paraId="3DF03740" w14:textId="77777777">
      <w:pPr>
        <w:pStyle w:val="ParaNum"/>
        <w:numPr>
          <w:ilvl w:val="0"/>
          <w:numId w:val="0"/>
        </w:numPr>
      </w:pP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C46F22F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08C5D47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6A461F" w14:paraId="029E452E" w14:textId="31F118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41FE7532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A4B46" w14:paraId="70E5FDC5" w14:textId="77777777">
      <w:r>
        <w:separator/>
      </w:r>
    </w:p>
  </w:footnote>
  <w:footnote w:type="continuationSeparator" w:id="1">
    <w:p w:rsidR="00CA4B46" w:rsidP="00C721AC" w14:paraId="78A3DC2E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CA4B46" w:rsidP="00C721AC" w14:paraId="3B3B93FE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E30E3B" w:rsidP="00E30E3B" w14:paraId="36866772" w14:textId="434A0332">
      <w:pPr>
        <w:pStyle w:val="FootnoteText"/>
      </w:pPr>
      <w:r>
        <w:rPr>
          <w:rStyle w:val="FootnoteReference"/>
        </w:rPr>
        <w:footnoteRef/>
      </w:r>
      <w:r>
        <w:t xml:space="preserve"> 47 U.S.C. § 312(g); </w:t>
      </w:r>
      <w:r w:rsidR="00D21697">
        <w:t xml:space="preserve"> </w:t>
      </w:r>
      <w:r w:rsidRPr="00ED588C" w:rsidR="00C5659B">
        <w:rPr>
          <w:i/>
          <w:iCs/>
        </w:rPr>
        <w:t>See</w:t>
      </w:r>
      <w:r w:rsidR="00C5659B">
        <w:t xml:space="preserve"> Letter from Albert Shuld</w:t>
      </w:r>
      <w:r w:rsidR="000B2F37">
        <w:t>iner, Chief, Audio Division, FCC Media Bureau, to Chinese Voice of Golden City (Nov. 19, 2019)</w:t>
      </w:r>
      <w:r w:rsidR="00552721">
        <w:t>,</w:t>
      </w:r>
      <w:r w:rsidR="000B2F37">
        <w:t xml:space="preserve"> at </w:t>
      </w:r>
      <w:hyperlink r:id="rId1" w:history="1">
        <w:r w:rsidRPr="00755D47" w:rsidR="000B2F37">
          <w:rPr>
            <w:rStyle w:val="Hyperlink"/>
          </w:rPr>
          <w:t>http://licensing.fcc.gov/cgi-bin/prod/cdbs/forms/prod/getimportletter_exh.cgi?import_letter_id=93164</w:t>
        </w:r>
      </w:hyperlink>
      <w:r w:rsidR="00771822">
        <w:t xml:space="preserve"> (</w:t>
      </w:r>
      <w:r w:rsidR="00A47936">
        <w:t>Notification</w:t>
      </w:r>
      <w:r w:rsidR="00D16E76">
        <w:t xml:space="preserve"> Letter)</w:t>
      </w:r>
      <w:r w:rsidR="00E25A4A">
        <w:t xml:space="preserve">.  CVGC filed a petition for reconsideration of the Notification Letter and sought a stay of its effectiveness.  On January 15, 2020, the Media Bureau denied CVGC’s petition and dismissed the stay request as moot.  </w:t>
      </w:r>
      <w:r w:rsidR="00E25A4A">
        <w:rPr>
          <w:i/>
          <w:iCs/>
        </w:rPr>
        <w:t xml:space="preserve">Chinese Voice of Golden City, DKQLS-LP, Las Vegas, </w:t>
      </w:r>
      <w:r w:rsidRPr="00B5217D" w:rsidR="00E25A4A">
        <w:rPr>
          <w:i/>
          <w:iCs/>
        </w:rPr>
        <w:t>Nevada</w:t>
      </w:r>
      <w:r w:rsidR="00E25A4A">
        <w:t>, Memorandum Opinion and Order, 35 FCC Rcd 567 (MB 2020) (</w:t>
      </w:r>
      <w:r w:rsidRPr="00E50478" w:rsidR="00E25A4A">
        <w:rPr>
          <w:i/>
          <w:iCs/>
        </w:rPr>
        <w:t>Recon Order</w:t>
      </w:r>
      <w:r w:rsidR="00E25A4A">
        <w:t xml:space="preserve">).  </w:t>
      </w:r>
      <w:r w:rsidRPr="00B5217D" w:rsidR="00E25A4A">
        <w:t>CVGC</w:t>
      </w:r>
      <w:r w:rsidR="00E25A4A">
        <w:t xml:space="preserve"> then sought review by the Commission and again requested a stay of the license expiration.  On November 25, 2020, the Commission denied CVGC’s application for review and also dismissed the stay request as moot.  </w:t>
      </w:r>
      <w:r w:rsidR="00E25A4A">
        <w:rPr>
          <w:i/>
          <w:iCs/>
        </w:rPr>
        <w:t>Chinese Voice of Golden City, DKQLS-LP, Las Vegas, Nevada</w:t>
      </w:r>
      <w:r w:rsidR="00E25A4A">
        <w:t>, Memorandum Opinion and Order, 35 FCC Rcd 13638 (2020) (</w:t>
      </w:r>
      <w:r w:rsidR="00E25A4A">
        <w:rPr>
          <w:i/>
          <w:iCs/>
        </w:rPr>
        <w:t>Review Order</w:t>
      </w:r>
      <w:r w:rsidR="00E25A4A">
        <w:t>).</w:t>
      </w:r>
      <w:r w:rsidR="000B2F37">
        <w:t xml:space="preserve">  </w:t>
      </w:r>
    </w:p>
  </w:footnote>
  <w:footnote w:id="4">
    <w:p w:rsidR="00A61A40" w:rsidP="00A61A40" w14:paraId="14516198" w14:textId="77777777">
      <w:pPr>
        <w:pStyle w:val="FootnoteText"/>
      </w:pPr>
      <w:r>
        <w:rPr>
          <w:rStyle w:val="FootnoteReference"/>
        </w:rPr>
        <w:footnoteRef/>
      </w:r>
      <w:r>
        <w:t xml:space="preserve"> Motion of Chinese Voice of Golden City to Quash Letter of Inquiry (filed May 10, 2021) (on file in EB-FIELDWR-21-</w:t>
      </w:r>
      <w:r>
        <w:rPr>
          <w:spacing w:val="-2"/>
        </w:rPr>
        <w:t>00031760) (Motion to Quash); Letter of Inquiry from Axel Rodriguez, Field Director, Enforcement Bureau, to Chinese Voice of Golden City (April 23, 2021) (LOI).</w:t>
      </w:r>
      <w:r>
        <w:t xml:space="preserve"> </w:t>
      </w:r>
    </w:p>
  </w:footnote>
  <w:footnote w:id="5">
    <w:p w:rsidR="00E339FA" w14:paraId="28D7EA4D" w14:textId="1F3A54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F3C9C">
        <w:t>Motion of Chinese Voice of Golden City for Stay of Enforcement Proceedings</w:t>
      </w:r>
      <w:r w:rsidR="008E5254">
        <w:t xml:space="preserve"> (filed May 10, 2021) (on file in EB-FIELDWR-21-00031760) (Motion for Stay).</w:t>
      </w:r>
    </w:p>
  </w:footnote>
  <w:footnote w:id="6">
    <w:p w:rsidR="007969B1" w:rsidRPr="008E5254" w14:paraId="258EFECE" w14:textId="1CB813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E5254">
        <w:t xml:space="preserve">47 U.S.C. §§ 151, </w:t>
      </w:r>
      <w:r w:rsidR="008E5254">
        <w:rPr>
          <w:i/>
          <w:iCs/>
        </w:rPr>
        <w:t>et seq</w:t>
      </w:r>
      <w:r w:rsidR="008E5254">
        <w:t>.</w:t>
      </w:r>
    </w:p>
  </w:footnote>
  <w:footnote w:id="7">
    <w:p w:rsidR="00C05D45" w14:paraId="662AB0A0" w14:textId="240CAFEC">
      <w:pPr>
        <w:pStyle w:val="FootnoteText"/>
      </w:pPr>
      <w:r>
        <w:rPr>
          <w:rStyle w:val="FootnoteReference"/>
        </w:rPr>
        <w:footnoteRef/>
      </w:r>
      <w:r>
        <w:t xml:space="preserve"> Motion to Quash at 1; </w:t>
      </w:r>
      <w:r w:rsidR="00B1341B">
        <w:t>47 CFR § 1.334.</w:t>
      </w:r>
    </w:p>
  </w:footnote>
  <w:footnote w:id="8">
    <w:p w:rsidR="00E159F4" w14:paraId="64D177D6" w14:textId="636C32E2">
      <w:pPr>
        <w:pStyle w:val="FootnoteText"/>
      </w:pPr>
      <w:r>
        <w:rPr>
          <w:rStyle w:val="FootnoteReference"/>
        </w:rPr>
        <w:footnoteRef/>
      </w:r>
      <w:r>
        <w:t xml:space="preserve"> LOI at </w:t>
      </w:r>
      <w:r w:rsidR="00F17958">
        <w:t>1</w:t>
      </w:r>
      <w:r>
        <w:t xml:space="preserve">; </w:t>
      </w:r>
      <w:r w:rsidRPr="00B66F47" w:rsidR="00B66F47">
        <w:rPr>
          <w:i/>
          <w:iCs/>
        </w:rPr>
        <w:t>Compare</w:t>
      </w:r>
      <w:r w:rsidR="00B66F47">
        <w:t xml:space="preserve"> </w:t>
      </w:r>
      <w:r>
        <w:t xml:space="preserve">47 U.S.C. §§ </w:t>
      </w:r>
      <w:r w:rsidR="00F17958">
        <w:t>154(i), 154(j), 403</w:t>
      </w:r>
      <w:r w:rsidR="00937F56">
        <w:rPr>
          <w:i/>
          <w:iCs/>
        </w:rPr>
        <w:t>,with</w:t>
      </w:r>
      <w:r w:rsidR="00937F56">
        <w:t xml:space="preserve"> </w:t>
      </w:r>
      <w:r w:rsidR="00B66F47">
        <w:t xml:space="preserve">47 U.S.C. § </w:t>
      </w:r>
      <w:r>
        <w:t>409(e).</w:t>
      </w:r>
    </w:p>
  </w:footnote>
  <w:footnote w:id="9">
    <w:p w:rsidR="005018D8" w:rsidRPr="00BE021C" w14:paraId="4D31BFAA" w14:textId="69BFC9FA">
      <w:pPr>
        <w:pStyle w:val="FootnoteText"/>
      </w:pPr>
      <w:r>
        <w:rPr>
          <w:rStyle w:val="FootnoteReference"/>
        </w:rPr>
        <w:footnoteRef/>
      </w:r>
      <w:r>
        <w:t xml:space="preserve"> Motion to Quash at</w:t>
      </w:r>
      <w:r w:rsidR="00080109">
        <w:t xml:space="preserve"> 11 – 15.</w:t>
      </w:r>
      <w:r w:rsidR="00325BB1">
        <w:t xml:space="preserve">  </w:t>
      </w:r>
    </w:p>
  </w:footnote>
  <w:footnote w:id="10">
    <w:p w:rsidR="004C5B33" w:rsidRPr="004C5B33" w14:paraId="3631E2AC" w14:textId="6D6C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</w:t>
      </w:r>
      <w:r>
        <w:t xml:space="preserve"> 47 CFR § 1.102(b)(1) (non-hearing and interlocutory actions taken pursuant to delegated authority effective upon release</w:t>
      </w:r>
      <w:r w:rsidR="00F7349B">
        <w:t>).</w:t>
      </w:r>
    </w:p>
  </w:footnote>
  <w:footnote w:id="11">
    <w:p w:rsidR="002A7AE3" w14:paraId="74FFB360" w14:textId="7EFE3151">
      <w:pPr>
        <w:pStyle w:val="FootnoteText"/>
      </w:pPr>
      <w:r>
        <w:rPr>
          <w:rStyle w:val="FootnoteReference"/>
        </w:rPr>
        <w:footnoteRef/>
      </w:r>
      <w:r>
        <w:t xml:space="preserve"> LOI at </w:t>
      </w:r>
      <w:r w:rsidR="000E23F7">
        <w:t>5.</w:t>
      </w:r>
    </w:p>
  </w:footnote>
  <w:footnote w:id="12">
    <w:p w:rsidR="00341E88" w14:paraId="261AB1A2" w14:textId="783BBF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A1F7A">
        <w:t xml:space="preserve">Motion to Quash </w:t>
      </w:r>
      <w:r w:rsidR="00080109">
        <w:t xml:space="preserve">at </w:t>
      </w:r>
      <w:r w:rsidR="00C81441">
        <w:t>15 – 20.</w:t>
      </w:r>
    </w:p>
  </w:footnote>
  <w:footnote w:id="13">
    <w:p w:rsidR="00176D90" w14:paraId="1853C1C6" w14:textId="346B73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1441">
        <w:rPr>
          <w:i/>
          <w:iCs/>
        </w:rPr>
        <w:t>See</w:t>
      </w:r>
      <w:r>
        <w:t xml:space="preserve"> LOI at</w:t>
      </w:r>
      <w:r w:rsidR="00033D1F">
        <w:t xml:space="preserve"> 2 (stating that </w:t>
      </w:r>
      <w:r w:rsidR="00DA0947">
        <w:t>“[t]</w:t>
      </w:r>
      <w:r w:rsidRPr="00DA0947" w:rsidR="00DA0947">
        <w:t>he purpose of this investigation is to determine the extent to which CVGC operates or has operated the Station without the requisite Commission authority after its license expired</w:t>
      </w:r>
      <w:r w:rsidR="00DA0947">
        <w:t>”</w:t>
      </w:r>
      <w:r>
        <w:t>)</w:t>
      </w:r>
      <w:r w:rsidR="00CE5ED9">
        <w:t>.</w:t>
      </w:r>
      <w:r>
        <w:t xml:space="preserve"> </w:t>
      </w:r>
    </w:p>
  </w:footnote>
  <w:footnote w:id="14">
    <w:p w:rsidR="00CE5ED9" w:rsidRPr="00CE5ED9" w14:paraId="3364F900" w14:textId="194509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</w:t>
      </w:r>
      <w:r>
        <w:t xml:space="preserve">. </w:t>
      </w:r>
      <w:r w:rsidR="00DA0947">
        <w:t xml:space="preserve">(stating that </w:t>
      </w:r>
      <w:r w:rsidR="004B433C">
        <w:t>the “</w:t>
      </w:r>
      <w:r w:rsidRPr="00A821A1" w:rsidR="00A821A1">
        <w:t>LOI constitutes an order of the Commission to produce the documents and information requested herein</w:t>
      </w:r>
      <w:r w:rsidR="00DA0947">
        <w:t>”</w:t>
      </w:r>
      <w:r>
        <w:t>).</w:t>
      </w:r>
    </w:p>
  </w:footnote>
  <w:footnote w:id="15">
    <w:p w:rsidR="00CE5ED9" w14:paraId="3E56CDEF" w14:textId="14BD5419">
      <w:pPr>
        <w:pStyle w:val="FootnoteText"/>
      </w:pPr>
      <w:r>
        <w:rPr>
          <w:rStyle w:val="FootnoteReference"/>
        </w:rPr>
        <w:footnoteRef/>
      </w:r>
      <w:r>
        <w:t xml:space="preserve"> Motion to Quash at</w:t>
      </w:r>
      <w:r w:rsidR="001D497B">
        <w:t xml:space="preserve"> 21 – 24. </w:t>
      </w:r>
    </w:p>
  </w:footnote>
  <w:footnote w:id="16">
    <w:p w:rsidR="001D497B" w:rsidRPr="00BC637E" w14:paraId="1B56CD46" w14:textId="225CC0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C637E">
        <w:rPr>
          <w:i/>
          <w:iCs/>
        </w:rPr>
        <w:t>Id.</w:t>
      </w:r>
      <w:r w:rsidR="00BC637E">
        <w:t xml:space="preserve"> at 24.</w:t>
      </w:r>
    </w:p>
  </w:footnote>
  <w:footnote w:id="17">
    <w:p w:rsidR="00A40244" w14:paraId="73C902DE" w14:textId="1B68F5AC">
      <w:pPr>
        <w:pStyle w:val="FootnoteText"/>
      </w:pPr>
      <w:r>
        <w:rPr>
          <w:rStyle w:val="FootnoteReference"/>
        </w:rPr>
        <w:footnoteRef/>
      </w:r>
      <w:r>
        <w:t xml:space="preserve"> 47 U.S.C. §§ </w:t>
      </w:r>
      <w:r w:rsidR="00BC637E">
        <w:t xml:space="preserve">301, </w:t>
      </w:r>
      <w:r w:rsidR="00C86975">
        <w:t xml:space="preserve">501, </w:t>
      </w:r>
      <w:r w:rsidRPr="00C86975" w:rsidR="00C86975">
        <w:rPr>
          <w:i/>
          <w:iCs/>
        </w:rPr>
        <w:t>et seq</w:t>
      </w:r>
      <w:r>
        <w:t xml:space="preserve">. </w:t>
      </w:r>
    </w:p>
  </w:footnote>
  <w:footnote w:id="18">
    <w:p w:rsidR="00C86975" w14:paraId="0041E94E" w14:textId="30BE3501">
      <w:pPr>
        <w:pStyle w:val="FootnoteText"/>
      </w:pPr>
      <w:r>
        <w:rPr>
          <w:rStyle w:val="FootnoteReference"/>
        </w:rPr>
        <w:footnoteRef/>
      </w:r>
      <w:r>
        <w:t xml:space="preserve"> Motion </w:t>
      </w:r>
      <w:r w:rsidR="003E063D">
        <w:t>for</w:t>
      </w:r>
      <w:r>
        <w:t xml:space="preserve"> Stay at </w:t>
      </w:r>
      <w:r w:rsidR="003E063D">
        <w:t>3</w:t>
      </w:r>
      <w:r w:rsidR="00C636E6">
        <w:t xml:space="preserve">, </w:t>
      </w:r>
      <w:r w:rsidRPr="005F4ED3" w:rsidR="00C636E6">
        <w:rPr>
          <w:i/>
          <w:iCs/>
        </w:rPr>
        <w:t xml:space="preserve">citing </w:t>
      </w:r>
      <w:r w:rsidRPr="005F4ED3" w:rsidR="008873C1">
        <w:rPr>
          <w:i/>
          <w:iCs/>
        </w:rPr>
        <w:t xml:space="preserve">Wash. Metro. Transit Comm’n v. </w:t>
      </w:r>
      <w:r w:rsidRPr="005F4ED3" w:rsidR="008C644A">
        <w:rPr>
          <w:i/>
          <w:iCs/>
        </w:rPr>
        <w:t>Holiday Tours, Inc.</w:t>
      </w:r>
      <w:r w:rsidR="008C644A">
        <w:t>, 559 F.2d 841 (D.C. Cir. 1977) (establishing</w:t>
      </w:r>
      <w:r w:rsidR="00960274">
        <w:t xml:space="preserve"> that proponents of a stay must demonstrate </w:t>
      </w:r>
      <w:r w:rsidR="00327BBE">
        <w:t xml:space="preserve">that </w:t>
      </w:r>
      <w:r w:rsidR="00960274">
        <w:t xml:space="preserve">(a) </w:t>
      </w:r>
      <w:r w:rsidR="00327BBE">
        <w:t xml:space="preserve">it is likely to succeed </w:t>
      </w:r>
      <w:r w:rsidR="00960274">
        <w:t xml:space="preserve">on the merits, </w:t>
      </w:r>
      <w:r w:rsidR="00327BBE">
        <w:t xml:space="preserve">(b) it will be irreparably harmed if the stay is not granted, (c) third parties will not be harmed by the stay, and (d) </w:t>
      </w:r>
      <w:r w:rsidR="007C4C09">
        <w:t>granting the stay serves the public interest</w:t>
      </w:r>
      <w:r w:rsidR="00327BBE">
        <w:t xml:space="preserve">). </w:t>
      </w:r>
    </w:p>
  </w:footnote>
  <w:footnote w:id="19">
    <w:p w:rsidR="004E49B6" w14:paraId="5F935C9A" w14:textId="1CFA1B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E24FA">
        <w:t>47 U.S.C. §§ 154(i), 154(j), 403.</w:t>
      </w:r>
    </w:p>
  </w:footnote>
  <w:footnote w:id="20">
    <w:p w:rsidR="004E49B6" w:rsidRPr="006E24FA" w14:paraId="56EFBF07" w14:textId="3272C8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E24FA">
        <w:rPr>
          <w:i/>
          <w:iCs/>
        </w:rPr>
        <w:t>Id</w:t>
      </w:r>
      <w:r w:rsidR="006E24FA">
        <w:t>.</w:t>
      </w:r>
    </w:p>
  </w:footnote>
  <w:footnote w:id="21">
    <w:p w:rsidR="004E49B6" w14:paraId="25996658" w14:textId="75EAFB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64C44">
        <w:rPr>
          <w:i/>
          <w:iCs/>
        </w:rPr>
        <w:t xml:space="preserve">Id.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1ADB9962" w14:textId="6C6A68FE">
    <w:pPr>
      <w:pStyle w:val="Header"/>
      <w:rPr>
        <w:b w:val="0"/>
      </w:rPr>
    </w:pPr>
    <w:r>
      <w:tab/>
      <w:t>Federal Communications Commission</w:t>
    </w:r>
    <w:r>
      <w:tab/>
    </w:r>
    <w:r w:rsidR="007B7692">
      <w:t>DA 21-</w:t>
    </w:r>
    <w:r w:rsidR="00E21482">
      <w:t>719</w:t>
    </w:r>
  </w:p>
  <w:p w:rsidR="00D25FB5" w:rsidP="00886DC2" w14:paraId="658A411A" w14:textId="6D808D63">
    <w:pPr>
      <w:tabs>
        <w:tab w:val="left" w:pos="-720"/>
      </w:tabs>
      <w:suppressAutoHyphens/>
      <w:spacing w:line="19" w:lineRule="exact"/>
      <w:rPr>
        <w:sz w:val="10"/>
      </w:rPr>
    </w:pPr>
    <w:r>
      <w:rPr>
        <w:noProof/>
      </w:rPr>
      <w:pict>
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8240" o:allowincell="f" fillcolor="black" stroked="f" strokeweight="0.05pt">
          <v:path arrowok="t"/>
          <w10:wrap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3B0BB2B8" w14:textId="6BE7B2F8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>
          <w10:wrap anchorx="margin"/>
        </v:rect>
      </w:pict>
    </w:r>
    <w:r>
      <w:tab/>
      <w:t>Federal Communications Commission</w:t>
    </w:r>
    <w:r>
      <w:tab/>
    </w:r>
    <w:r w:rsidR="00832698">
      <w:rPr>
        <w:spacing w:val="-2"/>
      </w:rPr>
      <w:t>DA 21-</w:t>
    </w:r>
    <w:r w:rsidR="00E21482">
      <w:rPr>
        <w:spacing w:val="-2"/>
      </w:rPr>
      <w:t>719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98"/>
    <w:rsid w:val="00003131"/>
    <w:rsid w:val="00010BA3"/>
    <w:rsid w:val="00011CDA"/>
    <w:rsid w:val="00011E33"/>
    <w:rsid w:val="0001427E"/>
    <w:rsid w:val="00014986"/>
    <w:rsid w:val="0002073F"/>
    <w:rsid w:val="00033D1F"/>
    <w:rsid w:val="00036039"/>
    <w:rsid w:val="0003789C"/>
    <w:rsid w:val="00037F90"/>
    <w:rsid w:val="000502E7"/>
    <w:rsid w:val="00052E7D"/>
    <w:rsid w:val="00055406"/>
    <w:rsid w:val="00057709"/>
    <w:rsid w:val="00057923"/>
    <w:rsid w:val="00057AC5"/>
    <w:rsid w:val="00061A1B"/>
    <w:rsid w:val="00062DC3"/>
    <w:rsid w:val="00062ED2"/>
    <w:rsid w:val="00072742"/>
    <w:rsid w:val="000778B1"/>
    <w:rsid w:val="00080109"/>
    <w:rsid w:val="000825F2"/>
    <w:rsid w:val="000875BF"/>
    <w:rsid w:val="00093A19"/>
    <w:rsid w:val="000964B1"/>
    <w:rsid w:val="00096D8C"/>
    <w:rsid w:val="000B2F37"/>
    <w:rsid w:val="000B6C60"/>
    <w:rsid w:val="000C0B65"/>
    <w:rsid w:val="000E05FE"/>
    <w:rsid w:val="000E23F7"/>
    <w:rsid w:val="000E3D42"/>
    <w:rsid w:val="000E6A69"/>
    <w:rsid w:val="000F0BC2"/>
    <w:rsid w:val="00100ACD"/>
    <w:rsid w:val="0011619C"/>
    <w:rsid w:val="001163C9"/>
    <w:rsid w:val="001168BB"/>
    <w:rsid w:val="00117A44"/>
    <w:rsid w:val="00122BD5"/>
    <w:rsid w:val="001238F6"/>
    <w:rsid w:val="00133F79"/>
    <w:rsid w:val="00134799"/>
    <w:rsid w:val="00141104"/>
    <w:rsid w:val="00156AB2"/>
    <w:rsid w:val="001651DF"/>
    <w:rsid w:val="001728BF"/>
    <w:rsid w:val="0017321B"/>
    <w:rsid w:val="00176D90"/>
    <w:rsid w:val="00194A66"/>
    <w:rsid w:val="001A1294"/>
    <w:rsid w:val="001A1C47"/>
    <w:rsid w:val="001B0034"/>
    <w:rsid w:val="001B1186"/>
    <w:rsid w:val="001B6AB2"/>
    <w:rsid w:val="001C7615"/>
    <w:rsid w:val="001D497B"/>
    <w:rsid w:val="001D6BCF"/>
    <w:rsid w:val="001E01CA"/>
    <w:rsid w:val="001E7640"/>
    <w:rsid w:val="001F5170"/>
    <w:rsid w:val="00203B30"/>
    <w:rsid w:val="0021261A"/>
    <w:rsid w:val="002155C3"/>
    <w:rsid w:val="0022033A"/>
    <w:rsid w:val="00221214"/>
    <w:rsid w:val="0023384C"/>
    <w:rsid w:val="00246C31"/>
    <w:rsid w:val="00251649"/>
    <w:rsid w:val="00261DE5"/>
    <w:rsid w:val="00274E89"/>
    <w:rsid w:val="00275CF5"/>
    <w:rsid w:val="00276163"/>
    <w:rsid w:val="0027723C"/>
    <w:rsid w:val="00277E2E"/>
    <w:rsid w:val="002812CC"/>
    <w:rsid w:val="0028301F"/>
    <w:rsid w:val="00285017"/>
    <w:rsid w:val="002957F6"/>
    <w:rsid w:val="00296E65"/>
    <w:rsid w:val="002A2D2E"/>
    <w:rsid w:val="002A48D3"/>
    <w:rsid w:val="002A7512"/>
    <w:rsid w:val="002A7AE3"/>
    <w:rsid w:val="002C00E8"/>
    <w:rsid w:val="002C4651"/>
    <w:rsid w:val="002D0366"/>
    <w:rsid w:val="002D7F06"/>
    <w:rsid w:val="002E1CFF"/>
    <w:rsid w:val="002E3FB1"/>
    <w:rsid w:val="002E69EF"/>
    <w:rsid w:val="002F1502"/>
    <w:rsid w:val="002F6571"/>
    <w:rsid w:val="00305FF8"/>
    <w:rsid w:val="0031127A"/>
    <w:rsid w:val="0032384D"/>
    <w:rsid w:val="00325BB1"/>
    <w:rsid w:val="00327BBE"/>
    <w:rsid w:val="00334C93"/>
    <w:rsid w:val="00341E88"/>
    <w:rsid w:val="00343749"/>
    <w:rsid w:val="00347CEC"/>
    <w:rsid w:val="003609E1"/>
    <w:rsid w:val="003625E1"/>
    <w:rsid w:val="00365E0B"/>
    <w:rsid w:val="003660ED"/>
    <w:rsid w:val="0037745D"/>
    <w:rsid w:val="00377B20"/>
    <w:rsid w:val="00387B4D"/>
    <w:rsid w:val="00394FE4"/>
    <w:rsid w:val="003968B9"/>
    <w:rsid w:val="003A2C29"/>
    <w:rsid w:val="003B0550"/>
    <w:rsid w:val="003B694F"/>
    <w:rsid w:val="003C3903"/>
    <w:rsid w:val="003C46BC"/>
    <w:rsid w:val="003D093E"/>
    <w:rsid w:val="003D189D"/>
    <w:rsid w:val="003D628D"/>
    <w:rsid w:val="003E063D"/>
    <w:rsid w:val="003E07CC"/>
    <w:rsid w:val="003E6667"/>
    <w:rsid w:val="003F171C"/>
    <w:rsid w:val="00402828"/>
    <w:rsid w:val="004048DA"/>
    <w:rsid w:val="00406A57"/>
    <w:rsid w:val="00411B1C"/>
    <w:rsid w:val="00412FC5"/>
    <w:rsid w:val="0041423A"/>
    <w:rsid w:val="00422276"/>
    <w:rsid w:val="004242F1"/>
    <w:rsid w:val="00424C13"/>
    <w:rsid w:val="00425C7D"/>
    <w:rsid w:val="00427F6B"/>
    <w:rsid w:val="004348B4"/>
    <w:rsid w:val="00435DD0"/>
    <w:rsid w:val="00445A00"/>
    <w:rsid w:val="00446034"/>
    <w:rsid w:val="00451B0F"/>
    <w:rsid w:val="00483813"/>
    <w:rsid w:val="00486904"/>
    <w:rsid w:val="004A74E1"/>
    <w:rsid w:val="004B433C"/>
    <w:rsid w:val="004B640C"/>
    <w:rsid w:val="004C1FAA"/>
    <w:rsid w:val="004C27F1"/>
    <w:rsid w:val="004C2EE3"/>
    <w:rsid w:val="004C5B33"/>
    <w:rsid w:val="004D0421"/>
    <w:rsid w:val="004D370E"/>
    <w:rsid w:val="004D4150"/>
    <w:rsid w:val="004D6F61"/>
    <w:rsid w:val="004E1716"/>
    <w:rsid w:val="004E49B6"/>
    <w:rsid w:val="004E4A22"/>
    <w:rsid w:val="004E617B"/>
    <w:rsid w:val="004F28C5"/>
    <w:rsid w:val="004F7167"/>
    <w:rsid w:val="005018D8"/>
    <w:rsid w:val="005030F6"/>
    <w:rsid w:val="00511968"/>
    <w:rsid w:val="00515920"/>
    <w:rsid w:val="00516621"/>
    <w:rsid w:val="00521576"/>
    <w:rsid w:val="00525D3A"/>
    <w:rsid w:val="00526340"/>
    <w:rsid w:val="00552721"/>
    <w:rsid w:val="00554421"/>
    <w:rsid w:val="0055501D"/>
    <w:rsid w:val="0055614C"/>
    <w:rsid w:val="0056193F"/>
    <w:rsid w:val="00561CD0"/>
    <w:rsid w:val="005658CC"/>
    <w:rsid w:val="00566D06"/>
    <w:rsid w:val="00576CBA"/>
    <w:rsid w:val="005848E0"/>
    <w:rsid w:val="00597BE0"/>
    <w:rsid w:val="005A5F9A"/>
    <w:rsid w:val="005B7E06"/>
    <w:rsid w:val="005C0A72"/>
    <w:rsid w:val="005E14C2"/>
    <w:rsid w:val="005E6197"/>
    <w:rsid w:val="005E7A3D"/>
    <w:rsid w:val="005F4ED3"/>
    <w:rsid w:val="005F5A10"/>
    <w:rsid w:val="005F71F0"/>
    <w:rsid w:val="00607BA5"/>
    <w:rsid w:val="0061180A"/>
    <w:rsid w:val="00613B29"/>
    <w:rsid w:val="00623866"/>
    <w:rsid w:val="00626EB6"/>
    <w:rsid w:val="00631013"/>
    <w:rsid w:val="00632E05"/>
    <w:rsid w:val="00650590"/>
    <w:rsid w:val="00651A6C"/>
    <w:rsid w:val="00655D03"/>
    <w:rsid w:val="00666E17"/>
    <w:rsid w:val="00670A20"/>
    <w:rsid w:val="00672989"/>
    <w:rsid w:val="0067674C"/>
    <w:rsid w:val="00677DAF"/>
    <w:rsid w:val="00683388"/>
    <w:rsid w:val="00683F84"/>
    <w:rsid w:val="0069247C"/>
    <w:rsid w:val="00696D42"/>
    <w:rsid w:val="006A3723"/>
    <w:rsid w:val="006A461F"/>
    <w:rsid w:val="006A6A81"/>
    <w:rsid w:val="006A6C94"/>
    <w:rsid w:val="006C01B7"/>
    <w:rsid w:val="006C0B7A"/>
    <w:rsid w:val="006E14D2"/>
    <w:rsid w:val="006E220F"/>
    <w:rsid w:val="006E24FA"/>
    <w:rsid w:val="006F1ADB"/>
    <w:rsid w:val="006F55B3"/>
    <w:rsid w:val="006F7393"/>
    <w:rsid w:val="00701CCA"/>
    <w:rsid w:val="0070224F"/>
    <w:rsid w:val="00705F46"/>
    <w:rsid w:val="007115F7"/>
    <w:rsid w:val="00712B4A"/>
    <w:rsid w:val="007159F4"/>
    <w:rsid w:val="00735A2E"/>
    <w:rsid w:val="007458A5"/>
    <w:rsid w:val="00746C41"/>
    <w:rsid w:val="00750DAB"/>
    <w:rsid w:val="00753E1F"/>
    <w:rsid w:val="00755D47"/>
    <w:rsid w:val="00764126"/>
    <w:rsid w:val="007664FD"/>
    <w:rsid w:val="00771822"/>
    <w:rsid w:val="007749D5"/>
    <w:rsid w:val="00782E0B"/>
    <w:rsid w:val="007831BB"/>
    <w:rsid w:val="00785689"/>
    <w:rsid w:val="0079056B"/>
    <w:rsid w:val="00794288"/>
    <w:rsid w:val="007969B1"/>
    <w:rsid w:val="00796D82"/>
    <w:rsid w:val="0079754B"/>
    <w:rsid w:val="007A1AC1"/>
    <w:rsid w:val="007A1E6D"/>
    <w:rsid w:val="007A3BE4"/>
    <w:rsid w:val="007A7311"/>
    <w:rsid w:val="007B0EB2"/>
    <w:rsid w:val="007B3E2B"/>
    <w:rsid w:val="007B7692"/>
    <w:rsid w:val="007C47A0"/>
    <w:rsid w:val="007C4C09"/>
    <w:rsid w:val="007E1C5F"/>
    <w:rsid w:val="007E3138"/>
    <w:rsid w:val="007E7461"/>
    <w:rsid w:val="00804729"/>
    <w:rsid w:val="00810B6F"/>
    <w:rsid w:val="00812F00"/>
    <w:rsid w:val="00813CAD"/>
    <w:rsid w:val="008142E8"/>
    <w:rsid w:val="00822CE0"/>
    <w:rsid w:val="00832698"/>
    <w:rsid w:val="00840032"/>
    <w:rsid w:val="00841AB1"/>
    <w:rsid w:val="00852B77"/>
    <w:rsid w:val="00856F56"/>
    <w:rsid w:val="008651DF"/>
    <w:rsid w:val="00866870"/>
    <w:rsid w:val="00881158"/>
    <w:rsid w:val="00881F16"/>
    <w:rsid w:val="00886DC2"/>
    <w:rsid w:val="008873C1"/>
    <w:rsid w:val="0088748D"/>
    <w:rsid w:val="00896A04"/>
    <w:rsid w:val="00897D46"/>
    <w:rsid w:val="008C37DB"/>
    <w:rsid w:val="008C41F2"/>
    <w:rsid w:val="008C644A"/>
    <w:rsid w:val="008C68F1"/>
    <w:rsid w:val="008D4E89"/>
    <w:rsid w:val="008D6030"/>
    <w:rsid w:val="008D7D44"/>
    <w:rsid w:val="008E0F33"/>
    <w:rsid w:val="008E1CDC"/>
    <w:rsid w:val="008E5254"/>
    <w:rsid w:val="008E6C23"/>
    <w:rsid w:val="008E7DED"/>
    <w:rsid w:val="008E7F24"/>
    <w:rsid w:val="008F1CCB"/>
    <w:rsid w:val="008F5D41"/>
    <w:rsid w:val="00900494"/>
    <w:rsid w:val="0090713F"/>
    <w:rsid w:val="00921803"/>
    <w:rsid w:val="00926503"/>
    <w:rsid w:val="00937F56"/>
    <w:rsid w:val="00960274"/>
    <w:rsid w:val="00960778"/>
    <w:rsid w:val="009615D2"/>
    <w:rsid w:val="0096558A"/>
    <w:rsid w:val="00966C5F"/>
    <w:rsid w:val="009726D8"/>
    <w:rsid w:val="00973819"/>
    <w:rsid w:val="009740AD"/>
    <w:rsid w:val="00982FA2"/>
    <w:rsid w:val="009848C2"/>
    <w:rsid w:val="0098621B"/>
    <w:rsid w:val="00994DB5"/>
    <w:rsid w:val="0099773C"/>
    <w:rsid w:val="009A1F7A"/>
    <w:rsid w:val="009A7436"/>
    <w:rsid w:val="009B2CCF"/>
    <w:rsid w:val="009C51DD"/>
    <w:rsid w:val="009D562A"/>
    <w:rsid w:val="009D7308"/>
    <w:rsid w:val="009F76DB"/>
    <w:rsid w:val="00A04939"/>
    <w:rsid w:val="00A22761"/>
    <w:rsid w:val="00A32C3B"/>
    <w:rsid w:val="00A37535"/>
    <w:rsid w:val="00A40244"/>
    <w:rsid w:val="00A45F4F"/>
    <w:rsid w:val="00A471F8"/>
    <w:rsid w:val="00A47936"/>
    <w:rsid w:val="00A512BF"/>
    <w:rsid w:val="00A5297A"/>
    <w:rsid w:val="00A57B33"/>
    <w:rsid w:val="00A600A9"/>
    <w:rsid w:val="00A61A40"/>
    <w:rsid w:val="00A777CA"/>
    <w:rsid w:val="00A821A1"/>
    <w:rsid w:val="00A850E4"/>
    <w:rsid w:val="00A9088B"/>
    <w:rsid w:val="00A955D4"/>
    <w:rsid w:val="00AA10E0"/>
    <w:rsid w:val="00AA552F"/>
    <w:rsid w:val="00AA55B7"/>
    <w:rsid w:val="00AA5B9E"/>
    <w:rsid w:val="00AB2407"/>
    <w:rsid w:val="00AB53DF"/>
    <w:rsid w:val="00AE65A7"/>
    <w:rsid w:val="00AF18B2"/>
    <w:rsid w:val="00AF36CA"/>
    <w:rsid w:val="00B04993"/>
    <w:rsid w:val="00B07E5C"/>
    <w:rsid w:val="00B11305"/>
    <w:rsid w:val="00B1341B"/>
    <w:rsid w:val="00B17B07"/>
    <w:rsid w:val="00B227F4"/>
    <w:rsid w:val="00B31882"/>
    <w:rsid w:val="00B46EB7"/>
    <w:rsid w:val="00B5217D"/>
    <w:rsid w:val="00B66F47"/>
    <w:rsid w:val="00B72F16"/>
    <w:rsid w:val="00B75064"/>
    <w:rsid w:val="00B76A36"/>
    <w:rsid w:val="00B811F7"/>
    <w:rsid w:val="00B91FC9"/>
    <w:rsid w:val="00B94525"/>
    <w:rsid w:val="00BA4D63"/>
    <w:rsid w:val="00BA5DC6"/>
    <w:rsid w:val="00BA6196"/>
    <w:rsid w:val="00BB1AD9"/>
    <w:rsid w:val="00BB2619"/>
    <w:rsid w:val="00BC637E"/>
    <w:rsid w:val="00BC667A"/>
    <w:rsid w:val="00BC6D8C"/>
    <w:rsid w:val="00BE021C"/>
    <w:rsid w:val="00BE0379"/>
    <w:rsid w:val="00C05BAD"/>
    <w:rsid w:val="00C05D45"/>
    <w:rsid w:val="00C13ADC"/>
    <w:rsid w:val="00C14D22"/>
    <w:rsid w:val="00C202B3"/>
    <w:rsid w:val="00C27E49"/>
    <w:rsid w:val="00C34006"/>
    <w:rsid w:val="00C36B4C"/>
    <w:rsid w:val="00C426B1"/>
    <w:rsid w:val="00C46CB7"/>
    <w:rsid w:val="00C47113"/>
    <w:rsid w:val="00C4795B"/>
    <w:rsid w:val="00C52D29"/>
    <w:rsid w:val="00C5659B"/>
    <w:rsid w:val="00C636E6"/>
    <w:rsid w:val="00C66160"/>
    <w:rsid w:val="00C66E2F"/>
    <w:rsid w:val="00C721AC"/>
    <w:rsid w:val="00C77CC5"/>
    <w:rsid w:val="00C81441"/>
    <w:rsid w:val="00C82DD2"/>
    <w:rsid w:val="00C86975"/>
    <w:rsid w:val="00C90D6A"/>
    <w:rsid w:val="00C92F67"/>
    <w:rsid w:val="00CA126D"/>
    <w:rsid w:val="00CA247E"/>
    <w:rsid w:val="00CA4B46"/>
    <w:rsid w:val="00CA6D21"/>
    <w:rsid w:val="00CB04FD"/>
    <w:rsid w:val="00CB129B"/>
    <w:rsid w:val="00CB7DDE"/>
    <w:rsid w:val="00CC46C4"/>
    <w:rsid w:val="00CC72B6"/>
    <w:rsid w:val="00CE0063"/>
    <w:rsid w:val="00CE5ED9"/>
    <w:rsid w:val="00CF3055"/>
    <w:rsid w:val="00D012B6"/>
    <w:rsid w:val="00D0218D"/>
    <w:rsid w:val="00D11BD1"/>
    <w:rsid w:val="00D127FD"/>
    <w:rsid w:val="00D16640"/>
    <w:rsid w:val="00D16E76"/>
    <w:rsid w:val="00D21697"/>
    <w:rsid w:val="00D25FB5"/>
    <w:rsid w:val="00D44223"/>
    <w:rsid w:val="00D6369E"/>
    <w:rsid w:val="00D67931"/>
    <w:rsid w:val="00D72E6F"/>
    <w:rsid w:val="00D73E74"/>
    <w:rsid w:val="00D757F0"/>
    <w:rsid w:val="00D81E5C"/>
    <w:rsid w:val="00D958C2"/>
    <w:rsid w:val="00D969FE"/>
    <w:rsid w:val="00D96D27"/>
    <w:rsid w:val="00DA0947"/>
    <w:rsid w:val="00DA2529"/>
    <w:rsid w:val="00DA333D"/>
    <w:rsid w:val="00DB130A"/>
    <w:rsid w:val="00DB2EBB"/>
    <w:rsid w:val="00DB3CFC"/>
    <w:rsid w:val="00DB6929"/>
    <w:rsid w:val="00DC05D7"/>
    <w:rsid w:val="00DC10A1"/>
    <w:rsid w:val="00DC655F"/>
    <w:rsid w:val="00DD0B59"/>
    <w:rsid w:val="00DD5E96"/>
    <w:rsid w:val="00DD632C"/>
    <w:rsid w:val="00DD7EBD"/>
    <w:rsid w:val="00DE2BF7"/>
    <w:rsid w:val="00DF62B6"/>
    <w:rsid w:val="00DF6A07"/>
    <w:rsid w:val="00E07225"/>
    <w:rsid w:val="00E140A4"/>
    <w:rsid w:val="00E159F4"/>
    <w:rsid w:val="00E16B85"/>
    <w:rsid w:val="00E21482"/>
    <w:rsid w:val="00E25A4A"/>
    <w:rsid w:val="00E30E3B"/>
    <w:rsid w:val="00E339FA"/>
    <w:rsid w:val="00E45EAB"/>
    <w:rsid w:val="00E5031B"/>
    <w:rsid w:val="00E50478"/>
    <w:rsid w:val="00E53B86"/>
    <w:rsid w:val="00E5409F"/>
    <w:rsid w:val="00E55C82"/>
    <w:rsid w:val="00E609AC"/>
    <w:rsid w:val="00E66073"/>
    <w:rsid w:val="00E85FC3"/>
    <w:rsid w:val="00E87680"/>
    <w:rsid w:val="00E92A08"/>
    <w:rsid w:val="00EA7EE6"/>
    <w:rsid w:val="00EB34E8"/>
    <w:rsid w:val="00EB391A"/>
    <w:rsid w:val="00EB3F6D"/>
    <w:rsid w:val="00EB5902"/>
    <w:rsid w:val="00ED588C"/>
    <w:rsid w:val="00EE6488"/>
    <w:rsid w:val="00EE6D81"/>
    <w:rsid w:val="00EF10F9"/>
    <w:rsid w:val="00EF3C9C"/>
    <w:rsid w:val="00EF6849"/>
    <w:rsid w:val="00F021FA"/>
    <w:rsid w:val="00F05042"/>
    <w:rsid w:val="00F053FF"/>
    <w:rsid w:val="00F0545F"/>
    <w:rsid w:val="00F13D8E"/>
    <w:rsid w:val="00F17958"/>
    <w:rsid w:val="00F31116"/>
    <w:rsid w:val="00F37222"/>
    <w:rsid w:val="00F40454"/>
    <w:rsid w:val="00F44CC9"/>
    <w:rsid w:val="00F44D27"/>
    <w:rsid w:val="00F57210"/>
    <w:rsid w:val="00F62E97"/>
    <w:rsid w:val="00F64209"/>
    <w:rsid w:val="00F64C44"/>
    <w:rsid w:val="00F65E6D"/>
    <w:rsid w:val="00F66F60"/>
    <w:rsid w:val="00F72F46"/>
    <w:rsid w:val="00F7349B"/>
    <w:rsid w:val="00F74E48"/>
    <w:rsid w:val="00F93BF5"/>
    <w:rsid w:val="00FA52B4"/>
    <w:rsid w:val="00FA5D20"/>
    <w:rsid w:val="00FB2DB1"/>
    <w:rsid w:val="00FB40A7"/>
    <w:rsid w:val="00FD1DE0"/>
    <w:rsid w:val="00FD6C34"/>
    <w:rsid w:val="00FE5397"/>
    <w:rsid w:val="00FE7A1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9ED67A2"/>
  <w15:chartTrackingRefBased/>
  <w15:docId w15:val="{9340BB53-F2B2-49BB-8F6C-1897CDFF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character" w:styleId="CommentReference">
    <w:name w:val="annotation reference"/>
    <w:rsid w:val="001728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28BF"/>
    <w:rPr>
      <w:sz w:val="20"/>
    </w:rPr>
  </w:style>
  <w:style w:type="character" w:customStyle="1" w:styleId="CommentTextChar">
    <w:name w:val="Comment Text Char"/>
    <w:link w:val="CommentText"/>
    <w:rsid w:val="001728BF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1728BF"/>
    <w:rPr>
      <w:b/>
      <w:bCs/>
    </w:rPr>
  </w:style>
  <w:style w:type="character" w:customStyle="1" w:styleId="CommentSubjectChar">
    <w:name w:val="Comment Subject Char"/>
    <w:link w:val="CommentSubject"/>
    <w:rsid w:val="001728BF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750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50DAB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0B2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licensing.fcc.gov/cgi-bin/prod/cdbs/forms/prod/getimportletter_exh.cgi?import_letter_id=93164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