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05D77" w:rsidRPr="005D20E7" w:rsidP="00405D77" w14:paraId="7CBE131B" w14:textId="2B014046">
      <w:pPr>
        <w:jc w:val="right"/>
        <w:rPr>
          <w:b/>
          <w:sz w:val="24"/>
          <w:szCs w:val="24"/>
        </w:rPr>
      </w:pPr>
      <w:r>
        <w:rPr>
          <w:b/>
          <w:sz w:val="24"/>
          <w:szCs w:val="24"/>
        </w:rPr>
        <w:t>DA 21-</w:t>
      </w:r>
      <w:r w:rsidR="002A36DB">
        <w:rPr>
          <w:b/>
          <w:sz w:val="24"/>
          <w:szCs w:val="24"/>
        </w:rPr>
        <w:t>721</w:t>
      </w:r>
    </w:p>
    <w:p w:rsidR="00405D77" w:rsidRPr="005D20E7" w:rsidP="00405D77" w14:paraId="22EFF303" w14:textId="59A9F154">
      <w:pPr>
        <w:spacing w:before="60"/>
        <w:jc w:val="right"/>
        <w:rPr>
          <w:b/>
          <w:sz w:val="24"/>
          <w:szCs w:val="24"/>
        </w:rPr>
      </w:pPr>
      <w:r w:rsidRPr="005D20E7">
        <w:rPr>
          <w:b/>
          <w:sz w:val="24"/>
          <w:szCs w:val="24"/>
        </w:rPr>
        <w:t xml:space="preserve">Released:  June </w:t>
      </w:r>
      <w:r w:rsidR="005B2E55">
        <w:rPr>
          <w:b/>
          <w:sz w:val="24"/>
          <w:szCs w:val="24"/>
        </w:rPr>
        <w:t>21</w:t>
      </w:r>
      <w:r w:rsidRPr="005D20E7">
        <w:rPr>
          <w:b/>
          <w:sz w:val="24"/>
          <w:szCs w:val="24"/>
        </w:rPr>
        <w:t>, 2021</w:t>
      </w:r>
    </w:p>
    <w:p w:rsidR="00405D77" w:rsidRPr="005D20E7" w:rsidP="00405D77" w14:paraId="6A4A8BD6" w14:textId="77777777">
      <w:pPr>
        <w:jc w:val="right"/>
        <w:rPr>
          <w:sz w:val="24"/>
          <w:szCs w:val="24"/>
        </w:rPr>
      </w:pPr>
    </w:p>
    <w:p w:rsidR="00405D77" w:rsidRPr="00BC7BCE" w:rsidP="00405D77" w14:paraId="48E3711A" w14:textId="1D4BF43A">
      <w:pPr>
        <w:widowControl/>
        <w:autoSpaceDE w:val="0"/>
        <w:autoSpaceDN w:val="0"/>
        <w:adjustRightInd w:val="0"/>
        <w:jc w:val="center"/>
        <w:rPr>
          <w:b/>
          <w:bCs/>
          <w:snapToGrid/>
          <w:color w:val="252525"/>
          <w:kern w:val="0"/>
          <w:sz w:val="24"/>
          <w:szCs w:val="24"/>
        </w:rPr>
      </w:pPr>
      <w:r w:rsidRPr="00BC7BCE">
        <w:rPr>
          <w:b/>
          <w:bCs/>
          <w:snapToGrid/>
          <w:color w:val="252525"/>
          <w:kern w:val="0"/>
          <w:sz w:val="24"/>
          <w:szCs w:val="24"/>
        </w:rPr>
        <w:t>WIRELESS TELECOMMUNICATIONS BUREAU AND PUBLIC SAFETY AND HOMELAND</w:t>
      </w:r>
      <w:r w:rsidR="00815E64">
        <w:rPr>
          <w:b/>
          <w:bCs/>
          <w:snapToGrid/>
          <w:color w:val="252525"/>
          <w:kern w:val="0"/>
          <w:sz w:val="24"/>
          <w:szCs w:val="24"/>
        </w:rPr>
        <w:t xml:space="preserve"> </w:t>
      </w:r>
      <w:r w:rsidRPr="00BC7BCE">
        <w:rPr>
          <w:b/>
          <w:bCs/>
          <w:snapToGrid/>
          <w:color w:val="252525"/>
          <w:kern w:val="0"/>
          <w:sz w:val="24"/>
          <w:szCs w:val="24"/>
        </w:rPr>
        <w:t>SECURITY BUREAU EXTEND THE DATE FOR THE ACCEPTANCE AND PROCESSING OF CERTAIN PART 22 AND PART 90 APPLICATIONS FOR 470-512 MHZ (T-BAND) SPECTRUM</w:t>
      </w:r>
    </w:p>
    <w:p w:rsidR="00405D77" w:rsidRPr="00BC7BCE" w:rsidP="00405D77" w14:paraId="5876BC8C" w14:textId="77777777">
      <w:pPr>
        <w:widowControl/>
        <w:autoSpaceDE w:val="0"/>
        <w:autoSpaceDN w:val="0"/>
        <w:adjustRightInd w:val="0"/>
        <w:jc w:val="center"/>
        <w:rPr>
          <w:snapToGrid/>
          <w:color w:val="252525"/>
          <w:kern w:val="0"/>
          <w:sz w:val="24"/>
          <w:szCs w:val="24"/>
        </w:rPr>
      </w:pPr>
    </w:p>
    <w:p w:rsidR="00405D77" w:rsidP="00E71CDA" w14:paraId="5E2C3959" w14:textId="77777777">
      <w:pPr>
        <w:widowControl/>
        <w:ind w:firstLine="360"/>
        <w:rPr>
          <w:bCs/>
          <w:szCs w:val="22"/>
        </w:rPr>
      </w:pPr>
      <w:r>
        <w:rPr>
          <w:bCs/>
          <w:szCs w:val="22"/>
        </w:rPr>
        <w:t xml:space="preserve">On January 19, 2021, the Wireless Telecommunications Bureau and the Public Safety and Homeland Security Bureau (Bureaus) released a Public Notice providing, </w:t>
      </w:r>
      <w:r w:rsidRPr="006A264C">
        <w:rPr>
          <w:bCs/>
          <w:i/>
          <w:iCs/>
          <w:szCs w:val="22"/>
        </w:rPr>
        <w:t>inter alia</w:t>
      </w:r>
      <w:r>
        <w:rPr>
          <w:bCs/>
          <w:szCs w:val="22"/>
        </w:rPr>
        <w:t xml:space="preserve">, that, for a 90-day period following the release of the Public Notice, applications for certain Part 22 and Part 90 applications, listed below, for facilities in the 470-512 MHz spectrum (T-Band) would be accepted </w:t>
      </w:r>
      <w:r w:rsidRPr="00431382">
        <w:rPr>
          <w:bCs/>
          <w:szCs w:val="22"/>
        </w:rPr>
        <w:t>from incumbent T-Band licensees:</w:t>
      </w:r>
      <w:r>
        <w:rPr>
          <w:rStyle w:val="FootnoteReference"/>
          <w:bCs/>
          <w:szCs w:val="22"/>
        </w:rPr>
        <w:footnoteReference w:id="3"/>
      </w:r>
    </w:p>
    <w:p w:rsidR="00405D77" w:rsidP="00E71CDA" w14:paraId="61A0FA26" w14:textId="77777777">
      <w:pPr>
        <w:widowControl/>
        <w:rPr>
          <w:bCs/>
          <w:szCs w:val="22"/>
        </w:rPr>
      </w:pPr>
    </w:p>
    <w:p w:rsidR="00405D77" w:rsidP="00E71CDA" w14:paraId="77A97671" w14:textId="77777777">
      <w:pPr>
        <w:widowControl/>
        <w:numPr>
          <w:ilvl w:val="0"/>
          <w:numId w:val="20"/>
        </w:numPr>
        <w:spacing w:after="120"/>
        <w:rPr>
          <w:bCs/>
          <w:szCs w:val="22"/>
        </w:rPr>
      </w:pPr>
      <w:r w:rsidRPr="00757467">
        <w:rPr>
          <w:bCs/>
          <w:szCs w:val="22"/>
        </w:rPr>
        <w:t>Applications for modification of license characterized as minor under sections 1.929 and 1.947(b) of the Commission's rules.</w:t>
      </w:r>
      <w:r>
        <w:rPr>
          <w:bCs/>
          <w:szCs w:val="22"/>
          <w:vertAlign w:val="superscript"/>
        </w:rPr>
        <w:footnoteReference w:id="4"/>
      </w:r>
    </w:p>
    <w:p w:rsidR="00405D77" w:rsidP="00E71CDA" w14:paraId="3B31C9CF" w14:textId="77777777">
      <w:pPr>
        <w:widowControl/>
        <w:numPr>
          <w:ilvl w:val="0"/>
          <w:numId w:val="20"/>
        </w:numPr>
        <w:spacing w:after="120"/>
        <w:rPr>
          <w:bCs/>
          <w:szCs w:val="22"/>
        </w:rPr>
      </w:pPr>
      <w:r w:rsidRPr="00757467">
        <w:rPr>
          <w:bCs/>
          <w:szCs w:val="22"/>
        </w:rPr>
        <w:t>Applications characterized as major under Part 22 of the Commission's rules</w:t>
      </w:r>
      <w:r>
        <w:rPr>
          <w:bCs/>
          <w:szCs w:val="22"/>
        </w:rPr>
        <w:t>.</w:t>
      </w:r>
    </w:p>
    <w:p w:rsidR="00405D77" w:rsidRPr="00757467" w:rsidP="00E71CDA" w14:paraId="0017CE50" w14:textId="77777777">
      <w:pPr>
        <w:widowControl/>
        <w:numPr>
          <w:ilvl w:val="0"/>
          <w:numId w:val="20"/>
        </w:numPr>
        <w:spacing w:after="120"/>
        <w:rPr>
          <w:bCs/>
          <w:szCs w:val="22"/>
        </w:rPr>
      </w:pPr>
      <w:r w:rsidRPr="00757467">
        <w:rPr>
          <w:bCs/>
          <w:szCs w:val="22"/>
        </w:rPr>
        <w:t xml:space="preserve">Applications governed by Part 90 of the Commission's rules, but only if such </w:t>
      </w:r>
      <w:r w:rsidRPr="00757467">
        <w:rPr>
          <w:bCs/>
          <w:szCs w:val="22"/>
        </w:rPr>
        <w:t>applications;</w:t>
      </w:r>
    </w:p>
    <w:p w:rsidR="00405D77" w:rsidP="00E71CDA" w14:paraId="2C528AD0" w14:textId="77777777">
      <w:pPr>
        <w:widowControl/>
        <w:numPr>
          <w:ilvl w:val="0"/>
          <w:numId w:val="21"/>
        </w:numPr>
        <w:spacing w:after="120"/>
        <w:rPr>
          <w:bCs/>
          <w:szCs w:val="22"/>
        </w:rPr>
      </w:pPr>
      <w:r w:rsidRPr="00757467">
        <w:rPr>
          <w:bCs/>
          <w:szCs w:val="22"/>
        </w:rPr>
        <w:t>propose operation with 12.5 kHz bandwidth (11.25 kHz occupied bandwidth) or narrower channels</w:t>
      </w:r>
      <w:r>
        <w:rPr>
          <w:bCs/>
          <w:szCs w:val="22"/>
        </w:rPr>
        <w:t xml:space="preserve">; or </w:t>
      </w:r>
    </w:p>
    <w:p w:rsidR="00405D77" w:rsidP="009F414E" w14:paraId="75A4066E" w14:textId="77777777">
      <w:pPr>
        <w:widowControl/>
        <w:numPr>
          <w:ilvl w:val="0"/>
          <w:numId w:val="21"/>
        </w:numPr>
        <w:ind w:left="1498"/>
        <w:rPr>
          <w:bCs/>
          <w:szCs w:val="22"/>
        </w:rPr>
      </w:pPr>
      <w:r w:rsidRPr="00757467">
        <w:rPr>
          <w:bCs/>
          <w:szCs w:val="22"/>
        </w:rPr>
        <w:t>employ a technology that achieves the narrowband equivalent of at least one channel per 12.5 kHz of channel bandwidth for</w:t>
      </w:r>
      <w:r>
        <w:rPr>
          <w:bCs/>
          <w:szCs w:val="22"/>
        </w:rPr>
        <w:t xml:space="preserve"> </w:t>
      </w:r>
      <w:r w:rsidRPr="00757467">
        <w:rPr>
          <w:bCs/>
          <w:szCs w:val="22"/>
        </w:rPr>
        <w:t>voice, and transmission rates of at least 4800 bits per second per 6.25 kHz for data systems operating with bandwidths greater</w:t>
      </w:r>
      <w:r>
        <w:rPr>
          <w:bCs/>
          <w:szCs w:val="22"/>
        </w:rPr>
        <w:t xml:space="preserve"> </w:t>
      </w:r>
      <w:r w:rsidRPr="00757467">
        <w:rPr>
          <w:bCs/>
          <w:szCs w:val="22"/>
        </w:rPr>
        <w:t>than 12.5 kHz (narrowband-equivalent technology</w:t>
      </w:r>
      <w:r>
        <w:rPr>
          <w:bCs/>
          <w:szCs w:val="22"/>
        </w:rPr>
        <w:t>).</w:t>
      </w:r>
    </w:p>
    <w:p w:rsidR="009F414E" w:rsidP="00E71CDA" w14:paraId="726A4A9D" w14:textId="77777777">
      <w:pPr>
        <w:widowControl/>
        <w:ind w:firstLine="720"/>
        <w:rPr>
          <w:bCs/>
          <w:szCs w:val="22"/>
        </w:rPr>
      </w:pPr>
    </w:p>
    <w:p w:rsidR="00E71CDA" w:rsidP="00E71CDA" w14:paraId="132F7561" w14:textId="341706BD">
      <w:pPr>
        <w:widowControl/>
        <w:ind w:firstLine="720"/>
        <w:rPr>
          <w:bCs/>
          <w:szCs w:val="22"/>
        </w:rPr>
      </w:pPr>
      <w:r w:rsidRPr="002000E5">
        <w:rPr>
          <w:bCs/>
          <w:szCs w:val="22"/>
        </w:rPr>
        <w:t>T</w:t>
      </w:r>
      <w:r>
        <w:rPr>
          <w:bCs/>
          <w:szCs w:val="22"/>
        </w:rPr>
        <w:t>he 90-day period limiting applications to incumbent licensees was imposed t</w:t>
      </w:r>
      <w:r w:rsidRPr="002000E5">
        <w:rPr>
          <w:bCs/>
          <w:szCs w:val="22"/>
        </w:rPr>
        <w:t>o ensure the orderly resumption of application and licensing processes</w:t>
      </w:r>
      <w:r>
        <w:rPr>
          <w:bCs/>
          <w:szCs w:val="22"/>
        </w:rPr>
        <w:t xml:space="preserve">.  For the same reason, the Bureaus find it in the public interest to extend the period limiting applications to incumbent licensees for an additional 180 days.  Accordingly, we extend the period during which the above-listed applications will be accepted from incumbent licensees to </w:t>
      </w:r>
      <w:r w:rsidRPr="00BE79CD" w:rsidR="00BE79CD">
        <w:rPr>
          <w:bCs/>
          <w:szCs w:val="22"/>
        </w:rPr>
        <w:t>Dec. 19, 2021</w:t>
      </w:r>
      <w:r>
        <w:rPr>
          <w:bCs/>
          <w:szCs w:val="22"/>
        </w:rPr>
        <w:t>.</w:t>
      </w:r>
    </w:p>
    <w:p w:rsidR="00405D77" w:rsidP="00E71CDA" w14:paraId="3097B2A2" w14:textId="2B69C175">
      <w:pPr>
        <w:widowControl/>
        <w:ind w:firstLine="720"/>
        <w:rPr>
          <w:bCs/>
          <w:szCs w:val="22"/>
        </w:rPr>
      </w:pPr>
      <w:r>
        <w:rPr>
          <w:bCs/>
          <w:szCs w:val="22"/>
        </w:rPr>
        <w:t xml:space="preserve">  </w:t>
      </w:r>
    </w:p>
    <w:p w:rsidR="00405D77" w:rsidP="00E71CDA" w14:paraId="46ACB051" w14:textId="1EB6D5D8">
      <w:pPr>
        <w:widowControl/>
        <w:ind w:firstLine="720"/>
        <w:rPr>
          <w:bCs/>
          <w:szCs w:val="22"/>
        </w:rPr>
      </w:pPr>
      <w:r>
        <w:rPr>
          <w:bCs/>
          <w:szCs w:val="22"/>
        </w:rPr>
        <w:t xml:space="preserve">Except for the foregoing extension of the date through which the listed applications may be filed by incumbent licensees, the provisions of the Bureaus’ 2012 Suspension Notice, as modified by the </w:t>
      </w:r>
      <w:r w:rsidRPr="006F5A29">
        <w:rPr>
          <w:bCs/>
          <w:szCs w:val="22"/>
        </w:rPr>
        <w:t>January 19, 2021</w:t>
      </w:r>
      <w:r>
        <w:rPr>
          <w:bCs/>
          <w:szCs w:val="22"/>
        </w:rPr>
        <w:t xml:space="preserve"> Public Notice, remain in effect.</w:t>
      </w:r>
    </w:p>
    <w:p w:rsidR="00E71CDA" w:rsidP="00E71CDA" w14:paraId="67367D82" w14:textId="77777777">
      <w:pPr>
        <w:widowControl/>
        <w:ind w:firstLine="720"/>
        <w:rPr>
          <w:bCs/>
          <w:szCs w:val="22"/>
        </w:rPr>
      </w:pPr>
    </w:p>
    <w:p w:rsidR="00405D77" w:rsidP="00E71CDA" w14:paraId="69F4E77E" w14:textId="57B0B7BB">
      <w:pPr>
        <w:widowControl/>
        <w:ind w:firstLine="720"/>
        <w:rPr>
          <w:rFonts w:eastAsia="Calibri"/>
          <w:snapToGrid/>
          <w:kern w:val="0"/>
          <w:szCs w:val="22"/>
        </w:rPr>
      </w:pPr>
      <w:r w:rsidRPr="005517C9">
        <w:rPr>
          <w:rFonts w:eastAsia="Calibri"/>
          <w:snapToGrid/>
          <w:kern w:val="0"/>
          <w:szCs w:val="22"/>
        </w:rPr>
        <w:t xml:space="preserve">The decision to </w:t>
      </w:r>
      <w:r w:rsidRPr="00E97CC9">
        <w:rPr>
          <w:rFonts w:eastAsia="Calibri"/>
          <w:snapToGrid/>
          <w:kern w:val="0"/>
          <w:szCs w:val="22"/>
        </w:rPr>
        <w:t>extend th</w:t>
      </w:r>
      <w:r>
        <w:rPr>
          <w:rFonts w:eastAsia="Calibri"/>
          <w:snapToGrid/>
          <w:kern w:val="0"/>
          <w:szCs w:val="22"/>
        </w:rPr>
        <w:t>e</w:t>
      </w:r>
      <w:r w:rsidRPr="00E97CC9">
        <w:rPr>
          <w:rFonts w:eastAsia="Calibri"/>
          <w:snapToGrid/>
          <w:kern w:val="0"/>
          <w:szCs w:val="22"/>
        </w:rPr>
        <w:t xml:space="preserve"> date </w:t>
      </w:r>
      <w:r>
        <w:rPr>
          <w:rFonts w:eastAsia="Calibri"/>
          <w:snapToGrid/>
          <w:kern w:val="0"/>
          <w:szCs w:val="22"/>
        </w:rPr>
        <w:t xml:space="preserve">for acceptance of certain T-Band applications </w:t>
      </w:r>
      <w:r w:rsidRPr="005517C9">
        <w:rPr>
          <w:rFonts w:eastAsia="Calibri"/>
          <w:snapToGrid/>
          <w:kern w:val="0"/>
          <w:szCs w:val="22"/>
        </w:rPr>
        <w:t>is procedural in nature, and therefore not subject to the notice and comment and effective date requirements of the Administrative Procedure Act.</w:t>
      </w:r>
      <w:r>
        <w:rPr>
          <w:rStyle w:val="FootnoteReference"/>
          <w:rFonts w:eastAsia="Calibri"/>
          <w:snapToGrid/>
          <w:kern w:val="0"/>
          <w:szCs w:val="22"/>
        </w:rPr>
        <w:footnoteReference w:id="5"/>
      </w:r>
      <w:r>
        <w:rPr>
          <w:rFonts w:eastAsia="Calibri"/>
          <w:snapToGrid/>
          <w:kern w:val="0"/>
          <w:szCs w:val="22"/>
        </w:rPr>
        <w:t xml:space="preserve">  </w:t>
      </w:r>
      <w:r w:rsidRPr="005517C9">
        <w:rPr>
          <w:rFonts w:eastAsia="Calibri"/>
          <w:snapToGrid/>
          <w:kern w:val="0"/>
          <w:szCs w:val="22"/>
        </w:rPr>
        <w:t xml:space="preserve">Moreover, we find that there is good cause for not delaying the effect of the </w:t>
      </w:r>
      <w:r>
        <w:rPr>
          <w:rFonts w:eastAsia="Calibri"/>
          <w:snapToGrid/>
          <w:kern w:val="0"/>
          <w:szCs w:val="22"/>
        </w:rPr>
        <w:t xml:space="preserve">extension </w:t>
      </w:r>
      <w:r w:rsidRPr="005517C9">
        <w:rPr>
          <w:rFonts w:eastAsia="Calibri"/>
          <w:snapToGrid/>
          <w:kern w:val="0"/>
          <w:szCs w:val="22"/>
        </w:rPr>
        <w:t xml:space="preserve">until after publication in the Federal Register. </w:t>
      </w:r>
      <w:r>
        <w:rPr>
          <w:rFonts w:eastAsia="Calibri"/>
          <w:snapToGrid/>
          <w:kern w:val="0"/>
          <w:szCs w:val="22"/>
        </w:rPr>
        <w:t xml:space="preserve"> </w:t>
      </w:r>
      <w:r w:rsidRPr="005517C9">
        <w:rPr>
          <w:rFonts w:eastAsia="Calibri"/>
          <w:snapToGrid/>
          <w:kern w:val="0"/>
          <w:szCs w:val="22"/>
        </w:rPr>
        <w:t xml:space="preserve">Such a delay would be impractical, unnecessary, and contrary to the public interest because it would undercut the purposes of the </w:t>
      </w:r>
      <w:r>
        <w:rPr>
          <w:rFonts w:eastAsia="Calibri"/>
          <w:snapToGrid/>
          <w:kern w:val="0"/>
          <w:szCs w:val="22"/>
        </w:rPr>
        <w:t>extension.</w:t>
      </w:r>
    </w:p>
    <w:p w:rsidR="00E71CDA" w:rsidP="00E71CDA" w14:paraId="31856749" w14:textId="77777777">
      <w:pPr>
        <w:widowControl/>
        <w:ind w:firstLine="720"/>
        <w:rPr>
          <w:rFonts w:eastAsia="Calibri"/>
          <w:snapToGrid/>
          <w:kern w:val="0"/>
          <w:szCs w:val="22"/>
        </w:rPr>
      </w:pPr>
    </w:p>
    <w:p w:rsidR="00405D77" w:rsidP="00E71CDA" w14:paraId="7361C555" w14:textId="4E070FF3">
      <w:pPr>
        <w:widowControl/>
        <w:ind w:firstLine="720"/>
        <w:rPr>
          <w:bCs/>
          <w:szCs w:val="22"/>
        </w:rPr>
      </w:pPr>
      <w:r w:rsidRPr="00E97CC9">
        <w:rPr>
          <w:bCs/>
          <w:szCs w:val="22"/>
        </w:rPr>
        <w:t>For further information regarding this proceeding contact Joshua Smith, Mobility Division, Wireless Telecommunications</w:t>
      </w:r>
      <w:r>
        <w:rPr>
          <w:bCs/>
          <w:szCs w:val="22"/>
        </w:rPr>
        <w:t xml:space="preserve"> </w:t>
      </w:r>
      <w:r w:rsidRPr="00E97CC9">
        <w:rPr>
          <w:bCs/>
          <w:szCs w:val="22"/>
        </w:rPr>
        <w:t xml:space="preserve">Bureau, (voice) (717) 338-2502 or </w:t>
      </w:r>
      <w:hyperlink r:id="rId5" w:history="1">
        <w:r w:rsidRPr="002D3B88" w:rsidR="00E71CDA">
          <w:rPr>
            <w:rStyle w:val="Hyperlink"/>
            <w:bCs/>
            <w:szCs w:val="22"/>
          </w:rPr>
          <w:t>Joshua.Smith@fcc.gov</w:t>
        </w:r>
      </w:hyperlink>
      <w:r w:rsidRPr="00E97CC9">
        <w:rPr>
          <w:bCs/>
          <w:szCs w:val="22"/>
        </w:rPr>
        <w:t>, or Brian Marenco, Policy and Licensing Division, Public Safety an</w:t>
      </w:r>
      <w:r>
        <w:rPr>
          <w:bCs/>
          <w:szCs w:val="22"/>
        </w:rPr>
        <w:t xml:space="preserve">d </w:t>
      </w:r>
      <w:r w:rsidRPr="00E97CC9">
        <w:rPr>
          <w:bCs/>
          <w:szCs w:val="22"/>
        </w:rPr>
        <w:t xml:space="preserve">Homeland Security Bureau, (voice) (202) 418-0838 or </w:t>
      </w:r>
      <w:hyperlink r:id="rId6" w:history="1">
        <w:r w:rsidRPr="002D3B88" w:rsidR="00E71CDA">
          <w:rPr>
            <w:rStyle w:val="Hyperlink"/>
            <w:bCs/>
            <w:szCs w:val="22"/>
          </w:rPr>
          <w:t>Brian.Marenco@fcc.gov</w:t>
        </w:r>
      </w:hyperlink>
      <w:r w:rsidRPr="00E97CC9">
        <w:rPr>
          <w:bCs/>
          <w:szCs w:val="22"/>
        </w:rPr>
        <w:t>.</w:t>
      </w:r>
    </w:p>
    <w:p w:rsidR="00E71CDA" w:rsidRPr="00E97CC9" w:rsidP="00E71CDA" w14:paraId="7FFBCF51" w14:textId="77777777">
      <w:pPr>
        <w:widowControl/>
        <w:ind w:firstLine="720"/>
        <w:rPr>
          <w:bCs/>
          <w:szCs w:val="22"/>
        </w:rPr>
      </w:pPr>
    </w:p>
    <w:p w:rsidR="00405D77" w:rsidRPr="00E97CC9" w:rsidP="00E71CDA" w14:paraId="08DC31B0" w14:textId="77777777">
      <w:pPr>
        <w:widowControl/>
        <w:ind w:firstLine="720"/>
        <w:rPr>
          <w:bCs/>
          <w:szCs w:val="22"/>
        </w:rPr>
      </w:pPr>
      <w:r w:rsidRPr="00E97CC9">
        <w:rPr>
          <w:bCs/>
          <w:szCs w:val="22"/>
        </w:rPr>
        <w:t>Action by the Wireless Telecommunications Bureau and the Public Safety and Homeland Security Bureau.</w:t>
      </w:r>
    </w:p>
    <w:p w:rsidR="00405D77" w:rsidRPr="00E97CC9" w:rsidP="00405D77" w14:paraId="026ADE52" w14:textId="77777777"/>
    <w:p w:rsidR="00702187" w:rsidRPr="00405D77" w:rsidP="00405D77" w14:paraId="6F340E60"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2EC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0C9" w14:paraId="0E8FA5F6" w14:textId="77777777">
      <w:r>
        <w:separator/>
      </w:r>
    </w:p>
  </w:footnote>
  <w:footnote w:type="continuationSeparator" w:id="1">
    <w:p w:rsidR="00E870C9" w14:paraId="6CCF1CA8" w14:textId="77777777">
      <w:pPr>
        <w:rPr>
          <w:sz w:val="20"/>
        </w:rPr>
      </w:pPr>
      <w:r>
        <w:rPr>
          <w:sz w:val="20"/>
        </w:rPr>
        <w:t xml:space="preserve">(Continued from previous page)  </w:t>
      </w:r>
      <w:r>
        <w:rPr>
          <w:sz w:val="20"/>
        </w:rPr>
        <w:separator/>
      </w:r>
    </w:p>
  </w:footnote>
  <w:footnote w:type="continuationNotice" w:id="2">
    <w:p w:rsidR="00E870C9" w14:paraId="5C38EC8F" w14:textId="77777777">
      <w:pPr>
        <w:jc w:val="right"/>
        <w:rPr>
          <w:sz w:val="20"/>
        </w:rPr>
      </w:pPr>
      <w:r>
        <w:rPr>
          <w:sz w:val="20"/>
        </w:rPr>
        <w:t>(continued….)</w:t>
      </w:r>
    </w:p>
  </w:footnote>
  <w:footnote w:id="3">
    <w:p w:rsidR="00405D77" w:rsidRPr="00154398" w:rsidP="00405D77" w14:paraId="58DF97CD" w14:textId="77777777">
      <w:pPr>
        <w:pStyle w:val="FootnoteText"/>
        <w:rPr>
          <w:i/>
          <w:iCs/>
        </w:rPr>
      </w:pPr>
      <w:r>
        <w:rPr>
          <w:rStyle w:val="FootnoteReference"/>
        </w:rPr>
        <w:footnoteRef/>
      </w:r>
      <w:r>
        <w:t xml:space="preserve"> </w:t>
      </w:r>
      <w:bookmarkStart w:id="0" w:name="_Hlk74729087"/>
      <w:r w:rsidRPr="00E97CC9">
        <w:rPr>
          <w:i/>
          <w:iCs/>
        </w:rPr>
        <w:t>Wireless Telecommunications Bureau and Public Safety and Homeland Security Bureau Modify Suspensions of Acceptance and Processing of Certain Part 22 and Part 90 Applications for 470-512 MHz (T-Band) Spectrum</w:t>
      </w:r>
      <w:r>
        <w:t xml:space="preserve">, Public Notice, 36 FCC </w:t>
      </w:r>
      <w:r>
        <w:t>Rcd</w:t>
      </w:r>
      <w:r>
        <w:t xml:space="preserve"> 788 (WTB/PSHSB 2021) (January 19, 2021 Public Notice).  </w:t>
      </w:r>
      <w:r w:rsidRPr="006A264C">
        <w:t xml:space="preserve">Applicants </w:t>
      </w:r>
      <w:bookmarkEnd w:id="0"/>
      <w:r w:rsidRPr="006A264C">
        <w:t>qualify as incumbent licensees if they have an active call sign under the same FCC Registration</w:t>
      </w:r>
      <w:r>
        <w:t xml:space="preserve"> </w:t>
      </w:r>
      <w:r w:rsidRPr="006A264C">
        <w:t>Number (FRN) and are authorized to operate on at least one frequency within the same T-Band market as the application.</w:t>
      </w:r>
      <w:r w:rsidRPr="006F5A29">
        <w:t xml:space="preserve"> </w:t>
      </w:r>
      <w:r>
        <w:t xml:space="preserve"> The January 19, 2021 Public Notice modified the Bureaus’ 2012 suspension of acceptance and processing of certain T-Band applications.  </w:t>
      </w:r>
      <w:r w:rsidRPr="00154398">
        <w:rPr>
          <w:i/>
          <w:iCs/>
        </w:rPr>
        <w:t>See</w:t>
      </w:r>
      <w:r>
        <w:rPr>
          <w:i/>
          <w:iCs/>
        </w:rPr>
        <w:t xml:space="preserve"> </w:t>
      </w:r>
      <w:r w:rsidRPr="00E97CC9">
        <w:rPr>
          <w:i/>
          <w:iCs/>
        </w:rPr>
        <w:t>Wireless Telecommunications Bureau and Public Safety and Homeland Security Bureau Suspen</w:t>
      </w:r>
      <w:r>
        <w:rPr>
          <w:i/>
          <w:iCs/>
        </w:rPr>
        <w:t>d the</w:t>
      </w:r>
      <w:r w:rsidRPr="00E97CC9">
        <w:rPr>
          <w:i/>
          <w:iCs/>
        </w:rPr>
        <w:t xml:space="preserve"> Acceptance and Processing of Certain Part 22 and Part 90 Applications for 470-512 MHz (T-Band) Spectrum</w:t>
      </w:r>
      <w:r>
        <w:t xml:space="preserve">, Public Notice, 27 FCC </w:t>
      </w:r>
      <w:r>
        <w:t>Rcd</w:t>
      </w:r>
      <w:r>
        <w:t xml:space="preserve"> 4218 (WTB/PSHSB 2012) (Suspension Notice). </w:t>
      </w:r>
    </w:p>
  </w:footnote>
  <w:footnote w:id="4">
    <w:p w:rsidR="00405D77" w:rsidP="00405D77" w14:paraId="14CF6D2B" w14:textId="77777777">
      <w:pPr>
        <w:pStyle w:val="FootnoteText"/>
      </w:pPr>
      <w:r>
        <w:rPr>
          <w:rStyle w:val="FootnoteReference"/>
        </w:rPr>
        <w:footnoteRef/>
      </w:r>
      <w:r>
        <w:t xml:space="preserve"> 47 CFR </w:t>
      </w:r>
      <w:r w:rsidRPr="00FD2745">
        <w:t>§§</w:t>
      </w:r>
      <w:r>
        <w:t xml:space="preserve"> </w:t>
      </w:r>
      <w:r w:rsidRPr="00757467">
        <w:rPr>
          <w:bCs/>
        </w:rPr>
        <w:t>1.929</w:t>
      </w:r>
      <w:r>
        <w:rPr>
          <w:bCs/>
        </w:rPr>
        <w:t xml:space="preserve">, </w:t>
      </w:r>
      <w:r w:rsidRPr="00757467">
        <w:rPr>
          <w:bCs/>
        </w:rPr>
        <w:t>1.947(b)</w:t>
      </w:r>
      <w:r>
        <w:rPr>
          <w:bCs/>
        </w:rPr>
        <w:t>.</w:t>
      </w:r>
    </w:p>
  </w:footnote>
  <w:footnote w:id="5">
    <w:p w:rsidR="00405D77" w:rsidRPr="006F5A29" w:rsidP="00405D77" w14:paraId="749BBEFE" w14:textId="77777777">
      <w:pPr>
        <w:pStyle w:val="FootnoteText"/>
      </w:pPr>
      <w:r>
        <w:rPr>
          <w:rStyle w:val="FootnoteReference"/>
        </w:rPr>
        <w:footnoteRef/>
      </w:r>
      <w:r>
        <w:t xml:space="preserve"> </w:t>
      </w:r>
      <w:r w:rsidRPr="006F5A29">
        <w:rPr>
          <w:i/>
          <w:iCs/>
          <w:color w:val="000000" w:themeColor="text1"/>
        </w:rPr>
        <w:t>See</w:t>
      </w:r>
      <w:r w:rsidRPr="006F5A29">
        <w:rPr>
          <w:color w:val="000000" w:themeColor="text1"/>
        </w:rPr>
        <w:t> </w:t>
      </w:r>
      <w:hyperlink r:id="rId1" w:anchor="co_pp_1e100000a8502" w:history="1">
        <w:r w:rsidRPr="006F5A29">
          <w:rPr>
            <w:rStyle w:val="Hyperlink"/>
            <w:color w:val="000000" w:themeColor="text1"/>
            <w:u w:val="none"/>
          </w:rPr>
          <w:t>5 U.S.C. § 553(b)(A)</w:t>
        </w:r>
      </w:hyperlink>
      <w:r w:rsidRPr="006F5A29">
        <w:rPr>
          <w:color w:val="000000" w:themeColor="text1"/>
        </w:rPr>
        <w:t>, </w:t>
      </w:r>
      <w:hyperlink r:id="rId1" w:anchor="co_pp_5ba1000067d06" w:history="1">
        <w:r w:rsidRPr="006F5A29">
          <w:rPr>
            <w:rStyle w:val="Hyperlink"/>
            <w:color w:val="000000" w:themeColor="text1"/>
            <w:u w:val="none"/>
          </w:rPr>
          <w:t>(d)</w:t>
        </w:r>
      </w:hyperlink>
      <w:r w:rsidRPr="006F5A29">
        <w:rPr>
          <w:color w:val="000000" w:themeColor="text1"/>
        </w:rPr>
        <w:t>; </w:t>
      </w:r>
      <w:r w:rsidRPr="006F5A29">
        <w:rPr>
          <w:i/>
          <w:iCs/>
          <w:color w:val="000000" w:themeColor="text1"/>
        </w:rPr>
        <w:t>see also, e.g.</w:t>
      </w:r>
      <w:r w:rsidRPr="006F5A29">
        <w:rPr>
          <w:color w:val="000000" w:themeColor="text1"/>
        </w:rPr>
        <w:t>,</w:t>
      </w:r>
      <w:hyperlink r:id="rId2" w:anchor="co_pp_sp_350_637" w:history="1">
        <w:r w:rsidRPr="006F5A29">
          <w:rPr>
            <w:rStyle w:val="Hyperlink"/>
            <w:i/>
            <w:iCs/>
            <w:color w:val="000000" w:themeColor="text1"/>
            <w:u w:val="none"/>
          </w:rPr>
          <w:t> Neighborhood TV Co. v. FCC</w:t>
        </w:r>
        <w:r w:rsidRPr="006F5A29">
          <w:rPr>
            <w:rStyle w:val="Hyperlink"/>
            <w:color w:val="000000" w:themeColor="text1"/>
            <w:u w:val="none"/>
          </w:rPr>
          <w:t>, 742 F.2d 629, 637-38 (D.C. Cir. 1984)</w:t>
        </w:r>
      </w:hyperlink>
      <w:r w:rsidRPr="006F5A29">
        <w:rPr>
          <w:color w:val="000000" w:themeColor="text1"/>
        </w:rPr>
        <w:t xml:space="preserve"> (holding that </w:t>
      </w:r>
      <w:r>
        <w:rPr>
          <w:color w:val="000000" w:themeColor="text1"/>
        </w:rPr>
        <w:t>a</w:t>
      </w:r>
      <w:r w:rsidRPr="006F5A29">
        <w:rPr>
          <w:color w:val="000000" w:themeColor="text1"/>
        </w:rPr>
        <w:t xml:space="preserve"> Commission filing freeze is a procedural rule not subject to the notice and comment requirements of the Administrative Procedure Act); </w:t>
      </w:r>
      <w:hyperlink r:id="rId3" w:anchor="co_pp_sp_350_952" w:history="1">
        <w:r w:rsidRPr="006F5A29">
          <w:rPr>
            <w:rStyle w:val="Hyperlink"/>
            <w:i/>
            <w:iCs/>
            <w:color w:val="000000" w:themeColor="text1"/>
            <w:u w:val="none"/>
          </w:rPr>
          <w:t>Buckeye Cablevision, Inc. v. United States</w:t>
        </w:r>
        <w:r w:rsidRPr="006F5A29">
          <w:rPr>
            <w:rStyle w:val="Hyperlink"/>
            <w:color w:val="000000" w:themeColor="text1"/>
            <w:u w:val="none"/>
          </w:rPr>
          <w:t>, 438 F.2d 948, 952-53 (6th Cir. 1971)</w:t>
        </w:r>
      </w:hyperlink>
      <w:r w:rsidRPr="006F5A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EC4E009" w14:textId="608EDECF">
    <w:pPr>
      <w:tabs>
        <w:tab w:val="center" w:pos="4680"/>
        <w:tab w:val="right" w:pos="9360"/>
      </w:tabs>
    </w:pPr>
    <w:r>
      <w:rPr>
        <w:b/>
      </w:rPr>
      <w:tab/>
      <w:t>Federal Communications Commission</w:t>
    </w:r>
    <w:r>
      <w:rPr>
        <w:b/>
      </w:rPr>
      <w:tab/>
    </w:r>
    <w:r w:rsidR="008762BB">
      <w:rPr>
        <w:b/>
      </w:rPr>
      <w:t xml:space="preserve">DA </w:t>
    </w:r>
    <w:r w:rsidRPr="00603558" w:rsidR="00603558">
      <w:rPr>
        <w:b/>
      </w:rPr>
      <w:t>21-</w:t>
    </w:r>
    <w:r w:rsidR="002A36DB">
      <w:rPr>
        <w:b/>
      </w:rPr>
      <w:t>721</w:t>
    </w:r>
  </w:p>
  <w:p w:rsidR="00B6319F"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2B8618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5C7D94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31603099" w14:textId="77777777">
                    <w:pPr>
                      <w:rPr>
                        <w:rFonts w:ascii="Arial" w:hAnsi="Arial"/>
                        <w:b/>
                      </w:rPr>
                    </w:pPr>
                    <w:r>
                      <w:rPr>
                        <w:rFonts w:ascii="Arial" w:hAnsi="Arial"/>
                        <w:b/>
                      </w:rPr>
                      <w:t>Federal Communications Commission</w:t>
                    </w:r>
                  </w:p>
                  <w:p w:rsidR="00B6319F" w14:paraId="52352A62" w14:textId="77777777">
                    <w:pPr>
                      <w:rPr>
                        <w:rFonts w:ascii="Arial" w:hAnsi="Arial"/>
                        <w:b/>
                      </w:rPr>
                    </w:pPr>
                    <w:r>
                      <w:rPr>
                        <w:rFonts w:ascii="Arial" w:hAnsi="Arial"/>
                        <w:b/>
                      </w:rPr>
                      <w:t>45 L St., N.E.</w:t>
                    </w:r>
                  </w:p>
                  <w:p w:rsidR="00B6319F" w14:paraId="5CA7D268"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04A92D6F" w14:textId="77777777">
                    <w:pPr>
                      <w:spacing w:before="40"/>
                      <w:jc w:val="right"/>
                      <w:rPr>
                        <w:rFonts w:ascii="Arial" w:hAnsi="Arial"/>
                        <w:b/>
                        <w:sz w:val="16"/>
                      </w:rPr>
                    </w:pPr>
                    <w:r>
                      <w:rPr>
                        <w:rFonts w:ascii="Arial" w:hAnsi="Arial"/>
                        <w:b/>
                        <w:sz w:val="16"/>
                      </w:rPr>
                      <w:t>News Media Information 202 / 418-0500</w:t>
                    </w:r>
                  </w:p>
                  <w:p w:rsidR="00B6319F" w14:paraId="69409FAA"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paraId="6F3A1A44" w14:textId="77777777">
                    <w:pPr>
                      <w:jc w:val="right"/>
                    </w:pPr>
                    <w:r>
                      <w:rPr>
                        <w:rFonts w:ascii="Arial" w:hAnsi="Arial"/>
                        <w:b/>
                        <w:sz w:val="16"/>
                      </w:rPr>
                      <w:t>TTY: 1-888-835-5322</w:t>
                    </w:r>
                  </w:p>
                </w:txbxContent>
              </v:textbox>
            </v:shape>
          </w:pict>
        </mc:Fallback>
      </mc:AlternateContent>
    </w:r>
  </w:p>
  <w:p w:rsidR="00B6319F"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922C30"/>
    <w:multiLevelType w:val="hybridMultilevel"/>
    <w:tmpl w:val="CBD67230"/>
    <w:lvl w:ilvl="0">
      <w:start w:val="1"/>
      <w:numFmt w:val="bullet"/>
      <w:lvlText w:val="o"/>
      <w:lvlJc w:val="left"/>
      <w:pPr>
        <w:ind w:left="1497" w:hanging="360"/>
      </w:pPr>
      <w:rPr>
        <w:rFonts w:ascii="Courier New" w:hAnsi="Courier New" w:cs="Courier New" w:hint="default"/>
      </w:rPr>
    </w:lvl>
    <w:lvl w:ilvl="1" w:tentative="1">
      <w:start w:val="1"/>
      <w:numFmt w:val="bullet"/>
      <w:lvlText w:val="o"/>
      <w:lvlJc w:val="left"/>
      <w:pPr>
        <w:ind w:left="2217" w:hanging="360"/>
      </w:pPr>
      <w:rPr>
        <w:rFonts w:ascii="Courier New" w:hAnsi="Courier New" w:cs="Courier New" w:hint="default"/>
      </w:rPr>
    </w:lvl>
    <w:lvl w:ilvl="2" w:tentative="1">
      <w:start w:val="1"/>
      <w:numFmt w:val="bullet"/>
      <w:lvlText w:val=""/>
      <w:lvlJc w:val="left"/>
      <w:pPr>
        <w:ind w:left="2937" w:hanging="360"/>
      </w:pPr>
      <w:rPr>
        <w:rFonts w:ascii="Wingdings" w:hAnsi="Wingdings" w:hint="default"/>
      </w:rPr>
    </w:lvl>
    <w:lvl w:ilvl="3" w:tentative="1">
      <w:start w:val="1"/>
      <w:numFmt w:val="bullet"/>
      <w:lvlText w:val=""/>
      <w:lvlJc w:val="left"/>
      <w:pPr>
        <w:ind w:left="3657" w:hanging="360"/>
      </w:pPr>
      <w:rPr>
        <w:rFonts w:ascii="Symbol" w:hAnsi="Symbol" w:hint="default"/>
      </w:rPr>
    </w:lvl>
    <w:lvl w:ilvl="4" w:tentative="1">
      <w:start w:val="1"/>
      <w:numFmt w:val="bullet"/>
      <w:lvlText w:val="o"/>
      <w:lvlJc w:val="left"/>
      <w:pPr>
        <w:ind w:left="4377" w:hanging="360"/>
      </w:pPr>
      <w:rPr>
        <w:rFonts w:ascii="Courier New" w:hAnsi="Courier New" w:cs="Courier New" w:hint="default"/>
      </w:rPr>
    </w:lvl>
    <w:lvl w:ilvl="5" w:tentative="1">
      <w:start w:val="1"/>
      <w:numFmt w:val="bullet"/>
      <w:lvlText w:val=""/>
      <w:lvlJc w:val="left"/>
      <w:pPr>
        <w:ind w:left="5097" w:hanging="360"/>
      </w:pPr>
      <w:rPr>
        <w:rFonts w:ascii="Wingdings" w:hAnsi="Wingdings" w:hint="default"/>
      </w:rPr>
    </w:lvl>
    <w:lvl w:ilvl="6" w:tentative="1">
      <w:start w:val="1"/>
      <w:numFmt w:val="bullet"/>
      <w:lvlText w:val=""/>
      <w:lvlJc w:val="left"/>
      <w:pPr>
        <w:ind w:left="5817" w:hanging="360"/>
      </w:pPr>
      <w:rPr>
        <w:rFonts w:ascii="Symbol" w:hAnsi="Symbol" w:hint="default"/>
      </w:rPr>
    </w:lvl>
    <w:lvl w:ilvl="7" w:tentative="1">
      <w:start w:val="1"/>
      <w:numFmt w:val="bullet"/>
      <w:lvlText w:val="o"/>
      <w:lvlJc w:val="left"/>
      <w:pPr>
        <w:ind w:left="6537" w:hanging="360"/>
      </w:pPr>
      <w:rPr>
        <w:rFonts w:ascii="Courier New" w:hAnsi="Courier New" w:cs="Courier New" w:hint="default"/>
      </w:rPr>
    </w:lvl>
    <w:lvl w:ilvl="8" w:tentative="1">
      <w:start w:val="1"/>
      <w:numFmt w:val="bullet"/>
      <w:lvlText w:val=""/>
      <w:lvlJc w:val="left"/>
      <w:pPr>
        <w:ind w:left="7257" w:hanging="360"/>
      </w:pPr>
      <w:rPr>
        <w:rFonts w:ascii="Wingdings" w:hAnsi="Wingdings" w:hint="default"/>
      </w:rPr>
    </w:lvl>
  </w:abstractNum>
  <w:abstractNum w:abstractNumId="4">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F61921"/>
    <w:multiLevelType w:val="hybridMultilevel"/>
    <w:tmpl w:val="8F240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AD5740"/>
    <w:multiLevelType w:val="hybridMultilevel"/>
    <w:tmpl w:val="07A81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13"/>
  </w:num>
  <w:num w:numId="5">
    <w:abstractNumId w:val="6"/>
  </w:num>
  <w:num w:numId="6">
    <w:abstractNumId w:val="2"/>
  </w:num>
  <w:num w:numId="7">
    <w:abstractNumId w:val="0"/>
  </w:num>
  <w:num w:numId="8">
    <w:abstractNumId w:val="9"/>
  </w:num>
  <w:num w:numId="9">
    <w:abstractNumId w:val="20"/>
  </w:num>
  <w:num w:numId="10">
    <w:abstractNumId w:val="16"/>
  </w:num>
  <w:num w:numId="11">
    <w:abstractNumId w:val="12"/>
  </w:num>
  <w:num w:numId="12">
    <w:abstractNumId w:val="11"/>
  </w:num>
  <w:num w:numId="13">
    <w:abstractNumId w:val="1"/>
  </w:num>
  <w:num w:numId="14">
    <w:abstractNumId w:val="17"/>
  </w:num>
  <w:num w:numId="15">
    <w:abstractNumId w:val="15"/>
  </w:num>
  <w:num w:numId="16">
    <w:abstractNumId w:val="10"/>
  </w:num>
  <w:num w:numId="17">
    <w:abstractNumId w:val="4"/>
  </w:num>
  <w:num w:numId="18">
    <w:abstractNumId w:val="19"/>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0EBA"/>
    <w:rsid w:val="000017C3"/>
    <w:rsid w:val="00002963"/>
    <w:rsid w:val="00003CD1"/>
    <w:rsid w:val="00010EF7"/>
    <w:rsid w:val="00013E86"/>
    <w:rsid w:val="00023FC4"/>
    <w:rsid w:val="00024558"/>
    <w:rsid w:val="0002455C"/>
    <w:rsid w:val="00025F1C"/>
    <w:rsid w:val="00026646"/>
    <w:rsid w:val="00033C64"/>
    <w:rsid w:val="00034988"/>
    <w:rsid w:val="0003504B"/>
    <w:rsid w:val="00037279"/>
    <w:rsid w:val="0003781A"/>
    <w:rsid w:val="00037C88"/>
    <w:rsid w:val="00037FD6"/>
    <w:rsid w:val="0004103E"/>
    <w:rsid w:val="00043034"/>
    <w:rsid w:val="00050DB0"/>
    <w:rsid w:val="00052A75"/>
    <w:rsid w:val="00056490"/>
    <w:rsid w:val="00056F2F"/>
    <w:rsid w:val="00063096"/>
    <w:rsid w:val="00063DD5"/>
    <w:rsid w:val="00063E3B"/>
    <w:rsid w:val="00065EC7"/>
    <w:rsid w:val="000668AE"/>
    <w:rsid w:val="00067D4C"/>
    <w:rsid w:val="000701FC"/>
    <w:rsid w:val="000734F3"/>
    <w:rsid w:val="000751C4"/>
    <w:rsid w:val="000770A8"/>
    <w:rsid w:val="00080067"/>
    <w:rsid w:val="000822CC"/>
    <w:rsid w:val="00084959"/>
    <w:rsid w:val="00086071"/>
    <w:rsid w:val="00087CEA"/>
    <w:rsid w:val="000931B3"/>
    <w:rsid w:val="0009509A"/>
    <w:rsid w:val="000A3D24"/>
    <w:rsid w:val="000A4ECC"/>
    <w:rsid w:val="000B0079"/>
    <w:rsid w:val="000B2AC8"/>
    <w:rsid w:val="000B3110"/>
    <w:rsid w:val="000B4089"/>
    <w:rsid w:val="000B4B09"/>
    <w:rsid w:val="000C3378"/>
    <w:rsid w:val="000C4B1B"/>
    <w:rsid w:val="000C5C4E"/>
    <w:rsid w:val="000C61E2"/>
    <w:rsid w:val="000D195F"/>
    <w:rsid w:val="000D24C0"/>
    <w:rsid w:val="000D34CC"/>
    <w:rsid w:val="000D354B"/>
    <w:rsid w:val="000D5990"/>
    <w:rsid w:val="000E111A"/>
    <w:rsid w:val="000E46B8"/>
    <w:rsid w:val="000E6704"/>
    <w:rsid w:val="000E6D9C"/>
    <w:rsid w:val="000E6E13"/>
    <w:rsid w:val="000F1439"/>
    <w:rsid w:val="000F3E9E"/>
    <w:rsid w:val="00100EAB"/>
    <w:rsid w:val="001039CC"/>
    <w:rsid w:val="00104009"/>
    <w:rsid w:val="001112E5"/>
    <w:rsid w:val="00111A85"/>
    <w:rsid w:val="001137C3"/>
    <w:rsid w:val="0012032D"/>
    <w:rsid w:val="00120CFC"/>
    <w:rsid w:val="00127720"/>
    <w:rsid w:val="0013010A"/>
    <w:rsid w:val="0014126B"/>
    <w:rsid w:val="001474F6"/>
    <w:rsid w:val="00147C75"/>
    <w:rsid w:val="001501E4"/>
    <w:rsid w:val="001541F7"/>
    <w:rsid w:val="00154398"/>
    <w:rsid w:val="00156A1D"/>
    <w:rsid w:val="00157565"/>
    <w:rsid w:val="00157C59"/>
    <w:rsid w:val="001628C6"/>
    <w:rsid w:val="00164DE9"/>
    <w:rsid w:val="00167C88"/>
    <w:rsid w:val="00173F0F"/>
    <w:rsid w:val="001815A3"/>
    <w:rsid w:val="00181F5B"/>
    <w:rsid w:val="00184ECF"/>
    <w:rsid w:val="00187770"/>
    <w:rsid w:val="001919D3"/>
    <w:rsid w:val="00192636"/>
    <w:rsid w:val="0019275C"/>
    <w:rsid w:val="00192DE3"/>
    <w:rsid w:val="00195270"/>
    <w:rsid w:val="0019574E"/>
    <w:rsid w:val="001A2191"/>
    <w:rsid w:val="001A530E"/>
    <w:rsid w:val="001A549B"/>
    <w:rsid w:val="001A6431"/>
    <w:rsid w:val="001A7411"/>
    <w:rsid w:val="001B0C1D"/>
    <w:rsid w:val="001B0F09"/>
    <w:rsid w:val="001B1EF4"/>
    <w:rsid w:val="001B3927"/>
    <w:rsid w:val="001B707B"/>
    <w:rsid w:val="001C32B8"/>
    <w:rsid w:val="001C5518"/>
    <w:rsid w:val="001D1C74"/>
    <w:rsid w:val="001D2566"/>
    <w:rsid w:val="001D5890"/>
    <w:rsid w:val="001D613D"/>
    <w:rsid w:val="001E202F"/>
    <w:rsid w:val="001E2E0A"/>
    <w:rsid w:val="001E7251"/>
    <w:rsid w:val="001F3DDC"/>
    <w:rsid w:val="001F667F"/>
    <w:rsid w:val="002000E5"/>
    <w:rsid w:val="002052B0"/>
    <w:rsid w:val="00206E2F"/>
    <w:rsid w:val="00207F46"/>
    <w:rsid w:val="0021628B"/>
    <w:rsid w:val="0021757A"/>
    <w:rsid w:val="00222120"/>
    <w:rsid w:val="002224C8"/>
    <w:rsid w:val="00223B9E"/>
    <w:rsid w:val="002245CD"/>
    <w:rsid w:val="00233684"/>
    <w:rsid w:val="002337D0"/>
    <w:rsid w:val="00240304"/>
    <w:rsid w:val="00241274"/>
    <w:rsid w:val="002435B9"/>
    <w:rsid w:val="002442C6"/>
    <w:rsid w:val="00261B2B"/>
    <w:rsid w:val="002673E5"/>
    <w:rsid w:val="00272918"/>
    <w:rsid w:val="00274627"/>
    <w:rsid w:val="00277A6D"/>
    <w:rsid w:val="0028222B"/>
    <w:rsid w:val="0028648A"/>
    <w:rsid w:val="0028654B"/>
    <w:rsid w:val="002921D6"/>
    <w:rsid w:val="00293EEC"/>
    <w:rsid w:val="00294BE8"/>
    <w:rsid w:val="00296267"/>
    <w:rsid w:val="002A0C49"/>
    <w:rsid w:val="002A154C"/>
    <w:rsid w:val="002A36DB"/>
    <w:rsid w:val="002B1019"/>
    <w:rsid w:val="002B526E"/>
    <w:rsid w:val="002B5F2B"/>
    <w:rsid w:val="002C53F3"/>
    <w:rsid w:val="002C7649"/>
    <w:rsid w:val="002D0598"/>
    <w:rsid w:val="002D3B88"/>
    <w:rsid w:val="002E266D"/>
    <w:rsid w:val="002E47F3"/>
    <w:rsid w:val="002E6741"/>
    <w:rsid w:val="002E7084"/>
    <w:rsid w:val="002F12FC"/>
    <w:rsid w:val="002F5070"/>
    <w:rsid w:val="002F52CF"/>
    <w:rsid w:val="002F57D1"/>
    <w:rsid w:val="002F5AF9"/>
    <w:rsid w:val="00302AD7"/>
    <w:rsid w:val="003042BD"/>
    <w:rsid w:val="003050BD"/>
    <w:rsid w:val="00313F54"/>
    <w:rsid w:val="0032021B"/>
    <w:rsid w:val="003202F1"/>
    <w:rsid w:val="00327A6D"/>
    <w:rsid w:val="00335006"/>
    <w:rsid w:val="00337BDC"/>
    <w:rsid w:val="00342549"/>
    <w:rsid w:val="00344F08"/>
    <w:rsid w:val="00345E94"/>
    <w:rsid w:val="00350BDD"/>
    <w:rsid w:val="00356FD1"/>
    <w:rsid w:val="00365690"/>
    <w:rsid w:val="00366960"/>
    <w:rsid w:val="0037004B"/>
    <w:rsid w:val="00374B97"/>
    <w:rsid w:val="00374FE4"/>
    <w:rsid w:val="003812F8"/>
    <w:rsid w:val="00385D84"/>
    <w:rsid w:val="00386ACE"/>
    <w:rsid w:val="003909D3"/>
    <w:rsid w:val="003945F8"/>
    <w:rsid w:val="003949DC"/>
    <w:rsid w:val="003A32D7"/>
    <w:rsid w:val="003A3D08"/>
    <w:rsid w:val="003B018E"/>
    <w:rsid w:val="003B3E54"/>
    <w:rsid w:val="003B5D5A"/>
    <w:rsid w:val="003B697A"/>
    <w:rsid w:val="003B6D1D"/>
    <w:rsid w:val="003C0E6A"/>
    <w:rsid w:val="003C4986"/>
    <w:rsid w:val="003C4FE2"/>
    <w:rsid w:val="003D2495"/>
    <w:rsid w:val="003D478D"/>
    <w:rsid w:val="003E71CD"/>
    <w:rsid w:val="003E7424"/>
    <w:rsid w:val="003E75C7"/>
    <w:rsid w:val="003E7995"/>
    <w:rsid w:val="003F0C03"/>
    <w:rsid w:val="003F4B2F"/>
    <w:rsid w:val="00402630"/>
    <w:rsid w:val="00403077"/>
    <w:rsid w:val="00405D77"/>
    <w:rsid w:val="004064EF"/>
    <w:rsid w:val="004074E3"/>
    <w:rsid w:val="00410A11"/>
    <w:rsid w:val="00411F4F"/>
    <w:rsid w:val="004207C3"/>
    <w:rsid w:val="00422ECF"/>
    <w:rsid w:val="00431382"/>
    <w:rsid w:val="00432310"/>
    <w:rsid w:val="00432FA8"/>
    <w:rsid w:val="004332E8"/>
    <w:rsid w:val="00434170"/>
    <w:rsid w:val="00435623"/>
    <w:rsid w:val="00436405"/>
    <w:rsid w:val="00436556"/>
    <w:rsid w:val="00436642"/>
    <w:rsid w:val="004543A6"/>
    <w:rsid w:val="00455722"/>
    <w:rsid w:val="004643F2"/>
    <w:rsid w:val="00476D27"/>
    <w:rsid w:val="00487385"/>
    <w:rsid w:val="0049112D"/>
    <w:rsid w:val="00492583"/>
    <w:rsid w:val="0049341F"/>
    <w:rsid w:val="004A1E04"/>
    <w:rsid w:val="004A3DE1"/>
    <w:rsid w:val="004B4E56"/>
    <w:rsid w:val="004B6E41"/>
    <w:rsid w:val="004B74EE"/>
    <w:rsid w:val="004C186A"/>
    <w:rsid w:val="004C2CAE"/>
    <w:rsid w:val="004C559C"/>
    <w:rsid w:val="004D0F5C"/>
    <w:rsid w:val="004D194A"/>
    <w:rsid w:val="004D4464"/>
    <w:rsid w:val="004D68B9"/>
    <w:rsid w:val="004E0D7F"/>
    <w:rsid w:val="004E37D4"/>
    <w:rsid w:val="004E4541"/>
    <w:rsid w:val="004E48BE"/>
    <w:rsid w:val="004E49B6"/>
    <w:rsid w:val="004F0A64"/>
    <w:rsid w:val="004F0AC7"/>
    <w:rsid w:val="004F1B31"/>
    <w:rsid w:val="004F4E26"/>
    <w:rsid w:val="004F6816"/>
    <w:rsid w:val="00500E06"/>
    <w:rsid w:val="00507A70"/>
    <w:rsid w:val="00514D84"/>
    <w:rsid w:val="0052051B"/>
    <w:rsid w:val="005220F3"/>
    <w:rsid w:val="00526368"/>
    <w:rsid w:val="00530040"/>
    <w:rsid w:val="00532BED"/>
    <w:rsid w:val="00536B72"/>
    <w:rsid w:val="0054138D"/>
    <w:rsid w:val="00544F25"/>
    <w:rsid w:val="00545106"/>
    <w:rsid w:val="005500D1"/>
    <w:rsid w:val="005517C9"/>
    <w:rsid w:val="0055248D"/>
    <w:rsid w:val="00553FBC"/>
    <w:rsid w:val="00556CA1"/>
    <w:rsid w:val="005611A1"/>
    <w:rsid w:val="0056181E"/>
    <w:rsid w:val="005659C4"/>
    <w:rsid w:val="00566402"/>
    <w:rsid w:val="0056661E"/>
    <w:rsid w:val="00576933"/>
    <w:rsid w:val="00583662"/>
    <w:rsid w:val="0058525D"/>
    <w:rsid w:val="00587E17"/>
    <w:rsid w:val="005A6172"/>
    <w:rsid w:val="005A6A89"/>
    <w:rsid w:val="005B0CDD"/>
    <w:rsid w:val="005B14B9"/>
    <w:rsid w:val="005B1A77"/>
    <w:rsid w:val="005B2E55"/>
    <w:rsid w:val="005B450A"/>
    <w:rsid w:val="005B6BA9"/>
    <w:rsid w:val="005B7FCF"/>
    <w:rsid w:val="005C2346"/>
    <w:rsid w:val="005D1B5B"/>
    <w:rsid w:val="005D20E7"/>
    <w:rsid w:val="005D2B4E"/>
    <w:rsid w:val="005D7679"/>
    <w:rsid w:val="005D7D67"/>
    <w:rsid w:val="005E3029"/>
    <w:rsid w:val="005E454F"/>
    <w:rsid w:val="005E5351"/>
    <w:rsid w:val="005F074E"/>
    <w:rsid w:val="005F4125"/>
    <w:rsid w:val="005F7D5D"/>
    <w:rsid w:val="00602FB7"/>
    <w:rsid w:val="006033FF"/>
    <w:rsid w:val="00603558"/>
    <w:rsid w:val="00615045"/>
    <w:rsid w:val="00620061"/>
    <w:rsid w:val="00620524"/>
    <w:rsid w:val="00621795"/>
    <w:rsid w:val="00630049"/>
    <w:rsid w:val="006300CB"/>
    <w:rsid w:val="00634326"/>
    <w:rsid w:val="00634695"/>
    <w:rsid w:val="006367EC"/>
    <w:rsid w:val="00636F7F"/>
    <w:rsid w:val="00637EA5"/>
    <w:rsid w:val="00644548"/>
    <w:rsid w:val="00646F25"/>
    <w:rsid w:val="00656DEA"/>
    <w:rsid w:val="006579FC"/>
    <w:rsid w:val="0066669E"/>
    <w:rsid w:val="00672A9D"/>
    <w:rsid w:val="006737FA"/>
    <w:rsid w:val="0067698C"/>
    <w:rsid w:val="00681DEC"/>
    <w:rsid w:val="00684FFC"/>
    <w:rsid w:val="006905A5"/>
    <w:rsid w:val="00691867"/>
    <w:rsid w:val="0069349D"/>
    <w:rsid w:val="0069416D"/>
    <w:rsid w:val="006965E4"/>
    <w:rsid w:val="006A0503"/>
    <w:rsid w:val="006A1C57"/>
    <w:rsid w:val="006A264C"/>
    <w:rsid w:val="006A2D38"/>
    <w:rsid w:val="006B6EB4"/>
    <w:rsid w:val="006C25C4"/>
    <w:rsid w:val="006C351A"/>
    <w:rsid w:val="006C6FD4"/>
    <w:rsid w:val="006D4BFD"/>
    <w:rsid w:val="006D5E52"/>
    <w:rsid w:val="006D6691"/>
    <w:rsid w:val="006E04BC"/>
    <w:rsid w:val="006E098A"/>
    <w:rsid w:val="006E1054"/>
    <w:rsid w:val="006E15CF"/>
    <w:rsid w:val="006E210A"/>
    <w:rsid w:val="006E274C"/>
    <w:rsid w:val="006E68E3"/>
    <w:rsid w:val="006F048A"/>
    <w:rsid w:val="006F2C1A"/>
    <w:rsid w:val="006F5A29"/>
    <w:rsid w:val="006F7BBD"/>
    <w:rsid w:val="00700A2C"/>
    <w:rsid w:val="00701329"/>
    <w:rsid w:val="007015B0"/>
    <w:rsid w:val="00701AEB"/>
    <w:rsid w:val="00702187"/>
    <w:rsid w:val="00703123"/>
    <w:rsid w:val="00710AC0"/>
    <w:rsid w:val="007124CF"/>
    <w:rsid w:val="00712B63"/>
    <w:rsid w:val="00714133"/>
    <w:rsid w:val="00721F3C"/>
    <w:rsid w:val="007226A5"/>
    <w:rsid w:val="00731748"/>
    <w:rsid w:val="00736BFC"/>
    <w:rsid w:val="00736EEC"/>
    <w:rsid w:val="00744D45"/>
    <w:rsid w:val="00746756"/>
    <w:rsid w:val="00757467"/>
    <w:rsid w:val="00757A78"/>
    <w:rsid w:val="00757EF7"/>
    <w:rsid w:val="00763874"/>
    <w:rsid w:val="00767F6C"/>
    <w:rsid w:val="00771366"/>
    <w:rsid w:val="0077401B"/>
    <w:rsid w:val="00775987"/>
    <w:rsid w:val="007776CA"/>
    <w:rsid w:val="007856C9"/>
    <w:rsid w:val="00795A64"/>
    <w:rsid w:val="007A434E"/>
    <w:rsid w:val="007A5CBB"/>
    <w:rsid w:val="007A6167"/>
    <w:rsid w:val="007B3082"/>
    <w:rsid w:val="007B4EF3"/>
    <w:rsid w:val="007B5F0F"/>
    <w:rsid w:val="007B7A70"/>
    <w:rsid w:val="007C3ABF"/>
    <w:rsid w:val="007C7160"/>
    <w:rsid w:val="007C7EC6"/>
    <w:rsid w:val="007D45C9"/>
    <w:rsid w:val="007D66A6"/>
    <w:rsid w:val="007E285B"/>
    <w:rsid w:val="007E3431"/>
    <w:rsid w:val="007E491C"/>
    <w:rsid w:val="007F2915"/>
    <w:rsid w:val="007F4F40"/>
    <w:rsid w:val="00801C15"/>
    <w:rsid w:val="00802486"/>
    <w:rsid w:val="00811455"/>
    <w:rsid w:val="00812171"/>
    <w:rsid w:val="00815E64"/>
    <w:rsid w:val="008205B7"/>
    <w:rsid w:val="00830C11"/>
    <w:rsid w:val="0083416C"/>
    <w:rsid w:val="00836851"/>
    <w:rsid w:val="00841978"/>
    <w:rsid w:val="00841E47"/>
    <w:rsid w:val="00852E69"/>
    <w:rsid w:val="00861111"/>
    <w:rsid w:val="00865459"/>
    <w:rsid w:val="00866EB6"/>
    <w:rsid w:val="00871B1E"/>
    <w:rsid w:val="008754DA"/>
    <w:rsid w:val="00875E29"/>
    <w:rsid w:val="008762BB"/>
    <w:rsid w:val="00877128"/>
    <w:rsid w:val="008779BD"/>
    <w:rsid w:val="00877F15"/>
    <w:rsid w:val="00881640"/>
    <w:rsid w:val="00882B3D"/>
    <w:rsid w:val="00892E1B"/>
    <w:rsid w:val="00894421"/>
    <w:rsid w:val="00897115"/>
    <w:rsid w:val="008A05AE"/>
    <w:rsid w:val="008B286A"/>
    <w:rsid w:val="008C0E60"/>
    <w:rsid w:val="008C1F97"/>
    <w:rsid w:val="008C3EF6"/>
    <w:rsid w:val="008D098A"/>
    <w:rsid w:val="008D1938"/>
    <w:rsid w:val="008D4D41"/>
    <w:rsid w:val="008D5284"/>
    <w:rsid w:val="008D64DD"/>
    <w:rsid w:val="008D7D7A"/>
    <w:rsid w:val="008E3DEF"/>
    <w:rsid w:val="008E5B49"/>
    <w:rsid w:val="008F50DB"/>
    <w:rsid w:val="008F51AA"/>
    <w:rsid w:val="008F5A63"/>
    <w:rsid w:val="0090294E"/>
    <w:rsid w:val="00902E5D"/>
    <w:rsid w:val="009072E0"/>
    <w:rsid w:val="00913435"/>
    <w:rsid w:val="00913D1E"/>
    <w:rsid w:val="00913D92"/>
    <w:rsid w:val="00920A97"/>
    <w:rsid w:val="009269B4"/>
    <w:rsid w:val="0093328B"/>
    <w:rsid w:val="00934440"/>
    <w:rsid w:val="00937420"/>
    <w:rsid w:val="00946637"/>
    <w:rsid w:val="00953407"/>
    <w:rsid w:val="0095534B"/>
    <w:rsid w:val="00955A82"/>
    <w:rsid w:val="0095711B"/>
    <w:rsid w:val="0096082E"/>
    <w:rsid w:val="00961D00"/>
    <w:rsid w:val="0096436D"/>
    <w:rsid w:val="00966C0C"/>
    <w:rsid w:val="00967F58"/>
    <w:rsid w:val="0097349C"/>
    <w:rsid w:val="009745F1"/>
    <w:rsid w:val="00990A58"/>
    <w:rsid w:val="0099324C"/>
    <w:rsid w:val="009B1193"/>
    <w:rsid w:val="009B24EE"/>
    <w:rsid w:val="009C0408"/>
    <w:rsid w:val="009C2962"/>
    <w:rsid w:val="009C6FFE"/>
    <w:rsid w:val="009D464B"/>
    <w:rsid w:val="009E1D41"/>
    <w:rsid w:val="009E3CB7"/>
    <w:rsid w:val="009E6281"/>
    <w:rsid w:val="009F04E5"/>
    <w:rsid w:val="009F3F32"/>
    <w:rsid w:val="009F414E"/>
    <w:rsid w:val="009F631B"/>
    <w:rsid w:val="009F66F5"/>
    <w:rsid w:val="00A065F2"/>
    <w:rsid w:val="00A12347"/>
    <w:rsid w:val="00A2450B"/>
    <w:rsid w:val="00A27172"/>
    <w:rsid w:val="00A275FA"/>
    <w:rsid w:val="00A31EFD"/>
    <w:rsid w:val="00A32FD6"/>
    <w:rsid w:val="00A369BD"/>
    <w:rsid w:val="00A36ACB"/>
    <w:rsid w:val="00A43F91"/>
    <w:rsid w:val="00A44362"/>
    <w:rsid w:val="00A50E29"/>
    <w:rsid w:val="00A53364"/>
    <w:rsid w:val="00A55C95"/>
    <w:rsid w:val="00A6086E"/>
    <w:rsid w:val="00A65220"/>
    <w:rsid w:val="00A65CFF"/>
    <w:rsid w:val="00A71DE6"/>
    <w:rsid w:val="00A724A7"/>
    <w:rsid w:val="00A76B0B"/>
    <w:rsid w:val="00A81781"/>
    <w:rsid w:val="00A85521"/>
    <w:rsid w:val="00A87B64"/>
    <w:rsid w:val="00A937FD"/>
    <w:rsid w:val="00A96DE4"/>
    <w:rsid w:val="00A97326"/>
    <w:rsid w:val="00AA141D"/>
    <w:rsid w:val="00AA1595"/>
    <w:rsid w:val="00AA4B80"/>
    <w:rsid w:val="00AA7F20"/>
    <w:rsid w:val="00AB02D1"/>
    <w:rsid w:val="00AB3E8C"/>
    <w:rsid w:val="00AB6C6F"/>
    <w:rsid w:val="00AB7077"/>
    <w:rsid w:val="00AB7D60"/>
    <w:rsid w:val="00AC1802"/>
    <w:rsid w:val="00AC552B"/>
    <w:rsid w:val="00AC6433"/>
    <w:rsid w:val="00AC778F"/>
    <w:rsid w:val="00AD1AF3"/>
    <w:rsid w:val="00AD206D"/>
    <w:rsid w:val="00AD2E5D"/>
    <w:rsid w:val="00AD440D"/>
    <w:rsid w:val="00AE0CA2"/>
    <w:rsid w:val="00AE7AA4"/>
    <w:rsid w:val="00AE7FAA"/>
    <w:rsid w:val="00AF2E84"/>
    <w:rsid w:val="00AF421C"/>
    <w:rsid w:val="00AF4FB8"/>
    <w:rsid w:val="00B00B05"/>
    <w:rsid w:val="00B02F14"/>
    <w:rsid w:val="00B04318"/>
    <w:rsid w:val="00B14E1E"/>
    <w:rsid w:val="00B21A4F"/>
    <w:rsid w:val="00B21B5E"/>
    <w:rsid w:val="00B32CE0"/>
    <w:rsid w:val="00B3735D"/>
    <w:rsid w:val="00B40C0E"/>
    <w:rsid w:val="00B44832"/>
    <w:rsid w:val="00B459B6"/>
    <w:rsid w:val="00B50709"/>
    <w:rsid w:val="00B5370B"/>
    <w:rsid w:val="00B566A0"/>
    <w:rsid w:val="00B602BF"/>
    <w:rsid w:val="00B60610"/>
    <w:rsid w:val="00B6319F"/>
    <w:rsid w:val="00B6338C"/>
    <w:rsid w:val="00B731DB"/>
    <w:rsid w:val="00B76D5A"/>
    <w:rsid w:val="00B80285"/>
    <w:rsid w:val="00B81294"/>
    <w:rsid w:val="00B83955"/>
    <w:rsid w:val="00B90940"/>
    <w:rsid w:val="00B9376D"/>
    <w:rsid w:val="00BA0585"/>
    <w:rsid w:val="00BA2539"/>
    <w:rsid w:val="00BA75D1"/>
    <w:rsid w:val="00BB4E5C"/>
    <w:rsid w:val="00BB547A"/>
    <w:rsid w:val="00BB5F06"/>
    <w:rsid w:val="00BB6BC1"/>
    <w:rsid w:val="00BC0237"/>
    <w:rsid w:val="00BC168A"/>
    <w:rsid w:val="00BC68EB"/>
    <w:rsid w:val="00BC7A2F"/>
    <w:rsid w:val="00BC7BCE"/>
    <w:rsid w:val="00BD0F73"/>
    <w:rsid w:val="00BD4E76"/>
    <w:rsid w:val="00BE79CD"/>
    <w:rsid w:val="00C00B0F"/>
    <w:rsid w:val="00C01CEE"/>
    <w:rsid w:val="00C13A09"/>
    <w:rsid w:val="00C1720F"/>
    <w:rsid w:val="00C21DAF"/>
    <w:rsid w:val="00C22652"/>
    <w:rsid w:val="00C229B2"/>
    <w:rsid w:val="00C232C7"/>
    <w:rsid w:val="00C24711"/>
    <w:rsid w:val="00C250C0"/>
    <w:rsid w:val="00C333CC"/>
    <w:rsid w:val="00C35C18"/>
    <w:rsid w:val="00C41D41"/>
    <w:rsid w:val="00C42CDC"/>
    <w:rsid w:val="00C46A37"/>
    <w:rsid w:val="00C54723"/>
    <w:rsid w:val="00C6218F"/>
    <w:rsid w:val="00C737C1"/>
    <w:rsid w:val="00C76F63"/>
    <w:rsid w:val="00C815BB"/>
    <w:rsid w:val="00C81DD5"/>
    <w:rsid w:val="00C8323A"/>
    <w:rsid w:val="00C857B8"/>
    <w:rsid w:val="00C8736E"/>
    <w:rsid w:val="00C92539"/>
    <w:rsid w:val="00C926D0"/>
    <w:rsid w:val="00C96357"/>
    <w:rsid w:val="00C97F19"/>
    <w:rsid w:val="00CA00E2"/>
    <w:rsid w:val="00CA28A0"/>
    <w:rsid w:val="00CA4501"/>
    <w:rsid w:val="00CA6A85"/>
    <w:rsid w:val="00CB0638"/>
    <w:rsid w:val="00CB099B"/>
    <w:rsid w:val="00CB099E"/>
    <w:rsid w:val="00CB2B4F"/>
    <w:rsid w:val="00CB2C5E"/>
    <w:rsid w:val="00CB5EFF"/>
    <w:rsid w:val="00CB7C46"/>
    <w:rsid w:val="00CC0CB5"/>
    <w:rsid w:val="00CC4A45"/>
    <w:rsid w:val="00CC4EDA"/>
    <w:rsid w:val="00CC576D"/>
    <w:rsid w:val="00CC7502"/>
    <w:rsid w:val="00CD1F4D"/>
    <w:rsid w:val="00CD2089"/>
    <w:rsid w:val="00CD2A91"/>
    <w:rsid w:val="00CD3798"/>
    <w:rsid w:val="00CD453C"/>
    <w:rsid w:val="00CD5754"/>
    <w:rsid w:val="00CD5B66"/>
    <w:rsid w:val="00CD6B7E"/>
    <w:rsid w:val="00CE7D4A"/>
    <w:rsid w:val="00D029A9"/>
    <w:rsid w:val="00D02E39"/>
    <w:rsid w:val="00D03C6C"/>
    <w:rsid w:val="00D044A0"/>
    <w:rsid w:val="00D0450E"/>
    <w:rsid w:val="00D05805"/>
    <w:rsid w:val="00D05F61"/>
    <w:rsid w:val="00D13042"/>
    <w:rsid w:val="00D234C0"/>
    <w:rsid w:val="00D2618F"/>
    <w:rsid w:val="00D2711D"/>
    <w:rsid w:val="00D30056"/>
    <w:rsid w:val="00D42C81"/>
    <w:rsid w:val="00D432C6"/>
    <w:rsid w:val="00D438C8"/>
    <w:rsid w:val="00D4731F"/>
    <w:rsid w:val="00D65059"/>
    <w:rsid w:val="00D6702C"/>
    <w:rsid w:val="00D74D29"/>
    <w:rsid w:val="00D76A62"/>
    <w:rsid w:val="00D77B20"/>
    <w:rsid w:val="00D83BF4"/>
    <w:rsid w:val="00D85C4F"/>
    <w:rsid w:val="00D938D1"/>
    <w:rsid w:val="00DA10CB"/>
    <w:rsid w:val="00DA1F23"/>
    <w:rsid w:val="00DA3AC6"/>
    <w:rsid w:val="00DA7D5A"/>
    <w:rsid w:val="00DC6683"/>
    <w:rsid w:val="00DC66D5"/>
    <w:rsid w:val="00DD06D1"/>
    <w:rsid w:val="00DD3AE8"/>
    <w:rsid w:val="00DD7E7E"/>
    <w:rsid w:val="00DE20E3"/>
    <w:rsid w:val="00DE5393"/>
    <w:rsid w:val="00DE7AB7"/>
    <w:rsid w:val="00DF2DF8"/>
    <w:rsid w:val="00DF46A6"/>
    <w:rsid w:val="00DF60E0"/>
    <w:rsid w:val="00E010EB"/>
    <w:rsid w:val="00E02DA9"/>
    <w:rsid w:val="00E079E9"/>
    <w:rsid w:val="00E115C4"/>
    <w:rsid w:val="00E11B69"/>
    <w:rsid w:val="00E16D58"/>
    <w:rsid w:val="00E22BF2"/>
    <w:rsid w:val="00E27A16"/>
    <w:rsid w:val="00E3675F"/>
    <w:rsid w:val="00E4189A"/>
    <w:rsid w:val="00E4538D"/>
    <w:rsid w:val="00E454A4"/>
    <w:rsid w:val="00E464D9"/>
    <w:rsid w:val="00E476E2"/>
    <w:rsid w:val="00E539C6"/>
    <w:rsid w:val="00E53DBD"/>
    <w:rsid w:val="00E619D7"/>
    <w:rsid w:val="00E64E2C"/>
    <w:rsid w:val="00E71CDA"/>
    <w:rsid w:val="00E7632C"/>
    <w:rsid w:val="00E765A3"/>
    <w:rsid w:val="00E81A16"/>
    <w:rsid w:val="00E832E5"/>
    <w:rsid w:val="00E870C9"/>
    <w:rsid w:val="00E90F0D"/>
    <w:rsid w:val="00E9450C"/>
    <w:rsid w:val="00E94D35"/>
    <w:rsid w:val="00E967C6"/>
    <w:rsid w:val="00E969ED"/>
    <w:rsid w:val="00E97CC9"/>
    <w:rsid w:val="00EA099E"/>
    <w:rsid w:val="00EA154B"/>
    <w:rsid w:val="00EA6464"/>
    <w:rsid w:val="00EB4A3D"/>
    <w:rsid w:val="00EB5933"/>
    <w:rsid w:val="00EB5CFA"/>
    <w:rsid w:val="00EB6FED"/>
    <w:rsid w:val="00EC1B68"/>
    <w:rsid w:val="00ED4200"/>
    <w:rsid w:val="00ED6D5C"/>
    <w:rsid w:val="00EF0046"/>
    <w:rsid w:val="00EF10D7"/>
    <w:rsid w:val="00EF1E95"/>
    <w:rsid w:val="00EF5ABD"/>
    <w:rsid w:val="00EF7EEB"/>
    <w:rsid w:val="00F018B1"/>
    <w:rsid w:val="00F02746"/>
    <w:rsid w:val="00F03A6C"/>
    <w:rsid w:val="00F03B74"/>
    <w:rsid w:val="00F03DCA"/>
    <w:rsid w:val="00F17700"/>
    <w:rsid w:val="00F210DD"/>
    <w:rsid w:val="00F21C8B"/>
    <w:rsid w:val="00F24511"/>
    <w:rsid w:val="00F31AC3"/>
    <w:rsid w:val="00F33A56"/>
    <w:rsid w:val="00F42374"/>
    <w:rsid w:val="00F5038C"/>
    <w:rsid w:val="00F52804"/>
    <w:rsid w:val="00F53528"/>
    <w:rsid w:val="00F540A9"/>
    <w:rsid w:val="00F54D01"/>
    <w:rsid w:val="00F60A91"/>
    <w:rsid w:val="00F6147F"/>
    <w:rsid w:val="00F628EC"/>
    <w:rsid w:val="00F63B78"/>
    <w:rsid w:val="00F71545"/>
    <w:rsid w:val="00F727A0"/>
    <w:rsid w:val="00F73B5D"/>
    <w:rsid w:val="00F746E6"/>
    <w:rsid w:val="00F74B3C"/>
    <w:rsid w:val="00F83FC7"/>
    <w:rsid w:val="00F85FF0"/>
    <w:rsid w:val="00F8668D"/>
    <w:rsid w:val="00F91256"/>
    <w:rsid w:val="00F92F41"/>
    <w:rsid w:val="00F960B8"/>
    <w:rsid w:val="00F96E38"/>
    <w:rsid w:val="00FA1AEA"/>
    <w:rsid w:val="00FA1C94"/>
    <w:rsid w:val="00FA64B0"/>
    <w:rsid w:val="00FA77D3"/>
    <w:rsid w:val="00FA7C48"/>
    <w:rsid w:val="00FB0537"/>
    <w:rsid w:val="00FB05FB"/>
    <w:rsid w:val="00FB204D"/>
    <w:rsid w:val="00FB51BB"/>
    <w:rsid w:val="00FB6A26"/>
    <w:rsid w:val="00FB7805"/>
    <w:rsid w:val="00FC3762"/>
    <w:rsid w:val="00FC73F0"/>
    <w:rsid w:val="00FD2745"/>
    <w:rsid w:val="00FD2784"/>
    <w:rsid w:val="00FD370B"/>
    <w:rsid w:val="00FE2F39"/>
    <w:rsid w:val="00FE309C"/>
    <w:rsid w:val="00FE4096"/>
    <w:rsid w:val="00FE69C6"/>
    <w:rsid w:val="00FF03B2"/>
    <w:rsid w:val="00FF06DA"/>
    <w:rsid w:val="00FF1EC5"/>
    <w:rsid w:val="00FF21E0"/>
    <w:rsid w:val="00FF7301"/>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87F394"/>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customStyle="1" w:styleId="UnresolvedMention">
    <w:name w:val="Unresolved Mention"/>
    <w:basedOn w:val="DefaultParagraphFont"/>
    <w:uiPriority w:val="99"/>
    <w:rsid w:val="0007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Smith@fcc.gov" TargetMode="External" /><Relationship Id="rId6" Type="http://schemas.openxmlformats.org/officeDocument/2006/relationships/hyperlink" Target="mailto:Brian.Marenc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5USCAS553&amp;originatingDoc=I17b54b5791de11e1b11ea85d0b248d27&amp;refType=RB&amp;originationContext=document&amp;transitionType=DocumentItem&amp;contextData=(sc.DocLink)" TargetMode="External" /><Relationship Id="rId2" Type="http://schemas.openxmlformats.org/officeDocument/2006/relationships/hyperlink" Target="https://1.next.westlaw.com/Link/Document/FullText?findType=Y&amp;serNum=1984140454&amp;pubNum=350&amp;originatingDoc=I17b54b5791de11e1b11ea85d0b248d27&amp;refType=RP&amp;fi=co_pp_sp_350_637&amp;originationContext=document&amp;transitionType=DocumentItem&amp;contextData=(sc.DocLink)" TargetMode="External" /><Relationship Id="rId3" Type="http://schemas.openxmlformats.org/officeDocument/2006/relationships/hyperlink" Target="https://1.next.westlaw.com/Link/Document/FullText?findType=Y&amp;serNum=1971108954&amp;pubNum=350&amp;originatingDoc=I17b54b5791de11e1b11ea85d0b248d27&amp;refType=RP&amp;fi=co_pp_sp_350_952&amp;originationContext=document&amp;transitionType=DocumentItem&amp;contextData=(sc.DocLink)"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