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E71D8C" w:rsidP="006557F9" w14:paraId="1AF2EA85" w14:textId="77777777">
      <w:pPr>
        <w:rPr>
          <w:b/>
        </w:rPr>
      </w:pPr>
    </w:p>
    <w:p w:rsidR="00E71D8C" w14:paraId="62817EC3" w14:textId="77777777">
      <w:pPr>
        <w:jc w:val="center"/>
        <w:rPr>
          <w:b/>
        </w:rPr>
      </w:pPr>
    </w:p>
    <w:p w:rsidR="004C2EE3" w:rsidRPr="003409E3" w14:paraId="0AEFA560" w14:textId="741B9DCC">
      <w:pPr>
        <w:jc w:val="center"/>
        <w:rPr>
          <w:b/>
        </w:rPr>
      </w:pPr>
      <w:r w:rsidRPr="003409E3">
        <w:rPr>
          <w:b/>
        </w:rPr>
        <w:t>Before the</w:t>
      </w:r>
    </w:p>
    <w:p w:rsidR="00921803" w:rsidRPr="003409E3" w:rsidP="00921803" w14:paraId="26A80BB3" w14:textId="77777777">
      <w:pPr>
        <w:pStyle w:val="StyleBoldCentered"/>
        <w:rPr>
          <w:rFonts w:ascii="Times New Roman" w:hAnsi="Times New Roman"/>
        </w:rPr>
      </w:pPr>
      <w:r w:rsidRPr="003409E3">
        <w:rPr>
          <w:rFonts w:ascii="Times New Roman" w:hAnsi="Times New Roman"/>
        </w:rPr>
        <w:t>F</w:t>
      </w:r>
      <w:r w:rsidRPr="003409E3">
        <w:rPr>
          <w:rFonts w:ascii="Times New Roman" w:hAnsi="Times New Roman"/>
          <w:caps w:val="0"/>
        </w:rPr>
        <w:t>ederal Communications Commission</w:t>
      </w:r>
    </w:p>
    <w:p w:rsidR="004C2EE3" w:rsidRPr="003409E3" w:rsidP="00096D8C" w14:paraId="17D591DE" w14:textId="77777777">
      <w:pPr>
        <w:pStyle w:val="StyleBoldCentered"/>
        <w:rPr>
          <w:rFonts w:ascii="Times New Roman" w:hAnsi="Times New Roman"/>
        </w:rPr>
      </w:pPr>
      <w:r w:rsidRPr="003409E3">
        <w:rPr>
          <w:rFonts w:ascii="Times New Roman" w:hAnsi="Times New Roman"/>
          <w:caps w:val="0"/>
        </w:rPr>
        <w:t>Washington, D.C. 20554</w:t>
      </w:r>
    </w:p>
    <w:p w:rsidR="004C2EE3" w:rsidRPr="003409E3" w:rsidP="0070224F" w14:paraId="7749C231" w14:textId="77777777"/>
    <w:tbl>
      <w:tblPr>
        <w:tblW w:w="0" w:type="auto"/>
        <w:tblLayout w:type="fixed"/>
        <w:tblLook w:val="0000"/>
      </w:tblPr>
      <w:tblGrid>
        <w:gridCol w:w="4698"/>
        <w:gridCol w:w="630"/>
        <w:gridCol w:w="4248"/>
      </w:tblGrid>
      <w:tr w14:paraId="7D3B3490" w14:textId="77777777">
        <w:tblPrEx>
          <w:tblW w:w="0" w:type="auto"/>
          <w:tblLayout w:type="fixed"/>
          <w:tblLook w:val="0000"/>
        </w:tblPrEx>
        <w:tc>
          <w:tcPr>
            <w:tcW w:w="4698" w:type="dxa"/>
          </w:tcPr>
          <w:p w:rsidR="00C679C1" w:rsidP="007115F7" w14:paraId="63ABDC1E" w14:textId="77777777">
            <w:pPr>
              <w:tabs>
                <w:tab w:val="center" w:pos="4680"/>
              </w:tabs>
              <w:suppressAutoHyphens/>
              <w:rPr>
                <w:spacing w:val="-2"/>
              </w:rPr>
            </w:pPr>
            <w:r w:rsidRPr="003409E3">
              <w:rPr>
                <w:spacing w:val="-2"/>
              </w:rPr>
              <w:t>In the Matter of</w:t>
            </w:r>
          </w:p>
          <w:p w:rsidR="00C679C1" w:rsidP="007115F7" w14:paraId="532850BA" w14:textId="77777777">
            <w:pPr>
              <w:tabs>
                <w:tab w:val="center" w:pos="4680"/>
              </w:tabs>
              <w:suppressAutoHyphens/>
              <w:rPr>
                <w:spacing w:val="-2"/>
              </w:rPr>
            </w:pPr>
          </w:p>
          <w:p w:rsidR="001521E2" w:rsidP="007115F7" w14:paraId="4CADC3A4" w14:textId="77777777">
            <w:pPr>
              <w:tabs>
                <w:tab w:val="center" w:pos="4680"/>
              </w:tabs>
              <w:suppressAutoHyphens/>
              <w:rPr>
                <w:spacing w:val="-2"/>
              </w:rPr>
            </w:pPr>
            <w:r>
              <w:rPr>
                <w:spacing w:val="-2"/>
              </w:rPr>
              <w:t>Incumbent Earth Station</w:t>
            </w:r>
            <w:r>
              <w:rPr>
                <w:spacing w:val="-2"/>
              </w:rPr>
              <w:t>s</w:t>
            </w:r>
            <w:r>
              <w:rPr>
                <w:spacing w:val="-2"/>
              </w:rPr>
              <w:t xml:space="preserve"> </w:t>
            </w:r>
          </w:p>
          <w:p w:rsidR="001521E2" w:rsidP="007115F7" w14:paraId="41373CC6" w14:textId="77777777">
            <w:pPr>
              <w:tabs>
                <w:tab w:val="center" w:pos="4680"/>
              </w:tabs>
              <w:suppressAutoHyphens/>
              <w:rPr>
                <w:spacing w:val="-2"/>
              </w:rPr>
            </w:pPr>
            <w:r>
              <w:rPr>
                <w:spacing w:val="-2"/>
              </w:rPr>
              <w:t xml:space="preserve">in the 3.7-4.2 GHz Band </w:t>
            </w:r>
          </w:p>
          <w:p w:rsidR="00A438E4" w:rsidP="007115F7" w14:paraId="50E901F7" w14:textId="77777777">
            <w:pPr>
              <w:tabs>
                <w:tab w:val="center" w:pos="4680"/>
              </w:tabs>
              <w:suppressAutoHyphens/>
              <w:rPr>
                <w:spacing w:val="-2"/>
              </w:rPr>
            </w:pPr>
            <w:r>
              <w:rPr>
                <w:spacing w:val="-2"/>
              </w:rPr>
              <w:t xml:space="preserve">in the Contiguous United </w:t>
            </w:r>
            <w:r>
              <w:rPr>
                <w:spacing w:val="-2"/>
              </w:rPr>
              <w:t>States</w:t>
            </w:r>
            <w:r>
              <w:rPr>
                <w:spacing w:val="-2"/>
              </w:rPr>
              <w:t>;</w:t>
            </w:r>
            <w:r>
              <w:rPr>
                <w:spacing w:val="-2"/>
              </w:rPr>
              <w:t xml:space="preserve"> </w:t>
            </w:r>
          </w:p>
          <w:p w:rsidR="00C679C1" w:rsidP="007115F7" w14:paraId="7F235BBB" w14:textId="2997E333">
            <w:pPr>
              <w:tabs>
                <w:tab w:val="center" w:pos="4680"/>
              </w:tabs>
              <w:suppressAutoHyphens/>
              <w:rPr>
                <w:spacing w:val="-2"/>
              </w:rPr>
            </w:pPr>
            <w:r>
              <w:rPr>
                <w:spacing w:val="-2"/>
              </w:rPr>
              <w:t>Lump Sum Election Corrections</w:t>
            </w:r>
          </w:p>
          <w:p w:rsidR="00C679C1" w:rsidRPr="003409E3" w:rsidP="007115F7" w14:paraId="0A83130B" w14:textId="77777777">
            <w:pPr>
              <w:tabs>
                <w:tab w:val="center" w:pos="4680"/>
              </w:tabs>
              <w:suppressAutoHyphens/>
              <w:rPr>
                <w:spacing w:val="-2"/>
              </w:rPr>
            </w:pPr>
          </w:p>
        </w:tc>
        <w:tc>
          <w:tcPr>
            <w:tcW w:w="630" w:type="dxa"/>
          </w:tcPr>
          <w:p w:rsidR="004C2EE3" w:rsidRPr="003409E3" w14:paraId="617E3515" w14:textId="77777777">
            <w:pPr>
              <w:tabs>
                <w:tab w:val="center" w:pos="4680"/>
              </w:tabs>
              <w:suppressAutoHyphens/>
              <w:rPr>
                <w:b/>
                <w:spacing w:val="-2"/>
              </w:rPr>
            </w:pPr>
            <w:r w:rsidRPr="003409E3">
              <w:rPr>
                <w:b/>
                <w:spacing w:val="-2"/>
              </w:rPr>
              <w:t>)</w:t>
            </w:r>
          </w:p>
          <w:p w:rsidR="004C2EE3" w:rsidRPr="003409E3" w14:paraId="41C74749" w14:textId="77777777">
            <w:pPr>
              <w:tabs>
                <w:tab w:val="center" w:pos="4680"/>
              </w:tabs>
              <w:suppressAutoHyphens/>
              <w:rPr>
                <w:b/>
                <w:spacing w:val="-2"/>
              </w:rPr>
            </w:pPr>
            <w:r w:rsidRPr="003409E3">
              <w:rPr>
                <w:b/>
                <w:spacing w:val="-2"/>
              </w:rPr>
              <w:t>)</w:t>
            </w:r>
          </w:p>
          <w:p w:rsidR="004C2EE3" w:rsidRPr="003409E3" w14:paraId="1506A180" w14:textId="77777777">
            <w:pPr>
              <w:tabs>
                <w:tab w:val="center" w:pos="4680"/>
              </w:tabs>
              <w:suppressAutoHyphens/>
              <w:rPr>
                <w:b/>
                <w:spacing w:val="-2"/>
              </w:rPr>
            </w:pPr>
            <w:r w:rsidRPr="003409E3">
              <w:rPr>
                <w:b/>
                <w:spacing w:val="-2"/>
              </w:rPr>
              <w:t>)</w:t>
            </w:r>
          </w:p>
          <w:p w:rsidR="004C2EE3" w:rsidRPr="003409E3" w14:paraId="3A6E6725" w14:textId="77777777">
            <w:pPr>
              <w:tabs>
                <w:tab w:val="center" w:pos="4680"/>
              </w:tabs>
              <w:suppressAutoHyphens/>
              <w:rPr>
                <w:b/>
                <w:spacing w:val="-2"/>
              </w:rPr>
            </w:pPr>
            <w:r w:rsidRPr="003409E3">
              <w:rPr>
                <w:b/>
                <w:spacing w:val="-2"/>
              </w:rPr>
              <w:t>)</w:t>
            </w:r>
          </w:p>
          <w:p w:rsidR="004C2EE3" w:rsidRPr="003409E3" w14:paraId="3877C065" w14:textId="77777777">
            <w:pPr>
              <w:tabs>
                <w:tab w:val="center" w:pos="4680"/>
              </w:tabs>
              <w:suppressAutoHyphens/>
              <w:rPr>
                <w:b/>
                <w:spacing w:val="-2"/>
              </w:rPr>
            </w:pPr>
            <w:r w:rsidRPr="003409E3">
              <w:rPr>
                <w:b/>
                <w:spacing w:val="-2"/>
              </w:rPr>
              <w:t>)</w:t>
            </w:r>
          </w:p>
          <w:p w:rsidR="004C2EE3" w:rsidRPr="00C679C1" w14:paraId="1C148C96" w14:textId="15FD3D0C">
            <w:pPr>
              <w:tabs>
                <w:tab w:val="center" w:pos="4680"/>
              </w:tabs>
              <w:suppressAutoHyphens/>
              <w:rPr>
                <w:b/>
                <w:spacing w:val="-2"/>
              </w:rPr>
            </w:pPr>
            <w:r>
              <w:rPr>
                <w:b/>
                <w:spacing w:val="-2"/>
              </w:rPr>
              <w:t>)</w:t>
            </w:r>
          </w:p>
        </w:tc>
        <w:tc>
          <w:tcPr>
            <w:tcW w:w="4248" w:type="dxa"/>
          </w:tcPr>
          <w:p w:rsidR="004C2EE3" w:rsidRPr="003409E3" w14:paraId="5B622205" w14:textId="77777777">
            <w:pPr>
              <w:tabs>
                <w:tab w:val="center" w:pos="4680"/>
              </w:tabs>
              <w:suppressAutoHyphens/>
              <w:rPr>
                <w:spacing w:val="-2"/>
              </w:rPr>
            </w:pPr>
          </w:p>
          <w:p w:rsidR="004C2EE3" w:rsidRPr="003409E3" w14:paraId="5EBFF740" w14:textId="77777777">
            <w:pPr>
              <w:pStyle w:val="TOAHeading"/>
              <w:tabs>
                <w:tab w:val="center" w:pos="4680"/>
                <w:tab w:val="clear" w:pos="9360"/>
              </w:tabs>
              <w:rPr>
                <w:spacing w:val="-2"/>
              </w:rPr>
            </w:pPr>
          </w:p>
          <w:p w:rsidR="004C2EE3" w14:paraId="057D3F80" w14:textId="77777777">
            <w:pPr>
              <w:tabs>
                <w:tab w:val="center" w:pos="4680"/>
              </w:tabs>
              <w:suppressAutoHyphens/>
              <w:rPr>
                <w:spacing w:val="-2"/>
              </w:rPr>
            </w:pPr>
            <w:r>
              <w:rPr>
                <w:spacing w:val="-2"/>
              </w:rPr>
              <w:t>IB Docket No. 20-205</w:t>
            </w:r>
          </w:p>
          <w:p w:rsidR="00C679C1" w14:paraId="30F9BE88" w14:textId="77777777">
            <w:pPr>
              <w:tabs>
                <w:tab w:val="center" w:pos="4680"/>
              </w:tabs>
              <w:suppressAutoHyphens/>
              <w:rPr>
                <w:spacing w:val="-2"/>
              </w:rPr>
            </w:pPr>
          </w:p>
          <w:p w:rsidR="00C679C1" w:rsidRPr="003409E3" w14:paraId="780F479C" w14:textId="77777777">
            <w:pPr>
              <w:tabs>
                <w:tab w:val="center" w:pos="4680"/>
              </w:tabs>
              <w:suppressAutoHyphens/>
              <w:rPr>
                <w:spacing w:val="-2"/>
              </w:rPr>
            </w:pPr>
            <w:r>
              <w:rPr>
                <w:spacing w:val="-2"/>
              </w:rPr>
              <w:t>GN Docket No. 20-305</w:t>
            </w:r>
          </w:p>
        </w:tc>
      </w:tr>
    </w:tbl>
    <w:p w:rsidR="004C2EE3" w:rsidRPr="003409E3" w:rsidP="0070224F" w14:paraId="635C731E" w14:textId="77777777"/>
    <w:p w:rsidR="00841AB1" w:rsidRPr="003409E3" w:rsidP="00F021FA" w14:paraId="6CB93B02" w14:textId="77777777">
      <w:pPr>
        <w:pStyle w:val="StyleBoldCentered"/>
        <w:rPr>
          <w:rFonts w:ascii="Times New Roman" w:hAnsi="Times New Roman"/>
        </w:rPr>
      </w:pPr>
      <w:r>
        <w:rPr>
          <w:rFonts w:ascii="Times New Roman" w:hAnsi="Times New Roman"/>
        </w:rPr>
        <w:t>Order</w:t>
      </w:r>
    </w:p>
    <w:p w:rsidR="004C2EE3" w:rsidRPr="003409E3" w14:paraId="1919B843" w14:textId="77777777">
      <w:pPr>
        <w:tabs>
          <w:tab w:val="left" w:pos="-720"/>
        </w:tabs>
        <w:suppressAutoHyphens/>
        <w:spacing w:line="227" w:lineRule="auto"/>
        <w:rPr>
          <w:spacing w:val="-2"/>
        </w:rPr>
      </w:pPr>
    </w:p>
    <w:p w:rsidR="004C2EE3" w:rsidRPr="003409E3" w:rsidP="00133F79" w14:paraId="0ABE91A0" w14:textId="29C36D72">
      <w:pPr>
        <w:tabs>
          <w:tab w:val="left" w:pos="720"/>
          <w:tab w:val="right" w:pos="9360"/>
        </w:tabs>
        <w:suppressAutoHyphens/>
        <w:spacing w:line="227" w:lineRule="auto"/>
        <w:rPr>
          <w:spacing w:val="-2"/>
        </w:rPr>
      </w:pPr>
      <w:r w:rsidRPr="003409E3">
        <w:rPr>
          <w:b/>
          <w:spacing w:val="-2"/>
        </w:rPr>
        <w:t xml:space="preserve">Adopted:  </w:t>
      </w:r>
      <w:r w:rsidR="00F95DEC">
        <w:rPr>
          <w:b/>
          <w:spacing w:val="-2"/>
        </w:rPr>
        <w:t>June 22</w:t>
      </w:r>
      <w:r w:rsidR="00815C61">
        <w:rPr>
          <w:b/>
          <w:spacing w:val="-2"/>
        </w:rPr>
        <w:t>, 202</w:t>
      </w:r>
      <w:r w:rsidR="004A3E45">
        <w:rPr>
          <w:b/>
          <w:spacing w:val="-2"/>
        </w:rPr>
        <w:t>1</w:t>
      </w:r>
      <w:r w:rsidRPr="003409E3">
        <w:rPr>
          <w:b/>
          <w:spacing w:val="-2"/>
        </w:rPr>
        <w:tab/>
      </w:r>
      <w:r w:rsidRPr="003409E3" w:rsidR="00822CE0">
        <w:rPr>
          <w:b/>
          <w:spacing w:val="-2"/>
        </w:rPr>
        <w:t>Released</w:t>
      </w:r>
      <w:r w:rsidRPr="003409E3">
        <w:rPr>
          <w:b/>
          <w:spacing w:val="-2"/>
        </w:rPr>
        <w:t>:</w:t>
      </w:r>
      <w:r w:rsidRPr="003409E3" w:rsidR="00822CE0">
        <w:rPr>
          <w:b/>
          <w:spacing w:val="-2"/>
        </w:rPr>
        <w:t xml:space="preserve"> </w:t>
      </w:r>
      <w:r w:rsidRPr="003409E3">
        <w:rPr>
          <w:b/>
          <w:spacing w:val="-2"/>
        </w:rPr>
        <w:t xml:space="preserve"> </w:t>
      </w:r>
      <w:r w:rsidR="00F95DEC">
        <w:rPr>
          <w:b/>
          <w:spacing w:val="-2"/>
        </w:rPr>
        <w:t>June</w:t>
      </w:r>
      <w:r w:rsidR="00815C61">
        <w:rPr>
          <w:b/>
          <w:spacing w:val="-2"/>
        </w:rPr>
        <w:t xml:space="preserve"> </w:t>
      </w:r>
      <w:r w:rsidR="00F95DEC">
        <w:rPr>
          <w:b/>
          <w:spacing w:val="-2"/>
        </w:rPr>
        <w:t>22</w:t>
      </w:r>
      <w:r w:rsidR="00815C61">
        <w:rPr>
          <w:b/>
          <w:spacing w:val="-2"/>
        </w:rPr>
        <w:t>, 202</w:t>
      </w:r>
      <w:r w:rsidR="004A3E45">
        <w:rPr>
          <w:b/>
          <w:spacing w:val="-2"/>
        </w:rPr>
        <w:t>1</w:t>
      </w:r>
    </w:p>
    <w:p w:rsidR="00822CE0" w:rsidRPr="003409E3" w14:paraId="4BE54BD7" w14:textId="77777777"/>
    <w:p w:rsidR="004C2EE3" w:rsidRPr="003409E3" w14:paraId="369B5118" w14:textId="7FE51232">
      <w:pPr>
        <w:rPr>
          <w:spacing w:val="-2"/>
        </w:rPr>
      </w:pPr>
      <w:r w:rsidRPr="003409E3">
        <w:t xml:space="preserve">By </w:t>
      </w:r>
      <w:r w:rsidRPr="003409E3" w:rsidR="00365B70">
        <w:t>the</w:t>
      </w:r>
      <w:r w:rsidR="00C679C1">
        <w:rPr>
          <w:spacing w:val="-2"/>
        </w:rPr>
        <w:t xml:space="preserve"> Chief, </w:t>
      </w:r>
      <w:r w:rsidR="004A3E45">
        <w:rPr>
          <w:spacing w:val="-2"/>
        </w:rPr>
        <w:t>International Bureau</w:t>
      </w:r>
      <w:r w:rsidRPr="003409E3">
        <w:rPr>
          <w:spacing w:val="-2"/>
        </w:rPr>
        <w:t>:</w:t>
      </w:r>
    </w:p>
    <w:p w:rsidR="00822CE0" w:rsidRPr="003409E3" w14:paraId="7F82E553" w14:textId="77777777">
      <w:pPr>
        <w:rPr>
          <w:spacing w:val="-2"/>
        </w:rPr>
      </w:pPr>
    </w:p>
    <w:p w:rsidR="001521E2" w:rsidRPr="003409E3" w:rsidP="00412FC5" w14:paraId="432E4203" w14:textId="77777777"/>
    <w:p w:rsidR="00C679C1" w:rsidRPr="00920DF6" w:rsidP="00C679C1" w14:paraId="60A734F2" w14:textId="77777777">
      <w:pPr>
        <w:pStyle w:val="Heading1"/>
      </w:pPr>
      <w:bookmarkStart w:id="0" w:name="_Toc54115840"/>
      <w:bookmarkStart w:id="1" w:name="_Toc54115999"/>
      <w:bookmarkStart w:id="2" w:name="_Toc54118390"/>
      <w:bookmarkStart w:id="3" w:name="_Toc54217973"/>
      <w:r>
        <w:t>Introduction</w:t>
      </w:r>
      <w:bookmarkEnd w:id="0"/>
      <w:bookmarkEnd w:id="1"/>
      <w:bookmarkEnd w:id="2"/>
      <w:bookmarkEnd w:id="3"/>
    </w:p>
    <w:p w:rsidR="00B82233" w:rsidRPr="001C5B39" w:rsidP="001C5B39" w14:paraId="1880D5EE" w14:textId="0060C9FE">
      <w:pPr>
        <w:pStyle w:val="ParaNum"/>
        <w:rPr>
          <w:snapToGrid/>
          <w:color w:val="000000"/>
          <w:kern w:val="0"/>
          <w:szCs w:val="22"/>
        </w:rPr>
      </w:pPr>
      <w:r>
        <w:t xml:space="preserve">On October 23, 2020, </w:t>
      </w:r>
      <w:r w:rsidR="00FA4A5B">
        <w:t xml:space="preserve">the International Bureau (Bureau) </w:t>
      </w:r>
      <w:r w:rsidR="009F7198">
        <w:t xml:space="preserve">issued an </w:t>
      </w:r>
      <w:r w:rsidRPr="00C1427C" w:rsidR="009F7198">
        <w:rPr>
          <w:i/>
          <w:iCs/>
        </w:rPr>
        <w:t>Order</w:t>
      </w:r>
      <w:r w:rsidR="009F7198">
        <w:t xml:space="preserve"> </w:t>
      </w:r>
      <w:r w:rsidR="00C1427C">
        <w:t>(</w:t>
      </w:r>
      <w:r w:rsidRPr="00172D6B" w:rsidR="009F7198">
        <w:rPr>
          <w:i/>
          <w:iCs/>
        </w:rPr>
        <w:t>October 23 Order</w:t>
      </w:r>
      <w:r w:rsidR="00C1427C">
        <w:rPr>
          <w:i/>
          <w:iCs/>
        </w:rPr>
        <w:t>)</w:t>
      </w:r>
      <w:r w:rsidR="009F7198">
        <w:t xml:space="preserve"> </w:t>
      </w:r>
      <w:r w:rsidR="00BC56FD">
        <w:t xml:space="preserve">that </w:t>
      </w:r>
      <w:r w:rsidR="00EA1A0B">
        <w:t xml:space="preserve">resolved </w:t>
      </w:r>
      <w:r w:rsidR="00E913DD">
        <w:t>pendin</w:t>
      </w:r>
      <w:r w:rsidR="001D5B3E">
        <w:t>g petitions for reconsideration and waiver reques</w:t>
      </w:r>
      <w:r w:rsidR="0083429A">
        <w:t xml:space="preserve">ts filed in response to </w:t>
      </w:r>
      <w:r w:rsidR="003044E1">
        <w:t xml:space="preserve">the Bureau’s August </w:t>
      </w:r>
      <w:r w:rsidR="00BA5083">
        <w:t>3, 2020 Public Notice</w:t>
      </w:r>
      <w:r w:rsidR="001E3E90">
        <w:t xml:space="preserve"> </w:t>
      </w:r>
      <w:r w:rsidRPr="002302FE" w:rsidR="001E3E90">
        <w:rPr>
          <w:szCs w:val="22"/>
        </w:rPr>
        <w:t>(</w:t>
      </w:r>
      <w:r w:rsidRPr="004A794B" w:rsidR="001E3E90">
        <w:rPr>
          <w:i/>
          <w:iCs/>
        </w:rPr>
        <w:t>Aug</w:t>
      </w:r>
      <w:r w:rsidRPr="00A938C0" w:rsidR="001E3E90">
        <w:rPr>
          <w:i/>
          <w:iCs/>
        </w:rPr>
        <w:t>ust 3</w:t>
      </w:r>
      <w:r w:rsidRPr="00A938C0" w:rsidR="001E3E90">
        <w:rPr>
          <w:szCs w:val="22"/>
        </w:rPr>
        <w:t xml:space="preserve"> </w:t>
      </w:r>
      <w:r w:rsidRPr="00A938C0" w:rsidR="001E3E90">
        <w:rPr>
          <w:i/>
          <w:iCs/>
        </w:rPr>
        <w:t>Incumbent Earth Station PN</w:t>
      </w:r>
      <w:r w:rsidRPr="00A938C0" w:rsidR="001E3E90">
        <w:rPr>
          <w:szCs w:val="22"/>
        </w:rPr>
        <w:t>)</w:t>
      </w:r>
      <w:r w:rsidR="00A53F34">
        <w:t>,</w:t>
      </w:r>
      <w:r w:rsidR="0089516B">
        <w:t xml:space="preserve"> </w:t>
      </w:r>
      <w:r w:rsidR="00A53F34">
        <w:t>which listed</w:t>
      </w:r>
      <w:r w:rsidRPr="6D7524F7" w:rsidR="00C6336C">
        <w:t xml:space="preserve"> those </w:t>
      </w:r>
      <w:r w:rsidR="00BC741D">
        <w:t>Fixed</w:t>
      </w:r>
      <w:r w:rsidR="00731F58">
        <w:t>-</w:t>
      </w:r>
      <w:r w:rsidR="00BC741D">
        <w:t>Satell</w:t>
      </w:r>
      <w:r w:rsidR="0018733C">
        <w:t xml:space="preserve">ite Service </w:t>
      </w:r>
      <w:r w:rsidR="00BC741D">
        <w:t>(</w:t>
      </w:r>
      <w:r w:rsidRPr="6D7524F7" w:rsidR="00C6336C">
        <w:t>FSS</w:t>
      </w:r>
      <w:r w:rsidR="00BC741D">
        <w:t>)</w:t>
      </w:r>
      <w:r w:rsidRPr="6D7524F7" w:rsidR="00C6336C">
        <w:t xml:space="preserve"> earth stations in the 3.7-4.2 GHz band in the contiguous United States that the Bureau found </w:t>
      </w:r>
      <w:r w:rsidRPr="00E14A7D" w:rsidR="00C6336C">
        <w:t>satisfy the criteria to be classified as incumbent earth stations for purposes of the C-band transition</w:t>
      </w:r>
      <w:r w:rsidRPr="002302FE" w:rsidR="00C6336C">
        <w:rPr>
          <w:szCs w:val="22"/>
        </w:rPr>
        <w:t>.</w:t>
      </w:r>
      <w:r>
        <w:rPr>
          <w:rStyle w:val="FootnoteReference"/>
        </w:rPr>
        <w:footnoteReference w:id="3"/>
      </w:r>
      <w:r w:rsidRPr="002302FE" w:rsidR="00C6336C">
        <w:rPr>
          <w:szCs w:val="22"/>
        </w:rPr>
        <w:t xml:space="preserve">  </w:t>
      </w:r>
      <w:r w:rsidR="009B6865">
        <w:rPr>
          <w:szCs w:val="22"/>
        </w:rPr>
        <w:t xml:space="preserve">On October 30, 2020, the Bureau issued a Public Notice </w:t>
      </w:r>
      <w:r w:rsidR="00C13B40">
        <w:rPr>
          <w:szCs w:val="22"/>
        </w:rPr>
        <w:t>announcing that it had completed its review of</w:t>
      </w:r>
      <w:r w:rsidR="009B6865">
        <w:rPr>
          <w:szCs w:val="22"/>
        </w:rPr>
        <w:t xml:space="preserve"> lump sum elections</w:t>
      </w:r>
      <w:r w:rsidR="00C13B40">
        <w:rPr>
          <w:szCs w:val="22"/>
        </w:rPr>
        <w:t xml:space="preserve"> submitted by earth stations and </w:t>
      </w:r>
      <w:r w:rsidR="00DD4DCA">
        <w:rPr>
          <w:szCs w:val="22"/>
        </w:rPr>
        <w:t>attaching</w:t>
      </w:r>
      <w:r w:rsidR="00C13B40">
        <w:rPr>
          <w:szCs w:val="22"/>
        </w:rPr>
        <w:t xml:space="preserve"> a table of lump sum elections that the Bureau deemed </w:t>
      </w:r>
      <w:r w:rsidR="008A40A1">
        <w:rPr>
          <w:szCs w:val="22"/>
        </w:rPr>
        <w:t xml:space="preserve">either </w:t>
      </w:r>
      <w:r w:rsidR="00C13B40">
        <w:rPr>
          <w:szCs w:val="22"/>
        </w:rPr>
        <w:t xml:space="preserve">accepted, conditionally accepted, </w:t>
      </w:r>
      <w:r w:rsidR="008A40A1">
        <w:rPr>
          <w:szCs w:val="22"/>
        </w:rPr>
        <w:t>or</w:t>
      </w:r>
      <w:r w:rsidR="00C13B40">
        <w:rPr>
          <w:szCs w:val="22"/>
        </w:rPr>
        <w:t xml:space="preserve"> denied</w:t>
      </w:r>
      <w:r w:rsidR="00DD4DCA">
        <w:rPr>
          <w:szCs w:val="22"/>
        </w:rPr>
        <w:t xml:space="preserve">, and </w:t>
      </w:r>
      <w:r w:rsidR="00C13B40">
        <w:rPr>
          <w:szCs w:val="22"/>
        </w:rPr>
        <w:t xml:space="preserve">providing an opportunity for those conditionally accepted earth stations to submit additional information </w:t>
      </w:r>
      <w:r w:rsidR="009B6865">
        <w:rPr>
          <w:szCs w:val="22"/>
        </w:rPr>
        <w:t>(</w:t>
      </w:r>
      <w:r w:rsidRPr="009B6865" w:rsidR="009B6865">
        <w:rPr>
          <w:i/>
          <w:iCs/>
          <w:szCs w:val="22"/>
        </w:rPr>
        <w:t>October 30 Lump Sum Election PN</w:t>
      </w:r>
      <w:r w:rsidR="009B6865">
        <w:rPr>
          <w:szCs w:val="22"/>
        </w:rPr>
        <w:t>)</w:t>
      </w:r>
      <w:r w:rsidR="00C13B40">
        <w:rPr>
          <w:szCs w:val="22"/>
        </w:rPr>
        <w:t>.</w:t>
      </w:r>
      <w:r>
        <w:rPr>
          <w:rStyle w:val="FootnoteReference"/>
          <w:szCs w:val="22"/>
        </w:rPr>
        <w:footnoteReference w:id="4"/>
      </w:r>
      <w:r w:rsidR="009B6865">
        <w:rPr>
          <w:szCs w:val="22"/>
        </w:rPr>
        <w:t xml:space="preserve"> </w:t>
      </w:r>
      <w:r w:rsidR="00C13B40">
        <w:rPr>
          <w:szCs w:val="22"/>
        </w:rPr>
        <w:t xml:space="preserve"> </w:t>
      </w:r>
      <w:r w:rsidRPr="003B19FE" w:rsidR="00C42B46">
        <w:t xml:space="preserve">On November 30, 2020, the Bureau released a public notice updating the lump sum election table in response to corrective filings made after </w:t>
      </w:r>
      <w:r w:rsidR="009B6865">
        <w:t xml:space="preserve">the </w:t>
      </w:r>
      <w:r w:rsidRPr="009B6865" w:rsidR="00C42B46">
        <w:rPr>
          <w:i/>
          <w:iCs/>
        </w:rPr>
        <w:t>October 30</w:t>
      </w:r>
      <w:r w:rsidRPr="009B6865" w:rsidR="009B6865">
        <w:rPr>
          <w:i/>
          <w:iCs/>
        </w:rPr>
        <w:t xml:space="preserve"> Lump Sum Election PN</w:t>
      </w:r>
      <w:r w:rsidRPr="003B19FE" w:rsidR="00C42B46">
        <w:t xml:space="preserve"> (</w:t>
      </w:r>
      <w:r w:rsidRPr="0014746F" w:rsidR="00C42B46">
        <w:rPr>
          <w:i/>
          <w:iCs/>
        </w:rPr>
        <w:t xml:space="preserve">November 30 </w:t>
      </w:r>
      <w:r w:rsidR="00C42B46">
        <w:rPr>
          <w:i/>
          <w:iCs/>
        </w:rPr>
        <w:t xml:space="preserve">Lump Sum Election </w:t>
      </w:r>
      <w:r w:rsidRPr="0014746F" w:rsidR="00C42B46">
        <w:rPr>
          <w:i/>
          <w:iCs/>
        </w:rPr>
        <w:t>PN</w:t>
      </w:r>
      <w:r w:rsidRPr="003B19FE" w:rsidR="00C42B46">
        <w:t>).</w:t>
      </w:r>
      <w:r>
        <w:rPr>
          <w:rStyle w:val="FootnoteReference"/>
        </w:rPr>
        <w:footnoteReference w:id="5"/>
      </w:r>
    </w:p>
    <w:p w:rsidR="00554B33" w:rsidRPr="004A3E45" w:rsidP="00554B33" w14:paraId="62D0B192" w14:textId="4D225F36">
      <w:pPr>
        <w:pStyle w:val="ParaNum"/>
        <w:rPr>
          <w:b/>
          <w:caps/>
        </w:rPr>
      </w:pPr>
      <w:r w:rsidRPr="000E1A04">
        <w:t xml:space="preserve">In this </w:t>
      </w:r>
      <w:r w:rsidRPr="00554B33">
        <w:rPr>
          <w:i/>
          <w:iCs/>
        </w:rPr>
        <w:t>Order</w:t>
      </w:r>
      <w:r w:rsidRPr="000E1A04">
        <w:t xml:space="preserve">, the Bureau </w:t>
      </w:r>
      <w:r w:rsidR="00E96954">
        <w:t>denies</w:t>
      </w:r>
      <w:r w:rsidRPr="00DB106C">
        <w:t xml:space="preserve"> </w:t>
      </w:r>
      <w:r>
        <w:t>the requests of</w:t>
      </w:r>
      <w:r w:rsidRPr="00DB106C">
        <w:t xml:space="preserve"> </w:t>
      </w:r>
      <w:r>
        <w:t>B</w:t>
      </w:r>
      <w:r w:rsidRPr="00DB106C">
        <w:t xml:space="preserve">ack </w:t>
      </w:r>
      <w:r>
        <w:t>P</w:t>
      </w:r>
      <w:r w:rsidRPr="00DB106C">
        <w:t>orch and KTBS</w:t>
      </w:r>
      <w:r w:rsidR="00AB4A24">
        <w:t xml:space="preserve"> for their respective earth stations</w:t>
      </w:r>
      <w:r>
        <w:t xml:space="preserve"> to be granted incumbent earth station status</w:t>
      </w:r>
      <w:r w:rsidRPr="00DB106C">
        <w:rPr>
          <w:caps/>
        </w:rPr>
        <w:t xml:space="preserve">. </w:t>
      </w:r>
      <w:r w:rsidRPr="00DB106C">
        <w:t>We</w:t>
      </w:r>
      <w:r w:rsidR="006736F8">
        <w:t xml:space="preserve"> </w:t>
      </w:r>
      <w:r w:rsidRPr="00DB106C">
        <w:t xml:space="preserve">grant </w:t>
      </w:r>
      <w:r w:rsidR="006736F8">
        <w:t>requests</w:t>
      </w:r>
      <w:r w:rsidR="00C13B40">
        <w:t xml:space="preserve"> by </w:t>
      </w:r>
      <w:r w:rsidRPr="00DB106C" w:rsidR="00C13B40">
        <w:t>Maranatha Compan</w:t>
      </w:r>
      <w:r w:rsidR="00C13B40">
        <w:t>y</w:t>
      </w:r>
      <w:r w:rsidRPr="00DB106C" w:rsidR="00C13B40">
        <w:t xml:space="preserve">, Cocola Company/Boise </w:t>
      </w:r>
      <w:r w:rsidR="00C13B40">
        <w:t>T</w:t>
      </w:r>
      <w:r w:rsidRPr="00DB106C" w:rsidR="00C13B40">
        <w:t xml:space="preserve">elecasters, Prism Company, </w:t>
      </w:r>
      <w:r w:rsidR="00C13B40">
        <w:t>and WOW</w:t>
      </w:r>
      <w:r w:rsidRPr="00DB106C" w:rsidR="00C13B40">
        <w:t>! Ohio</w:t>
      </w:r>
      <w:r w:rsidR="006736F8">
        <w:t xml:space="preserve"> to make limited corrections to </w:t>
      </w:r>
      <w:r w:rsidR="00C13B40">
        <w:t xml:space="preserve">their </w:t>
      </w:r>
      <w:r w:rsidR="006736F8">
        <w:t xml:space="preserve">lump sum elections </w:t>
      </w:r>
      <w:r w:rsidRPr="00DB106C">
        <w:t xml:space="preserve">and </w:t>
      </w:r>
      <w:r w:rsidR="006736F8">
        <w:t>find that the petition for reconsideration</w:t>
      </w:r>
      <w:r w:rsidR="00C13B40">
        <w:t xml:space="preserve"> of the</w:t>
      </w:r>
      <w:r w:rsidRPr="00B259DA" w:rsidR="00B259DA">
        <w:rPr>
          <w:i/>
          <w:iCs/>
        </w:rPr>
        <w:t xml:space="preserve"> </w:t>
      </w:r>
      <w:r w:rsidRPr="009B6865" w:rsidR="00B259DA">
        <w:rPr>
          <w:i/>
          <w:iCs/>
        </w:rPr>
        <w:t>October 30 Lump Sum Election PN</w:t>
      </w:r>
      <w:r w:rsidR="006736F8">
        <w:t xml:space="preserve"> filed by </w:t>
      </w:r>
      <w:r w:rsidRPr="00DB106C">
        <w:t>Ronan Telephone Company and Western Montana Community</w:t>
      </w:r>
      <w:r>
        <w:t>T</w:t>
      </w:r>
      <w:r w:rsidRPr="00DB106C">
        <w:t>el</w:t>
      </w:r>
      <w:r>
        <w:t xml:space="preserve"> </w:t>
      </w:r>
      <w:r w:rsidR="006736F8">
        <w:t xml:space="preserve">is moot, as its lump sum election was accepted in the </w:t>
      </w:r>
      <w:r w:rsidRPr="008C618E" w:rsidR="006736F8">
        <w:rPr>
          <w:i/>
          <w:iCs/>
        </w:rPr>
        <w:t>November 30 Lump Sum Election PN</w:t>
      </w:r>
      <w:r w:rsidR="006736F8">
        <w:t xml:space="preserve">. </w:t>
      </w:r>
      <w:r w:rsidR="00C13B40">
        <w:t xml:space="preserve"> </w:t>
      </w:r>
    </w:p>
    <w:p w:rsidR="00C679C1" w:rsidP="004D14B0" w14:paraId="6817ADFB" w14:textId="77777777">
      <w:pPr>
        <w:pStyle w:val="Heading1"/>
      </w:pPr>
      <w:bookmarkStart w:id="4" w:name="_Toc54217974"/>
      <w:r>
        <w:t>Background</w:t>
      </w:r>
      <w:bookmarkEnd w:id="4"/>
    </w:p>
    <w:p w:rsidR="00C679C1" w:rsidRPr="001A6A8A" w:rsidP="00C679C1" w14:paraId="6F7A5D95" w14:textId="14FE12D6">
      <w:pPr>
        <w:pStyle w:val="ParaNum"/>
        <w:rPr>
          <w:snapToGrid/>
          <w:color w:val="000000"/>
          <w:kern w:val="0"/>
        </w:rPr>
      </w:pPr>
      <w:r>
        <w:t>In</w:t>
      </w:r>
      <w:r w:rsidRPr="00E14A7D">
        <w:t xml:space="preserve"> the </w:t>
      </w:r>
      <w:r w:rsidRPr="00E14A7D">
        <w:rPr>
          <w:i/>
          <w:iCs/>
        </w:rPr>
        <w:t>3.7 GHz</w:t>
      </w:r>
      <w:r w:rsidRPr="00E14A7D">
        <w:rPr>
          <w:i/>
        </w:rPr>
        <w:t xml:space="preserve"> Band </w:t>
      </w:r>
      <w:r w:rsidRPr="00E14A7D">
        <w:rPr>
          <w:i/>
          <w:iCs/>
        </w:rPr>
        <w:t>Report and Order</w:t>
      </w:r>
      <w:r w:rsidR="004A3E45">
        <w:rPr>
          <w:i/>
          <w:iCs/>
        </w:rPr>
        <w:t xml:space="preserve">, </w:t>
      </w:r>
      <w:r>
        <w:t xml:space="preserve">the Commission </w:t>
      </w:r>
      <w:r w:rsidRPr="00E14A7D">
        <w:t xml:space="preserve">defined the criteria that earth stations must satisfy to be eligible as incumbent earth stations to receive </w:t>
      </w:r>
      <w:r>
        <w:t xml:space="preserve">reimbursement for </w:t>
      </w:r>
      <w:r w:rsidRPr="00E14A7D">
        <w:t>their reasonable relocation costs.</w:t>
      </w:r>
      <w:r>
        <w:rPr>
          <w:rStyle w:val="FootnoteReference"/>
          <w:snapToGrid/>
          <w:kern w:val="0"/>
          <w:szCs w:val="22"/>
        </w:rPr>
        <w:footnoteReference w:id="6"/>
      </w:r>
      <w:r w:rsidRPr="00E14A7D">
        <w:rPr>
          <w:snapToGrid/>
          <w:color w:val="000000"/>
          <w:kern w:val="0"/>
        </w:rPr>
        <w:t xml:space="preserve"> </w:t>
      </w:r>
      <w:r w:rsidRPr="00E14A7D">
        <w:t xml:space="preserve"> Specifically, incumbent earth stations are those FSS earth stations that have demonstrated that they meet the following requirements:</w:t>
      </w:r>
    </w:p>
    <w:p w:rsidR="00C679C1" w:rsidRPr="00E14A7D" w:rsidP="00815C61" w14:paraId="44651072" w14:textId="290A5636">
      <w:pPr>
        <w:widowControl/>
        <w:numPr>
          <w:ilvl w:val="0"/>
          <w:numId w:val="17"/>
        </w:numPr>
        <w:spacing w:after="120"/>
        <w:contextualSpacing/>
        <w:rPr>
          <w:snapToGrid/>
          <w:color w:val="000000"/>
          <w:kern w:val="0"/>
          <w:szCs w:val="22"/>
        </w:rPr>
      </w:pPr>
      <w:r w:rsidRPr="00E14A7D">
        <w:rPr>
          <w:snapToGrid/>
          <w:color w:val="000000"/>
          <w:kern w:val="0"/>
          <w:szCs w:val="22"/>
        </w:rPr>
        <w:t xml:space="preserve">The FSS earth station must have been operational as of </w:t>
      </w:r>
      <w:r>
        <w:rPr>
          <w:snapToGrid/>
          <w:color w:val="000000"/>
          <w:kern w:val="0"/>
          <w:szCs w:val="22"/>
        </w:rPr>
        <w:t xml:space="preserve">the </w:t>
      </w:r>
      <w:r w:rsidRPr="00E14A7D">
        <w:rPr>
          <w:snapToGrid/>
          <w:color w:val="000000"/>
          <w:kern w:val="0"/>
          <w:szCs w:val="22"/>
        </w:rPr>
        <w:t>April 19, 2018 filing freeze and remain operational;</w:t>
      </w:r>
      <w:r>
        <w:rPr>
          <w:rStyle w:val="FootnoteReference"/>
          <w:snapToGrid/>
          <w:kern w:val="0"/>
          <w:szCs w:val="22"/>
        </w:rPr>
        <w:footnoteReference w:id="7"/>
      </w:r>
      <w:r w:rsidRPr="00E14A7D">
        <w:rPr>
          <w:snapToGrid/>
          <w:color w:val="000000"/>
          <w:kern w:val="0"/>
          <w:szCs w:val="22"/>
        </w:rPr>
        <w:t xml:space="preserve"> and must have been registered (receive-only) or licensed (transmit/receive) in the 3700-4200 MHz band.</w:t>
      </w:r>
    </w:p>
    <w:p w:rsidR="00C679C1" w:rsidRPr="00E14A7D" w:rsidP="00815C61" w14:paraId="7434ADDE" w14:textId="77777777">
      <w:pPr>
        <w:widowControl/>
        <w:numPr>
          <w:ilvl w:val="0"/>
          <w:numId w:val="17"/>
        </w:numPr>
        <w:spacing w:after="120"/>
        <w:contextualSpacing/>
        <w:rPr>
          <w:snapToGrid/>
          <w:color w:val="000000"/>
          <w:kern w:val="0"/>
          <w:szCs w:val="22"/>
        </w:rPr>
      </w:pPr>
      <w:r w:rsidRPr="00E14A7D">
        <w:rPr>
          <w:snapToGrid/>
          <w:color w:val="000000"/>
          <w:kern w:val="0"/>
          <w:szCs w:val="22"/>
        </w:rPr>
        <w:t>If the FSS earth station was unregistered or unlicensed before April 19, 2018, its registration or license applications must have been filed by November 7, 2018.</w:t>
      </w:r>
      <w:r>
        <w:rPr>
          <w:rStyle w:val="FootnoteReference"/>
          <w:snapToGrid/>
          <w:kern w:val="0"/>
          <w:szCs w:val="22"/>
        </w:rPr>
        <w:footnoteReference w:id="8"/>
      </w:r>
      <w:r w:rsidRPr="00E14A7D">
        <w:rPr>
          <w:snapToGrid/>
          <w:color w:val="000000"/>
          <w:kern w:val="0"/>
          <w:szCs w:val="22"/>
        </w:rPr>
        <w:t xml:space="preserve">  </w:t>
      </w:r>
    </w:p>
    <w:p w:rsidR="00C679C1" w:rsidRPr="00E14A7D" w:rsidP="00815C61" w14:paraId="23FF104A" w14:textId="77777777">
      <w:pPr>
        <w:widowControl/>
        <w:numPr>
          <w:ilvl w:val="0"/>
          <w:numId w:val="17"/>
        </w:numPr>
        <w:spacing w:after="120"/>
        <w:contextualSpacing/>
        <w:rPr>
          <w:snapToGrid/>
          <w:color w:val="000000"/>
          <w:kern w:val="0"/>
          <w:szCs w:val="22"/>
        </w:rPr>
      </w:pPr>
      <w:r w:rsidRPr="00E14A7D">
        <w:rPr>
          <w:snapToGrid/>
          <w:color w:val="000000"/>
          <w:kern w:val="0"/>
          <w:szCs w:val="22"/>
        </w:rPr>
        <w:t>If the FSS earth station was registered or licensed before April 19, 2018, the registrant or licensee must have:</w:t>
      </w:r>
    </w:p>
    <w:p w:rsidR="00C679C1" w:rsidRPr="00E14A7D" w:rsidP="00815C61" w14:paraId="0B20BD6E" w14:textId="18BAC08D">
      <w:pPr>
        <w:widowControl/>
        <w:numPr>
          <w:ilvl w:val="1"/>
          <w:numId w:val="17"/>
        </w:numPr>
        <w:spacing w:after="120"/>
        <w:contextualSpacing/>
        <w:rPr>
          <w:snapToGrid/>
          <w:color w:val="000000"/>
          <w:kern w:val="0"/>
          <w:szCs w:val="22"/>
        </w:rPr>
      </w:pPr>
      <w:r w:rsidRPr="00E14A7D">
        <w:rPr>
          <w:snapToGrid/>
          <w:color w:val="000000"/>
          <w:kern w:val="0"/>
          <w:szCs w:val="22"/>
        </w:rPr>
        <w:t xml:space="preserve">Certified the accuracy of the registration/license information in IBFS by May 28, 2019; </w:t>
      </w:r>
      <w:r w:rsidR="00815C61">
        <w:rPr>
          <w:snapToGrid/>
          <w:color w:val="000000"/>
          <w:kern w:val="0"/>
          <w:szCs w:val="22"/>
        </w:rPr>
        <w:t>or</w:t>
      </w:r>
    </w:p>
    <w:p w:rsidR="00C679C1" w:rsidRPr="00E14A7D" w:rsidP="00815C61" w14:paraId="020FD093" w14:textId="43B6EC32">
      <w:pPr>
        <w:widowControl/>
        <w:numPr>
          <w:ilvl w:val="1"/>
          <w:numId w:val="17"/>
        </w:numPr>
        <w:spacing w:after="120"/>
        <w:contextualSpacing/>
        <w:rPr>
          <w:snapToGrid/>
          <w:color w:val="000000"/>
          <w:kern w:val="0"/>
          <w:szCs w:val="22"/>
        </w:rPr>
      </w:pPr>
      <w:r w:rsidRPr="00E14A7D">
        <w:rPr>
          <w:snapToGrid/>
          <w:color w:val="000000"/>
          <w:kern w:val="0"/>
          <w:szCs w:val="22"/>
        </w:rPr>
        <w:t xml:space="preserve">Filed a modification/update to the registration or license in IBFS during the April 19, 2018 </w:t>
      </w:r>
      <w:r w:rsidR="00815C61">
        <w:rPr>
          <w:snapToGrid/>
          <w:color w:val="000000"/>
          <w:kern w:val="0"/>
          <w:szCs w:val="22"/>
        </w:rPr>
        <w:t>to</w:t>
      </w:r>
      <w:r w:rsidRPr="00E14A7D">
        <w:rPr>
          <w:snapToGrid/>
          <w:color w:val="000000"/>
          <w:kern w:val="0"/>
          <w:szCs w:val="22"/>
        </w:rPr>
        <w:t xml:space="preserve"> November 7, 2018 filing </w:t>
      </w:r>
      <w:r w:rsidRPr="00E14A7D">
        <w:rPr>
          <w:snapToGrid/>
          <w:color w:val="000000"/>
          <w:kern w:val="0"/>
          <w:szCs w:val="22"/>
        </w:rPr>
        <w:t>window;</w:t>
      </w:r>
      <w:r w:rsidRPr="00E14A7D">
        <w:rPr>
          <w:snapToGrid/>
          <w:color w:val="000000"/>
          <w:kern w:val="0"/>
          <w:szCs w:val="22"/>
        </w:rPr>
        <w:t xml:space="preserve"> </w:t>
      </w:r>
      <w:r w:rsidR="00815C61">
        <w:rPr>
          <w:snapToGrid/>
          <w:color w:val="000000"/>
          <w:kern w:val="0"/>
          <w:szCs w:val="22"/>
        </w:rPr>
        <w:t>or</w:t>
      </w:r>
    </w:p>
    <w:p w:rsidR="004A3E45" w:rsidP="004A3E45" w14:paraId="76E2ADFF" w14:textId="77777777">
      <w:pPr>
        <w:widowControl/>
        <w:numPr>
          <w:ilvl w:val="1"/>
          <w:numId w:val="17"/>
        </w:numPr>
        <w:spacing w:after="120"/>
        <w:contextualSpacing/>
        <w:rPr>
          <w:snapToGrid/>
          <w:color w:val="000000"/>
          <w:kern w:val="0"/>
          <w:szCs w:val="22"/>
        </w:rPr>
      </w:pPr>
      <w:r w:rsidRPr="00E14A7D">
        <w:rPr>
          <w:snapToGrid/>
          <w:color w:val="000000"/>
          <w:kern w:val="0"/>
          <w:szCs w:val="22"/>
        </w:rPr>
        <w:t>Filed a timely renewal application for the existing registration or license by May 28, 2019.</w:t>
      </w:r>
      <w:r>
        <w:rPr>
          <w:rStyle w:val="FootnoteReference"/>
          <w:szCs w:val="22"/>
        </w:rPr>
        <w:footnoteReference w:id="9"/>
      </w:r>
      <w:r w:rsidRPr="00E14A7D">
        <w:rPr>
          <w:szCs w:val="22"/>
        </w:rPr>
        <w:t xml:space="preserve">  </w:t>
      </w:r>
    </w:p>
    <w:p w:rsidR="004A3E45" w:rsidP="004A3E45" w14:paraId="52EE8005" w14:textId="77777777"/>
    <w:p w:rsidR="004A3E45" w:rsidP="004A3E45" w14:paraId="3E81BF5F" w14:textId="72ADE9CE">
      <w:pPr>
        <w:pStyle w:val="ParaNum"/>
      </w:pPr>
      <w:r w:rsidRPr="003B19FE">
        <w:t xml:space="preserve">The </w:t>
      </w:r>
      <w:r w:rsidRPr="004A3E45">
        <w:rPr>
          <w:i/>
        </w:rPr>
        <w:t xml:space="preserve">3.7 GHz Band Report and Order </w:t>
      </w:r>
      <w:r w:rsidRPr="004A3E45">
        <w:rPr>
          <w:iCs/>
        </w:rPr>
        <w:t xml:space="preserve">also </w:t>
      </w:r>
      <w:r w:rsidRPr="003B19FE">
        <w:t xml:space="preserve">established that incumbent FSS earth station operators may accept either:  (1) reimbursement for their actual reasonable relocation costs to maintain satellite reception; or (2) a lump sum reimbursement “based on the average, estimated costs of relocating all of their incumbent earth stations” to the upper 200 megahertz of the </w:t>
      </w:r>
      <w:r>
        <w:t>C-</w:t>
      </w:r>
      <w:r w:rsidR="00B25492">
        <w:t>b</w:t>
      </w:r>
      <w:r>
        <w:t>and</w:t>
      </w:r>
      <w:r w:rsidRPr="003B19FE">
        <w:t>.</w:t>
      </w:r>
      <w:r>
        <w:rPr>
          <w:vertAlign w:val="superscript"/>
        </w:rPr>
        <w:footnoteReference w:id="10"/>
      </w:r>
      <w:r w:rsidRPr="003B19FE">
        <w:t xml:space="preserve">  </w:t>
      </w:r>
    </w:p>
    <w:p w:rsidR="004A3E45" w:rsidP="004A3E45" w14:paraId="024ABB98" w14:textId="6C1D403F">
      <w:pPr>
        <w:pStyle w:val="ParaNum"/>
      </w:pPr>
      <w:r w:rsidRPr="004A3E45">
        <w:rPr>
          <w:snapToGrid/>
          <w:color w:val="000000"/>
          <w:kern w:val="0"/>
        </w:rPr>
        <w:t xml:space="preserve">In response to the </w:t>
      </w:r>
      <w:r w:rsidR="00165E41">
        <w:rPr>
          <w:i/>
          <w:iCs/>
        </w:rPr>
        <w:t>October 23 Order</w:t>
      </w:r>
      <w:r w:rsidR="00165E41">
        <w:t xml:space="preserve"> and </w:t>
      </w:r>
      <w:r w:rsidRPr="0014746F" w:rsidR="00165E41">
        <w:rPr>
          <w:i/>
          <w:iCs/>
        </w:rPr>
        <w:t xml:space="preserve">November 30 </w:t>
      </w:r>
      <w:r w:rsidR="00165E41">
        <w:rPr>
          <w:i/>
          <w:iCs/>
        </w:rPr>
        <w:t xml:space="preserve">Lump Sum Election </w:t>
      </w:r>
      <w:r w:rsidRPr="0014746F" w:rsidR="00165E41">
        <w:rPr>
          <w:i/>
          <w:iCs/>
        </w:rPr>
        <w:t>PN</w:t>
      </w:r>
      <w:r w:rsidRPr="004A3E45">
        <w:rPr>
          <w:snapToGrid/>
          <w:color w:val="000000"/>
          <w:kern w:val="0"/>
        </w:rPr>
        <w:t xml:space="preserve">, the Bureau received </w:t>
      </w:r>
      <w:r w:rsidR="00B863E4">
        <w:rPr>
          <w:snapToGrid/>
          <w:color w:val="000000"/>
          <w:kern w:val="0"/>
        </w:rPr>
        <w:t>a number of</w:t>
      </w:r>
      <w:r w:rsidR="00B863E4">
        <w:rPr>
          <w:snapToGrid/>
          <w:color w:val="000000"/>
          <w:kern w:val="0"/>
        </w:rPr>
        <w:t xml:space="preserve"> </w:t>
      </w:r>
      <w:r w:rsidRPr="004A3E45">
        <w:rPr>
          <w:snapToGrid/>
          <w:color w:val="000000"/>
          <w:kern w:val="0"/>
        </w:rPr>
        <w:t>petitions for reconsideration</w:t>
      </w:r>
      <w:r w:rsidR="00020544">
        <w:rPr>
          <w:snapToGrid/>
          <w:color w:val="000000"/>
          <w:kern w:val="0"/>
        </w:rPr>
        <w:t>, w</w:t>
      </w:r>
      <w:r w:rsidR="00594B0A">
        <w:rPr>
          <w:snapToGrid/>
          <w:color w:val="000000"/>
          <w:kern w:val="0"/>
        </w:rPr>
        <w:t>a</w:t>
      </w:r>
      <w:r w:rsidR="00020544">
        <w:rPr>
          <w:snapToGrid/>
          <w:color w:val="000000"/>
          <w:kern w:val="0"/>
        </w:rPr>
        <w:t xml:space="preserve">iver requests, and </w:t>
      </w:r>
      <w:r w:rsidRPr="00594B0A" w:rsidR="00020544">
        <w:rPr>
          <w:i/>
          <w:iCs/>
          <w:snapToGrid/>
          <w:color w:val="000000"/>
          <w:kern w:val="0"/>
        </w:rPr>
        <w:t>ex parte</w:t>
      </w:r>
      <w:r w:rsidR="00020544">
        <w:rPr>
          <w:snapToGrid/>
          <w:color w:val="000000"/>
          <w:kern w:val="0"/>
        </w:rPr>
        <w:t xml:space="preserve"> letters</w:t>
      </w:r>
      <w:r w:rsidR="00594B0A">
        <w:rPr>
          <w:snapToGrid/>
          <w:color w:val="000000"/>
          <w:kern w:val="0"/>
        </w:rPr>
        <w:t>.  We address these filings below</w:t>
      </w:r>
      <w:r w:rsidRPr="004A3E45">
        <w:rPr>
          <w:snapToGrid/>
          <w:color w:val="000000"/>
          <w:kern w:val="0"/>
        </w:rPr>
        <w:t xml:space="preserve">.  </w:t>
      </w:r>
      <w:bookmarkStart w:id="6" w:name="_Toc54115841"/>
      <w:bookmarkStart w:id="7" w:name="_Toc54116000"/>
      <w:bookmarkStart w:id="8" w:name="_Toc54118391"/>
      <w:bookmarkStart w:id="9" w:name="_Toc54217975"/>
    </w:p>
    <w:p w:rsidR="004A3E45" w:rsidP="004A3E45" w14:paraId="3FAEAB2B" w14:textId="5D6C1D30">
      <w:pPr>
        <w:pStyle w:val="Heading1"/>
      </w:pPr>
      <w:r>
        <w:t>Discussi</w:t>
      </w:r>
      <w:bookmarkEnd w:id="6"/>
      <w:bookmarkEnd w:id="7"/>
      <w:bookmarkEnd w:id="8"/>
      <w:bookmarkEnd w:id="9"/>
      <w:r>
        <w:t>on</w:t>
      </w:r>
    </w:p>
    <w:p w:rsidR="00E60297" w:rsidRPr="00E60297" w:rsidP="00F94ABB" w14:paraId="37E4286D" w14:textId="77777777">
      <w:pPr>
        <w:pStyle w:val="ParaNum"/>
      </w:pPr>
      <w:r w:rsidRPr="00DB106C">
        <w:t>Petitions for reconsideration are considered under section 1.106 of the Commission’s rules.</w:t>
      </w:r>
      <w:r>
        <w:rPr>
          <w:rStyle w:val="FootnoteReference"/>
        </w:rPr>
        <w:footnoteReference w:id="11"/>
      </w:r>
      <w:r w:rsidRPr="00DB106C">
        <w:t xml:space="preserve"> Petitions for reconsideration must be submitted within thirty days of public notice of the Commission’s action in the matter,</w:t>
      </w:r>
      <w:r>
        <w:rPr>
          <w:rStyle w:val="FootnoteReference"/>
        </w:rPr>
        <w:footnoteReference w:id="12"/>
      </w:r>
      <w:r w:rsidRPr="00DB106C">
        <w:t xml:space="preserve"> and must state with particularity the findings of fact and/or conclusions of law petitioner believes to be erroneous, the manner in which the Commission’s action should be changed, and the relief sought.</w:t>
      </w:r>
      <w:r>
        <w:rPr>
          <w:rStyle w:val="FootnoteReference"/>
        </w:rPr>
        <w:footnoteReference w:id="13"/>
      </w:r>
      <w:r w:rsidRPr="00DB106C">
        <w:t xml:space="preserve"> In addition, petitions for reconsideration of applications for review which the Commission has denied will only be entertained if “[t]he petition relies on facts or </w:t>
      </w:r>
      <w:r w:rsidRPr="00DB106C">
        <w:t>arguments which relate to events which have occurred or circumstances which have changed since the last opportunity to present such matters to the Commission,” or “[t]he petition relies on facts or arguments unknown to petitioner until after his last opportunity to present them to the Commission, and he could not through the exercise of ordinary diligence have learned of the facts or arguments in question prior to such opportunity.”</w:t>
      </w:r>
      <w:r>
        <w:rPr>
          <w:rStyle w:val="FootnoteReference"/>
        </w:rPr>
        <w:footnoteReference w:id="14"/>
      </w:r>
    </w:p>
    <w:p w:rsidR="00E60297" w:rsidP="003C3EF3" w14:paraId="407D7A1E" w14:textId="1AE2367C">
      <w:pPr>
        <w:pStyle w:val="ParaNum"/>
      </w:pPr>
      <w:r w:rsidRPr="001D3F09">
        <w:rPr>
          <w:szCs w:val="22"/>
        </w:rPr>
        <w:t>Waiver is appropriate where good cause has been demonstrated and the particular facts make strict compliance inconsistent with the public interest.</w:t>
      </w:r>
      <w:r>
        <w:rPr>
          <w:rStyle w:val="FootnoteReference"/>
          <w:szCs w:val="22"/>
        </w:rPr>
        <w:footnoteReference w:id="15"/>
      </w:r>
      <w:r w:rsidRPr="001D3F09">
        <w:rPr>
          <w:szCs w:val="22"/>
        </w:rPr>
        <w:t xml:space="preserve">  In making this determination, we may take into account considerations of hardship, equity, or more effective implementation of overall policy on an individual basis.</w:t>
      </w:r>
      <w:r>
        <w:rPr>
          <w:rStyle w:val="FootnoteReference"/>
          <w:szCs w:val="22"/>
        </w:rPr>
        <w:footnoteReference w:id="16"/>
      </w:r>
      <w:r w:rsidRPr="001D3F09">
        <w:rPr>
          <w:szCs w:val="22"/>
        </w:rPr>
        <w:t xml:space="preserve">  Waiver is therefore appropriate if special circumstances warrant a deviation from the general rule, </w:t>
      </w:r>
      <w:r>
        <w:rPr>
          <w:szCs w:val="22"/>
        </w:rPr>
        <w:t>and</w:t>
      </w:r>
      <w:r w:rsidRPr="001D3F09">
        <w:rPr>
          <w:szCs w:val="22"/>
        </w:rPr>
        <w:t xml:space="preserve"> such deviation will serve the public interest, and the waiver does not undermine the validity </w:t>
      </w:r>
      <w:r>
        <w:rPr>
          <w:szCs w:val="22"/>
        </w:rPr>
        <w:t>purpose</w:t>
      </w:r>
      <w:r w:rsidRPr="001D3F09">
        <w:rPr>
          <w:szCs w:val="22"/>
        </w:rPr>
        <w:t xml:space="preserve"> of the general rule.</w:t>
      </w:r>
      <w:r>
        <w:rPr>
          <w:rStyle w:val="FootnoteReference"/>
          <w:szCs w:val="22"/>
        </w:rPr>
        <w:footnoteReference w:id="17"/>
      </w:r>
    </w:p>
    <w:p w:rsidR="004A3E45" w:rsidRPr="00536DB9" w:rsidP="004A3E45" w14:paraId="64F699D5" w14:textId="685B9912">
      <w:pPr>
        <w:pStyle w:val="ParaNum"/>
        <w:numPr>
          <w:ilvl w:val="0"/>
          <w:numId w:val="0"/>
        </w:numPr>
        <w:ind w:firstLine="720"/>
        <w:rPr>
          <w:b/>
          <w:bCs/>
        </w:rPr>
      </w:pPr>
      <w:r>
        <w:rPr>
          <w:b/>
          <w:bCs/>
        </w:rPr>
        <w:t>A.</w:t>
      </w:r>
      <w:r>
        <w:rPr>
          <w:b/>
          <w:bCs/>
        </w:rPr>
        <w:tab/>
      </w:r>
      <w:r w:rsidR="00BC4BED">
        <w:rPr>
          <w:b/>
          <w:bCs/>
        </w:rPr>
        <w:t xml:space="preserve">Incumbent </w:t>
      </w:r>
      <w:r w:rsidR="009559C9">
        <w:rPr>
          <w:b/>
          <w:bCs/>
        </w:rPr>
        <w:t>E</w:t>
      </w:r>
      <w:r w:rsidR="00BC4BED">
        <w:rPr>
          <w:b/>
          <w:bCs/>
        </w:rPr>
        <w:t>arth Station</w:t>
      </w:r>
      <w:r w:rsidR="006E3C4A">
        <w:rPr>
          <w:b/>
          <w:bCs/>
        </w:rPr>
        <w:t xml:space="preserve"> Waiver Requests </w:t>
      </w:r>
      <w:r w:rsidRPr="00536DB9" w:rsidR="00091745">
        <w:rPr>
          <w:b/>
          <w:bCs/>
        </w:rPr>
        <w:t xml:space="preserve"> </w:t>
      </w:r>
      <w:r w:rsidRPr="00536DB9">
        <w:rPr>
          <w:b/>
          <w:bCs/>
        </w:rPr>
        <w:t xml:space="preserve">  </w:t>
      </w:r>
    </w:p>
    <w:p w:rsidR="004A3E45" w:rsidRPr="004A3E45" w:rsidP="004A3E45" w14:paraId="0E8D0842" w14:textId="272261B5">
      <w:pPr>
        <w:pStyle w:val="ParaNum"/>
      </w:pPr>
      <w:r>
        <w:rPr>
          <w:bCs/>
        </w:rPr>
        <w:t xml:space="preserve">On March 26, 2021, </w:t>
      </w:r>
      <w:r w:rsidRPr="004A3E45">
        <w:rPr>
          <w:bCs/>
        </w:rPr>
        <w:t>Back Porch Radio Company, Inc.</w:t>
      </w:r>
      <w:r w:rsidR="003404BF">
        <w:rPr>
          <w:bCs/>
        </w:rPr>
        <w:t xml:space="preserve"> (Back Porch) </w:t>
      </w:r>
      <w:r w:rsidRPr="004A3E45">
        <w:rPr>
          <w:bCs/>
        </w:rPr>
        <w:t xml:space="preserve">filed an </w:t>
      </w:r>
      <w:r w:rsidRPr="004A3E45">
        <w:rPr>
          <w:bCs/>
          <w:i/>
          <w:iCs/>
        </w:rPr>
        <w:t>ex parte</w:t>
      </w:r>
      <w:r w:rsidRPr="004A3E45">
        <w:rPr>
          <w:bCs/>
        </w:rPr>
        <w:t xml:space="preserve"> letter noting that it has not appeared on the incumbent earth station list despite operating in the C-</w:t>
      </w:r>
      <w:r w:rsidR="00B25492">
        <w:rPr>
          <w:bCs/>
        </w:rPr>
        <w:t>b</w:t>
      </w:r>
      <w:r w:rsidRPr="004A3E45">
        <w:rPr>
          <w:bCs/>
        </w:rPr>
        <w:t>and and purchasing the appropriate filter to continue operations</w:t>
      </w:r>
      <w:r w:rsidRPr="004A3E45">
        <w:rPr>
          <w:bCs/>
          <w:caps/>
        </w:rPr>
        <w:t>.</w:t>
      </w:r>
      <w:r>
        <w:rPr>
          <w:rStyle w:val="FootnoteReference"/>
          <w:bCs/>
          <w:caps/>
        </w:rPr>
        <w:footnoteReference w:id="18"/>
      </w:r>
      <w:r w:rsidRPr="004A3E45">
        <w:rPr>
          <w:bCs/>
        </w:rPr>
        <w:t xml:space="preserve">  </w:t>
      </w:r>
      <w:r w:rsidR="00891215">
        <w:rPr>
          <w:bCs/>
        </w:rPr>
        <w:t>W</w:t>
      </w:r>
      <w:r w:rsidRPr="004A3E45">
        <w:rPr>
          <w:bCs/>
        </w:rPr>
        <w:t xml:space="preserve">e </w:t>
      </w:r>
      <w:r w:rsidR="00BC56FD">
        <w:rPr>
          <w:bCs/>
        </w:rPr>
        <w:t>find</w:t>
      </w:r>
      <w:r w:rsidRPr="004A3E45" w:rsidR="00BC56FD">
        <w:rPr>
          <w:bCs/>
        </w:rPr>
        <w:t xml:space="preserve"> </w:t>
      </w:r>
      <w:r w:rsidRPr="004A3E45">
        <w:rPr>
          <w:bCs/>
        </w:rPr>
        <w:t xml:space="preserve">that </w:t>
      </w:r>
      <w:r w:rsidR="00891215">
        <w:rPr>
          <w:bCs/>
        </w:rPr>
        <w:t>B</w:t>
      </w:r>
      <w:r w:rsidRPr="004A3E45">
        <w:rPr>
          <w:bCs/>
        </w:rPr>
        <w:t xml:space="preserve">ack </w:t>
      </w:r>
      <w:r w:rsidR="00891215">
        <w:rPr>
          <w:bCs/>
        </w:rPr>
        <w:t>P</w:t>
      </w:r>
      <w:r w:rsidRPr="004A3E45">
        <w:rPr>
          <w:bCs/>
        </w:rPr>
        <w:t xml:space="preserve">orch’s earth station does not </w:t>
      </w:r>
      <w:r w:rsidR="00A44350">
        <w:rPr>
          <w:bCs/>
        </w:rPr>
        <w:t>meet</w:t>
      </w:r>
      <w:r w:rsidRPr="004A3E45">
        <w:rPr>
          <w:bCs/>
        </w:rPr>
        <w:t xml:space="preserve"> the </w:t>
      </w:r>
      <w:r w:rsidR="00B9467B">
        <w:rPr>
          <w:bCs/>
        </w:rPr>
        <w:t xml:space="preserve">incumbent earth station </w:t>
      </w:r>
      <w:r w:rsidRPr="004A3E45">
        <w:rPr>
          <w:bCs/>
        </w:rPr>
        <w:t xml:space="preserve">requirements specified in the </w:t>
      </w:r>
      <w:r w:rsidRPr="004A3E45">
        <w:rPr>
          <w:bCs/>
          <w:i/>
          <w:iCs/>
        </w:rPr>
        <w:t>3.7 GHz Band Report and Order</w:t>
      </w:r>
      <w:r w:rsidR="0072100E">
        <w:rPr>
          <w:bCs/>
        </w:rPr>
        <w:t xml:space="preserve"> because it failed to certify</w:t>
      </w:r>
      <w:r w:rsidRPr="004A3E45">
        <w:rPr>
          <w:bCs/>
        </w:rPr>
        <w:t xml:space="preserve"> </w:t>
      </w:r>
      <w:r w:rsidR="0072100E">
        <w:rPr>
          <w:bCs/>
        </w:rPr>
        <w:t>the accuracy of its information in IBFS</w:t>
      </w:r>
      <w:r w:rsidR="00B97808">
        <w:rPr>
          <w:bCs/>
        </w:rPr>
        <w:t xml:space="preserve"> in the required filing window</w:t>
      </w:r>
      <w:r w:rsidR="00020260">
        <w:rPr>
          <w:bCs/>
        </w:rPr>
        <w:t xml:space="preserve"> and has offered no </w:t>
      </w:r>
      <w:r w:rsidR="00256AAE">
        <w:rPr>
          <w:bCs/>
        </w:rPr>
        <w:t>justification</w:t>
      </w:r>
      <w:r w:rsidR="00020260">
        <w:rPr>
          <w:bCs/>
        </w:rPr>
        <w:t xml:space="preserve"> for failing to do so</w:t>
      </w:r>
      <w:r w:rsidR="00B97808">
        <w:rPr>
          <w:bCs/>
        </w:rPr>
        <w:t xml:space="preserve">.  </w:t>
      </w:r>
      <w:r w:rsidR="00844A56">
        <w:rPr>
          <w:bCs/>
        </w:rPr>
        <w:t>Accordingly, we</w:t>
      </w:r>
      <w:r w:rsidR="00B97808">
        <w:rPr>
          <w:bCs/>
        </w:rPr>
        <w:t xml:space="preserve"> </w:t>
      </w:r>
      <w:r w:rsidRPr="004A3E45">
        <w:rPr>
          <w:bCs/>
        </w:rPr>
        <w:t>de</w:t>
      </w:r>
      <w:r w:rsidR="00844A56">
        <w:rPr>
          <w:bCs/>
        </w:rPr>
        <w:t>ny Back Porch’s request</w:t>
      </w:r>
      <w:r w:rsidRPr="004A3E45">
        <w:rPr>
          <w:bCs/>
        </w:rPr>
        <w:t xml:space="preserve"> to add it to the incumbent earth station list.</w:t>
      </w:r>
    </w:p>
    <w:p w:rsidR="004A3E45" w:rsidP="004A3E45" w14:paraId="2760A90D" w14:textId="1CE8EF29">
      <w:pPr>
        <w:pStyle w:val="ParaNum"/>
      </w:pPr>
      <w:r w:rsidRPr="004A3E45">
        <w:rPr>
          <w:bCs/>
        </w:rPr>
        <w:t>KTBS</w:t>
      </w:r>
      <w:r w:rsidR="00017943">
        <w:rPr>
          <w:bCs/>
        </w:rPr>
        <w:t xml:space="preserve"> </w:t>
      </w:r>
      <w:r w:rsidR="00B35651">
        <w:rPr>
          <w:bCs/>
        </w:rPr>
        <w:t>LLC</w:t>
      </w:r>
      <w:r w:rsidR="00142722">
        <w:rPr>
          <w:bCs/>
        </w:rPr>
        <w:t xml:space="preserve"> (KTBS)</w:t>
      </w:r>
      <w:r w:rsidR="00B35651">
        <w:rPr>
          <w:bCs/>
        </w:rPr>
        <w:t xml:space="preserve"> </w:t>
      </w:r>
      <w:r w:rsidR="00D206FA">
        <w:rPr>
          <w:bCs/>
        </w:rPr>
        <w:t>was included on the Preliminary Incumbent Earth Station List, but it</w:t>
      </w:r>
      <w:r w:rsidRPr="004A3E45">
        <w:rPr>
          <w:bCs/>
        </w:rPr>
        <w:t xml:space="preserve">s earth station registration </w:t>
      </w:r>
      <w:r w:rsidR="00130373">
        <w:rPr>
          <w:bCs/>
        </w:rPr>
        <w:t xml:space="preserve">subsequently </w:t>
      </w:r>
      <w:r w:rsidRPr="004A3E45">
        <w:rPr>
          <w:bCs/>
        </w:rPr>
        <w:t xml:space="preserve">expired </w:t>
      </w:r>
      <w:r w:rsidR="007F63F2">
        <w:rPr>
          <w:bCs/>
        </w:rPr>
        <w:t>o</w:t>
      </w:r>
      <w:r w:rsidRPr="004A3E45">
        <w:rPr>
          <w:bCs/>
        </w:rPr>
        <w:t xml:space="preserve">n </w:t>
      </w:r>
      <w:r w:rsidR="00B32D31">
        <w:rPr>
          <w:bCs/>
        </w:rPr>
        <w:t>June</w:t>
      </w:r>
      <w:r w:rsidR="007F63F2">
        <w:rPr>
          <w:bCs/>
        </w:rPr>
        <w:t xml:space="preserve"> 27,</w:t>
      </w:r>
      <w:r w:rsidR="00B32D31">
        <w:rPr>
          <w:bCs/>
        </w:rPr>
        <w:t xml:space="preserve"> 2020</w:t>
      </w:r>
      <w:r w:rsidR="00B35651">
        <w:rPr>
          <w:bCs/>
        </w:rPr>
        <w:t>,</w:t>
      </w:r>
      <w:r w:rsidR="005D6ED1">
        <w:rPr>
          <w:bCs/>
        </w:rPr>
        <w:t xml:space="preserve"> without renewal</w:t>
      </w:r>
      <w:r w:rsidR="00B35651">
        <w:rPr>
          <w:bCs/>
        </w:rPr>
        <w:t xml:space="preserve"> and </w:t>
      </w:r>
      <w:r w:rsidR="00DA20D1">
        <w:rPr>
          <w:bCs/>
        </w:rPr>
        <w:t>so it has not appeared on an</w:t>
      </w:r>
      <w:r w:rsidR="003E2A8E">
        <w:rPr>
          <w:bCs/>
        </w:rPr>
        <w:t>y incumbent earth station list issued after that date.</w:t>
      </w:r>
      <w:r w:rsidR="0082513F">
        <w:rPr>
          <w:bCs/>
        </w:rPr>
        <w:t xml:space="preserve">  </w:t>
      </w:r>
      <w:r w:rsidR="00553C77">
        <w:rPr>
          <w:bCs/>
        </w:rPr>
        <w:t>On September 16, 2020</w:t>
      </w:r>
      <w:r w:rsidR="004456B8">
        <w:rPr>
          <w:bCs/>
        </w:rPr>
        <w:t>, KTBS</w:t>
      </w:r>
      <w:r w:rsidR="0067629F">
        <w:rPr>
          <w:bCs/>
        </w:rPr>
        <w:t xml:space="preserve"> </w:t>
      </w:r>
      <w:r w:rsidR="00142722">
        <w:rPr>
          <w:bCs/>
        </w:rPr>
        <w:t>s</w:t>
      </w:r>
      <w:r w:rsidRPr="004A3E45">
        <w:rPr>
          <w:bCs/>
        </w:rPr>
        <w:t>ubmit</w:t>
      </w:r>
      <w:r w:rsidR="006E4F4B">
        <w:rPr>
          <w:bCs/>
        </w:rPr>
        <w:t>ted</w:t>
      </w:r>
      <w:r w:rsidRPr="004A3E45">
        <w:rPr>
          <w:bCs/>
        </w:rPr>
        <w:t xml:space="preserve"> an </w:t>
      </w:r>
      <w:r w:rsidR="006E4F4B">
        <w:rPr>
          <w:bCs/>
        </w:rPr>
        <w:t>“</w:t>
      </w:r>
      <w:r w:rsidR="00792A28">
        <w:rPr>
          <w:bCs/>
        </w:rPr>
        <w:t>Application</w:t>
      </w:r>
      <w:r w:rsidR="0039009E">
        <w:rPr>
          <w:bCs/>
        </w:rPr>
        <w:t xml:space="preserve"> </w:t>
      </w:r>
      <w:r w:rsidRPr="004A3E45">
        <w:rPr>
          <w:bCs/>
        </w:rPr>
        <w:t xml:space="preserve">to </w:t>
      </w:r>
      <w:r w:rsidR="00792A28">
        <w:rPr>
          <w:bCs/>
        </w:rPr>
        <w:t>R</w:t>
      </w:r>
      <w:r w:rsidRPr="004A3E45">
        <w:rPr>
          <w:bCs/>
        </w:rPr>
        <w:t>enew</w:t>
      </w:r>
      <w:r w:rsidR="006E4F4B">
        <w:rPr>
          <w:bCs/>
        </w:rPr>
        <w:t>”</w:t>
      </w:r>
      <w:r w:rsidRPr="004A3E45">
        <w:rPr>
          <w:bCs/>
        </w:rPr>
        <w:t xml:space="preserve"> its </w:t>
      </w:r>
      <w:r w:rsidR="004E6FAA">
        <w:rPr>
          <w:bCs/>
        </w:rPr>
        <w:t xml:space="preserve">expired </w:t>
      </w:r>
      <w:r w:rsidRPr="004A3E45">
        <w:rPr>
          <w:bCs/>
        </w:rPr>
        <w:t>registration</w:t>
      </w:r>
      <w:r w:rsidR="000A6521">
        <w:rPr>
          <w:bCs/>
        </w:rPr>
        <w:t xml:space="preserve"> in the </w:t>
      </w:r>
      <w:r w:rsidR="008B3E94">
        <w:rPr>
          <w:bCs/>
        </w:rPr>
        <w:t>“</w:t>
      </w:r>
      <w:r w:rsidR="00777FC1">
        <w:rPr>
          <w:bCs/>
        </w:rPr>
        <w:t>P</w:t>
      </w:r>
      <w:r w:rsidR="008B3E94">
        <w:rPr>
          <w:bCs/>
        </w:rPr>
        <w:t>leadings and Comments” tab of its expired registration</w:t>
      </w:r>
      <w:r w:rsidRPr="004A3E45">
        <w:rPr>
          <w:bCs/>
        </w:rPr>
        <w:t xml:space="preserve"> </w:t>
      </w:r>
      <w:r w:rsidR="00777FC1">
        <w:rPr>
          <w:bCs/>
        </w:rPr>
        <w:t>record in IBF</w:t>
      </w:r>
      <w:r w:rsidR="00E71D8C">
        <w:rPr>
          <w:bCs/>
        </w:rPr>
        <w:t>S</w:t>
      </w:r>
      <w:r w:rsidR="00AA33B1">
        <w:rPr>
          <w:bCs/>
        </w:rPr>
        <w:t xml:space="preserve">, </w:t>
      </w:r>
      <w:r w:rsidRPr="004A3E45">
        <w:rPr>
          <w:bCs/>
        </w:rPr>
        <w:t xml:space="preserve">at which time it also requested the </w:t>
      </w:r>
      <w:r>
        <w:rPr>
          <w:bCs/>
        </w:rPr>
        <w:t>International Bureau</w:t>
      </w:r>
      <w:r w:rsidRPr="004A3E45">
        <w:rPr>
          <w:bCs/>
        </w:rPr>
        <w:t xml:space="preserve"> waive the requirements set forth in the </w:t>
      </w:r>
      <w:r w:rsidRPr="004A3E45">
        <w:rPr>
          <w:bCs/>
          <w:i/>
          <w:iCs/>
        </w:rPr>
        <w:t>3.7 GHz Band Report and Order</w:t>
      </w:r>
      <w:r w:rsidRPr="004A3E45">
        <w:rPr>
          <w:bCs/>
        </w:rPr>
        <w:t xml:space="preserve"> so as to reinstate its earth station’s registration and add it to the incumbent earth station list. </w:t>
      </w:r>
      <w:r w:rsidR="00CA6B6A">
        <w:rPr>
          <w:bCs/>
        </w:rPr>
        <w:t xml:space="preserve"> </w:t>
      </w:r>
      <w:r w:rsidR="0094105A">
        <w:rPr>
          <w:bCs/>
        </w:rPr>
        <w:t xml:space="preserve">On April 19, 2021, </w:t>
      </w:r>
      <w:r w:rsidRPr="004A3E45" w:rsidR="0094105A">
        <w:rPr>
          <w:bCs/>
        </w:rPr>
        <w:t xml:space="preserve">KTBS </w:t>
      </w:r>
      <w:r w:rsidR="0094105A">
        <w:rPr>
          <w:bCs/>
        </w:rPr>
        <w:t>s</w:t>
      </w:r>
      <w:r w:rsidRPr="004A3E45" w:rsidR="0094105A">
        <w:rPr>
          <w:bCs/>
        </w:rPr>
        <w:t xml:space="preserve">ubmitted a </w:t>
      </w:r>
      <w:r w:rsidR="0094105A">
        <w:rPr>
          <w:bCs/>
        </w:rPr>
        <w:t>“Notice of Continued Operational Status”</w:t>
      </w:r>
      <w:r w:rsidRPr="004A3E45" w:rsidR="0094105A">
        <w:rPr>
          <w:bCs/>
        </w:rPr>
        <w:t xml:space="preserve"> </w:t>
      </w:r>
      <w:r w:rsidR="0094105A">
        <w:rPr>
          <w:bCs/>
        </w:rPr>
        <w:t xml:space="preserve">in this docket </w:t>
      </w:r>
      <w:r w:rsidRPr="004A3E45" w:rsidR="0094105A">
        <w:rPr>
          <w:bCs/>
        </w:rPr>
        <w:t>indicating its earth station remains operational and it intends to participate in the C-</w:t>
      </w:r>
      <w:r w:rsidR="0094105A">
        <w:rPr>
          <w:bCs/>
        </w:rPr>
        <w:t>b</w:t>
      </w:r>
      <w:r w:rsidRPr="004A3E45" w:rsidR="0094105A">
        <w:rPr>
          <w:bCs/>
        </w:rPr>
        <w:t>and transition.</w:t>
      </w:r>
      <w:r>
        <w:rPr>
          <w:rStyle w:val="FootnoteReference"/>
          <w:bCs/>
          <w:caps/>
        </w:rPr>
        <w:footnoteReference w:id="19"/>
      </w:r>
      <w:r w:rsidR="0094105A">
        <w:rPr>
          <w:bCs/>
        </w:rPr>
        <w:t xml:space="preserve">  </w:t>
      </w:r>
      <w:r w:rsidR="0092513B">
        <w:rPr>
          <w:bCs/>
        </w:rPr>
        <w:t xml:space="preserve">In addressing KTBS’s waiver request, we </w:t>
      </w:r>
      <w:r w:rsidR="00684289">
        <w:rPr>
          <w:bCs/>
        </w:rPr>
        <w:t>refer to</w:t>
      </w:r>
      <w:r w:rsidRPr="004A3E45">
        <w:rPr>
          <w:bCs/>
        </w:rPr>
        <w:t xml:space="preserve"> the </w:t>
      </w:r>
      <w:r w:rsidRPr="004A3E45">
        <w:rPr>
          <w:bCs/>
          <w:i/>
          <w:iCs/>
        </w:rPr>
        <w:t>October 23 Order</w:t>
      </w:r>
      <w:r w:rsidRPr="004A3E45">
        <w:rPr>
          <w:bCs/>
        </w:rPr>
        <w:t>,</w:t>
      </w:r>
      <w:r w:rsidRPr="004A3E45">
        <w:rPr>
          <w:b/>
        </w:rPr>
        <w:t xml:space="preserve"> </w:t>
      </w:r>
      <w:r w:rsidRPr="00684289" w:rsidR="00684289">
        <w:rPr>
          <w:bCs/>
        </w:rPr>
        <w:t>which addressed the issue of expired registration</w:t>
      </w:r>
      <w:r w:rsidR="00BC56FD">
        <w:rPr>
          <w:bCs/>
        </w:rPr>
        <w:t xml:space="preserve"> </w:t>
      </w:r>
      <w:r w:rsidR="006736F8">
        <w:rPr>
          <w:bCs/>
        </w:rPr>
        <w:t xml:space="preserve">when addressing certain </w:t>
      </w:r>
      <w:r w:rsidR="00BC56FD">
        <w:rPr>
          <w:bCs/>
        </w:rPr>
        <w:t>other waiver requests</w:t>
      </w:r>
      <w:r w:rsidRPr="00684289" w:rsidR="00684289">
        <w:rPr>
          <w:bCs/>
        </w:rPr>
        <w:t>.  A</w:t>
      </w:r>
      <w:r w:rsidRPr="004A3E45">
        <w:rPr>
          <w:color w:val="000000"/>
        </w:rPr>
        <w:t>s a result of the 2018 filing freeze, operators who missed their renewal filing deadline</w:t>
      </w:r>
      <w:r w:rsidR="008B0A05">
        <w:rPr>
          <w:color w:val="000000"/>
        </w:rPr>
        <w:t>s</w:t>
      </w:r>
      <w:r w:rsidRPr="004A3E45">
        <w:rPr>
          <w:color w:val="000000"/>
        </w:rPr>
        <w:t xml:space="preserve"> </w:t>
      </w:r>
      <w:r w:rsidR="008B0A05">
        <w:rPr>
          <w:color w:val="000000"/>
        </w:rPr>
        <w:t>were</w:t>
      </w:r>
      <w:r w:rsidRPr="004A3E45">
        <w:rPr>
          <w:color w:val="000000"/>
        </w:rPr>
        <w:t xml:space="preserve"> unable to file a new registration application.</w:t>
      </w:r>
      <w:r>
        <w:rPr>
          <w:rStyle w:val="FootnoteReference"/>
        </w:rPr>
        <w:footnoteReference w:id="20"/>
      </w:r>
      <w:r w:rsidRPr="004A3E45">
        <w:rPr>
          <w:color w:val="000000"/>
        </w:rPr>
        <w:t xml:space="preserve">  </w:t>
      </w:r>
      <w:r w:rsidRPr="001F63D4">
        <w:t xml:space="preserve">The </w:t>
      </w:r>
      <w:r w:rsidRPr="004A3E45">
        <w:rPr>
          <w:i/>
          <w:iCs/>
        </w:rPr>
        <w:t>October 23 O</w:t>
      </w:r>
      <w:r w:rsidRPr="009A04B0">
        <w:rPr>
          <w:i/>
          <w:iCs/>
        </w:rPr>
        <w:t>rder</w:t>
      </w:r>
      <w:r w:rsidRPr="001F63D4">
        <w:t xml:space="preserve"> recognized that failure to renew registrations would cause operators like </w:t>
      </w:r>
      <w:r>
        <w:t>KTBS</w:t>
      </w:r>
      <w:r w:rsidRPr="001F63D4">
        <w:t xml:space="preserve"> to experience financial hardship, but the Commission expressly froze the registration of new earth stations in </w:t>
      </w:r>
      <w:r>
        <w:t>order</w:t>
      </w:r>
      <w:r w:rsidRPr="001F63D4">
        <w:t xml:space="preserve"> to provide a stable spectral environment for more intensive terrestrial use of the 3.7-3</w:t>
      </w:r>
      <w:r w:rsidR="00E46A0C">
        <w:t>.98</w:t>
      </w:r>
      <w:r w:rsidRPr="001F63D4">
        <w:t xml:space="preserve"> </w:t>
      </w:r>
      <w:r>
        <w:t>GHz</w:t>
      </w:r>
      <w:r w:rsidRPr="001F63D4">
        <w:t xml:space="preserve"> </w:t>
      </w:r>
      <w:r>
        <w:t>Band</w:t>
      </w:r>
      <w:r w:rsidRPr="001F63D4">
        <w:t xml:space="preserve"> and facilitate the rapid transition to terrestrial use.</w:t>
      </w:r>
      <w:r>
        <w:rPr>
          <w:rStyle w:val="FootnoteReference"/>
        </w:rPr>
        <w:footnoteReference w:id="21"/>
      </w:r>
      <w:r w:rsidRPr="001F63D4">
        <w:t xml:space="preserve"> </w:t>
      </w:r>
      <w:r w:rsidR="00165EA6">
        <w:t xml:space="preserve"> </w:t>
      </w:r>
      <w:r w:rsidR="0003012B">
        <w:rPr>
          <w:bCs/>
        </w:rPr>
        <w:t>KTBS failed to renew the registration on a timely basis</w:t>
      </w:r>
      <w:r w:rsidR="00A152F3">
        <w:rPr>
          <w:bCs/>
        </w:rPr>
        <w:t xml:space="preserve"> (by June</w:t>
      </w:r>
      <w:r w:rsidR="00587A87">
        <w:rPr>
          <w:bCs/>
        </w:rPr>
        <w:t xml:space="preserve"> </w:t>
      </w:r>
      <w:r w:rsidR="00A152F3">
        <w:rPr>
          <w:bCs/>
        </w:rPr>
        <w:t>27, 2020)</w:t>
      </w:r>
      <w:r w:rsidR="0003012B">
        <w:rPr>
          <w:bCs/>
        </w:rPr>
        <w:t xml:space="preserve">, or petition for </w:t>
      </w:r>
      <w:r w:rsidR="0003012B">
        <w:rPr>
          <w:bCs/>
        </w:rPr>
        <w:t xml:space="preserve">reinstatement within 30 days of the expiration date as permitted under </w:t>
      </w:r>
      <w:r w:rsidR="00F95DEC">
        <w:rPr>
          <w:bCs/>
        </w:rPr>
        <w:t>s</w:t>
      </w:r>
      <w:r w:rsidR="0003012B">
        <w:rPr>
          <w:bCs/>
        </w:rPr>
        <w:t>ection 25.163(a)(3)</w:t>
      </w:r>
      <w:r w:rsidR="00282CAE">
        <w:rPr>
          <w:bCs/>
        </w:rPr>
        <w:t>,</w:t>
      </w:r>
      <w:r>
        <w:rPr>
          <w:rStyle w:val="FootnoteReference"/>
          <w:bCs/>
        </w:rPr>
        <w:footnoteReference w:id="22"/>
      </w:r>
      <w:r w:rsidR="00282CAE">
        <w:rPr>
          <w:bCs/>
        </w:rPr>
        <w:t xml:space="preserve"> </w:t>
      </w:r>
      <w:r w:rsidR="003B0FC7">
        <w:t xml:space="preserve">and </w:t>
      </w:r>
      <w:r w:rsidRPr="001F63D4">
        <w:t xml:space="preserve">has not shown good cause to justify waiver of the Commission’s clearly articulated requirements. </w:t>
      </w:r>
      <w:r w:rsidR="00282CAE">
        <w:t xml:space="preserve"> </w:t>
      </w:r>
      <w:r w:rsidRPr="001F63D4">
        <w:t xml:space="preserve">We therefore deny </w:t>
      </w:r>
      <w:r>
        <w:t>KTBS</w:t>
      </w:r>
      <w:r w:rsidRPr="001F63D4">
        <w:t>’s waiver request.</w:t>
      </w:r>
    </w:p>
    <w:p w:rsidR="004A3E45" w:rsidP="008F065F" w14:paraId="7D9FD392" w14:textId="1BBC4E31">
      <w:pPr>
        <w:spacing w:after="120"/>
        <w:ind w:firstLine="720"/>
        <w:rPr>
          <w:b/>
          <w:caps/>
        </w:rPr>
      </w:pPr>
      <w:r>
        <w:rPr>
          <w:b/>
          <w:caps/>
        </w:rPr>
        <w:t>B.</w:t>
      </w:r>
      <w:r>
        <w:rPr>
          <w:b/>
          <w:caps/>
        </w:rPr>
        <w:tab/>
      </w:r>
      <w:r w:rsidRPr="001F63D4">
        <w:rPr>
          <w:b/>
        </w:rPr>
        <w:t>L</w:t>
      </w:r>
      <w:r>
        <w:rPr>
          <w:b/>
        </w:rPr>
        <w:t>ump Sum Election Corrections</w:t>
      </w:r>
    </w:p>
    <w:p w:rsidR="008F065F" w:rsidP="008F065F" w14:paraId="4DBF9AF4" w14:textId="13B0EADE">
      <w:pPr>
        <w:pStyle w:val="ParaNum"/>
      </w:pPr>
      <w:r>
        <w:t xml:space="preserve">The </w:t>
      </w:r>
      <w:r>
        <w:rPr>
          <w:i/>
          <w:iCs/>
        </w:rPr>
        <w:t>3.7 GHz Band Report and Order</w:t>
      </w:r>
      <w:r>
        <w:t xml:space="preserve"> required that incumbent earth station operators (including any affiliates) elect the lump sum option for either all of their incumbent earth stations (within the contiguous United States) or none of them.</w:t>
      </w:r>
      <w:r>
        <w:rPr>
          <w:vertAlign w:val="superscript"/>
        </w:rPr>
        <w:footnoteReference w:id="23"/>
      </w:r>
      <w:r>
        <w:t xml:space="preserve">  On July 30, 2020, the Wireless Telecommunications Bureau released a Public Notice establishing the process for electing lump sum payments, including the specific information required to make a lump sum election and a requirement that the election include a six-part certification by a duly authorized representative with authority to bind the earth station.</w:t>
      </w:r>
      <w:r>
        <w:rPr>
          <w:vertAlign w:val="superscript"/>
        </w:rPr>
        <w:footnoteReference w:id="24"/>
      </w:r>
      <w:r>
        <w:t xml:space="preserve">  In the </w:t>
      </w:r>
      <w:r>
        <w:rPr>
          <w:i/>
          <w:iCs/>
        </w:rPr>
        <w:t>November 30 Lump Sum Election PN</w:t>
      </w:r>
      <w:r>
        <w:t xml:space="preserve">, the International Bureau denied the Lump Sum Elections of Maranatha Company, Cocola Company/Boise Telecaster, Prism Company, and Wow! Ohio, which were all listed as “denied” because each of them had unresolved issues at the time our </w:t>
      </w:r>
      <w:r>
        <w:rPr>
          <w:i/>
          <w:iCs/>
        </w:rPr>
        <w:t>November 30 Lump Sum Election PN</w:t>
      </w:r>
      <w:r>
        <w:t xml:space="preserve"> was issued.  However, each of these incumbent earth station operators have since corrected minor and inadvertent mistakes in their lump sum elections.  Two of these four corrections were simply to </w:t>
      </w:r>
      <w:r>
        <w:rPr>
          <w:i/>
          <w:iCs/>
        </w:rPr>
        <w:t xml:space="preserve">remove </w:t>
      </w:r>
      <w:r>
        <w:t>from entitlement to lump sum payments earth station antennas that either did not qualify for incumbent status or were incapable of operating in the C-Band;</w:t>
      </w:r>
      <w:r>
        <w:rPr>
          <w:rStyle w:val="FootnoteReference"/>
        </w:rPr>
        <w:footnoteReference w:id="25"/>
      </w:r>
      <w:r>
        <w:t xml:space="preserve"> one merely corrected a prior failure to include the required word “irrevocable” in its release of claims for actual reimbursement;</w:t>
      </w:r>
      <w:r>
        <w:rPr>
          <w:rStyle w:val="FootnoteReference"/>
        </w:rPr>
        <w:footnoteReference w:id="26"/>
      </w:r>
      <w:r>
        <w:t xml:space="preserve"> and the fourth corrected the number of antennas, from four to</w:t>
      </w:r>
      <w:r w:rsidR="00303EF4">
        <w:t xml:space="preserve"> the</w:t>
      </w:r>
      <w:r>
        <w:t xml:space="preserve"> five</w:t>
      </w:r>
      <w:r w:rsidR="00303EF4">
        <w:t xml:space="preserve"> for which the incumbent is entitled to receive reimbursement.</w:t>
      </w:r>
      <w:r>
        <w:rPr>
          <w:rStyle w:val="FootnoteReference"/>
        </w:rPr>
        <w:t xml:space="preserve"> </w:t>
      </w:r>
      <w:r>
        <w:rPr>
          <w:rStyle w:val="FootnoteReference"/>
        </w:rPr>
        <w:footnoteReference w:id="27"/>
      </w:r>
      <w:r>
        <w:rPr>
          <w:rStyle w:val="FootnoteReference"/>
        </w:rPr>
        <w:t xml:space="preserve"> </w:t>
      </w:r>
      <w:r>
        <w:t xml:space="preserve">  Given that these elections are now accurate and complete, we accept these lump sum election requests and add them to the final lump sum election list.  Unlike the request by KTBS above, which would grant incumbent status, with its entitlement to interference protection from the deployment of networks by wireless overlay licensees, these earth station antennas remaining in the four elections all clearly qualify for incumbent status.  The relief requested here only affects whether they are eligible for lump sum payments or cost reimbursement.  Particularly given that the earth station transition process is well under way, </w:t>
      </w:r>
      <w:r w:rsidR="00303EF4">
        <w:t xml:space="preserve">correcting these errors </w:t>
      </w:r>
      <w:r>
        <w:t xml:space="preserve">will help facilitate a smooth, efficient transition and thus is in the public interest.  We therefore grant the accompanying petitions for reconsideration of Marantha and Prism requesting acceptance of their respective corrective lump sum election </w:t>
      </w:r>
      <w:r>
        <w:t>requests, and</w:t>
      </w:r>
      <w:r>
        <w:t xml:space="preserve"> accept the other correction submissions. Finally, we dismiss as moot Ronan/Western Montana’s petition for reconsideration, which was filed </w:t>
      </w:r>
      <w:r>
        <w:rPr>
          <w:i/>
          <w:iCs/>
        </w:rPr>
        <w:t>before</w:t>
      </w:r>
      <w:r>
        <w:t xml:space="preserve"> the Bureau accepted its lump sum election in the </w:t>
      </w:r>
      <w:r>
        <w:rPr>
          <w:i/>
          <w:iCs/>
        </w:rPr>
        <w:t xml:space="preserve">November 30 </w:t>
      </w:r>
      <w:r>
        <w:rPr>
          <w:i/>
          <w:iCs/>
        </w:rPr>
        <w:t>Lump Sum Election PN</w:t>
      </w:r>
      <w:r>
        <w:t>.</w:t>
      </w:r>
      <w:r>
        <w:rPr>
          <w:rStyle w:val="FootnoteReference"/>
        </w:rPr>
        <w:footnoteReference w:id="28"/>
      </w:r>
    </w:p>
    <w:p w:rsidR="00122BD5" w:rsidP="001521E2" w14:paraId="2AC3AF26" w14:textId="4294D1BB">
      <w:pPr>
        <w:pStyle w:val="Heading1"/>
      </w:pPr>
      <w:bookmarkStart w:id="11" w:name="_Toc54217987"/>
      <w:r>
        <w:t>ORDERING CLAUSES</w:t>
      </w:r>
      <w:bookmarkEnd w:id="11"/>
    </w:p>
    <w:p w:rsidR="00D065BF" w:rsidP="0057731D" w14:paraId="76CBA06B" w14:textId="6291BE1D">
      <w:pPr>
        <w:pStyle w:val="ParaNum"/>
        <w:rPr>
          <w:snapToGrid/>
          <w:kern w:val="0"/>
          <w:sz w:val="20"/>
        </w:rPr>
      </w:pPr>
      <w:r>
        <w:t xml:space="preserve">Accordingly, IT IS ORDERED that, pursuant to </w:t>
      </w:r>
      <w:r w:rsidRPr="00B26511">
        <w:t>sections 4(i), 4(j), and 405 of the Communications Act, as amended, 47 U.S.C. §§ 154(i), (j), 405, and sections 1.3 and 1.106 of the Commission’s rules, 47 CFR §§ 1.3, 1.106,</w:t>
      </w:r>
      <w:r>
        <w:t xml:space="preserve"> the Bureau GRANTS the petitions for reconsideration and waiver requests to the extent described herein.  The Bureau DENIES the petitions for reconsideration and waiver requests to the extent described herein.</w:t>
      </w:r>
    </w:p>
    <w:p w:rsidR="00D065BF" w:rsidP="0057731D" w14:paraId="7CD610A5" w14:textId="463292A5">
      <w:pPr>
        <w:pStyle w:val="ParaNum"/>
      </w:pPr>
      <w:r w:rsidRPr="00A148B2">
        <w:t>IT IS FURTHER ORDERED</w:t>
      </w:r>
      <w:r>
        <w:rPr>
          <w:b/>
          <w:bCs/>
        </w:rPr>
        <w:t xml:space="preserve"> </w:t>
      </w:r>
      <w:r>
        <w:t xml:space="preserve">that this Order </w:t>
      </w:r>
      <w:r w:rsidRPr="00A148B2">
        <w:t>SHALL BE EFFECTIVE</w:t>
      </w:r>
      <w:r>
        <w:rPr>
          <w:b/>
          <w:bCs/>
        </w:rPr>
        <w:t xml:space="preserve"> </w:t>
      </w:r>
      <w:r>
        <w:t xml:space="preserve">upon release, in accordance with section 1.102 of the Commission’s rules, 47 CFR § 1.102.  This action is taken pursuant to the authority delegated by </w:t>
      </w:r>
      <w:r w:rsidR="00F95DEC">
        <w:t>s</w:t>
      </w:r>
      <w:r>
        <w:t>ections 0.131 and 0.331 of the Commission's Rules, 47 CFR §§ 0.131, 0.331.</w:t>
      </w:r>
    </w:p>
    <w:p w:rsidR="00D22DBE" w:rsidRPr="00CD0694" w:rsidP="00EB5939" w14:paraId="5DC2451C" w14:textId="6922E373">
      <w:pPr>
        <w:pStyle w:val="Heading1"/>
        <w:numPr>
          <w:ilvl w:val="0"/>
          <w:numId w:val="0"/>
        </w:numPr>
        <w:ind w:left="720"/>
      </w:pPr>
    </w:p>
    <w:p w:rsidR="00D22DBE" w:rsidRPr="00CD0694" w:rsidP="00D22DBE" w14:paraId="00E2385D" w14:textId="77777777">
      <w:pPr>
        <w:ind w:left="3686"/>
      </w:pPr>
      <w:r w:rsidRPr="00CD0694">
        <w:t xml:space="preserve">FEDERAL COMMUNICATIONS COMMISSION </w:t>
      </w:r>
    </w:p>
    <w:p w:rsidR="00D22DBE" w:rsidRPr="00CD0694" w:rsidP="00D22DBE" w14:paraId="0198FE90" w14:textId="77777777">
      <w:pPr>
        <w:ind w:left="3686"/>
      </w:pPr>
    </w:p>
    <w:p w:rsidR="00D22DBE" w:rsidRPr="00CD0694" w:rsidP="00D22DBE" w14:paraId="656A8552" w14:textId="77777777">
      <w:pPr>
        <w:ind w:left="3686"/>
      </w:pPr>
    </w:p>
    <w:p w:rsidR="00D22DBE" w:rsidRPr="00CD0694" w:rsidP="00D22DBE" w14:paraId="42898A2B" w14:textId="77777777">
      <w:pPr>
        <w:ind w:left="3686"/>
      </w:pPr>
    </w:p>
    <w:p w:rsidR="00D22DBE" w:rsidRPr="00CD0694" w:rsidP="00D22DBE" w14:paraId="31866A04" w14:textId="77777777">
      <w:pPr>
        <w:ind w:left="3686"/>
      </w:pPr>
    </w:p>
    <w:p w:rsidR="00D22DBE" w:rsidRPr="00CD0694" w:rsidP="00D22DBE" w14:paraId="0C9DDF7E" w14:textId="13AC3E9D">
      <w:pPr>
        <w:ind w:left="3686"/>
      </w:pPr>
      <w:r>
        <w:t>Thomas</w:t>
      </w:r>
      <w:r w:rsidRPr="00CD0694">
        <w:t xml:space="preserve"> </w:t>
      </w:r>
      <w:r w:rsidR="001512F2">
        <w:t xml:space="preserve">P. </w:t>
      </w:r>
      <w:r w:rsidRPr="00CD0694">
        <w:t xml:space="preserve">Sullivan </w:t>
      </w:r>
    </w:p>
    <w:p w:rsidR="00D22DBE" w:rsidRPr="00CD0694" w:rsidP="00D22DBE" w14:paraId="1F93958E" w14:textId="6225DA59">
      <w:pPr>
        <w:ind w:left="3686"/>
      </w:pPr>
      <w:r w:rsidRPr="00CD0694">
        <w:t xml:space="preserve">Chief, </w:t>
      </w:r>
      <w:r w:rsidR="004A3E45">
        <w:t>International Bureau</w:t>
      </w:r>
      <w:r w:rsidRPr="00CD0694">
        <w:t xml:space="preserve"> </w:t>
      </w:r>
    </w:p>
    <w:p w:rsidR="00D22DBE" w:rsidRPr="00CD0694" w:rsidP="00D22DBE" w14:paraId="7BDD2593" w14:textId="77777777">
      <w:pPr>
        <w:ind w:left="3686"/>
      </w:pPr>
    </w:p>
    <w:p w:rsidR="00D22DBE" w:rsidRPr="00CD0694" w:rsidP="00D22DBE" w14:paraId="6DF7730F" w14:textId="77777777">
      <w:pPr>
        <w:ind w:left="3686"/>
      </w:pPr>
    </w:p>
    <w:p w:rsidR="001521E2" w:rsidRPr="001521E2" w:rsidP="001521E2" w14:paraId="30232085" w14:textId="77777777">
      <w:pPr>
        <w:pStyle w:val="ParaNum"/>
        <w:numPr>
          <w:ilvl w:val="0"/>
          <w:numId w:val="0"/>
        </w:numPr>
        <w:ind w:firstLine="720"/>
      </w:pPr>
    </w:p>
    <w:p w:rsidR="001521E2" w:rsidP="001521E2" w14:paraId="4EA34E61" w14:textId="5F10130E">
      <w:pPr>
        <w:pStyle w:val="ParaNum"/>
        <w:numPr>
          <w:ilvl w:val="0"/>
          <w:numId w:val="0"/>
        </w:numPr>
        <w:ind w:firstLine="720"/>
      </w:pPr>
    </w:p>
    <w:p w:rsidR="00D22DBE" w:rsidRPr="001521E2" w:rsidP="001521E2" w14:paraId="06B7DE6D" w14:textId="77777777">
      <w:pPr>
        <w:pStyle w:val="ParaNum"/>
        <w:numPr>
          <w:ilvl w:val="0"/>
          <w:numId w:val="0"/>
        </w:numPr>
        <w:ind w:firstLine="720"/>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74C9" w:rsidP="0055614C" w14:paraId="7D3B66E5" w14:textId="77777777">
    <w:pPr>
      <w:pStyle w:val="Footer"/>
      <w:framePr w:wrap="around" w:vAnchor="text" w:hAnchor="margin" w:xAlign="center" w:y="1"/>
    </w:pPr>
    <w:r>
      <w:fldChar w:fldCharType="begin"/>
    </w:r>
    <w:r>
      <w:instrText xml:space="preserve">PAGE  </w:instrText>
    </w:r>
    <w:r>
      <w:fldChar w:fldCharType="separate"/>
    </w:r>
    <w:r>
      <w:fldChar w:fldCharType="end"/>
    </w:r>
  </w:p>
  <w:p w:rsidR="000A74C9" w14:paraId="6AE75D9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74C9" w:rsidP="0055614C" w14:paraId="65AFF6BE"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0A74C9" w14:paraId="2A99C57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74C9" w14:paraId="1EDDF8A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518A3" w14:paraId="58DE7AA3" w14:textId="77777777">
      <w:r>
        <w:separator/>
      </w:r>
    </w:p>
  </w:footnote>
  <w:footnote w:type="continuationSeparator" w:id="1">
    <w:p w:rsidR="00F518A3" w:rsidP="00C721AC" w14:paraId="0CAFC217" w14:textId="77777777">
      <w:pPr>
        <w:spacing w:before="120"/>
        <w:rPr>
          <w:sz w:val="20"/>
        </w:rPr>
      </w:pPr>
      <w:r>
        <w:rPr>
          <w:sz w:val="20"/>
        </w:rPr>
        <w:t xml:space="preserve">(Continued from previous page)  </w:t>
      </w:r>
      <w:r>
        <w:rPr>
          <w:sz w:val="20"/>
        </w:rPr>
        <w:separator/>
      </w:r>
    </w:p>
  </w:footnote>
  <w:footnote w:type="continuationNotice" w:id="2">
    <w:p w:rsidR="00F518A3" w:rsidP="00C721AC" w14:paraId="4B4E8539" w14:textId="77777777">
      <w:pPr>
        <w:jc w:val="right"/>
        <w:rPr>
          <w:sz w:val="20"/>
        </w:rPr>
      </w:pPr>
      <w:r>
        <w:rPr>
          <w:sz w:val="20"/>
        </w:rPr>
        <w:t>(continued….)</w:t>
      </w:r>
    </w:p>
  </w:footnote>
  <w:footnote w:id="3">
    <w:p w:rsidR="00C6336C" w:rsidRPr="00264E65" w:rsidP="00C6336C" w14:paraId="77D9F3D5" w14:textId="2EBA0D5B">
      <w:pPr>
        <w:pStyle w:val="FootnoteText"/>
      </w:pPr>
      <w:r w:rsidRPr="00997252">
        <w:rPr>
          <w:rStyle w:val="FootnoteReference"/>
        </w:rPr>
        <w:footnoteRef/>
      </w:r>
      <w:r w:rsidRPr="00CD0DFC">
        <w:t xml:space="preserve"> </w:t>
      </w:r>
      <w:r w:rsidRPr="002D63EB">
        <w:rPr>
          <w:i/>
          <w:iCs/>
        </w:rPr>
        <w:t xml:space="preserve">See </w:t>
      </w:r>
      <w:r w:rsidRPr="000737A2" w:rsidR="002A3CE9">
        <w:rPr>
          <w:i/>
          <w:iCs/>
        </w:rPr>
        <w:t>Incumbent Earth Stations in the 3.7-4.2 GHz Band in the Contiguous United States</w:t>
      </w:r>
      <w:r w:rsidRPr="001F63D4" w:rsidR="002A3CE9">
        <w:t xml:space="preserve">, </w:t>
      </w:r>
      <w:r w:rsidR="002A3CE9">
        <w:t>Order</w:t>
      </w:r>
      <w:r w:rsidRPr="001F63D4" w:rsidR="002A3CE9">
        <w:t>, IB Docket No. 20-205, GN Docket No. 20-305, 35 FCC Rcd. 11896 (I</w:t>
      </w:r>
      <w:r w:rsidR="00172D6B">
        <w:t>B</w:t>
      </w:r>
      <w:r w:rsidRPr="001F63D4" w:rsidR="002A3CE9">
        <w:t xml:space="preserve"> 2020) (</w:t>
      </w:r>
      <w:r w:rsidRPr="00172D6B" w:rsidR="002A3CE9">
        <w:rPr>
          <w:i/>
          <w:iCs/>
        </w:rPr>
        <w:t>October 23 Order</w:t>
      </w:r>
      <w:r w:rsidRPr="001F63D4" w:rsidR="002A3CE9">
        <w:t>)</w:t>
      </w:r>
      <w:r w:rsidR="002A3CE9">
        <w:t xml:space="preserve">; </w:t>
      </w:r>
      <w:r w:rsidRPr="002D63EB">
        <w:rPr>
          <w:i/>
          <w:iCs/>
        </w:rPr>
        <w:t>Internatio</w:t>
      </w:r>
      <w:r w:rsidRPr="001967D6">
        <w:rPr>
          <w:i/>
          <w:iCs/>
        </w:rPr>
        <w:t xml:space="preserve">nal Bureau </w:t>
      </w:r>
      <w:r>
        <w:rPr>
          <w:i/>
          <w:iCs/>
        </w:rPr>
        <w:t>Releases</w:t>
      </w:r>
      <w:r w:rsidRPr="00FB6BEB">
        <w:rPr>
          <w:i/>
          <w:iCs/>
        </w:rPr>
        <w:t xml:space="preserve"> List of Incu</w:t>
      </w:r>
      <w:r w:rsidRPr="002734B0">
        <w:rPr>
          <w:i/>
          <w:iCs/>
        </w:rPr>
        <w:t xml:space="preserve">mbent Earth Stations in the 3.7-4.2 GHz Band in the Contiguous United </w:t>
      </w:r>
      <w:r w:rsidRPr="00F26F13">
        <w:rPr>
          <w:i/>
          <w:iCs/>
        </w:rPr>
        <w:t>S</w:t>
      </w:r>
      <w:r w:rsidRPr="0007566D">
        <w:rPr>
          <w:i/>
          <w:iCs/>
        </w:rPr>
        <w:t>tates</w:t>
      </w:r>
      <w:r w:rsidRPr="0007566D">
        <w:t xml:space="preserve">, </w:t>
      </w:r>
      <w:r w:rsidRPr="00BD0173">
        <w:t>Public Notice, DA 20-</w:t>
      </w:r>
      <w:r>
        <w:t>823</w:t>
      </w:r>
      <w:r w:rsidRPr="0063651B">
        <w:t xml:space="preserve"> (</w:t>
      </w:r>
      <w:r>
        <w:t>Aug.</w:t>
      </w:r>
      <w:r w:rsidRPr="00D92D29">
        <w:t xml:space="preserve"> </w:t>
      </w:r>
      <w:r>
        <w:t>3</w:t>
      </w:r>
      <w:r w:rsidRPr="00D92D29">
        <w:t xml:space="preserve">, 2020) </w:t>
      </w:r>
      <w:r w:rsidRPr="00997252">
        <w:t>(</w:t>
      </w:r>
      <w:r>
        <w:rPr>
          <w:i/>
          <w:iCs/>
        </w:rPr>
        <w:t>August 3</w:t>
      </w:r>
      <w:r w:rsidRPr="00997252">
        <w:rPr>
          <w:i/>
          <w:iCs/>
        </w:rPr>
        <w:t xml:space="preserve"> Incumbent Earth Station</w:t>
      </w:r>
      <w:r>
        <w:rPr>
          <w:i/>
          <w:iCs/>
        </w:rPr>
        <w:t xml:space="preserve"> P</w:t>
      </w:r>
      <w:r w:rsidRPr="00997252">
        <w:rPr>
          <w:i/>
          <w:iCs/>
        </w:rPr>
        <w:t>N</w:t>
      </w:r>
      <w:r w:rsidRPr="00997252">
        <w:t>)</w:t>
      </w:r>
      <w:r>
        <w:t xml:space="preserve">; </w:t>
      </w:r>
      <w:r w:rsidRPr="00CD0DFC">
        <w:t>47 CFR § 27.1411(b)(3).</w:t>
      </w:r>
      <w:r>
        <w:t xml:space="preserve">  </w:t>
      </w:r>
    </w:p>
  </w:footnote>
  <w:footnote w:id="4">
    <w:p w:rsidR="009B6865" w14:paraId="0928CF8F" w14:textId="4A416A71">
      <w:pPr>
        <w:pStyle w:val="FootnoteText"/>
      </w:pPr>
      <w:r>
        <w:rPr>
          <w:rStyle w:val="FootnoteReference"/>
        </w:rPr>
        <w:footnoteRef/>
      </w:r>
      <w:r>
        <w:t xml:space="preserve"> International Bureau Announce</w:t>
      </w:r>
      <w:r w:rsidR="00F95DEC">
        <w:t>s Updated</w:t>
      </w:r>
      <w:r>
        <w:t xml:space="preserve"> Review of Lump Sum Elections, Public Notice, DA 20-1294 (IB Oct. 30, 2020).</w:t>
      </w:r>
    </w:p>
  </w:footnote>
  <w:footnote w:id="5">
    <w:p w:rsidR="00C42B46" w:rsidRPr="001F63D4" w:rsidP="00C42B46" w14:paraId="648ED2A2" w14:textId="4B0F6D33">
      <w:pPr>
        <w:pStyle w:val="FootnoteText"/>
      </w:pPr>
      <w:r w:rsidRPr="001F63D4">
        <w:rPr>
          <w:rStyle w:val="FootnoteReference"/>
        </w:rPr>
        <w:footnoteRef/>
      </w:r>
      <w:r w:rsidRPr="001F63D4">
        <w:t xml:space="preserve"> </w:t>
      </w:r>
      <w:r w:rsidRPr="001F63D4">
        <w:rPr>
          <w:i/>
          <w:iCs/>
        </w:rPr>
        <w:t>See</w:t>
      </w:r>
      <w:r w:rsidRPr="001F63D4">
        <w:t xml:space="preserve"> </w:t>
      </w:r>
      <w:r w:rsidRPr="000737A2">
        <w:rPr>
          <w:i/>
          <w:iCs/>
        </w:rPr>
        <w:t>International Bureau Issues Updated Lump Sum Election Table, Public Notice</w:t>
      </w:r>
      <w:r w:rsidRPr="001F63D4">
        <w:t>, IB Docket No. 20-205, GN Docket No. 20-305, 35 FCC Rcd 13823 (IB 2020) (</w:t>
      </w:r>
      <w:r w:rsidRPr="008C618E">
        <w:rPr>
          <w:i/>
          <w:iCs/>
        </w:rPr>
        <w:t>November 30 Public Notice</w:t>
      </w:r>
      <w:r w:rsidRPr="001F63D4">
        <w:t>)</w:t>
      </w:r>
      <w:r w:rsidR="008C618E">
        <w:t xml:space="preserve"> (</w:t>
      </w:r>
      <w:r w:rsidRPr="008C618E" w:rsidR="008C618E">
        <w:rPr>
          <w:i/>
          <w:iCs/>
        </w:rPr>
        <w:t>E</w:t>
      </w:r>
      <w:r w:rsidRPr="008C618E" w:rsidR="00BC56FD">
        <w:rPr>
          <w:i/>
          <w:iCs/>
        </w:rPr>
        <w:t>rrat</w:t>
      </w:r>
      <w:r w:rsidR="00D86AD6">
        <w:rPr>
          <w:i/>
          <w:iCs/>
        </w:rPr>
        <w:t>um</w:t>
      </w:r>
      <w:r w:rsidRPr="008C618E" w:rsidR="00BC56FD">
        <w:rPr>
          <w:i/>
          <w:iCs/>
        </w:rPr>
        <w:t xml:space="preserve"> issued Dec 3, 2020</w:t>
      </w:r>
      <w:r w:rsidR="00BC56FD">
        <w:rPr>
          <w:i/>
          <w:iCs/>
        </w:rPr>
        <w:t>)</w:t>
      </w:r>
      <w:r w:rsidR="008C618E">
        <w:rPr>
          <w:b/>
          <w:bCs/>
          <w:i/>
          <w:iCs/>
        </w:rPr>
        <w:t>.</w:t>
      </w:r>
    </w:p>
  </w:footnote>
  <w:footnote w:id="6">
    <w:p w:rsidR="000A74C9" w:rsidRPr="005E29B7" w:rsidP="00C679C1" w14:paraId="73C81895" w14:textId="77777777">
      <w:pPr>
        <w:pStyle w:val="FootnoteText"/>
      </w:pPr>
      <w:r w:rsidRPr="00CD0DFC">
        <w:rPr>
          <w:rStyle w:val="FootnoteReference"/>
        </w:rPr>
        <w:footnoteRef/>
      </w:r>
      <w:r w:rsidRPr="00CD0DFC">
        <w:t xml:space="preserve"> </w:t>
      </w:r>
      <w:r w:rsidRPr="00CD0DFC">
        <w:rPr>
          <w:i/>
          <w:iCs/>
        </w:rPr>
        <w:t>Expanding Flexible Use of the 3.7 to 4.2 GHz Band</w:t>
      </w:r>
      <w:r w:rsidRPr="00CD0DFC">
        <w:t>, Report and Ord</w:t>
      </w:r>
      <w:r w:rsidRPr="002D63EB">
        <w:t xml:space="preserve">er and Order of Proposed Modification, </w:t>
      </w:r>
      <w:r w:rsidRPr="001967D6">
        <w:t>35 FCC Rcd</w:t>
      </w:r>
      <w:r w:rsidRPr="00FB6BEB">
        <w:rPr>
          <w:i/>
          <w:iCs/>
        </w:rPr>
        <w:t xml:space="preserve"> </w:t>
      </w:r>
      <w:r w:rsidRPr="002734B0">
        <w:t>2343, 2391,</w:t>
      </w:r>
      <w:r w:rsidRPr="0007566D">
        <w:t xml:space="preserve"> paras. 1</w:t>
      </w:r>
      <w:r w:rsidRPr="00BD0173">
        <w:t>16-2</w:t>
      </w:r>
      <w:r w:rsidRPr="005B3173">
        <w:t>3 (2020) (</w:t>
      </w:r>
      <w:r w:rsidRPr="0063651B">
        <w:rPr>
          <w:i/>
          <w:iCs/>
        </w:rPr>
        <w:t xml:space="preserve">3.7 GHz </w:t>
      </w:r>
      <w:r>
        <w:rPr>
          <w:i/>
          <w:iCs/>
        </w:rPr>
        <w:t xml:space="preserve">Band </w:t>
      </w:r>
      <w:r w:rsidRPr="0063651B">
        <w:rPr>
          <w:i/>
          <w:iCs/>
        </w:rPr>
        <w:t>Report and Order)</w:t>
      </w:r>
      <w:r w:rsidRPr="00D92D29">
        <w:t xml:space="preserve">.  </w:t>
      </w:r>
      <w:r w:rsidRPr="00997252">
        <w:rPr>
          <w:color w:val="000000"/>
        </w:rPr>
        <w:t xml:space="preserve">The </w:t>
      </w:r>
      <w:r w:rsidRPr="00997252">
        <w:rPr>
          <w:i/>
          <w:iCs/>
        </w:rPr>
        <w:t>3.7 GHz Band Report and Order</w:t>
      </w:r>
      <w:r w:rsidRPr="00997252">
        <w:rPr>
          <w:color w:val="000000"/>
        </w:rPr>
        <w:t xml:space="preserve"> specifically rejected a request to open an additional earth station filing window.  </w:t>
      </w:r>
      <w:r w:rsidRPr="00997252">
        <w:rPr>
          <w:i/>
          <w:iCs/>
          <w:color w:val="000000"/>
        </w:rPr>
        <w:t>Id.</w:t>
      </w:r>
      <w:r w:rsidRPr="005E29B7">
        <w:rPr>
          <w:color w:val="000000"/>
        </w:rPr>
        <w:t xml:space="preserve"> at 2391, paras. 120-21.</w:t>
      </w:r>
    </w:p>
  </w:footnote>
  <w:footnote w:id="7">
    <w:p w:rsidR="00A8522D" w:rsidRPr="00B74881" w14:paraId="0C9A1E00" w14:textId="2E6D4B0B">
      <w:pPr>
        <w:pStyle w:val="FootnoteText"/>
      </w:pPr>
      <w:r>
        <w:rPr>
          <w:rStyle w:val="FootnoteReference"/>
        </w:rPr>
        <w:footnoteRef/>
      </w:r>
      <w:r>
        <w:t xml:space="preserve"> </w:t>
      </w:r>
      <w:r w:rsidR="00E239DC">
        <w:t>L</w:t>
      </w:r>
      <w:r w:rsidR="000A57E4">
        <w:t>ump sum elect</w:t>
      </w:r>
      <w:r w:rsidR="00E239DC">
        <w:t>ors</w:t>
      </w:r>
      <w:r w:rsidR="00526FF4">
        <w:t>, however,</w:t>
      </w:r>
      <w:r w:rsidR="00E239DC">
        <w:t xml:space="preserve"> </w:t>
      </w:r>
      <w:r w:rsidR="00526FF4">
        <w:t>may</w:t>
      </w:r>
      <w:r w:rsidR="00032B52">
        <w:t xml:space="preserve"> discontinu</w:t>
      </w:r>
      <w:r w:rsidR="00526FF4">
        <w:t>e</w:t>
      </w:r>
      <w:r>
        <w:t xml:space="preserve"> use of the C-band</w:t>
      </w:r>
      <w:r w:rsidR="00032B52">
        <w:t xml:space="preserve"> (</w:t>
      </w:r>
      <w:r w:rsidRPr="00F95DEC" w:rsidR="00032B52">
        <w:rPr>
          <w:i/>
          <w:iCs/>
        </w:rPr>
        <w:t>e.g</w:t>
      </w:r>
      <w:r w:rsidR="00032B52">
        <w:t>., switch to fiber or another technology)</w:t>
      </w:r>
      <w:r>
        <w:t>.</w:t>
      </w:r>
      <w:r w:rsidR="00572475">
        <w:t xml:space="preserve">  </w:t>
      </w:r>
      <w:r w:rsidRPr="0063651B" w:rsidR="00572475">
        <w:rPr>
          <w:i/>
          <w:iCs/>
        </w:rPr>
        <w:t xml:space="preserve">3.7 GHz </w:t>
      </w:r>
      <w:r w:rsidR="00572475">
        <w:rPr>
          <w:i/>
          <w:iCs/>
        </w:rPr>
        <w:t xml:space="preserve">Band </w:t>
      </w:r>
      <w:r w:rsidRPr="0063651B" w:rsidR="00572475">
        <w:rPr>
          <w:i/>
          <w:iCs/>
        </w:rPr>
        <w:t xml:space="preserve">Report and </w:t>
      </w:r>
      <w:r w:rsidRPr="00B74881" w:rsidR="00572475">
        <w:t>Order</w:t>
      </w:r>
      <w:r w:rsidR="00B74881">
        <w:t xml:space="preserve">, </w:t>
      </w:r>
      <w:r w:rsidRPr="00B74881" w:rsidR="00B74881">
        <w:t>35</w:t>
      </w:r>
      <w:r w:rsidRPr="001967D6" w:rsidR="00B74881">
        <w:t xml:space="preserve"> FCC Rcd</w:t>
      </w:r>
      <w:r w:rsidRPr="00FB6BEB" w:rsidR="00B74881">
        <w:rPr>
          <w:i/>
          <w:iCs/>
        </w:rPr>
        <w:t xml:space="preserve"> </w:t>
      </w:r>
      <w:r w:rsidR="00E71D8C">
        <w:t>at</w:t>
      </w:r>
      <w:r w:rsidRPr="002734B0" w:rsidR="00B74881">
        <w:t xml:space="preserve"> 2</w:t>
      </w:r>
      <w:r w:rsidR="00E71D8C">
        <w:t>427</w:t>
      </w:r>
      <w:r w:rsidRPr="002734B0" w:rsidR="00B74881">
        <w:t>,</w:t>
      </w:r>
      <w:r w:rsidRPr="0007566D" w:rsidR="00B74881">
        <w:t xml:space="preserve"> para. </w:t>
      </w:r>
      <w:r w:rsidR="00B74881">
        <w:t>202.</w:t>
      </w:r>
    </w:p>
  </w:footnote>
  <w:footnote w:id="8">
    <w:p w:rsidR="000A74C9" w:rsidRPr="0063651B" w:rsidP="00C679C1" w14:paraId="5E640D74" w14:textId="77777777">
      <w:pPr>
        <w:pStyle w:val="FootnoteText"/>
      </w:pPr>
      <w:r w:rsidRPr="00CD0DFC">
        <w:rPr>
          <w:rStyle w:val="FootnoteReference"/>
        </w:rPr>
        <w:footnoteRef/>
      </w:r>
      <w:r w:rsidRPr="00CD0DFC">
        <w:t xml:space="preserve"> </w:t>
      </w:r>
      <w:r w:rsidRPr="00CD0DFC">
        <w:rPr>
          <w:i/>
          <w:iCs/>
        </w:rPr>
        <w:t>3.7 GHz</w:t>
      </w:r>
      <w:r w:rsidRPr="00CD0DFC">
        <w:rPr>
          <w:i/>
        </w:rPr>
        <w:t xml:space="preserve"> </w:t>
      </w:r>
      <w:r w:rsidRPr="002D63EB">
        <w:rPr>
          <w:i/>
          <w:iCs/>
        </w:rPr>
        <w:t>Repo</w:t>
      </w:r>
      <w:r w:rsidRPr="001967D6">
        <w:rPr>
          <w:i/>
          <w:iCs/>
        </w:rPr>
        <w:t xml:space="preserve">rt and </w:t>
      </w:r>
      <w:r w:rsidRPr="00FB6BEB">
        <w:rPr>
          <w:i/>
          <w:iCs/>
        </w:rPr>
        <w:t>Orde</w:t>
      </w:r>
      <w:r w:rsidRPr="002734B0">
        <w:rPr>
          <w:i/>
          <w:iCs/>
        </w:rPr>
        <w:t>r</w:t>
      </w:r>
      <w:r w:rsidRPr="002734B0">
        <w:t>, 35 FCC Rcd</w:t>
      </w:r>
      <w:r w:rsidRPr="002734B0">
        <w:rPr>
          <w:i/>
          <w:iCs/>
        </w:rPr>
        <w:t xml:space="preserve"> </w:t>
      </w:r>
      <w:r w:rsidRPr="002734B0">
        <w:t>at 239</w:t>
      </w:r>
      <w:r w:rsidRPr="0007566D">
        <w:t>1, pa</w:t>
      </w:r>
      <w:r w:rsidRPr="00BD0173">
        <w:t>ra. 1</w:t>
      </w:r>
      <w:r w:rsidRPr="005B3173">
        <w:t>16</w:t>
      </w:r>
      <w:r w:rsidRPr="0063651B">
        <w:t>.</w:t>
      </w:r>
    </w:p>
  </w:footnote>
  <w:footnote w:id="9">
    <w:p w:rsidR="000A74C9" w:rsidRPr="00CA258C" w:rsidP="00C679C1" w14:paraId="3F6508C3" w14:textId="1BB7EED5">
      <w:pPr>
        <w:pStyle w:val="FootnoteText"/>
      </w:pPr>
      <w:r w:rsidRPr="00CD0DFC">
        <w:rPr>
          <w:rStyle w:val="FootnoteReference"/>
        </w:rPr>
        <w:footnoteRef/>
      </w:r>
      <w:r w:rsidRPr="00CD0DFC">
        <w:t xml:space="preserve"> </w:t>
      </w:r>
      <w:r w:rsidRPr="00CD0DFC">
        <w:rPr>
          <w:i/>
          <w:iCs/>
        </w:rPr>
        <w:t>Id.</w:t>
      </w:r>
      <w:r w:rsidRPr="00CD0DFC">
        <w:t xml:space="preserve"> at 239</w:t>
      </w:r>
      <w:r w:rsidRPr="002D63EB">
        <w:t xml:space="preserve">1, </w:t>
      </w:r>
      <w:r w:rsidRPr="001967D6">
        <w:t>para. 117</w:t>
      </w:r>
      <w:r w:rsidRPr="00FB6BEB">
        <w:t>;</w:t>
      </w:r>
      <w:r w:rsidRPr="002734B0">
        <w:t xml:space="preserve"> 47 CFR </w:t>
      </w:r>
      <w:bookmarkStart w:id="5" w:name="_Hlk46956274"/>
      <w:r w:rsidRPr="002734B0">
        <w:t>§ </w:t>
      </w:r>
      <w:bookmarkEnd w:id="5"/>
      <w:r w:rsidRPr="002734B0">
        <w:t>27.</w:t>
      </w:r>
      <w:r w:rsidRPr="0007566D">
        <w:t>1411(b)(3) (defining incumbent earth stati</w:t>
      </w:r>
      <w:r w:rsidRPr="00BD0173">
        <w:t>ons);</w:t>
      </w:r>
      <w:r w:rsidRPr="005B3173">
        <w:t xml:space="preserve"> 47 CFR § 2</w:t>
      </w:r>
      <w:r w:rsidRPr="0063651B">
        <w:t>5.</w:t>
      </w:r>
      <w:r w:rsidRPr="00D92D29">
        <w:t xml:space="preserve">121 </w:t>
      </w:r>
      <w:r w:rsidRPr="00997252">
        <w:t>(describing earth</w:t>
      </w:r>
      <w:r w:rsidRPr="005E29B7">
        <w:t xml:space="preserve"> station renewal requirements). </w:t>
      </w:r>
      <w:r w:rsidRPr="00732149">
        <w:t xml:space="preserve"> </w:t>
      </w:r>
      <w:r w:rsidRPr="00732149">
        <w:rPr>
          <w:i/>
          <w:iCs/>
        </w:rPr>
        <w:t>See also</w:t>
      </w:r>
      <w:r>
        <w:rPr>
          <w:i/>
          <w:iCs/>
        </w:rPr>
        <w:t xml:space="preserve"> August 3</w:t>
      </w:r>
      <w:r w:rsidRPr="00100DDB">
        <w:rPr>
          <w:i/>
          <w:iCs/>
        </w:rPr>
        <w:t xml:space="preserve"> Incu</w:t>
      </w:r>
      <w:r w:rsidRPr="00522132">
        <w:rPr>
          <w:i/>
          <w:iCs/>
        </w:rPr>
        <w:t xml:space="preserve">mbent Earth Station </w:t>
      </w:r>
      <w:r>
        <w:rPr>
          <w:i/>
          <w:iCs/>
        </w:rPr>
        <w:t xml:space="preserve">PN </w:t>
      </w:r>
      <w:r w:rsidRPr="00491DEF">
        <w:t>at 2.</w:t>
      </w:r>
      <w:r w:rsidRPr="00CA258C">
        <w:t xml:space="preserve"> </w:t>
      </w:r>
    </w:p>
  </w:footnote>
  <w:footnote w:id="10">
    <w:p w:rsidR="004A3E45" w:rsidRPr="001F63D4" w:rsidP="004A3E45" w14:paraId="4DBC0B18" w14:textId="147240C6">
      <w:pPr>
        <w:pStyle w:val="FootnoteText"/>
      </w:pPr>
      <w:r>
        <w:rPr>
          <w:rStyle w:val="FootnoteReference"/>
        </w:rPr>
        <w:footnoteRef/>
      </w:r>
      <w:r>
        <w:t xml:space="preserve"> </w:t>
      </w:r>
      <w:r w:rsidRPr="001F63D4">
        <w:rPr>
          <w:i/>
          <w:iCs/>
        </w:rPr>
        <w:t>3.7 GHz</w:t>
      </w:r>
      <w:r w:rsidRPr="001F63D4">
        <w:rPr>
          <w:i/>
        </w:rPr>
        <w:t xml:space="preserve"> </w:t>
      </w:r>
      <w:r>
        <w:rPr>
          <w:i/>
          <w:iCs/>
        </w:rPr>
        <w:t>Report</w:t>
      </w:r>
      <w:r w:rsidRPr="001F63D4">
        <w:rPr>
          <w:i/>
          <w:iCs/>
        </w:rPr>
        <w:t xml:space="preserve"> and </w:t>
      </w:r>
      <w:r>
        <w:rPr>
          <w:i/>
          <w:iCs/>
        </w:rPr>
        <w:t>Order</w:t>
      </w:r>
      <w:r w:rsidRPr="001F63D4">
        <w:t xml:space="preserve">, 35 FCC Rcd at 2427-28, paras. 202-203.  </w:t>
      </w:r>
    </w:p>
  </w:footnote>
  <w:footnote w:id="11">
    <w:p w:rsidR="004A3E45" w:rsidRPr="001F63D4" w:rsidP="004A3E45" w14:paraId="3A8904A8" w14:textId="08B13B23">
      <w:pPr>
        <w:pStyle w:val="FootnoteText"/>
      </w:pPr>
      <w:r w:rsidRPr="001F63D4">
        <w:rPr>
          <w:rStyle w:val="FootnoteReference"/>
        </w:rPr>
        <w:footnoteRef/>
      </w:r>
      <w:r w:rsidRPr="001F63D4">
        <w:t xml:space="preserve"> 47 CFR § 1.106(j) </w:t>
      </w:r>
      <w:r w:rsidRPr="001F63D4">
        <w:rPr>
          <w:color w:val="333333"/>
          <w:shd w:val="clear" w:color="auto" w:fill="FFFFFF"/>
        </w:rPr>
        <w:t xml:space="preserve">(The Commission or designated authority may grant the petition for reconsideration in whole or in part or may deny or dismiss the petition.  Its </w:t>
      </w:r>
      <w:r>
        <w:rPr>
          <w:color w:val="333333"/>
          <w:shd w:val="clear" w:color="auto" w:fill="FFFFFF"/>
        </w:rPr>
        <w:t>Order</w:t>
      </w:r>
      <w:r w:rsidRPr="001F63D4">
        <w:rPr>
          <w:color w:val="333333"/>
          <w:shd w:val="clear" w:color="auto" w:fill="FFFFFF"/>
        </w:rPr>
        <w:t xml:space="preserve"> will contain a concise statement of the reasons for the action taken.</w:t>
      </w:r>
      <w:r w:rsidRPr="001F63D4">
        <w:rPr>
          <w:szCs w:val="22"/>
        </w:rPr>
        <w:t>).</w:t>
      </w:r>
    </w:p>
  </w:footnote>
  <w:footnote w:id="12">
    <w:p w:rsidR="004A3E45" w:rsidRPr="001F63D4" w:rsidP="004A3E45" w14:paraId="3584727B" w14:textId="77777777">
      <w:pPr>
        <w:pStyle w:val="FootnoteText"/>
      </w:pPr>
      <w:r w:rsidRPr="001F63D4">
        <w:rPr>
          <w:rStyle w:val="FootnoteReference"/>
        </w:rPr>
        <w:footnoteRef/>
      </w:r>
      <w:r w:rsidRPr="001F63D4">
        <w:t xml:space="preserve"> </w:t>
      </w:r>
      <w:r w:rsidRPr="001F63D4">
        <w:rPr>
          <w:i/>
          <w:iCs/>
        </w:rPr>
        <w:t>See</w:t>
      </w:r>
      <w:r w:rsidRPr="001F63D4">
        <w:t xml:space="preserve"> 47 CFR § 1.106(f).</w:t>
      </w:r>
    </w:p>
  </w:footnote>
  <w:footnote w:id="13">
    <w:p w:rsidR="004A3E45" w:rsidRPr="001F63D4" w:rsidP="004A3E45" w14:paraId="35289D2B" w14:textId="77777777">
      <w:pPr>
        <w:pStyle w:val="FootnoteText"/>
      </w:pPr>
      <w:r w:rsidRPr="001F63D4">
        <w:rPr>
          <w:rStyle w:val="FootnoteReference"/>
        </w:rPr>
        <w:footnoteRef/>
      </w:r>
      <w:r w:rsidRPr="001F63D4">
        <w:t xml:space="preserve"> </w:t>
      </w:r>
      <w:r w:rsidRPr="001F63D4">
        <w:rPr>
          <w:i/>
          <w:iCs/>
        </w:rPr>
        <w:t>See</w:t>
      </w:r>
      <w:r w:rsidRPr="001F63D4">
        <w:t xml:space="preserve"> 47 CFR § 1.106(d).</w:t>
      </w:r>
    </w:p>
  </w:footnote>
  <w:footnote w:id="14">
    <w:p w:rsidR="004A3E45" w:rsidRPr="001F63D4" w:rsidP="004A3E45" w14:paraId="72225535" w14:textId="77777777">
      <w:pPr>
        <w:pStyle w:val="FootnoteText"/>
      </w:pPr>
      <w:r w:rsidRPr="001F63D4">
        <w:rPr>
          <w:rStyle w:val="FootnoteReference"/>
        </w:rPr>
        <w:footnoteRef/>
      </w:r>
      <w:r w:rsidRPr="001F63D4">
        <w:t xml:space="preserve"> </w:t>
      </w:r>
      <w:r w:rsidRPr="001F63D4">
        <w:rPr>
          <w:i/>
          <w:iCs/>
        </w:rPr>
        <w:t>See</w:t>
      </w:r>
      <w:r w:rsidRPr="001F63D4">
        <w:t xml:space="preserve"> 47 CFR § 1.106(b)(2).</w:t>
      </w:r>
    </w:p>
  </w:footnote>
  <w:footnote w:id="15">
    <w:p w:rsidR="00E60297" w:rsidRPr="005E59A2" w:rsidP="00E60297" w14:paraId="4D149DBD" w14:textId="2CF2E0D4">
      <w:pPr>
        <w:pStyle w:val="FootnoteText"/>
      </w:pPr>
      <w:r w:rsidRPr="005E59A2">
        <w:rPr>
          <w:rStyle w:val="FootnoteReference"/>
        </w:rPr>
        <w:footnoteRef/>
      </w:r>
      <w:r w:rsidRPr="005E59A2">
        <w:t xml:space="preserve"> </w:t>
      </w:r>
      <w:r w:rsidRPr="005E59A2">
        <w:rPr>
          <w:i/>
        </w:rPr>
        <w:t>Northeast Cellular Tel. Co. v. FCC</w:t>
      </w:r>
      <w:r w:rsidRPr="005E59A2">
        <w:t>, 897 F.2d 1164, 1166 (D.C. Cir. 1990).</w:t>
      </w:r>
      <w:r>
        <w:t xml:space="preserve">  </w:t>
      </w:r>
      <w:r>
        <w:rPr>
          <w:i/>
          <w:iCs/>
        </w:rPr>
        <w:t xml:space="preserve">See also </w:t>
      </w:r>
      <w:r>
        <w:t>47 CFR § 1.3.</w:t>
      </w:r>
    </w:p>
  </w:footnote>
  <w:footnote w:id="16">
    <w:p w:rsidR="00E60297" w:rsidRPr="005E59A2" w:rsidP="00E60297" w14:paraId="2AF4460F" w14:textId="77777777">
      <w:pPr>
        <w:pStyle w:val="FootnoteText"/>
      </w:pPr>
      <w:r w:rsidRPr="005E59A2">
        <w:rPr>
          <w:rStyle w:val="FootnoteReference"/>
        </w:rPr>
        <w:footnoteRef/>
      </w:r>
      <w:r w:rsidRPr="005E59A2">
        <w:t xml:space="preserve"> </w:t>
      </w:r>
      <w:r w:rsidRPr="005E59A2">
        <w:rPr>
          <w:i/>
        </w:rPr>
        <w:t>WAIT Radio v. FCC</w:t>
      </w:r>
      <w:r w:rsidRPr="005E59A2">
        <w:t xml:space="preserve">, 418 F.2d 1153, 1159 (D.C. Cir. 1969), </w:t>
      </w:r>
      <w:r w:rsidRPr="005E59A2">
        <w:rPr>
          <w:i/>
        </w:rPr>
        <w:t>cert. denied</w:t>
      </w:r>
      <w:r w:rsidRPr="005E59A2">
        <w:t xml:space="preserve">, 409 U.S. 1027 (1972); </w:t>
      </w:r>
      <w:r w:rsidRPr="005E59A2">
        <w:rPr>
          <w:i/>
        </w:rPr>
        <w:t>Northeast Cellular</w:t>
      </w:r>
      <w:r w:rsidRPr="005E59A2">
        <w:t>, 897 F.2d at 1166.</w:t>
      </w:r>
    </w:p>
  </w:footnote>
  <w:footnote w:id="17">
    <w:p w:rsidR="00E60297" w:rsidRPr="005E59A2" w:rsidP="00E60297" w14:paraId="78308496" w14:textId="2F072C0F">
      <w:pPr>
        <w:pStyle w:val="FootnoteText"/>
      </w:pPr>
      <w:r w:rsidRPr="005E59A2">
        <w:rPr>
          <w:rStyle w:val="FootnoteReference"/>
        </w:rPr>
        <w:footnoteRef/>
      </w:r>
      <w:r w:rsidRPr="005E59A2">
        <w:t xml:space="preserve"> </w:t>
      </w:r>
      <w:r w:rsidRPr="005E59A2">
        <w:rPr>
          <w:i/>
        </w:rPr>
        <w:t>NetworkIP, LLC v. FCC</w:t>
      </w:r>
      <w:r w:rsidRPr="005E59A2">
        <w:t>, 548 F.3d 116, 125-28 (D.C. Cir. 2008)</w:t>
      </w:r>
      <w:r w:rsidR="008C6AC0">
        <w:t xml:space="preserve"> (</w:t>
      </w:r>
      <w:r w:rsidRPr="00B13472" w:rsidR="008C6AC0">
        <w:rPr>
          <w:i/>
          <w:iCs/>
        </w:rPr>
        <w:t>NetworkI</w:t>
      </w:r>
      <w:r w:rsidR="008C6AC0">
        <w:rPr>
          <w:i/>
          <w:iCs/>
        </w:rPr>
        <w:t>P</w:t>
      </w:r>
      <w:r w:rsidR="008C6AC0">
        <w:t>)</w:t>
      </w:r>
      <w:r w:rsidRPr="005E59A2">
        <w:t xml:space="preserve">; </w:t>
      </w:r>
      <w:r w:rsidRPr="005E59A2">
        <w:rPr>
          <w:i/>
        </w:rPr>
        <w:t>Northeast Cellular</w:t>
      </w:r>
      <w:r w:rsidRPr="005E59A2">
        <w:t xml:space="preserve">, 897 F.2d at 1166; </w:t>
      </w:r>
      <w:r w:rsidRPr="005E59A2">
        <w:rPr>
          <w:i/>
        </w:rPr>
        <w:t>WAIT Radio</w:t>
      </w:r>
      <w:r w:rsidRPr="005E59A2">
        <w:t>, 418 F.2d at 1158.</w:t>
      </w:r>
    </w:p>
  </w:footnote>
  <w:footnote w:id="18">
    <w:p w:rsidR="004A3E45" w:rsidRPr="001F63D4" w:rsidP="004A3E45" w14:paraId="4A777D18" w14:textId="5C5EF546">
      <w:pPr>
        <w:pStyle w:val="FootnoteText"/>
      </w:pPr>
      <w:r w:rsidRPr="001F63D4">
        <w:rPr>
          <w:rStyle w:val="FootnoteReference"/>
        </w:rPr>
        <w:footnoteRef/>
      </w:r>
      <w:r w:rsidRPr="001F63D4">
        <w:t xml:space="preserve"> </w:t>
      </w:r>
      <w:r w:rsidRPr="001F63D4">
        <w:rPr>
          <w:i/>
          <w:iCs/>
        </w:rPr>
        <w:t>See</w:t>
      </w:r>
      <w:r w:rsidRPr="001F63D4">
        <w:t xml:space="preserve"> </w:t>
      </w:r>
      <w:r w:rsidRPr="002F02E8" w:rsidR="008508B4">
        <w:t xml:space="preserve">Letter from </w:t>
      </w:r>
      <w:r w:rsidRPr="002F02E8" w:rsidR="00AA4140">
        <w:t>Thom Jones</w:t>
      </w:r>
      <w:r w:rsidRPr="002F02E8" w:rsidR="00AA4140">
        <w:rPr>
          <w:i/>
          <w:iCs/>
        </w:rPr>
        <w:t xml:space="preserve">, </w:t>
      </w:r>
      <w:r w:rsidRPr="002F02E8">
        <w:t>Back Porch Radio Company, Inc</w:t>
      </w:r>
      <w:r w:rsidRPr="001F63D4">
        <w:t>., IB Docket No. 20-205, GN Docket No. 20-305 (filed Mar. 26, 2021).</w:t>
      </w:r>
      <w:r w:rsidR="003B2D15">
        <w:t xml:space="preserve">  </w:t>
      </w:r>
    </w:p>
  </w:footnote>
  <w:footnote w:id="19">
    <w:p w:rsidR="0094105A" w:rsidRPr="001F63D4" w:rsidP="0094105A" w14:paraId="62924227" w14:textId="66DFFAAC">
      <w:pPr>
        <w:pStyle w:val="FootnoteText"/>
      </w:pPr>
      <w:r w:rsidRPr="001F63D4">
        <w:rPr>
          <w:rStyle w:val="FootnoteReference"/>
        </w:rPr>
        <w:footnoteRef/>
      </w:r>
      <w:r w:rsidRPr="001F63D4">
        <w:t xml:space="preserve"> </w:t>
      </w:r>
      <w:r w:rsidRPr="001F63D4">
        <w:rPr>
          <w:i/>
          <w:iCs/>
        </w:rPr>
        <w:t>See</w:t>
      </w:r>
      <w:r w:rsidRPr="001F63D4">
        <w:t xml:space="preserve"> </w:t>
      </w:r>
      <w:r>
        <w:t>“Notice of Continued Operation Stat</w:t>
      </w:r>
      <w:r w:rsidR="00897C35">
        <w:t>u</w:t>
      </w:r>
      <w:r>
        <w:t>s”</w:t>
      </w:r>
      <w:r w:rsidRPr="001F63D4">
        <w:t xml:space="preserve"> </w:t>
      </w:r>
      <w:r w:rsidR="00FB55E7">
        <w:t xml:space="preserve">filed by </w:t>
      </w:r>
      <w:r w:rsidR="00816E2D">
        <w:t>KTBS</w:t>
      </w:r>
      <w:r w:rsidR="00FB55E7">
        <w:t xml:space="preserve"> </w:t>
      </w:r>
      <w:r w:rsidR="00816E2D">
        <w:t>LLC</w:t>
      </w:r>
      <w:r w:rsidR="00FB55E7">
        <w:t xml:space="preserve">, </w:t>
      </w:r>
      <w:r w:rsidRPr="001F63D4">
        <w:t>IB Docket No. 20-205 (filed Apr. 19, 2021).</w:t>
      </w:r>
      <w:r>
        <w:t xml:space="preserve"> </w:t>
      </w:r>
    </w:p>
  </w:footnote>
  <w:footnote w:id="20">
    <w:p w:rsidR="004A3E45" w:rsidRPr="001F63D4" w:rsidP="004A3E45" w14:paraId="54D0FB39" w14:textId="39A0922B">
      <w:pPr>
        <w:pStyle w:val="FootnoteText"/>
      </w:pPr>
      <w:r w:rsidRPr="001F63D4">
        <w:rPr>
          <w:rStyle w:val="FootnoteReference"/>
        </w:rPr>
        <w:footnoteRef/>
      </w:r>
      <w:r w:rsidRPr="001F63D4">
        <w:t xml:space="preserve"> </w:t>
      </w:r>
      <w:r w:rsidRPr="001F63D4">
        <w:rPr>
          <w:i/>
          <w:iCs/>
        </w:rPr>
        <w:t>See</w:t>
      </w:r>
      <w:r w:rsidRPr="001F63D4">
        <w:t xml:space="preserve"> </w:t>
      </w:r>
      <w:bookmarkStart w:id="10" w:name="_Hlk71297186"/>
      <w:r w:rsidRPr="001F63D4">
        <w:rPr>
          <w:i/>
        </w:rPr>
        <w:t xml:space="preserve">3.7 </w:t>
      </w:r>
      <w:r w:rsidRPr="001F63D4">
        <w:rPr>
          <w:i/>
          <w:iCs/>
        </w:rPr>
        <w:t>GHz</w:t>
      </w:r>
      <w:r w:rsidRPr="001F63D4">
        <w:rPr>
          <w:i/>
        </w:rPr>
        <w:t xml:space="preserve"> </w:t>
      </w:r>
      <w:r>
        <w:rPr>
          <w:i/>
        </w:rPr>
        <w:t>Band</w:t>
      </w:r>
      <w:r w:rsidRPr="001F63D4">
        <w:rPr>
          <w:i/>
        </w:rPr>
        <w:t xml:space="preserve"> </w:t>
      </w:r>
      <w:r>
        <w:rPr>
          <w:i/>
          <w:iCs/>
        </w:rPr>
        <w:t>Report</w:t>
      </w:r>
      <w:r w:rsidRPr="001F63D4">
        <w:rPr>
          <w:i/>
          <w:iCs/>
        </w:rPr>
        <w:t xml:space="preserve"> and </w:t>
      </w:r>
      <w:r>
        <w:rPr>
          <w:i/>
          <w:iCs/>
        </w:rPr>
        <w:t>Order</w:t>
      </w:r>
      <w:r w:rsidRPr="001F63D4">
        <w:t>, 35 FCC Rcd at 2407, para. 149-151.</w:t>
      </w:r>
      <w:bookmarkEnd w:id="10"/>
    </w:p>
  </w:footnote>
  <w:footnote w:id="21">
    <w:p w:rsidR="004A3E45" w:rsidRPr="001F63D4" w:rsidP="004A3E45" w14:paraId="70428EBF" w14:textId="4FCCD890">
      <w:pPr>
        <w:pStyle w:val="FootnoteText"/>
      </w:pPr>
      <w:r w:rsidRPr="001F63D4">
        <w:rPr>
          <w:rStyle w:val="FootnoteReference"/>
        </w:rPr>
        <w:footnoteRef/>
      </w:r>
      <w:r w:rsidRPr="001F63D4">
        <w:t xml:space="preserve"> </w:t>
      </w:r>
      <w:r w:rsidRPr="001F63D4">
        <w:rPr>
          <w:i/>
          <w:iCs/>
        </w:rPr>
        <w:t>See</w:t>
      </w:r>
      <w:r w:rsidRPr="001F63D4">
        <w:t xml:space="preserve"> </w:t>
      </w:r>
      <w:r w:rsidRPr="000737A2">
        <w:rPr>
          <w:i/>
          <w:iCs/>
        </w:rPr>
        <w:t>October 23 Order</w:t>
      </w:r>
      <w:r w:rsidRPr="001F63D4">
        <w:t xml:space="preserve"> at </w:t>
      </w:r>
      <w:r w:rsidR="00F95DEC">
        <w:t>p</w:t>
      </w:r>
      <w:r w:rsidRPr="001F63D4">
        <w:t xml:space="preserve">ara. 37; </w:t>
      </w:r>
      <w:r w:rsidRPr="001F63D4">
        <w:rPr>
          <w:i/>
        </w:rPr>
        <w:t xml:space="preserve">3.7 </w:t>
      </w:r>
      <w:r w:rsidRPr="001F63D4">
        <w:rPr>
          <w:i/>
          <w:iCs/>
        </w:rPr>
        <w:t>GHz</w:t>
      </w:r>
      <w:r w:rsidRPr="001F63D4">
        <w:rPr>
          <w:i/>
        </w:rPr>
        <w:t xml:space="preserve"> </w:t>
      </w:r>
      <w:r>
        <w:rPr>
          <w:i/>
        </w:rPr>
        <w:t>Band</w:t>
      </w:r>
      <w:r w:rsidRPr="001F63D4">
        <w:rPr>
          <w:i/>
        </w:rPr>
        <w:t xml:space="preserve"> </w:t>
      </w:r>
      <w:r>
        <w:rPr>
          <w:i/>
          <w:iCs/>
        </w:rPr>
        <w:t>Report</w:t>
      </w:r>
      <w:r w:rsidRPr="001F63D4">
        <w:rPr>
          <w:i/>
          <w:iCs/>
        </w:rPr>
        <w:t xml:space="preserve"> and </w:t>
      </w:r>
      <w:r>
        <w:rPr>
          <w:i/>
          <w:iCs/>
        </w:rPr>
        <w:t>Order</w:t>
      </w:r>
      <w:r w:rsidRPr="001F63D4">
        <w:t>, 35 FCC Rcd at 2407, para. 149-151.</w:t>
      </w:r>
    </w:p>
  </w:footnote>
  <w:footnote w:id="22">
    <w:p w:rsidR="0003012B" w:rsidP="0003012B" w14:paraId="15D62AE3" w14:textId="77777777">
      <w:pPr>
        <w:pStyle w:val="FootnoteText"/>
      </w:pPr>
      <w:r>
        <w:rPr>
          <w:rStyle w:val="FootnoteReference"/>
        </w:rPr>
        <w:footnoteRef/>
      </w:r>
      <w:r>
        <w:t xml:space="preserve"> </w:t>
      </w:r>
      <w:r w:rsidRPr="007C2BB3">
        <w:t xml:space="preserve">47 CFR § 25.121(e) </w:t>
      </w:r>
      <w:r>
        <w:t>states that a</w:t>
      </w:r>
      <w:r w:rsidRPr="007C2BB3">
        <w:rPr>
          <w:color w:val="000000"/>
          <w:shd w:val="clear" w:color="auto" w:fill="FFFFFF"/>
        </w:rPr>
        <w:t xml:space="preserve">pplications for renewals of earth station licenses must be submitted no earlier than 90 days, and no later than 30 days, before the expiration date of the license; </w:t>
      </w:r>
      <w:r w:rsidRPr="007C2BB3">
        <w:t xml:space="preserve">47 CFR § </w:t>
      </w:r>
      <w:r w:rsidRPr="007C2BB3">
        <w:rPr>
          <w:color w:val="000000"/>
          <w:shd w:val="clear" w:color="auto" w:fill="FFFFFF"/>
        </w:rPr>
        <w:t>2</w:t>
      </w:r>
      <w:r>
        <w:rPr>
          <w:color w:val="000000"/>
          <w:shd w:val="clear" w:color="auto" w:fill="FFFFFF"/>
        </w:rPr>
        <w:t>5</w:t>
      </w:r>
      <w:r w:rsidRPr="007C2BB3">
        <w:rPr>
          <w:color w:val="000000"/>
          <w:shd w:val="clear" w:color="auto" w:fill="FFFFFF"/>
        </w:rPr>
        <w:t xml:space="preserve">.161(b) </w:t>
      </w:r>
      <w:r>
        <w:rPr>
          <w:color w:val="000000"/>
          <w:shd w:val="clear" w:color="auto" w:fill="FFFFFF"/>
        </w:rPr>
        <w:t xml:space="preserve">states that a </w:t>
      </w:r>
      <w:r w:rsidRPr="007C2BB3">
        <w:rPr>
          <w:color w:val="000000"/>
          <w:shd w:val="clear" w:color="auto" w:fill="FFFFFF"/>
        </w:rPr>
        <w:t>station authorization shall be automatically terminated in whole or in part without further notice to the licensee upon</w:t>
      </w:r>
      <w:r>
        <w:rPr>
          <w:color w:val="000000"/>
          <w:shd w:val="clear" w:color="auto" w:fill="FFFFFF"/>
        </w:rPr>
        <w:t xml:space="preserve"> expiration of the license term. </w:t>
      </w:r>
      <w:r>
        <w:t xml:space="preserve"> Once a registration has expired, the file in IBFS becomes “closed,” </w:t>
      </w:r>
      <w:r w:rsidRPr="00E71D8C">
        <w:rPr>
          <w:i/>
          <w:iCs/>
        </w:rPr>
        <w:t>i.e</w:t>
      </w:r>
      <w:r>
        <w:t>., renewal is not permitted through the “renewal” selection in IBFS.</w:t>
      </w:r>
    </w:p>
  </w:footnote>
  <w:footnote w:id="23">
    <w:p w:rsidR="008F065F" w:rsidP="008F065F" w14:paraId="4AA86672" w14:textId="77777777">
      <w:pPr>
        <w:pStyle w:val="FootnoteText"/>
      </w:pPr>
      <w:r>
        <w:rPr>
          <w:rStyle w:val="FootnoteReference"/>
        </w:rPr>
        <w:footnoteRef/>
      </w:r>
      <w:r>
        <w:t xml:space="preserve"> </w:t>
      </w:r>
      <w:r>
        <w:rPr>
          <w:i/>
          <w:iCs/>
        </w:rPr>
        <w:t>See 3.7 GHz</w:t>
      </w:r>
      <w:r>
        <w:rPr>
          <w:i/>
        </w:rPr>
        <w:t xml:space="preserve"> </w:t>
      </w:r>
      <w:r>
        <w:rPr>
          <w:i/>
          <w:iCs/>
        </w:rPr>
        <w:t>Report and Order</w:t>
      </w:r>
      <w:r>
        <w:t>, 35 FCC Rcd</w:t>
      </w:r>
      <w:r>
        <w:rPr>
          <w:i/>
          <w:iCs/>
        </w:rPr>
        <w:t>.</w:t>
      </w:r>
      <w:r>
        <w:t xml:space="preserve"> at 2427-28, paras. 202-04 &amp; n.550.  Payment of lump sum amounts will be the obligation of 3.7 GHz Service licensees after completion of the 3.7 GHz auction and the licensing of winning bidders.  </w:t>
      </w:r>
      <w:r>
        <w:rPr>
          <w:i/>
          <w:iCs/>
        </w:rPr>
        <w:t xml:space="preserve">Id. </w:t>
      </w:r>
      <w:r>
        <w:t>at 2553; 47 CFR § 27.1418.</w:t>
      </w:r>
    </w:p>
  </w:footnote>
  <w:footnote w:id="24">
    <w:p w:rsidR="008F065F" w:rsidP="008F065F" w14:paraId="396EFB28" w14:textId="77777777">
      <w:pPr>
        <w:pStyle w:val="FootnoteText"/>
      </w:pPr>
      <w:r>
        <w:rPr>
          <w:rStyle w:val="FootnoteReference"/>
        </w:rPr>
        <w:footnoteRef/>
      </w:r>
      <w:r>
        <w:t xml:space="preserve"> </w:t>
      </w:r>
      <w:r>
        <w:rPr>
          <w:i/>
          <w:iCs/>
        </w:rPr>
        <w:t>Wireless Telecommunications Bureau Releases Final Cost Category Schedule for 3.7-4.2 GHz Band Relocation Expenses</w:t>
      </w:r>
      <w:r>
        <w:t xml:space="preserve">, GN Docket No. 18-122, Public Notice, 35 FCC Rcd 7967 (WTB 2020) </w:t>
      </w:r>
      <w:r>
        <w:rPr>
          <w:i/>
          <w:iCs/>
        </w:rPr>
        <w:t>(July 20 Lump Sum Election PN).</w:t>
      </w:r>
    </w:p>
  </w:footnote>
  <w:footnote w:id="25">
    <w:p w:rsidR="008F065F" w:rsidP="008F065F" w14:paraId="71A5FBE7" w14:textId="77777777">
      <w:pPr>
        <w:pStyle w:val="FootnoteText"/>
      </w:pPr>
      <w:r>
        <w:rPr>
          <w:rStyle w:val="FootnoteReference"/>
        </w:rPr>
        <w:footnoteRef/>
      </w:r>
      <w:r>
        <w:t xml:space="preserve"> </w:t>
      </w:r>
      <w:r w:rsidRPr="00ED0123">
        <w:t xml:space="preserve">Wow! Ohio submitted an erratum removing from its lump sum election two earth stations that were not included on the incumbent earth station list.  </w:t>
      </w:r>
      <w:r w:rsidRPr="008F065F">
        <w:rPr>
          <w:i/>
          <w:iCs/>
        </w:rPr>
        <w:t>See</w:t>
      </w:r>
      <w:r w:rsidRPr="00ED0123">
        <w:t xml:space="preserve"> Errata of WOW! Ohio, IB Docket No. 20-205, GN Docket No. 20-305 (filed Jan. 15, 2021).  </w:t>
      </w:r>
      <w:r>
        <w:t>Maranatha Company filed a petition for reconsideration after removing earth stations not capable of operating in the C-band from its lump sum election.</w:t>
      </w:r>
      <w:r>
        <w:rPr>
          <w:i/>
          <w:iCs/>
        </w:rPr>
        <w:t xml:space="preserve">  See</w:t>
      </w:r>
      <w:r>
        <w:t xml:space="preserve"> Petition for Reconsideration of Maranatha Company, IB Docket No. 20-205, GN Docket No. 20-305 (filed Dec. 1, 2020).  </w:t>
      </w:r>
    </w:p>
  </w:footnote>
  <w:footnote w:id="26">
    <w:p w:rsidR="008F065F" w:rsidP="008F065F" w14:paraId="07BDCCF9" w14:textId="77777777">
      <w:pPr>
        <w:pStyle w:val="FootnoteText"/>
      </w:pPr>
      <w:r>
        <w:rPr>
          <w:rStyle w:val="FootnoteReference"/>
        </w:rPr>
        <w:footnoteRef/>
      </w:r>
      <w:r>
        <w:t xml:space="preserve"> </w:t>
      </w:r>
      <w:r>
        <w:rPr>
          <w:i/>
          <w:iCs/>
        </w:rPr>
        <w:t>See</w:t>
      </w:r>
      <w:r>
        <w:t xml:space="preserve"> Errata of Cocola Company Company/Boise Telecasters, IB Docket 20-205, GN Docket No. 20-305 (filed Jan. 12, 2021).  </w:t>
      </w:r>
    </w:p>
  </w:footnote>
  <w:footnote w:id="27">
    <w:p w:rsidR="008F065F" w:rsidP="008F065F" w14:paraId="176D3045" w14:textId="77777777">
      <w:pPr>
        <w:pStyle w:val="FootnoteText"/>
      </w:pPr>
      <w:r>
        <w:rPr>
          <w:rStyle w:val="FootnoteReference"/>
        </w:rPr>
        <w:footnoteRef/>
      </w:r>
      <w:r>
        <w:t xml:space="preserve"> </w:t>
      </w:r>
      <w:r>
        <w:rPr>
          <w:i/>
          <w:iCs/>
        </w:rPr>
        <w:t>See</w:t>
      </w:r>
      <w:r>
        <w:t xml:space="preserve"> Petition for Reconsideration of Prism Company, IB Docket No. 20-205, GN Docket No. 20-305 (filed Jan. 21, 2021).  </w:t>
      </w:r>
    </w:p>
  </w:footnote>
  <w:footnote w:id="28">
    <w:p w:rsidR="008F065F" w:rsidP="008F065F" w14:paraId="52E1894D" w14:textId="77777777">
      <w:pPr>
        <w:pStyle w:val="FootnoteText"/>
      </w:pPr>
      <w:r>
        <w:rPr>
          <w:rStyle w:val="FootnoteReference"/>
        </w:rPr>
        <w:footnoteRef/>
      </w:r>
      <w:r>
        <w:t xml:space="preserve"> Petition for Reconsideration of Ronan Telephone Company and Western Montana CommunityTel, Inc., IB Docket No. 20-205 (filed Nov. 13,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74C9" w:rsidP="00810B6F" w14:paraId="06EAC255" w14:textId="336ABA3A">
    <w:pPr>
      <w:pStyle w:val="Header"/>
      <w:rPr>
        <w:b w:val="0"/>
      </w:rPr>
    </w:pPr>
    <w:r>
      <w:tab/>
      <w:t>Federal Communications Commission</w:t>
    </w:r>
    <w:r>
      <w:tab/>
    </w:r>
    <w:r w:rsidR="00811374">
      <w:t>DA 2</w:t>
    </w:r>
    <w:r w:rsidR="00A438E4">
      <w:t>1</w:t>
    </w:r>
    <w:r w:rsidR="00811374">
      <w:t>-</w:t>
    </w:r>
    <w:r w:rsidR="00B06448">
      <w:t>730</w:t>
    </w:r>
  </w:p>
  <w:p w:rsidR="000A74C9" w14:paraId="772DFBF6"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0A74C9" w14:paraId="3A27F85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1449" w14:paraId="7B99F0DF" w14:textId="615F5A2A">
    <w:pPr>
      <w:pStyle w:val="Header"/>
    </w:pPr>
  </w:p>
  <w:p w:rsidR="001A6005" w:rsidP="001A6005" w14:paraId="10ECAC0C" w14:textId="7EF15CAA">
    <w:pPr>
      <w:pStyle w:val="Header"/>
      <w:rPr>
        <w:b w:val="0"/>
      </w:rPr>
    </w:pPr>
    <w:r>
      <w:tab/>
      <w:t>Federal Communications Commission</w:t>
    </w:r>
    <w:r>
      <w:tab/>
      <w:t>DA 21-</w:t>
    </w:r>
    <w:r w:rsidR="00B06448">
      <w:t>730</w:t>
    </w:r>
  </w:p>
  <w:p w:rsidR="001A6005" w:rsidP="001A6005" w14:paraId="629106E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0A74C9" w:rsidP="00810B6F" w14:paraId="7B9A5353" w14:textId="4D02B300">
    <w:pPr>
      <w:pStyle w:val="Heade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9A0AC5"/>
    <w:multiLevelType w:val="hybridMultilevel"/>
    <w:tmpl w:val="5852D0D8"/>
    <w:lvl w:ilvl="0">
      <w:start w:val="1"/>
      <w:numFmt w:val="decimal"/>
      <w:lvlText w:val="(%1)"/>
      <w:lvlJc w:val="left"/>
      <w:pPr>
        <w:ind w:left="108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0AC68E5"/>
    <w:multiLevelType w:val="hybridMultilevel"/>
    <w:tmpl w:val="EB023F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F6F35A3"/>
    <w:multiLevelType w:val="hybridMultilevel"/>
    <w:tmpl w:val="73E2171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8C6226D"/>
    <w:multiLevelType w:val="hybridMultilevel"/>
    <w:tmpl w:val="F3F21CF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4"/>
  </w:num>
  <w:num w:numId="4">
    <w:abstractNumId w:val="7"/>
  </w:num>
  <w:num w:numId="5">
    <w:abstractNumId w:val="3"/>
  </w:num>
  <w:num w:numId="6">
    <w:abstractNumId w:val="0"/>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8"/>
  </w:num>
  <w:num w:numId="17">
    <w:abstractNumId w:val="1"/>
  </w:num>
  <w:num w:numId="18">
    <w:abstractNumId w:val="5"/>
  </w:num>
  <w:num w:numId="19">
    <w:abstractNumId w:val="9"/>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lvlOverride w:ilvl="0">
      <w:startOverride w:val="1"/>
    </w:lvlOverride>
  </w:num>
  <w:num w:numId="30">
    <w:abstractNumId w:val="8"/>
  </w:num>
  <w:num w:numId="31">
    <w:abstractNumId w:val="8"/>
  </w:num>
  <w:num w:numId="32">
    <w:abstractNumId w:val="8"/>
  </w:num>
  <w:num w:numId="33">
    <w:abstractNumId w:val="8"/>
  </w:num>
  <w:num w:numId="34">
    <w:abstractNumId w:val="4"/>
  </w:num>
  <w:num w:numId="35">
    <w:abstractNumId w:val="8"/>
  </w:num>
  <w:num w:numId="36">
    <w:abstractNumId w:val="6"/>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CE5"/>
    <w:rsid w:val="00001DEA"/>
    <w:rsid w:val="00004FCB"/>
    <w:rsid w:val="00006642"/>
    <w:rsid w:val="000068B6"/>
    <w:rsid w:val="00010A40"/>
    <w:rsid w:val="00014FAC"/>
    <w:rsid w:val="0001673D"/>
    <w:rsid w:val="00017943"/>
    <w:rsid w:val="00020260"/>
    <w:rsid w:val="00020544"/>
    <w:rsid w:val="00027D27"/>
    <w:rsid w:val="0003012B"/>
    <w:rsid w:val="00031EFA"/>
    <w:rsid w:val="00032B52"/>
    <w:rsid w:val="00036039"/>
    <w:rsid w:val="00037F90"/>
    <w:rsid w:val="00047D28"/>
    <w:rsid w:val="000531AC"/>
    <w:rsid w:val="000569D7"/>
    <w:rsid w:val="00060FEB"/>
    <w:rsid w:val="00061F9E"/>
    <w:rsid w:val="00064041"/>
    <w:rsid w:val="00064EA9"/>
    <w:rsid w:val="000737A2"/>
    <w:rsid w:val="0007566D"/>
    <w:rsid w:val="000765A6"/>
    <w:rsid w:val="00077DC2"/>
    <w:rsid w:val="00080177"/>
    <w:rsid w:val="00083011"/>
    <w:rsid w:val="000832C3"/>
    <w:rsid w:val="000844AA"/>
    <w:rsid w:val="000874A8"/>
    <w:rsid w:val="000875BF"/>
    <w:rsid w:val="00091745"/>
    <w:rsid w:val="00093C5A"/>
    <w:rsid w:val="00094B52"/>
    <w:rsid w:val="00096D8C"/>
    <w:rsid w:val="00097E1A"/>
    <w:rsid w:val="000A3A4F"/>
    <w:rsid w:val="000A3C73"/>
    <w:rsid w:val="000A57E4"/>
    <w:rsid w:val="000A6521"/>
    <w:rsid w:val="000A74C9"/>
    <w:rsid w:val="000B1870"/>
    <w:rsid w:val="000B4845"/>
    <w:rsid w:val="000B5B18"/>
    <w:rsid w:val="000C0B65"/>
    <w:rsid w:val="000C14BE"/>
    <w:rsid w:val="000C47FA"/>
    <w:rsid w:val="000C57B4"/>
    <w:rsid w:val="000C673A"/>
    <w:rsid w:val="000C6C43"/>
    <w:rsid w:val="000E05FE"/>
    <w:rsid w:val="000E1A04"/>
    <w:rsid w:val="000E25A5"/>
    <w:rsid w:val="000E3D42"/>
    <w:rsid w:val="000F5193"/>
    <w:rsid w:val="000F65B1"/>
    <w:rsid w:val="000F7764"/>
    <w:rsid w:val="00100DDB"/>
    <w:rsid w:val="00103D2F"/>
    <w:rsid w:val="00107698"/>
    <w:rsid w:val="001131C4"/>
    <w:rsid w:val="00122BD5"/>
    <w:rsid w:val="00130373"/>
    <w:rsid w:val="00133F79"/>
    <w:rsid w:val="00135421"/>
    <w:rsid w:val="001357A1"/>
    <w:rsid w:val="001358C4"/>
    <w:rsid w:val="00142704"/>
    <w:rsid w:val="00142722"/>
    <w:rsid w:val="00144E53"/>
    <w:rsid w:val="0014746F"/>
    <w:rsid w:val="001504D2"/>
    <w:rsid w:val="001507AF"/>
    <w:rsid w:val="001512F2"/>
    <w:rsid w:val="001521E2"/>
    <w:rsid w:val="00157E6F"/>
    <w:rsid w:val="00161D32"/>
    <w:rsid w:val="00162D78"/>
    <w:rsid w:val="00163535"/>
    <w:rsid w:val="00165E41"/>
    <w:rsid w:val="00165EA6"/>
    <w:rsid w:val="001705CF"/>
    <w:rsid w:val="00171D2C"/>
    <w:rsid w:val="00171FDB"/>
    <w:rsid w:val="00172D6B"/>
    <w:rsid w:val="00174529"/>
    <w:rsid w:val="00176143"/>
    <w:rsid w:val="00177259"/>
    <w:rsid w:val="001833C7"/>
    <w:rsid w:val="0018733C"/>
    <w:rsid w:val="00191D7A"/>
    <w:rsid w:val="0019258E"/>
    <w:rsid w:val="00194A66"/>
    <w:rsid w:val="00195A70"/>
    <w:rsid w:val="0019668E"/>
    <w:rsid w:val="001967D6"/>
    <w:rsid w:val="00197D6C"/>
    <w:rsid w:val="001A28E8"/>
    <w:rsid w:val="001A6005"/>
    <w:rsid w:val="001A6A8A"/>
    <w:rsid w:val="001B0471"/>
    <w:rsid w:val="001B1EAF"/>
    <w:rsid w:val="001B78B7"/>
    <w:rsid w:val="001C2B42"/>
    <w:rsid w:val="001C5B39"/>
    <w:rsid w:val="001C6295"/>
    <w:rsid w:val="001D0248"/>
    <w:rsid w:val="001D3386"/>
    <w:rsid w:val="001D3F09"/>
    <w:rsid w:val="001D5B3E"/>
    <w:rsid w:val="001D6BCF"/>
    <w:rsid w:val="001D6C28"/>
    <w:rsid w:val="001D761E"/>
    <w:rsid w:val="001E01CA"/>
    <w:rsid w:val="001E0310"/>
    <w:rsid w:val="001E0C91"/>
    <w:rsid w:val="001E3770"/>
    <w:rsid w:val="001E3E90"/>
    <w:rsid w:val="001E48A4"/>
    <w:rsid w:val="001E61DA"/>
    <w:rsid w:val="001E6587"/>
    <w:rsid w:val="001F1084"/>
    <w:rsid w:val="001F188E"/>
    <w:rsid w:val="001F27C9"/>
    <w:rsid w:val="001F3C2C"/>
    <w:rsid w:val="001F54B0"/>
    <w:rsid w:val="001F63D4"/>
    <w:rsid w:val="001F6616"/>
    <w:rsid w:val="00203E4B"/>
    <w:rsid w:val="00206273"/>
    <w:rsid w:val="00222EED"/>
    <w:rsid w:val="00227607"/>
    <w:rsid w:val="002302FE"/>
    <w:rsid w:val="0023166A"/>
    <w:rsid w:val="00236CDE"/>
    <w:rsid w:val="00237A99"/>
    <w:rsid w:val="00237AC8"/>
    <w:rsid w:val="002403E1"/>
    <w:rsid w:val="002412CB"/>
    <w:rsid w:val="00241CFA"/>
    <w:rsid w:val="0024270A"/>
    <w:rsid w:val="002440C8"/>
    <w:rsid w:val="00247F5C"/>
    <w:rsid w:val="00255E15"/>
    <w:rsid w:val="00256AAE"/>
    <w:rsid w:val="00257752"/>
    <w:rsid w:val="00261CD4"/>
    <w:rsid w:val="00264E65"/>
    <w:rsid w:val="00267E89"/>
    <w:rsid w:val="002721E6"/>
    <w:rsid w:val="002734B0"/>
    <w:rsid w:val="00274051"/>
    <w:rsid w:val="00275CF5"/>
    <w:rsid w:val="00277E72"/>
    <w:rsid w:val="002825DD"/>
    <w:rsid w:val="00282CAE"/>
    <w:rsid w:val="0028301F"/>
    <w:rsid w:val="00283564"/>
    <w:rsid w:val="00285017"/>
    <w:rsid w:val="0029468B"/>
    <w:rsid w:val="00297ECE"/>
    <w:rsid w:val="002A00EC"/>
    <w:rsid w:val="002A051D"/>
    <w:rsid w:val="002A06EE"/>
    <w:rsid w:val="002A1674"/>
    <w:rsid w:val="002A2D2E"/>
    <w:rsid w:val="002A3CE9"/>
    <w:rsid w:val="002A43A3"/>
    <w:rsid w:val="002A4D50"/>
    <w:rsid w:val="002A4E5D"/>
    <w:rsid w:val="002A7DF5"/>
    <w:rsid w:val="002B4A83"/>
    <w:rsid w:val="002B5A5A"/>
    <w:rsid w:val="002C005C"/>
    <w:rsid w:val="002C7886"/>
    <w:rsid w:val="002D63EB"/>
    <w:rsid w:val="002D7C58"/>
    <w:rsid w:val="002E38A1"/>
    <w:rsid w:val="002E54B4"/>
    <w:rsid w:val="002F02E8"/>
    <w:rsid w:val="002F5A69"/>
    <w:rsid w:val="00301925"/>
    <w:rsid w:val="003032B6"/>
    <w:rsid w:val="00303EF4"/>
    <w:rsid w:val="003044E1"/>
    <w:rsid w:val="00304BF7"/>
    <w:rsid w:val="0030518C"/>
    <w:rsid w:val="003053BF"/>
    <w:rsid w:val="003060E8"/>
    <w:rsid w:val="00307195"/>
    <w:rsid w:val="003078A9"/>
    <w:rsid w:val="0031307D"/>
    <w:rsid w:val="0031335A"/>
    <w:rsid w:val="00313C92"/>
    <w:rsid w:val="00320F98"/>
    <w:rsid w:val="003222ED"/>
    <w:rsid w:val="0032540A"/>
    <w:rsid w:val="00335E3E"/>
    <w:rsid w:val="003404BF"/>
    <w:rsid w:val="003409E3"/>
    <w:rsid w:val="00341FEC"/>
    <w:rsid w:val="00343749"/>
    <w:rsid w:val="00345C33"/>
    <w:rsid w:val="003464D0"/>
    <w:rsid w:val="00352C9E"/>
    <w:rsid w:val="00353D63"/>
    <w:rsid w:val="003550C1"/>
    <w:rsid w:val="00361892"/>
    <w:rsid w:val="003630DD"/>
    <w:rsid w:val="00364AEF"/>
    <w:rsid w:val="00365B70"/>
    <w:rsid w:val="003660ED"/>
    <w:rsid w:val="003723D1"/>
    <w:rsid w:val="00374AF6"/>
    <w:rsid w:val="00375AC4"/>
    <w:rsid w:val="003764F8"/>
    <w:rsid w:val="00377775"/>
    <w:rsid w:val="003835BA"/>
    <w:rsid w:val="0038505F"/>
    <w:rsid w:val="00386377"/>
    <w:rsid w:val="003871EA"/>
    <w:rsid w:val="0038751C"/>
    <w:rsid w:val="0039009E"/>
    <w:rsid w:val="00391866"/>
    <w:rsid w:val="0039346E"/>
    <w:rsid w:val="003947EE"/>
    <w:rsid w:val="00397389"/>
    <w:rsid w:val="003A1586"/>
    <w:rsid w:val="003A1AAC"/>
    <w:rsid w:val="003A6515"/>
    <w:rsid w:val="003B0550"/>
    <w:rsid w:val="003B0FC7"/>
    <w:rsid w:val="003B1455"/>
    <w:rsid w:val="003B19FE"/>
    <w:rsid w:val="003B2D15"/>
    <w:rsid w:val="003B3305"/>
    <w:rsid w:val="003B3F90"/>
    <w:rsid w:val="003B694F"/>
    <w:rsid w:val="003C3EF3"/>
    <w:rsid w:val="003C4559"/>
    <w:rsid w:val="003C5C9E"/>
    <w:rsid w:val="003C7801"/>
    <w:rsid w:val="003E2A8E"/>
    <w:rsid w:val="003E50C9"/>
    <w:rsid w:val="003E5255"/>
    <w:rsid w:val="003F171C"/>
    <w:rsid w:val="003F2FE3"/>
    <w:rsid w:val="00400B0D"/>
    <w:rsid w:val="0040171D"/>
    <w:rsid w:val="00402140"/>
    <w:rsid w:val="0040330F"/>
    <w:rsid w:val="00403876"/>
    <w:rsid w:val="00404242"/>
    <w:rsid w:val="00412ABA"/>
    <w:rsid w:val="00412FC5"/>
    <w:rsid w:val="00413259"/>
    <w:rsid w:val="00414B9D"/>
    <w:rsid w:val="00414DC9"/>
    <w:rsid w:val="00415666"/>
    <w:rsid w:val="00416AB1"/>
    <w:rsid w:val="00416E82"/>
    <w:rsid w:val="00417B85"/>
    <w:rsid w:val="00422276"/>
    <w:rsid w:val="004238AE"/>
    <w:rsid w:val="004242F1"/>
    <w:rsid w:val="0043161B"/>
    <w:rsid w:val="00433FA6"/>
    <w:rsid w:val="00437254"/>
    <w:rsid w:val="0044180A"/>
    <w:rsid w:val="00441EAB"/>
    <w:rsid w:val="004456B8"/>
    <w:rsid w:val="00445A00"/>
    <w:rsid w:val="00445C42"/>
    <w:rsid w:val="00451B0F"/>
    <w:rsid w:val="0045464C"/>
    <w:rsid w:val="00457B1C"/>
    <w:rsid w:val="00457DB0"/>
    <w:rsid w:val="0046097D"/>
    <w:rsid w:val="00461005"/>
    <w:rsid w:val="004646E4"/>
    <w:rsid w:val="00467160"/>
    <w:rsid w:val="00470031"/>
    <w:rsid w:val="00471C19"/>
    <w:rsid w:val="004736E3"/>
    <w:rsid w:val="004804AC"/>
    <w:rsid w:val="00481703"/>
    <w:rsid w:val="004817B6"/>
    <w:rsid w:val="004861E2"/>
    <w:rsid w:val="004915D3"/>
    <w:rsid w:val="00491DEF"/>
    <w:rsid w:val="00495526"/>
    <w:rsid w:val="00495D2C"/>
    <w:rsid w:val="004A32F7"/>
    <w:rsid w:val="004A3E45"/>
    <w:rsid w:val="004A4A15"/>
    <w:rsid w:val="004A6046"/>
    <w:rsid w:val="004A794B"/>
    <w:rsid w:val="004B0963"/>
    <w:rsid w:val="004B3D4A"/>
    <w:rsid w:val="004C2EE3"/>
    <w:rsid w:val="004D0AA9"/>
    <w:rsid w:val="004D0ABA"/>
    <w:rsid w:val="004D14B0"/>
    <w:rsid w:val="004D53C6"/>
    <w:rsid w:val="004D6D3E"/>
    <w:rsid w:val="004E068E"/>
    <w:rsid w:val="004E0D3D"/>
    <w:rsid w:val="004E3178"/>
    <w:rsid w:val="004E4A22"/>
    <w:rsid w:val="004E6FAA"/>
    <w:rsid w:val="004F191A"/>
    <w:rsid w:val="004F1CFC"/>
    <w:rsid w:val="004F5787"/>
    <w:rsid w:val="004F6EB7"/>
    <w:rsid w:val="00510B2F"/>
    <w:rsid w:val="00511968"/>
    <w:rsid w:val="00511CE0"/>
    <w:rsid w:val="00514307"/>
    <w:rsid w:val="0052190A"/>
    <w:rsid w:val="00522132"/>
    <w:rsid w:val="005239DD"/>
    <w:rsid w:val="00526FF4"/>
    <w:rsid w:val="005304D2"/>
    <w:rsid w:val="00536DB9"/>
    <w:rsid w:val="00537FB4"/>
    <w:rsid w:val="00540498"/>
    <w:rsid w:val="005405B2"/>
    <w:rsid w:val="00542D88"/>
    <w:rsid w:val="00543FF2"/>
    <w:rsid w:val="00550D85"/>
    <w:rsid w:val="00550F4B"/>
    <w:rsid w:val="005521B2"/>
    <w:rsid w:val="00553C77"/>
    <w:rsid w:val="00554B33"/>
    <w:rsid w:val="0055614C"/>
    <w:rsid w:val="00564FEC"/>
    <w:rsid w:val="00565291"/>
    <w:rsid w:val="005720D2"/>
    <w:rsid w:val="00572475"/>
    <w:rsid w:val="0057352D"/>
    <w:rsid w:val="00573EDE"/>
    <w:rsid w:val="0057483C"/>
    <w:rsid w:val="00576E98"/>
    <w:rsid w:val="00577121"/>
    <w:rsid w:val="0057731D"/>
    <w:rsid w:val="00581372"/>
    <w:rsid w:val="00581D62"/>
    <w:rsid w:val="00584CC2"/>
    <w:rsid w:val="00586B01"/>
    <w:rsid w:val="00587467"/>
    <w:rsid w:val="00587A87"/>
    <w:rsid w:val="005903DF"/>
    <w:rsid w:val="00593180"/>
    <w:rsid w:val="00593188"/>
    <w:rsid w:val="00594814"/>
    <w:rsid w:val="00594B0A"/>
    <w:rsid w:val="00596D22"/>
    <w:rsid w:val="005A4612"/>
    <w:rsid w:val="005A5D0D"/>
    <w:rsid w:val="005A696E"/>
    <w:rsid w:val="005A6F5E"/>
    <w:rsid w:val="005B197F"/>
    <w:rsid w:val="005B2354"/>
    <w:rsid w:val="005B3173"/>
    <w:rsid w:val="005B4979"/>
    <w:rsid w:val="005C2A41"/>
    <w:rsid w:val="005C341B"/>
    <w:rsid w:val="005C5111"/>
    <w:rsid w:val="005C5299"/>
    <w:rsid w:val="005C6A18"/>
    <w:rsid w:val="005D02F7"/>
    <w:rsid w:val="005D2E18"/>
    <w:rsid w:val="005D5498"/>
    <w:rsid w:val="005D6ED1"/>
    <w:rsid w:val="005E14C2"/>
    <w:rsid w:val="005E2471"/>
    <w:rsid w:val="005E29B7"/>
    <w:rsid w:val="005E33A3"/>
    <w:rsid w:val="005E59A2"/>
    <w:rsid w:val="005E648D"/>
    <w:rsid w:val="005E7EA0"/>
    <w:rsid w:val="005F287E"/>
    <w:rsid w:val="005F365C"/>
    <w:rsid w:val="005F5812"/>
    <w:rsid w:val="00607BA5"/>
    <w:rsid w:val="006106B2"/>
    <w:rsid w:val="006124F9"/>
    <w:rsid w:val="006129C1"/>
    <w:rsid w:val="00613B43"/>
    <w:rsid w:val="006163A0"/>
    <w:rsid w:val="006179D7"/>
    <w:rsid w:val="006256FA"/>
    <w:rsid w:val="006263F3"/>
    <w:rsid w:val="00626EB6"/>
    <w:rsid w:val="00627EC5"/>
    <w:rsid w:val="00630288"/>
    <w:rsid w:val="0063651B"/>
    <w:rsid w:val="00646D13"/>
    <w:rsid w:val="00646D8B"/>
    <w:rsid w:val="00650D3B"/>
    <w:rsid w:val="00652BB8"/>
    <w:rsid w:val="0065550F"/>
    <w:rsid w:val="006557F9"/>
    <w:rsid w:val="00655D03"/>
    <w:rsid w:val="00657364"/>
    <w:rsid w:val="00662BAD"/>
    <w:rsid w:val="006678F8"/>
    <w:rsid w:val="006726CA"/>
    <w:rsid w:val="00672F3C"/>
    <w:rsid w:val="006736F8"/>
    <w:rsid w:val="0067629F"/>
    <w:rsid w:val="00683388"/>
    <w:rsid w:val="00683F84"/>
    <w:rsid w:val="00684289"/>
    <w:rsid w:val="006845E2"/>
    <w:rsid w:val="00687C2A"/>
    <w:rsid w:val="00690747"/>
    <w:rsid w:val="00691068"/>
    <w:rsid w:val="0069146C"/>
    <w:rsid w:val="006924B6"/>
    <w:rsid w:val="00692A2D"/>
    <w:rsid w:val="006931B7"/>
    <w:rsid w:val="00694A45"/>
    <w:rsid w:val="00697839"/>
    <w:rsid w:val="006A09D0"/>
    <w:rsid w:val="006A3170"/>
    <w:rsid w:val="006A3910"/>
    <w:rsid w:val="006A6A81"/>
    <w:rsid w:val="006B0330"/>
    <w:rsid w:val="006B2DF5"/>
    <w:rsid w:val="006B423A"/>
    <w:rsid w:val="006B4FC9"/>
    <w:rsid w:val="006B70D3"/>
    <w:rsid w:val="006C1135"/>
    <w:rsid w:val="006C1E23"/>
    <w:rsid w:val="006C3340"/>
    <w:rsid w:val="006C75C4"/>
    <w:rsid w:val="006C7B91"/>
    <w:rsid w:val="006D02C1"/>
    <w:rsid w:val="006D053F"/>
    <w:rsid w:val="006D1255"/>
    <w:rsid w:val="006D19DC"/>
    <w:rsid w:val="006D4C90"/>
    <w:rsid w:val="006D4E70"/>
    <w:rsid w:val="006D6592"/>
    <w:rsid w:val="006E13B3"/>
    <w:rsid w:val="006E333E"/>
    <w:rsid w:val="006E3C4A"/>
    <w:rsid w:val="006E4F4B"/>
    <w:rsid w:val="006F7393"/>
    <w:rsid w:val="00701B0F"/>
    <w:rsid w:val="0070224F"/>
    <w:rsid w:val="00703DE3"/>
    <w:rsid w:val="00710802"/>
    <w:rsid w:val="007115F7"/>
    <w:rsid w:val="007143EA"/>
    <w:rsid w:val="007154F5"/>
    <w:rsid w:val="0072100E"/>
    <w:rsid w:val="007226E1"/>
    <w:rsid w:val="00724FE7"/>
    <w:rsid w:val="00727B21"/>
    <w:rsid w:val="007304DE"/>
    <w:rsid w:val="00730E8D"/>
    <w:rsid w:val="00731F58"/>
    <w:rsid w:val="00732149"/>
    <w:rsid w:val="007338BD"/>
    <w:rsid w:val="00734276"/>
    <w:rsid w:val="00735540"/>
    <w:rsid w:val="007366EC"/>
    <w:rsid w:val="00737560"/>
    <w:rsid w:val="007423B5"/>
    <w:rsid w:val="00742B29"/>
    <w:rsid w:val="00753713"/>
    <w:rsid w:val="00754E7B"/>
    <w:rsid w:val="00755DEF"/>
    <w:rsid w:val="00764547"/>
    <w:rsid w:val="0076545C"/>
    <w:rsid w:val="00767726"/>
    <w:rsid w:val="00770B13"/>
    <w:rsid w:val="007732E2"/>
    <w:rsid w:val="007765BB"/>
    <w:rsid w:val="00777FC1"/>
    <w:rsid w:val="0078105F"/>
    <w:rsid w:val="007810E4"/>
    <w:rsid w:val="007831AF"/>
    <w:rsid w:val="0078345C"/>
    <w:rsid w:val="00783758"/>
    <w:rsid w:val="00785689"/>
    <w:rsid w:val="007856F0"/>
    <w:rsid w:val="00787E1C"/>
    <w:rsid w:val="00792A28"/>
    <w:rsid w:val="00794A71"/>
    <w:rsid w:val="00794C91"/>
    <w:rsid w:val="00796E0B"/>
    <w:rsid w:val="0079754B"/>
    <w:rsid w:val="00797BBB"/>
    <w:rsid w:val="007A1E6D"/>
    <w:rsid w:val="007A3871"/>
    <w:rsid w:val="007A4B35"/>
    <w:rsid w:val="007A557C"/>
    <w:rsid w:val="007B0EB2"/>
    <w:rsid w:val="007B3636"/>
    <w:rsid w:val="007B519F"/>
    <w:rsid w:val="007B5C2C"/>
    <w:rsid w:val="007C2BB3"/>
    <w:rsid w:val="007C6C50"/>
    <w:rsid w:val="007D2255"/>
    <w:rsid w:val="007D29CA"/>
    <w:rsid w:val="007D2BF9"/>
    <w:rsid w:val="007D4108"/>
    <w:rsid w:val="007D4AAA"/>
    <w:rsid w:val="007D7E1D"/>
    <w:rsid w:val="007E76F3"/>
    <w:rsid w:val="007F0DE5"/>
    <w:rsid w:val="007F13AC"/>
    <w:rsid w:val="007F3DCD"/>
    <w:rsid w:val="007F4D69"/>
    <w:rsid w:val="007F5C7E"/>
    <w:rsid w:val="007F63F2"/>
    <w:rsid w:val="007F7185"/>
    <w:rsid w:val="00810AEE"/>
    <w:rsid w:val="00810B6F"/>
    <w:rsid w:val="00811374"/>
    <w:rsid w:val="008140D8"/>
    <w:rsid w:val="00815C61"/>
    <w:rsid w:val="00816E2D"/>
    <w:rsid w:val="0082158F"/>
    <w:rsid w:val="00822CE0"/>
    <w:rsid w:val="0082513F"/>
    <w:rsid w:val="008258A6"/>
    <w:rsid w:val="00831CB7"/>
    <w:rsid w:val="0083429A"/>
    <w:rsid w:val="008347A5"/>
    <w:rsid w:val="00841AB1"/>
    <w:rsid w:val="00844A56"/>
    <w:rsid w:val="008508B4"/>
    <w:rsid w:val="0085616A"/>
    <w:rsid w:val="00860554"/>
    <w:rsid w:val="00863F9E"/>
    <w:rsid w:val="0086765A"/>
    <w:rsid w:val="00870900"/>
    <w:rsid w:val="0087117E"/>
    <w:rsid w:val="00890C41"/>
    <w:rsid w:val="00891215"/>
    <w:rsid w:val="008919E2"/>
    <w:rsid w:val="0089516B"/>
    <w:rsid w:val="00897C35"/>
    <w:rsid w:val="008A1351"/>
    <w:rsid w:val="008A3666"/>
    <w:rsid w:val="008A401F"/>
    <w:rsid w:val="008A40A1"/>
    <w:rsid w:val="008A4B5C"/>
    <w:rsid w:val="008A4FBB"/>
    <w:rsid w:val="008A5368"/>
    <w:rsid w:val="008A5D31"/>
    <w:rsid w:val="008B07F4"/>
    <w:rsid w:val="008B0A05"/>
    <w:rsid w:val="008B3E94"/>
    <w:rsid w:val="008C10D7"/>
    <w:rsid w:val="008C618E"/>
    <w:rsid w:val="008C68F1"/>
    <w:rsid w:val="008C6AC0"/>
    <w:rsid w:val="008C7DA9"/>
    <w:rsid w:val="008D4492"/>
    <w:rsid w:val="008E2CB2"/>
    <w:rsid w:val="008E3B4C"/>
    <w:rsid w:val="008E5902"/>
    <w:rsid w:val="008E5ACF"/>
    <w:rsid w:val="008F065F"/>
    <w:rsid w:val="008F2D0B"/>
    <w:rsid w:val="008F5582"/>
    <w:rsid w:val="008F676B"/>
    <w:rsid w:val="0090023B"/>
    <w:rsid w:val="00906F2D"/>
    <w:rsid w:val="009115AE"/>
    <w:rsid w:val="0091695E"/>
    <w:rsid w:val="00920DF6"/>
    <w:rsid w:val="00921803"/>
    <w:rsid w:val="0092213A"/>
    <w:rsid w:val="00922151"/>
    <w:rsid w:val="00923CB8"/>
    <w:rsid w:val="0092513B"/>
    <w:rsid w:val="00926503"/>
    <w:rsid w:val="00927C97"/>
    <w:rsid w:val="009328BC"/>
    <w:rsid w:val="00936312"/>
    <w:rsid w:val="00937EA1"/>
    <w:rsid w:val="0094105A"/>
    <w:rsid w:val="00944884"/>
    <w:rsid w:val="00946CA2"/>
    <w:rsid w:val="009559C9"/>
    <w:rsid w:val="00964BB4"/>
    <w:rsid w:val="00966538"/>
    <w:rsid w:val="009679A8"/>
    <w:rsid w:val="00971575"/>
    <w:rsid w:val="009726D8"/>
    <w:rsid w:val="00972B20"/>
    <w:rsid w:val="00983537"/>
    <w:rsid w:val="009851FD"/>
    <w:rsid w:val="00992E55"/>
    <w:rsid w:val="00997252"/>
    <w:rsid w:val="009A04B0"/>
    <w:rsid w:val="009A058E"/>
    <w:rsid w:val="009A0A6E"/>
    <w:rsid w:val="009A4531"/>
    <w:rsid w:val="009A7043"/>
    <w:rsid w:val="009B2456"/>
    <w:rsid w:val="009B30BC"/>
    <w:rsid w:val="009B333E"/>
    <w:rsid w:val="009B6865"/>
    <w:rsid w:val="009B72D2"/>
    <w:rsid w:val="009C339E"/>
    <w:rsid w:val="009C3668"/>
    <w:rsid w:val="009D2A18"/>
    <w:rsid w:val="009D2EEA"/>
    <w:rsid w:val="009D58D8"/>
    <w:rsid w:val="009D78D8"/>
    <w:rsid w:val="009E1BE2"/>
    <w:rsid w:val="009E2D69"/>
    <w:rsid w:val="009F07BA"/>
    <w:rsid w:val="009F15EC"/>
    <w:rsid w:val="009F1704"/>
    <w:rsid w:val="009F2245"/>
    <w:rsid w:val="009F3D37"/>
    <w:rsid w:val="009F667F"/>
    <w:rsid w:val="009F7198"/>
    <w:rsid w:val="009F76DB"/>
    <w:rsid w:val="00A018B9"/>
    <w:rsid w:val="00A028A5"/>
    <w:rsid w:val="00A034CE"/>
    <w:rsid w:val="00A04BB6"/>
    <w:rsid w:val="00A061B1"/>
    <w:rsid w:val="00A06C6F"/>
    <w:rsid w:val="00A104E8"/>
    <w:rsid w:val="00A113DE"/>
    <w:rsid w:val="00A1427F"/>
    <w:rsid w:val="00A148B2"/>
    <w:rsid w:val="00A152F3"/>
    <w:rsid w:val="00A223FC"/>
    <w:rsid w:val="00A243EE"/>
    <w:rsid w:val="00A25CDB"/>
    <w:rsid w:val="00A26B0A"/>
    <w:rsid w:val="00A26BE3"/>
    <w:rsid w:val="00A32599"/>
    <w:rsid w:val="00A32C3B"/>
    <w:rsid w:val="00A348F7"/>
    <w:rsid w:val="00A4029A"/>
    <w:rsid w:val="00A438E4"/>
    <w:rsid w:val="00A43F34"/>
    <w:rsid w:val="00A44350"/>
    <w:rsid w:val="00A450A1"/>
    <w:rsid w:val="00A45F4F"/>
    <w:rsid w:val="00A46BD9"/>
    <w:rsid w:val="00A4766A"/>
    <w:rsid w:val="00A50E43"/>
    <w:rsid w:val="00A52012"/>
    <w:rsid w:val="00A53C19"/>
    <w:rsid w:val="00A53F34"/>
    <w:rsid w:val="00A57643"/>
    <w:rsid w:val="00A600A9"/>
    <w:rsid w:val="00A662C3"/>
    <w:rsid w:val="00A743E2"/>
    <w:rsid w:val="00A803D9"/>
    <w:rsid w:val="00A827FB"/>
    <w:rsid w:val="00A82944"/>
    <w:rsid w:val="00A830E1"/>
    <w:rsid w:val="00A8522D"/>
    <w:rsid w:val="00A86206"/>
    <w:rsid w:val="00A9051C"/>
    <w:rsid w:val="00A90E29"/>
    <w:rsid w:val="00A91BE5"/>
    <w:rsid w:val="00A938C0"/>
    <w:rsid w:val="00A97B87"/>
    <w:rsid w:val="00AA292A"/>
    <w:rsid w:val="00AA33B1"/>
    <w:rsid w:val="00AA4140"/>
    <w:rsid w:val="00AA55B7"/>
    <w:rsid w:val="00AA5B9E"/>
    <w:rsid w:val="00AB1819"/>
    <w:rsid w:val="00AB22BF"/>
    <w:rsid w:val="00AB2407"/>
    <w:rsid w:val="00AB4A24"/>
    <w:rsid w:val="00AB4C66"/>
    <w:rsid w:val="00AB53DF"/>
    <w:rsid w:val="00AB678B"/>
    <w:rsid w:val="00AB6886"/>
    <w:rsid w:val="00AB7B4F"/>
    <w:rsid w:val="00AC05D3"/>
    <w:rsid w:val="00AC0983"/>
    <w:rsid w:val="00AC23FA"/>
    <w:rsid w:val="00AC5F0B"/>
    <w:rsid w:val="00AC7C6B"/>
    <w:rsid w:val="00AD42FE"/>
    <w:rsid w:val="00AD4C99"/>
    <w:rsid w:val="00AD6AF1"/>
    <w:rsid w:val="00AE014A"/>
    <w:rsid w:val="00AE20D0"/>
    <w:rsid w:val="00AE2DBA"/>
    <w:rsid w:val="00AE7038"/>
    <w:rsid w:val="00AF1381"/>
    <w:rsid w:val="00B06448"/>
    <w:rsid w:val="00B074EB"/>
    <w:rsid w:val="00B07E5C"/>
    <w:rsid w:val="00B12E27"/>
    <w:rsid w:val="00B13472"/>
    <w:rsid w:val="00B169D3"/>
    <w:rsid w:val="00B22B99"/>
    <w:rsid w:val="00B25492"/>
    <w:rsid w:val="00B259DA"/>
    <w:rsid w:val="00B26511"/>
    <w:rsid w:val="00B26FA7"/>
    <w:rsid w:val="00B31F7E"/>
    <w:rsid w:val="00B32D31"/>
    <w:rsid w:val="00B33142"/>
    <w:rsid w:val="00B35651"/>
    <w:rsid w:val="00B3706C"/>
    <w:rsid w:val="00B40621"/>
    <w:rsid w:val="00B43504"/>
    <w:rsid w:val="00B435F1"/>
    <w:rsid w:val="00B476FF"/>
    <w:rsid w:val="00B5615D"/>
    <w:rsid w:val="00B60B96"/>
    <w:rsid w:val="00B613AC"/>
    <w:rsid w:val="00B660D2"/>
    <w:rsid w:val="00B66205"/>
    <w:rsid w:val="00B6672F"/>
    <w:rsid w:val="00B73ACB"/>
    <w:rsid w:val="00B74515"/>
    <w:rsid w:val="00B74881"/>
    <w:rsid w:val="00B80F53"/>
    <w:rsid w:val="00B811F7"/>
    <w:rsid w:val="00B82233"/>
    <w:rsid w:val="00B8278D"/>
    <w:rsid w:val="00B834AA"/>
    <w:rsid w:val="00B855B5"/>
    <w:rsid w:val="00B863E4"/>
    <w:rsid w:val="00B9467B"/>
    <w:rsid w:val="00B97808"/>
    <w:rsid w:val="00BA1BD5"/>
    <w:rsid w:val="00BA5083"/>
    <w:rsid w:val="00BA5DC6"/>
    <w:rsid w:val="00BA6196"/>
    <w:rsid w:val="00BB60AB"/>
    <w:rsid w:val="00BB7064"/>
    <w:rsid w:val="00BB7EC0"/>
    <w:rsid w:val="00BC3B21"/>
    <w:rsid w:val="00BC4BED"/>
    <w:rsid w:val="00BC55FE"/>
    <w:rsid w:val="00BC56FD"/>
    <w:rsid w:val="00BC6D8C"/>
    <w:rsid w:val="00BC741D"/>
    <w:rsid w:val="00BD0173"/>
    <w:rsid w:val="00BD5D6B"/>
    <w:rsid w:val="00BE00EA"/>
    <w:rsid w:val="00BE0F22"/>
    <w:rsid w:val="00BE3009"/>
    <w:rsid w:val="00BE6EC6"/>
    <w:rsid w:val="00BF2DA5"/>
    <w:rsid w:val="00BF4058"/>
    <w:rsid w:val="00BF5979"/>
    <w:rsid w:val="00C005C9"/>
    <w:rsid w:val="00C1035D"/>
    <w:rsid w:val="00C13B40"/>
    <w:rsid w:val="00C1427C"/>
    <w:rsid w:val="00C17B27"/>
    <w:rsid w:val="00C2535F"/>
    <w:rsid w:val="00C30CC4"/>
    <w:rsid w:val="00C34006"/>
    <w:rsid w:val="00C377D7"/>
    <w:rsid w:val="00C377F1"/>
    <w:rsid w:val="00C402C8"/>
    <w:rsid w:val="00C410C1"/>
    <w:rsid w:val="00C424F2"/>
    <w:rsid w:val="00C426B1"/>
    <w:rsid w:val="00C42B46"/>
    <w:rsid w:val="00C51F2E"/>
    <w:rsid w:val="00C556E9"/>
    <w:rsid w:val="00C61653"/>
    <w:rsid w:val="00C62A2E"/>
    <w:rsid w:val="00C6336C"/>
    <w:rsid w:val="00C66160"/>
    <w:rsid w:val="00C679C1"/>
    <w:rsid w:val="00C7086D"/>
    <w:rsid w:val="00C70F59"/>
    <w:rsid w:val="00C721AC"/>
    <w:rsid w:val="00C73CEB"/>
    <w:rsid w:val="00C74532"/>
    <w:rsid w:val="00C75BCB"/>
    <w:rsid w:val="00C768AB"/>
    <w:rsid w:val="00C76AE4"/>
    <w:rsid w:val="00C81AB2"/>
    <w:rsid w:val="00C90D6A"/>
    <w:rsid w:val="00C9196A"/>
    <w:rsid w:val="00C96071"/>
    <w:rsid w:val="00C96238"/>
    <w:rsid w:val="00CA247E"/>
    <w:rsid w:val="00CA258C"/>
    <w:rsid w:val="00CA6B6A"/>
    <w:rsid w:val="00CB0A90"/>
    <w:rsid w:val="00CB369B"/>
    <w:rsid w:val="00CB5EB7"/>
    <w:rsid w:val="00CB6488"/>
    <w:rsid w:val="00CB6A56"/>
    <w:rsid w:val="00CB74FD"/>
    <w:rsid w:val="00CC72B6"/>
    <w:rsid w:val="00CD0694"/>
    <w:rsid w:val="00CD0DFC"/>
    <w:rsid w:val="00CD20F9"/>
    <w:rsid w:val="00CD44CC"/>
    <w:rsid w:val="00CD472E"/>
    <w:rsid w:val="00CE5566"/>
    <w:rsid w:val="00CE6590"/>
    <w:rsid w:val="00CF1449"/>
    <w:rsid w:val="00CF65BD"/>
    <w:rsid w:val="00CF72B8"/>
    <w:rsid w:val="00D0218D"/>
    <w:rsid w:val="00D02238"/>
    <w:rsid w:val="00D031B8"/>
    <w:rsid w:val="00D03305"/>
    <w:rsid w:val="00D03BF3"/>
    <w:rsid w:val="00D05584"/>
    <w:rsid w:val="00D065BF"/>
    <w:rsid w:val="00D104C7"/>
    <w:rsid w:val="00D106E5"/>
    <w:rsid w:val="00D160BC"/>
    <w:rsid w:val="00D206FA"/>
    <w:rsid w:val="00D22DBE"/>
    <w:rsid w:val="00D23F89"/>
    <w:rsid w:val="00D25FB5"/>
    <w:rsid w:val="00D33445"/>
    <w:rsid w:val="00D33633"/>
    <w:rsid w:val="00D402DF"/>
    <w:rsid w:val="00D411C4"/>
    <w:rsid w:val="00D41BD0"/>
    <w:rsid w:val="00D44223"/>
    <w:rsid w:val="00D52204"/>
    <w:rsid w:val="00D52DFF"/>
    <w:rsid w:val="00D61BDB"/>
    <w:rsid w:val="00D662FE"/>
    <w:rsid w:val="00D71C97"/>
    <w:rsid w:val="00D727D3"/>
    <w:rsid w:val="00D748DD"/>
    <w:rsid w:val="00D76B27"/>
    <w:rsid w:val="00D77F18"/>
    <w:rsid w:val="00D800D5"/>
    <w:rsid w:val="00D80AFD"/>
    <w:rsid w:val="00D8118C"/>
    <w:rsid w:val="00D811E9"/>
    <w:rsid w:val="00D82118"/>
    <w:rsid w:val="00D86AD6"/>
    <w:rsid w:val="00D8763E"/>
    <w:rsid w:val="00D92D29"/>
    <w:rsid w:val="00D9640F"/>
    <w:rsid w:val="00D96776"/>
    <w:rsid w:val="00DA10E1"/>
    <w:rsid w:val="00DA1E25"/>
    <w:rsid w:val="00DA20D1"/>
    <w:rsid w:val="00DA2529"/>
    <w:rsid w:val="00DA422C"/>
    <w:rsid w:val="00DA6895"/>
    <w:rsid w:val="00DB106C"/>
    <w:rsid w:val="00DB130A"/>
    <w:rsid w:val="00DB1ECB"/>
    <w:rsid w:val="00DB2EBB"/>
    <w:rsid w:val="00DB45D0"/>
    <w:rsid w:val="00DC102D"/>
    <w:rsid w:val="00DC10A1"/>
    <w:rsid w:val="00DC1660"/>
    <w:rsid w:val="00DC210E"/>
    <w:rsid w:val="00DC3468"/>
    <w:rsid w:val="00DC3719"/>
    <w:rsid w:val="00DC5207"/>
    <w:rsid w:val="00DC655F"/>
    <w:rsid w:val="00DC65FF"/>
    <w:rsid w:val="00DD0B59"/>
    <w:rsid w:val="00DD394D"/>
    <w:rsid w:val="00DD4DCA"/>
    <w:rsid w:val="00DD4F71"/>
    <w:rsid w:val="00DD7EBD"/>
    <w:rsid w:val="00DE0E81"/>
    <w:rsid w:val="00DE0EF0"/>
    <w:rsid w:val="00DE3653"/>
    <w:rsid w:val="00DE4D5A"/>
    <w:rsid w:val="00DE5056"/>
    <w:rsid w:val="00DE53D0"/>
    <w:rsid w:val="00DF28E0"/>
    <w:rsid w:val="00DF62B6"/>
    <w:rsid w:val="00E01AB5"/>
    <w:rsid w:val="00E01D09"/>
    <w:rsid w:val="00E07225"/>
    <w:rsid w:val="00E07CC1"/>
    <w:rsid w:val="00E07F3D"/>
    <w:rsid w:val="00E13A3F"/>
    <w:rsid w:val="00E14A7D"/>
    <w:rsid w:val="00E17294"/>
    <w:rsid w:val="00E239DC"/>
    <w:rsid w:val="00E27922"/>
    <w:rsid w:val="00E327B8"/>
    <w:rsid w:val="00E34B6F"/>
    <w:rsid w:val="00E36566"/>
    <w:rsid w:val="00E402AA"/>
    <w:rsid w:val="00E40942"/>
    <w:rsid w:val="00E409F8"/>
    <w:rsid w:val="00E42B93"/>
    <w:rsid w:val="00E457E2"/>
    <w:rsid w:val="00E45CF1"/>
    <w:rsid w:val="00E46A0C"/>
    <w:rsid w:val="00E5409F"/>
    <w:rsid w:val="00E55A2D"/>
    <w:rsid w:val="00E56542"/>
    <w:rsid w:val="00E60297"/>
    <w:rsid w:val="00E622AC"/>
    <w:rsid w:val="00E641D4"/>
    <w:rsid w:val="00E706D3"/>
    <w:rsid w:val="00E71D8C"/>
    <w:rsid w:val="00E85D64"/>
    <w:rsid w:val="00E909A4"/>
    <w:rsid w:val="00E913DD"/>
    <w:rsid w:val="00E91CFF"/>
    <w:rsid w:val="00E96954"/>
    <w:rsid w:val="00EA0C4F"/>
    <w:rsid w:val="00EA1A0B"/>
    <w:rsid w:val="00EB1546"/>
    <w:rsid w:val="00EB4E6F"/>
    <w:rsid w:val="00EB5939"/>
    <w:rsid w:val="00EC38A4"/>
    <w:rsid w:val="00EC7794"/>
    <w:rsid w:val="00ED0123"/>
    <w:rsid w:val="00ED3D22"/>
    <w:rsid w:val="00ED5FC5"/>
    <w:rsid w:val="00EE6488"/>
    <w:rsid w:val="00EF2C79"/>
    <w:rsid w:val="00EF4082"/>
    <w:rsid w:val="00EF4C4B"/>
    <w:rsid w:val="00F021FA"/>
    <w:rsid w:val="00F022D5"/>
    <w:rsid w:val="00F05642"/>
    <w:rsid w:val="00F07D76"/>
    <w:rsid w:val="00F12671"/>
    <w:rsid w:val="00F13CE5"/>
    <w:rsid w:val="00F2202F"/>
    <w:rsid w:val="00F25F62"/>
    <w:rsid w:val="00F26F13"/>
    <w:rsid w:val="00F30B44"/>
    <w:rsid w:val="00F31613"/>
    <w:rsid w:val="00F3185E"/>
    <w:rsid w:val="00F3244D"/>
    <w:rsid w:val="00F32B6D"/>
    <w:rsid w:val="00F32E3C"/>
    <w:rsid w:val="00F32ECB"/>
    <w:rsid w:val="00F36D03"/>
    <w:rsid w:val="00F40DB3"/>
    <w:rsid w:val="00F41317"/>
    <w:rsid w:val="00F4189B"/>
    <w:rsid w:val="00F42890"/>
    <w:rsid w:val="00F44746"/>
    <w:rsid w:val="00F515EB"/>
    <w:rsid w:val="00F518A3"/>
    <w:rsid w:val="00F52AA6"/>
    <w:rsid w:val="00F612F4"/>
    <w:rsid w:val="00F62E97"/>
    <w:rsid w:val="00F63F5F"/>
    <w:rsid w:val="00F64209"/>
    <w:rsid w:val="00F64BBC"/>
    <w:rsid w:val="00F71421"/>
    <w:rsid w:val="00F75D57"/>
    <w:rsid w:val="00F762ED"/>
    <w:rsid w:val="00F77FA6"/>
    <w:rsid w:val="00F805DB"/>
    <w:rsid w:val="00F84155"/>
    <w:rsid w:val="00F844DE"/>
    <w:rsid w:val="00F86AD9"/>
    <w:rsid w:val="00F87608"/>
    <w:rsid w:val="00F87A54"/>
    <w:rsid w:val="00F90275"/>
    <w:rsid w:val="00F90DF0"/>
    <w:rsid w:val="00F93BF5"/>
    <w:rsid w:val="00F94829"/>
    <w:rsid w:val="00F94ABB"/>
    <w:rsid w:val="00F95DEC"/>
    <w:rsid w:val="00F9715B"/>
    <w:rsid w:val="00FA1416"/>
    <w:rsid w:val="00FA25DF"/>
    <w:rsid w:val="00FA3739"/>
    <w:rsid w:val="00FA4A5B"/>
    <w:rsid w:val="00FB1132"/>
    <w:rsid w:val="00FB55E7"/>
    <w:rsid w:val="00FB6BEB"/>
    <w:rsid w:val="00FD39B8"/>
    <w:rsid w:val="00FD3CD4"/>
    <w:rsid w:val="00FE3273"/>
    <w:rsid w:val="00FE4F1C"/>
    <w:rsid w:val="00FF7AB5"/>
    <w:rsid w:val="6D7524F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2CD9E3A"/>
  <w15:docId w15:val="{C56419FD-ACD0-4301-9F7A-E70C8FD0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515"/>
    <w:pPr>
      <w:widowControl w:val="0"/>
    </w:pPr>
    <w:rPr>
      <w:snapToGrid w:val="0"/>
      <w:kern w:val="28"/>
      <w:sz w:val="22"/>
    </w:rPr>
  </w:style>
  <w:style w:type="paragraph" w:styleId="Heading1">
    <w:name w:val="heading 1"/>
    <w:basedOn w:val="Normal"/>
    <w:next w:val="ParaNum"/>
    <w:link w:val="Heading1Char"/>
    <w:qFormat/>
    <w:rsid w:val="00B7451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74515"/>
    <w:pPr>
      <w:keepNext/>
      <w:numPr>
        <w:ilvl w:val="1"/>
        <w:numId w:val="3"/>
      </w:numPr>
      <w:spacing w:after="120"/>
      <w:outlineLvl w:val="1"/>
    </w:pPr>
    <w:rPr>
      <w:b/>
    </w:rPr>
  </w:style>
  <w:style w:type="paragraph" w:styleId="Heading3">
    <w:name w:val="heading 3"/>
    <w:basedOn w:val="Normal"/>
    <w:next w:val="ParaNum"/>
    <w:link w:val="Heading3Char"/>
    <w:qFormat/>
    <w:rsid w:val="00B74515"/>
    <w:pPr>
      <w:keepNext/>
      <w:numPr>
        <w:ilvl w:val="2"/>
        <w:numId w:val="3"/>
      </w:numPr>
      <w:tabs>
        <w:tab w:val="left" w:pos="2160"/>
      </w:tabs>
      <w:spacing w:after="120"/>
      <w:outlineLvl w:val="2"/>
    </w:pPr>
    <w:rPr>
      <w:b/>
    </w:rPr>
  </w:style>
  <w:style w:type="paragraph" w:styleId="Heading4">
    <w:name w:val="heading 4"/>
    <w:basedOn w:val="Normal"/>
    <w:next w:val="ParaNum"/>
    <w:qFormat/>
    <w:rsid w:val="00B74515"/>
    <w:pPr>
      <w:keepNext/>
      <w:numPr>
        <w:ilvl w:val="3"/>
        <w:numId w:val="3"/>
      </w:numPr>
      <w:tabs>
        <w:tab w:val="left" w:pos="2880"/>
      </w:tabs>
      <w:spacing w:after="120"/>
      <w:outlineLvl w:val="3"/>
    </w:pPr>
    <w:rPr>
      <w:b/>
    </w:rPr>
  </w:style>
  <w:style w:type="paragraph" w:styleId="Heading5">
    <w:name w:val="heading 5"/>
    <w:basedOn w:val="Normal"/>
    <w:next w:val="ParaNum"/>
    <w:qFormat/>
    <w:rsid w:val="00B7451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74515"/>
    <w:pPr>
      <w:numPr>
        <w:ilvl w:val="5"/>
        <w:numId w:val="3"/>
      </w:numPr>
      <w:tabs>
        <w:tab w:val="left" w:pos="4320"/>
      </w:tabs>
      <w:spacing w:after="120"/>
      <w:outlineLvl w:val="5"/>
    </w:pPr>
    <w:rPr>
      <w:b/>
    </w:rPr>
  </w:style>
  <w:style w:type="paragraph" w:styleId="Heading7">
    <w:name w:val="heading 7"/>
    <w:basedOn w:val="Normal"/>
    <w:next w:val="ParaNum"/>
    <w:qFormat/>
    <w:rsid w:val="00B7451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7451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7451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7451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4515"/>
  </w:style>
  <w:style w:type="paragraph" w:customStyle="1" w:styleId="ParaNum">
    <w:name w:val="ParaNum"/>
    <w:basedOn w:val="Normal"/>
    <w:link w:val="ParaNumChar"/>
    <w:rsid w:val="00B74515"/>
    <w:pPr>
      <w:numPr>
        <w:numId w:val="2"/>
      </w:numPr>
      <w:tabs>
        <w:tab w:val="clear" w:pos="1080"/>
        <w:tab w:val="num" w:pos="1440"/>
      </w:tabs>
      <w:spacing w:after="120"/>
    </w:pPr>
  </w:style>
  <w:style w:type="paragraph" w:styleId="EndnoteText">
    <w:name w:val="endnote text"/>
    <w:basedOn w:val="Normal"/>
    <w:semiHidden/>
    <w:rsid w:val="00B74515"/>
    <w:rPr>
      <w:sz w:val="20"/>
    </w:rPr>
  </w:style>
  <w:style w:type="character" w:styleId="EndnoteReference">
    <w:name w:val="endnote reference"/>
    <w:semiHidden/>
    <w:rsid w:val="00B74515"/>
    <w:rPr>
      <w:vertAlign w:val="superscript"/>
    </w:rPr>
  </w:style>
  <w:style w:type="paragraph" w:styleId="FootnoteText">
    <w:name w:val="footnote text"/>
    <w:aliases w:val="ALTS FOOTNOTE,Footnote Text Char Char Char,Footnote Text Char Char Char Char1 Char,Footnote Text Char1 Char,Footnote Text Char1 Char Char Char,Footnote Text Char1 Char2,Footnote Text Char2,Footnote Text Char2 Char Char Char Char Char,f,fn"/>
    <w:link w:val="FootnoteTextChar"/>
    <w:rsid w:val="00B74515"/>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B74515"/>
    <w:rPr>
      <w:rFonts w:ascii="Times New Roman" w:hAnsi="Times New Roman"/>
      <w:dstrike w:val="0"/>
      <w:color w:val="auto"/>
      <w:sz w:val="20"/>
      <w:vertAlign w:val="superscript"/>
    </w:rPr>
  </w:style>
  <w:style w:type="paragraph" w:styleId="TOC1">
    <w:name w:val="toc 1"/>
    <w:basedOn w:val="Normal"/>
    <w:next w:val="Normal"/>
    <w:rsid w:val="00B74515"/>
    <w:pPr>
      <w:tabs>
        <w:tab w:val="left" w:pos="360"/>
        <w:tab w:val="right" w:leader="dot" w:pos="9360"/>
      </w:tabs>
      <w:suppressAutoHyphens/>
      <w:ind w:left="360" w:right="720" w:hanging="360"/>
    </w:pPr>
    <w:rPr>
      <w:caps/>
      <w:noProof/>
    </w:rPr>
  </w:style>
  <w:style w:type="paragraph" w:styleId="TOC2">
    <w:name w:val="toc 2"/>
    <w:basedOn w:val="Normal"/>
    <w:next w:val="Normal"/>
    <w:rsid w:val="00B74515"/>
    <w:pPr>
      <w:tabs>
        <w:tab w:val="left" w:pos="720"/>
        <w:tab w:val="right" w:leader="dot" w:pos="9360"/>
      </w:tabs>
      <w:suppressAutoHyphens/>
      <w:ind w:left="720" w:right="720" w:hanging="360"/>
    </w:pPr>
    <w:rPr>
      <w:noProof/>
    </w:rPr>
  </w:style>
  <w:style w:type="paragraph" w:styleId="TOC3">
    <w:name w:val="toc 3"/>
    <w:basedOn w:val="Normal"/>
    <w:next w:val="Normal"/>
    <w:semiHidden/>
    <w:rsid w:val="00B7451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7451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7451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7451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7451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7451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7451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74515"/>
    <w:pPr>
      <w:tabs>
        <w:tab w:val="right" w:pos="9360"/>
      </w:tabs>
      <w:suppressAutoHyphens/>
    </w:pPr>
  </w:style>
  <w:style w:type="character" w:customStyle="1" w:styleId="EquationCaption">
    <w:name w:val="_Equation Caption"/>
    <w:rsid w:val="00B74515"/>
  </w:style>
  <w:style w:type="paragraph" w:styleId="Header">
    <w:name w:val="header"/>
    <w:basedOn w:val="Normal"/>
    <w:link w:val="HeaderChar"/>
    <w:autoRedefine/>
    <w:rsid w:val="00B74515"/>
    <w:pPr>
      <w:tabs>
        <w:tab w:val="center" w:pos="4680"/>
        <w:tab w:val="right" w:pos="9360"/>
      </w:tabs>
    </w:pPr>
    <w:rPr>
      <w:b/>
    </w:rPr>
  </w:style>
  <w:style w:type="paragraph" w:styleId="Footer">
    <w:name w:val="footer"/>
    <w:basedOn w:val="Normal"/>
    <w:link w:val="FooterChar"/>
    <w:uiPriority w:val="99"/>
    <w:rsid w:val="00B74515"/>
    <w:pPr>
      <w:tabs>
        <w:tab w:val="center" w:pos="4320"/>
        <w:tab w:val="right" w:pos="8640"/>
      </w:tabs>
    </w:pPr>
  </w:style>
  <w:style w:type="character" w:styleId="PageNumber">
    <w:name w:val="page number"/>
    <w:basedOn w:val="DefaultParagraphFont"/>
    <w:rsid w:val="00B74515"/>
  </w:style>
  <w:style w:type="paragraph" w:styleId="BlockText">
    <w:name w:val="Block Text"/>
    <w:basedOn w:val="Normal"/>
    <w:rsid w:val="00B74515"/>
    <w:pPr>
      <w:spacing w:after="240"/>
      <w:ind w:left="1440" w:right="1440"/>
    </w:pPr>
  </w:style>
  <w:style w:type="paragraph" w:customStyle="1" w:styleId="Paratitle">
    <w:name w:val="Para title"/>
    <w:basedOn w:val="Normal"/>
    <w:rsid w:val="00B74515"/>
    <w:pPr>
      <w:tabs>
        <w:tab w:val="center" w:pos="9270"/>
      </w:tabs>
      <w:spacing w:after="240"/>
    </w:pPr>
    <w:rPr>
      <w:spacing w:val="-2"/>
    </w:rPr>
  </w:style>
  <w:style w:type="paragraph" w:customStyle="1" w:styleId="Bullet">
    <w:name w:val="Bullet"/>
    <w:basedOn w:val="Normal"/>
    <w:rsid w:val="00B74515"/>
    <w:pPr>
      <w:tabs>
        <w:tab w:val="left" w:pos="2160"/>
      </w:tabs>
      <w:spacing w:after="220"/>
      <w:ind w:left="2160" w:hanging="720"/>
    </w:pPr>
  </w:style>
  <w:style w:type="paragraph" w:customStyle="1" w:styleId="TableFormat">
    <w:name w:val="TableFormat"/>
    <w:basedOn w:val="Bullet"/>
    <w:rsid w:val="00B74515"/>
    <w:pPr>
      <w:tabs>
        <w:tab w:val="clear" w:pos="2160"/>
        <w:tab w:val="left" w:pos="5040"/>
      </w:tabs>
      <w:ind w:left="5040" w:hanging="3600"/>
    </w:pPr>
  </w:style>
  <w:style w:type="paragraph" w:customStyle="1" w:styleId="TOCTitle">
    <w:name w:val="TOC Title"/>
    <w:basedOn w:val="Normal"/>
    <w:rsid w:val="00B7451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74515"/>
    <w:pPr>
      <w:jc w:val="center"/>
    </w:pPr>
    <w:rPr>
      <w:rFonts w:ascii="Times New Roman Bold" w:hAnsi="Times New Roman Bold"/>
      <w:b/>
      <w:bCs/>
      <w:caps/>
      <w:szCs w:val="22"/>
    </w:rPr>
  </w:style>
  <w:style w:type="character" w:styleId="Hyperlink">
    <w:name w:val="Hyperlink"/>
    <w:rsid w:val="00B74515"/>
    <w:rPr>
      <w:color w:val="0000FF"/>
      <w:u w:val="single"/>
    </w:rPr>
  </w:style>
  <w:style w:type="character" w:customStyle="1" w:styleId="Heading1Char">
    <w:name w:val="Heading 1 Char"/>
    <w:link w:val="Heading1"/>
    <w:rsid w:val="0031307D"/>
    <w:rPr>
      <w:rFonts w:ascii="Times New Roman Bold" w:hAnsi="Times New Roman Bold"/>
      <w:b/>
      <w:caps/>
      <w:snapToGrid w:val="0"/>
      <w:kern w:val="28"/>
      <w:sz w:val="22"/>
    </w:rPr>
  </w:style>
  <w:style w:type="character" w:customStyle="1" w:styleId="Heading2Char">
    <w:name w:val="Heading 2 Char"/>
    <w:link w:val="Heading2"/>
    <w:rsid w:val="00F13CE5"/>
    <w:rPr>
      <w:b/>
      <w:snapToGrid w:val="0"/>
      <w:kern w:val="28"/>
      <w:sz w:val="22"/>
    </w:rPr>
  </w:style>
  <w:style w:type="character" w:customStyle="1" w:styleId="FooterChar">
    <w:name w:val="Footer Char"/>
    <w:link w:val="Footer"/>
    <w:uiPriority w:val="99"/>
    <w:rsid w:val="00B74515"/>
    <w:rPr>
      <w:snapToGrid w:val="0"/>
      <w:kern w:val="28"/>
      <w:sz w:val="22"/>
    </w:rPr>
  </w:style>
  <w:style w:type="paragraph" w:styleId="BalloonText">
    <w:name w:val="Balloon Text"/>
    <w:basedOn w:val="Normal"/>
    <w:link w:val="BalloonTextChar"/>
    <w:semiHidden/>
    <w:unhideWhenUsed/>
    <w:rsid w:val="00C679C1"/>
    <w:rPr>
      <w:rFonts w:ascii="Segoe UI" w:hAnsi="Segoe UI" w:cs="Segoe UI"/>
      <w:sz w:val="18"/>
      <w:szCs w:val="18"/>
    </w:rPr>
  </w:style>
  <w:style w:type="character" w:customStyle="1" w:styleId="BalloonTextChar">
    <w:name w:val="Balloon Text Char"/>
    <w:basedOn w:val="DefaultParagraphFont"/>
    <w:link w:val="BalloonText"/>
    <w:semiHidden/>
    <w:rsid w:val="00C679C1"/>
    <w:rPr>
      <w:rFonts w:ascii="Segoe UI" w:hAnsi="Segoe UI" w:cs="Segoe UI"/>
      <w:snapToGrid w:val="0"/>
      <w:kern w:val="28"/>
      <w:sz w:val="18"/>
      <w:szCs w:val="18"/>
    </w:rPr>
  </w:style>
  <w:style w:type="character" w:customStyle="1" w:styleId="FootnoteTextChar">
    <w:name w:val="Footnote Text Char"/>
    <w:aliases w:val="ALTS FOOTNOTE Char,Footnote Text Char Char Char Char,Footnote Text Char Char Char Char1 Char Char,Footnote Text Char1 Char Char,Footnote Text Char1 Char Char Char Char,Footnote Text Char1 Char2 Char,Footnote Text Char2 Char,f Char"/>
    <w:link w:val="FootnoteText"/>
    <w:locked/>
    <w:rsid w:val="00C679C1"/>
  </w:style>
  <w:style w:type="character" w:customStyle="1" w:styleId="Heading3Char">
    <w:name w:val="Heading 3 Char"/>
    <w:link w:val="Heading3"/>
    <w:rsid w:val="00C679C1"/>
    <w:rPr>
      <w:b/>
      <w:snapToGrid w:val="0"/>
      <w:kern w:val="28"/>
      <w:sz w:val="22"/>
    </w:rPr>
  </w:style>
  <w:style w:type="character" w:styleId="CommentReference">
    <w:name w:val="annotation reference"/>
    <w:uiPriority w:val="99"/>
    <w:semiHidden/>
    <w:unhideWhenUsed/>
    <w:rsid w:val="00C679C1"/>
    <w:rPr>
      <w:sz w:val="16"/>
      <w:szCs w:val="16"/>
    </w:rPr>
  </w:style>
  <w:style w:type="paragraph" w:styleId="CommentText">
    <w:name w:val="annotation text"/>
    <w:basedOn w:val="Normal"/>
    <w:link w:val="CommentTextChar"/>
    <w:uiPriority w:val="99"/>
    <w:unhideWhenUsed/>
    <w:rsid w:val="00C679C1"/>
    <w:rPr>
      <w:sz w:val="20"/>
    </w:rPr>
  </w:style>
  <w:style w:type="character" w:customStyle="1" w:styleId="CommentTextChar">
    <w:name w:val="Comment Text Char"/>
    <w:basedOn w:val="DefaultParagraphFont"/>
    <w:link w:val="CommentText"/>
    <w:uiPriority w:val="99"/>
    <w:rsid w:val="00C679C1"/>
    <w:rPr>
      <w:snapToGrid w:val="0"/>
      <w:kern w:val="28"/>
    </w:rPr>
  </w:style>
  <w:style w:type="paragraph" w:styleId="CommentSubject">
    <w:name w:val="annotation subject"/>
    <w:basedOn w:val="CommentText"/>
    <w:next w:val="CommentText"/>
    <w:link w:val="CommentSubjectChar"/>
    <w:semiHidden/>
    <w:unhideWhenUsed/>
    <w:rsid w:val="001E48A4"/>
    <w:rPr>
      <w:b/>
      <w:bCs/>
    </w:rPr>
  </w:style>
  <w:style w:type="character" w:customStyle="1" w:styleId="CommentSubjectChar">
    <w:name w:val="Comment Subject Char"/>
    <w:basedOn w:val="CommentTextChar"/>
    <w:link w:val="CommentSubject"/>
    <w:semiHidden/>
    <w:rsid w:val="001E48A4"/>
    <w:rPr>
      <w:b/>
      <w:bCs/>
      <w:snapToGrid w:val="0"/>
      <w:kern w:val="28"/>
    </w:rPr>
  </w:style>
  <w:style w:type="character" w:customStyle="1" w:styleId="ParaNumChar">
    <w:name w:val="ParaNum Char"/>
    <w:link w:val="ParaNum"/>
    <w:locked/>
    <w:rsid w:val="00D22DBE"/>
    <w:rPr>
      <w:snapToGrid w:val="0"/>
      <w:kern w:val="28"/>
      <w:sz w:val="22"/>
    </w:rPr>
  </w:style>
  <w:style w:type="paragraph" w:styleId="ListParagraph">
    <w:name w:val="List Paragraph"/>
    <w:basedOn w:val="Normal"/>
    <w:uiPriority w:val="34"/>
    <w:qFormat/>
    <w:rsid w:val="004A3E45"/>
    <w:pPr>
      <w:ind w:left="720"/>
      <w:contextualSpacing/>
    </w:pPr>
  </w:style>
  <w:style w:type="paragraph" w:styleId="Revision">
    <w:name w:val="Revision"/>
    <w:hidden/>
    <w:uiPriority w:val="99"/>
    <w:semiHidden/>
    <w:rsid w:val="0030518C"/>
    <w:rPr>
      <w:snapToGrid w:val="0"/>
      <w:kern w:val="28"/>
      <w:sz w:val="22"/>
    </w:rPr>
  </w:style>
  <w:style w:type="character" w:customStyle="1" w:styleId="HeaderChar">
    <w:name w:val="Header Char"/>
    <w:basedOn w:val="DefaultParagraphFont"/>
    <w:link w:val="Header"/>
    <w:rsid w:val="00CF1449"/>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