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40CFF" w14:paraId="2255C18D" w14:textId="77777777">
      <w:pPr>
        <w:jc w:val="right"/>
        <w:rPr>
          <w:sz w:val="24"/>
        </w:rPr>
      </w:pPr>
    </w:p>
    <w:p w:rsidR="00940CFF" w14:paraId="404AEB3C" w14:textId="15898BD9">
      <w:pPr>
        <w:jc w:val="right"/>
        <w:rPr>
          <w:b/>
          <w:sz w:val="24"/>
        </w:rPr>
      </w:pPr>
      <w:r>
        <w:rPr>
          <w:b/>
          <w:sz w:val="24"/>
        </w:rPr>
        <w:t>DA 21-</w:t>
      </w:r>
      <w:r w:rsidR="006F5267">
        <w:rPr>
          <w:b/>
          <w:sz w:val="24"/>
        </w:rPr>
        <w:t>738</w:t>
      </w:r>
    </w:p>
    <w:p w:rsidR="00940CFF" w14:paraId="152F27F4" w14:textId="2C9CA113">
      <w:pPr>
        <w:spacing w:before="60"/>
        <w:jc w:val="right"/>
        <w:rPr>
          <w:b/>
          <w:sz w:val="24"/>
        </w:rPr>
      </w:pPr>
      <w:r>
        <w:rPr>
          <w:b/>
          <w:sz w:val="24"/>
        </w:rPr>
        <w:t xml:space="preserve">Released:  </w:t>
      </w:r>
      <w:r w:rsidR="004F40FB">
        <w:rPr>
          <w:b/>
          <w:sz w:val="24"/>
        </w:rPr>
        <w:t xml:space="preserve">June </w:t>
      </w:r>
      <w:r w:rsidR="00A50050">
        <w:rPr>
          <w:b/>
          <w:sz w:val="24"/>
        </w:rPr>
        <w:t>23</w:t>
      </w:r>
      <w:r w:rsidR="004F40FB">
        <w:rPr>
          <w:b/>
          <w:sz w:val="24"/>
        </w:rPr>
        <w:t>, 2021</w:t>
      </w:r>
    </w:p>
    <w:p w:rsidR="00940CFF" w14:paraId="4D1C763C" w14:textId="77777777">
      <w:pPr>
        <w:jc w:val="right"/>
        <w:rPr>
          <w:sz w:val="24"/>
        </w:rPr>
      </w:pPr>
    </w:p>
    <w:p w:rsidR="00940CFF" w:rsidP="00983BED" w14:paraId="57F0B748" w14:textId="0BEBD46E">
      <w:pPr>
        <w:spacing w:after="240"/>
        <w:jc w:val="center"/>
        <w:rPr>
          <w:rFonts w:ascii="Times New Roman Bold" w:hAnsi="Times New Roman Bold"/>
          <w:b/>
          <w:caps/>
          <w:sz w:val="24"/>
        </w:rPr>
      </w:pPr>
      <w:r>
        <w:rPr>
          <w:rFonts w:ascii="Times New Roman Bold" w:hAnsi="Times New Roman Bold"/>
          <w:b/>
          <w:caps/>
          <w:sz w:val="24"/>
        </w:rPr>
        <w:t xml:space="preserve">CHANGE TO select INVENTORY </w:t>
      </w:r>
      <w:r w:rsidR="00450898">
        <w:rPr>
          <w:rFonts w:ascii="Times New Roman Bold" w:hAnsi="Times New Roman Bold"/>
          <w:b/>
          <w:caps/>
          <w:sz w:val="24"/>
        </w:rPr>
        <w:t xml:space="preserve">ANNOUNCED </w:t>
      </w:r>
      <w:r>
        <w:rPr>
          <w:rFonts w:ascii="Times New Roman Bold" w:hAnsi="Times New Roman Bold"/>
          <w:b/>
          <w:caps/>
          <w:sz w:val="24"/>
        </w:rPr>
        <w:t>for the auction of flexible-use service licenses in THE 3.45</w:t>
      </w:r>
      <w:r>
        <w:rPr>
          <w:rFonts w:ascii="Times New Roman Bold" w:hAnsi="Times New Roman Bold" w:hint="eastAsia"/>
          <w:b/>
          <w:caps/>
          <w:sz w:val="24"/>
        </w:rPr>
        <w:t>–</w:t>
      </w:r>
      <w:r>
        <w:rPr>
          <w:rFonts w:ascii="Times New Roman Bold" w:hAnsi="Times New Roman Bold"/>
          <w:b/>
          <w:caps/>
          <w:sz w:val="24"/>
        </w:rPr>
        <w:t>3.55 gh</w:t>
      </w:r>
      <w:r w:rsidRPr="00F939E2">
        <w:rPr>
          <w:rFonts w:ascii="Times New Roman Bold" w:hAnsi="Times New Roman Bold"/>
          <w:b/>
          <w:sz w:val="24"/>
        </w:rPr>
        <w:t>z</w:t>
      </w:r>
      <w:r>
        <w:rPr>
          <w:rFonts w:ascii="Times New Roman Bold" w:hAnsi="Times New Roman Bold"/>
          <w:b/>
          <w:caps/>
          <w:sz w:val="24"/>
        </w:rPr>
        <w:t xml:space="preserve"> Band for next</w:t>
      </w:r>
      <w:r w:rsidR="00A45E8E">
        <w:rPr>
          <w:rFonts w:ascii="Times New Roman Bold" w:hAnsi="Times New Roman Bold"/>
          <w:b/>
          <w:caps/>
          <w:sz w:val="24"/>
        </w:rPr>
        <w:noBreakHyphen/>
      </w:r>
      <w:r>
        <w:rPr>
          <w:rFonts w:ascii="Times New Roman Bold" w:hAnsi="Times New Roman Bold"/>
          <w:b/>
          <w:caps/>
          <w:sz w:val="24"/>
        </w:rPr>
        <w:t>generation wireless services (Auction 110)</w:t>
      </w:r>
    </w:p>
    <w:p w:rsidR="00D7101D" w14:paraId="3114372B" w14:textId="757AC870">
      <w:pPr>
        <w:spacing w:after="240"/>
        <w:jc w:val="center"/>
        <w:rPr>
          <w:rFonts w:ascii="Times New Roman Bold" w:hAnsi="Times New Roman Bold"/>
          <w:b/>
          <w:caps/>
          <w:sz w:val="24"/>
        </w:rPr>
      </w:pPr>
      <w:r>
        <w:rPr>
          <w:rFonts w:ascii="Times New Roman Bold" w:hAnsi="Times New Roman Bold"/>
          <w:b/>
          <w:caps/>
          <w:sz w:val="24"/>
        </w:rPr>
        <w:t>UPDATED TECHNICAL GUIDES AVAILABLE</w:t>
      </w:r>
    </w:p>
    <w:p w:rsidR="00940CFF" w14:paraId="45969A73" w14:textId="3C242B95">
      <w:pPr>
        <w:jc w:val="center"/>
        <w:rPr>
          <w:b/>
          <w:sz w:val="24"/>
        </w:rPr>
      </w:pPr>
      <w:r>
        <w:rPr>
          <w:b/>
          <w:sz w:val="24"/>
        </w:rPr>
        <w:t>AU Docket No. 21-62</w:t>
      </w:r>
    </w:p>
    <w:p w:rsidR="00940CFF" w14:paraId="3DB0043F" w14:textId="77777777">
      <w:bookmarkStart w:id="0" w:name="TOChere"/>
    </w:p>
    <w:p w:rsidR="00850346" w:rsidP="002565C7" w14:paraId="6998C398" w14:textId="0931D4D9">
      <w:pPr>
        <w:pStyle w:val="Heading1"/>
      </w:pPr>
      <w:r>
        <w:t>INTRODUCTION</w:t>
      </w:r>
    </w:p>
    <w:p w:rsidR="003236B1" w:rsidP="00F60FA0" w14:paraId="462D9C6C" w14:textId="1E4B09E4">
      <w:pPr>
        <w:pStyle w:val="ParaNum"/>
        <w:widowControl/>
      </w:pPr>
      <w:r>
        <w:t xml:space="preserve">By this Public Notice, the Office of Economics and Analytics </w:t>
      </w:r>
      <w:r w:rsidR="00394EA3">
        <w:t xml:space="preserve">(OEA) </w:t>
      </w:r>
      <w:r w:rsidR="00ED3F2C">
        <w:t>and the Wireless Telecommunications Bureau</w:t>
      </w:r>
      <w:r w:rsidR="00394EA3">
        <w:t xml:space="preserve"> </w:t>
      </w:r>
      <w:r w:rsidR="004C002A">
        <w:t>(WTB)</w:t>
      </w:r>
      <w:r w:rsidR="00394EA3">
        <w:t xml:space="preserve"> announce a change to the categories</w:t>
      </w:r>
      <w:r w:rsidR="00084E99">
        <w:t xml:space="preserve"> </w:t>
      </w:r>
      <w:r w:rsidR="00B63AB6">
        <w:t>and</w:t>
      </w:r>
      <w:r w:rsidR="00084E99">
        <w:t xml:space="preserve"> the conditions applicable to</w:t>
      </w:r>
      <w:r w:rsidR="00B63AB6">
        <w:t xml:space="preserve"> </w:t>
      </w:r>
      <w:r w:rsidR="00394EA3">
        <w:t xml:space="preserve">the </w:t>
      </w:r>
      <w:r w:rsidR="0035666D">
        <w:t xml:space="preserve">licenses </w:t>
      </w:r>
      <w:r w:rsidR="00394EA3">
        <w:t>that will be available for bidding</w:t>
      </w:r>
      <w:r w:rsidRPr="00B63AB6" w:rsidR="00B63AB6">
        <w:t xml:space="preserve"> </w:t>
      </w:r>
      <w:r w:rsidR="00B63AB6">
        <w:t xml:space="preserve">in the forthcoming auction of new flexible-use licenses in the </w:t>
      </w:r>
      <w:r w:rsidRPr="004F0F5E" w:rsidR="00B63AB6">
        <w:rPr>
          <w:snapToGrid/>
        </w:rPr>
        <w:t>3.45–3.55</w:t>
      </w:r>
      <w:r w:rsidR="00B63AB6">
        <w:t xml:space="preserve"> GHz band (Auction 110).  As a result of the</w:t>
      </w:r>
      <w:r w:rsidR="00830741">
        <w:t xml:space="preserve"> </w:t>
      </w:r>
      <w:r w:rsidR="00ED2113">
        <w:t>s</w:t>
      </w:r>
      <w:r w:rsidR="00B63AB6">
        <w:t xml:space="preserve">pecial </w:t>
      </w:r>
      <w:r w:rsidR="0050724F">
        <w:t>t</w:t>
      </w:r>
      <w:r w:rsidR="00B63AB6">
        <w:t xml:space="preserve">emporary </w:t>
      </w:r>
      <w:r w:rsidR="0050724F">
        <w:t>a</w:t>
      </w:r>
      <w:r w:rsidR="00B63AB6">
        <w:t>uthority granted to Lockheed Martin, there are changes to the inventory</w:t>
      </w:r>
      <w:r w:rsidR="00394EA3">
        <w:t xml:space="preserve"> in three partial economic areas (PEAs)</w:t>
      </w:r>
      <w:r w:rsidR="00B63AB6">
        <w:t>:</w:t>
      </w:r>
      <w:r w:rsidR="0001039B">
        <w:t xml:space="preserve"> PEA 41 (Syracuse, NY), PEA 44 (Rochester, NY), and PEA 227 (Watertown, NY).</w:t>
      </w:r>
      <w:r>
        <w:rPr>
          <w:rStyle w:val="FootnoteReference"/>
        </w:rPr>
        <w:footnoteReference w:id="3"/>
      </w:r>
      <w:r w:rsidR="00B63AB6">
        <w:t xml:space="preserve">  In addition, we </w:t>
      </w:r>
      <w:r w:rsidR="00C85031">
        <w:t xml:space="preserve">correct </w:t>
      </w:r>
      <w:r w:rsidR="00104B30">
        <w:t>an error in</w:t>
      </w:r>
      <w:r w:rsidR="00C85031">
        <w:t xml:space="preserve"> </w:t>
      </w:r>
      <w:r w:rsidR="00544947">
        <w:t>Attachment A</w:t>
      </w:r>
      <w:r w:rsidR="00E00F4A">
        <w:t xml:space="preserve"> </w:t>
      </w:r>
      <w:r w:rsidR="004B4B2F">
        <w:t>(</w:t>
      </w:r>
      <w:r w:rsidRPr="004B4B2F" w:rsidR="004B4B2F">
        <w:t>PEA Information, Upfront Payments, and Minimum Opening Bids</w:t>
      </w:r>
      <w:r w:rsidR="004B4B2F">
        <w:t xml:space="preserve">) </w:t>
      </w:r>
      <w:r w:rsidR="00562205">
        <w:t xml:space="preserve">to </w:t>
      </w:r>
      <w:r w:rsidR="000C0B04">
        <w:t xml:space="preserve">accurately </w:t>
      </w:r>
      <w:r w:rsidR="009565DF">
        <w:t>indicate</w:t>
      </w:r>
      <w:r w:rsidR="007C03A7">
        <w:t xml:space="preserve"> </w:t>
      </w:r>
      <w:r w:rsidR="00EC2D0D">
        <w:t xml:space="preserve">certain </w:t>
      </w:r>
      <w:r w:rsidR="00116141">
        <w:t xml:space="preserve">PEAs </w:t>
      </w:r>
      <w:r w:rsidR="00EC2D0D">
        <w:t>in which</w:t>
      </w:r>
      <w:r w:rsidR="00B80D4B">
        <w:t xml:space="preserve"> co</w:t>
      </w:r>
      <w:r w:rsidR="00116141">
        <w:t xml:space="preserve">ordination requirements </w:t>
      </w:r>
      <w:r w:rsidR="00393539">
        <w:t>apply</w:t>
      </w:r>
      <w:r w:rsidR="00116141">
        <w:t xml:space="preserve"> to </w:t>
      </w:r>
      <w:r w:rsidR="00B6751E">
        <w:t>both</w:t>
      </w:r>
      <w:r w:rsidR="00116141">
        <w:t xml:space="preserve"> the upper six blocks (Category 2 blocks E-J) </w:t>
      </w:r>
      <w:r w:rsidR="00104B30">
        <w:t>and</w:t>
      </w:r>
      <w:r w:rsidR="00116141">
        <w:t xml:space="preserve"> the lower four blocks (Category 1 blocks A-D)</w:t>
      </w:r>
      <w:r w:rsidR="00143DCC">
        <w:t>.</w:t>
      </w:r>
      <w:r w:rsidR="00116141">
        <w:t xml:space="preserve">  </w:t>
      </w:r>
      <w:r w:rsidR="00A37396">
        <w:t xml:space="preserve">Also, </w:t>
      </w:r>
      <w:r w:rsidR="004C002A">
        <w:t xml:space="preserve">OEA and WTB </w:t>
      </w:r>
      <w:r w:rsidRPr="006565DD" w:rsidR="00A37396">
        <w:t>make available guides that provide technical and mathematical detail regarding the</w:t>
      </w:r>
      <w:r w:rsidR="00A37396">
        <w:t xml:space="preserve"> </w:t>
      </w:r>
      <w:r w:rsidRPr="003A1E5B" w:rsidR="00A37396">
        <w:t>bidding procedures for the clock and assignment phases of Auction 1</w:t>
      </w:r>
      <w:r w:rsidR="008C4CFC">
        <w:t>1</w:t>
      </w:r>
      <w:r w:rsidRPr="003A1E5B" w:rsidR="00A37396">
        <w:t>0</w:t>
      </w:r>
      <w:r w:rsidR="008C4CFC">
        <w:t>.</w:t>
      </w:r>
      <w:r w:rsidR="004C002A">
        <w:t xml:space="preserve"> </w:t>
      </w:r>
    </w:p>
    <w:p w:rsidR="002565C7" w:rsidRPr="002565C7" w:rsidP="002565C7" w14:paraId="6A60ECE3" w14:textId="53B648A0">
      <w:pPr>
        <w:pStyle w:val="Heading1"/>
      </w:pPr>
      <w:r>
        <w:rPr>
          <w:caps w:val="0"/>
        </w:rPr>
        <w:t>BACKGROUND</w:t>
      </w:r>
    </w:p>
    <w:p w:rsidR="005D38C8" w:rsidP="004A49F9" w14:paraId="2784CCA4" w14:textId="2A0616C8">
      <w:pPr>
        <w:pStyle w:val="Heading2"/>
      </w:pPr>
      <w:r>
        <w:t xml:space="preserve">The </w:t>
      </w:r>
      <w:r>
        <w:t>Procedures and Inventory Established for Auction 110</w:t>
      </w:r>
    </w:p>
    <w:p w:rsidR="00394EA3" w:rsidP="00547DC2" w14:paraId="0B7A1958" w14:textId="30D9DA4F">
      <w:pPr>
        <w:pStyle w:val="ParaNum"/>
        <w:widowControl/>
      </w:pPr>
      <w:r>
        <w:t xml:space="preserve">On June 9, 2021, OEA and WTB </w:t>
      </w:r>
      <w:r w:rsidR="0020229C">
        <w:t>released</w:t>
      </w:r>
      <w:r>
        <w:t xml:space="preserve"> a public notice establishing the procedures to be used for Auction 110.</w:t>
      </w:r>
      <w:r>
        <w:rPr>
          <w:rStyle w:val="FootnoteReference"/>
        </w:rPr>
        <w:footnoteReference w:id="4"/>
      </w:r>
      <w:r>
        <w:t xml:space="preserve">  </w:t>
      </w:r>
      <w:r w:rsidR="0020229C">
        <w:t xml:space="preserve">The </w:t>
      </w:r>
      <w:r w:rsidRPr="0020229C" w:rsidR="0020229C">
        <w:rPr>
          <w:i/>
          <w:iCs/>
        </w:rPr>
        <w:t>Auction 110 Procedures Public Notice</w:t>
      </w:r>
      <w:r w:rsidR="0020229C">
        <w:t xml:space="preserve"> detailed application requirements, minimum opening bids, upfront payments, and other procedures for Auction 110.  </w:t>
      </w:r>
      <w:r>
        <w:t>Bidding in Auction 110 is scheduled to begin on October 5, 2021.</w:t>
      </w:r>
      <w:r w:rsidR="00D94A9B">
        <w:t xml:space="preserve">  The window for submitting a short-form application to participate in </w:t>
      </w:r>
      <w:r w:rsidR="00A15E5A">
        <w:t>Auction 110 begins on July 8, 2021</w:t>
      </w:r>
      <w:r w:rsidR="00B954DD">
        <w:t>,</w:t>
      </w:r>
      <w:r w:rsidR="00A15E5A">
        <w:t xml:space="preserve"> at 12:00 p.m. ET and ends on July 21, 2021</w:t>
      </w:r>
      <w:r w:rsidR="00B954DD">
        <w:t>,</w:t>
      </w:r>
      <w:r w:rsidR="00A15E5A">
        <w:t xml:space="preserve"> at 6:00 p.m.</w:t>
      </w:r>
    </w:p>
    <w:p w:rsidR="00AF78B2" w:rsidP="00547DC2" w14:paraId="67220489" w14:textId="18C38669">
      <w:pPr>
        <w:pStyle w:val="ParaNum"/>
        <w:widowControl/>
      </w:pPr>
      <w:r>
        <w:t xml:space="preserve">Auction 110 will offer 4,060 new flexible-use licenses for spectrum in the </w:t>
      </w:r>
      <w:r w:rsidRPr="004F0F5E" w:rsidR="00F939E2">
        <w:rPr>
          <w:snapToGrid/>
        </w:rPr>
        <w:t>3.45–3.55</w:t>
      </w:r>
      <w:r w:rsidR="00F939E2">
        <w:t xml:space="preserve"> GHz band (</w:t>
      </w:r>
      <w:r>
        <w:t>3.45 GHz band</w:t>
      </w:r>
      <w:r w:rsidR="00F939E2">
        <w:t>)</w:t>
      </w:r>
      <w:r>
        <w:t xml:space="preserve"> throughout the contiguous United States.</w:t>
      </w:r>
      <w:r>
        <w:rPr>
          <w:rStyle w:val="FootnoteReference"/>
        </w:rPr>
        <w:footnoteReference w:id="5"/>
      </w:r>
      <w:r>
        <w:t xml:space="preserve">  The 100 megahertz of spectrum in the </w:t>
      </w:r>
      <w:r>
        <w:t xml:space="preserve">band will be licensed on an unpaired basis and divided into ten 10-megahertz blocks in </w:t>
      </w:r>
      <w:r w:rsidR="0015110F">
        <w:t xml:space="preserve">the </w:t>
      </w:r>
      <w:r w:rsidR="00394EA3">
        <w:t>PEA</w:t>
      </w:r>
      <w:r w:rsidR="0015110F">
        <w:t>s</w:t>
      </w:r>
      <w:r>
        <w:t xml:space="preserve"> located in the contiguous 48 states and the District of Columbia.</w:t>
      </w:r>
      <w:r>
        <w:rPr>
          <w:rStyle w:val="FootnoteReference"/>
        </w:rPr>
        <w:footnoteReference w:id="6"/>
      </w:r>
      <w:r>
        <w:t xml:space="preserve">  These 10-megahertz blocks </w:t>
      </w:r>
      <w:r w:rsidR="00083DBB">
        <w:t>will be</w:t>
      </w:r>
      <w:r>
        <w:t xml:space="preserve"> designated as A through J.</w:t>
      </w:r>
      <w:r>
        <w:rPr>
          <w:rStyle w:val="FootnoteReference"/>
        </w:rPr>
        <w:footnoteReference w:id="7"/>
      </w:r>
    </w:p>
    <w:p w:rsidR="00C014D1" w:rsidP="00547DC2" w14:paraId="44A83412" w14:textId="67CBFDFA">
      <w:pPr>
        <w:pStyle w:val="ParaNum"/>
        <w:widowControl/>
      </w:pPr>
      <w:r>
        <w:t xml:space="preserve">In most PEAs, new licensees generally will have unrestricted use of all ten frequency blocks.  </w:t>
      </w:r>
      <w:r w:rsidR="000B3AC7">
        <w:t xml:space="preserve">Certain </w:t>
      </w:r>
      <w:r w:rsidR="009C2334">
        <w:t>blocks</w:t>
      </w:r>
      <w:r w:rsidR="000B3AC7">
        <w:t xml:space="preserve"> in the 3.45 GHz band are subject to cooperative sharing requirements, as described in the </w:t>
      </w:r>
      <w:r w:rsidR="000B3AC7">
        <w:rPr>
          <w:i/>
          <w:iCs/>
        </w:rPr>
        <w:t xml:space="preserve">3.45 </w:t>
      </w:r>
      <w:r w:rsidRPr="00154729" w:rsidR="000B3AC7">
        <w:rPr>
          <w:i/>
          <w:iCs/>
        </w:rPr>
        <w:t>GHz</w:t>
      </w:r>
      <w:r w:rsidR="000B3AC7">
        <w:rPr>
          <w:i/>
          <w:iCs/>
        </w:rPr>
        <w:t xml:space="preserve"> Second Report and Order</w:t>
      </w:r>
      <w:r w:rsidRPr="00355598" w:rsidR="000B3AC7">
        <w:t>,</w:t>
      </w:r>
      <w:r>
        <w:rPr>
          <w:rStyle w:val="FootnoteReference"/>
        </w:rPr>
        <w:footnoteReference w:id="8"/>
      </w:r>
      <w:r w:rsidR="000B3AC7">
        <w:t xml:space="preserve"> and the Public Notice issued</w:t>
      </w:r>
      <w:r w:rsidRPr="00FE5789" w:rsidR="000B3AC7">
        <w:t xml:space="preserve"> jointly by the Commission, through </w:t>
      </w:r>
      <w:r w:rsidRPr="00FE5789" w:rsidR="7A50EAFD">
        <w:t>WTB</w:t>
      </w:r>
      <w:r w:rsidRPr="00FE5789" w:rsidR="000B3AC7">
        <w:t>, and the National Telecommunications and Information Administration</w:t>
      </w:r>
      <w:r w:rsidR="000B3AC7">
        <w:t xml:space="preserve"> (NTIA).</w:t>
      </w:r>
      <w:r>
        <w:rPr>
          <w:rStyle w:val="FootnoteReference"/>
        </w:rPr>
        <w:footnoteReference w:id="9"/>
      </w:r>
      <w:r w:rsidR="000B3AC7">
        <w:t xml:space="preserve">  Under this cooperative sharing framework, existing federal users are prohibited from causing harmful interference to non-federal operations, except in limited circumstances and locations—Cooperative Planning Areas and Periodic Use Areas—where </w:t>
      </w:r>
      <w:r w:rsidRPr="00115E2E" w:rsidR="008B4807">
        <w:t>non-federal systems will not be entitled to protection against harmful interference from federal operations</w:t>
      </w:r>
      <w:r w:rsidR="000B3AC7">
        <w:t>.</w:t>
      </w:r>
      <w:r>
        <w:rPr>
          <w:rStyle w:val="FootnoteReference"/>
        </w:rPr>
        <w:footnoteReference w:id="10"/>
      </w:r>
      <w:r w:rsidR="000B3AC7">
        <w:t xml:space="preserve">  </w:t>
      </w:r>
      <w:r w:rsidR="0097157C">
        <w:t>In PEAs that cover, wholly or in part, Cooperative Planning Areas or Periodic Use Areas</w:t>
      </w:r>
      <w:r w:rsidR="000B3AC7">
        <w:t>, incumbent federal station operators</w:t>
      </w:r>
      <w:r>
        <w:rPr>
          <w:rStyle w:val="FootnoteReference"/>
        </w:rPr>
        <w:footnoteReference w:id="11"/>
      </w:r>
      <w:r w:rsidR="000B3AC7">
        <w:t xml:space="preserve"> and new flexible-use </w:t>
      </w:r>
      <w:r w:rsidR="009C2334">
        <w:t>licensees</w:t>
      </w:r>
      <w:r w:rsidR="000B3AC7">
        <w:t xml:space="preserve"> must coordinate with each other to facilitate shared use of the band in these specified areas and during specified time periods as described in the </w:t>
      </w:r>
      <w:r w:rsidRPr="00DA2EE7" w:rsidR="000B3AC7">
        <w:rPr>
          <w:i/>
          <w:iCs/>
        </w:rPr>
        <w:t>3.45 GHz Second Report and Order</w:t>
      </w:r>
      <w:r w:rsidR="000B3AC7">
        <w:t>.</w:t>
      </w:r>
      <w:r>
        <w:rPr>
          <w:rStyle w:val="FootnoteReference"/>
        </w:rPr>
        <w:footnoteReference w:id="12"/>
      </w:r>
    </w:p>
    <w:p w:rsidR="00AF78B2" w:rsidP="00547DC2" w14:paraId="0C52D87D" w14:textId="0A3BDE81">
      <w:pPr>
        <w:pStyle w:val="ParaNum"/>
        <w:widowControl/>
      </w:pPr>
      <w:r>
        <w:t>In some of the PEAs where coordination is required, all ten blocks will be subject to the same restrictions</w:t>
      </w:r>
      <w:r w:rsidR="00C24AEC">
        <w:t>.</w:t>
      </w:r>
      <w:r>
        <w:t xml:space="preserve">  </w:t>
      </w:r>
      <w:r w:rsidR="00322289">
        <w:t>I</w:t>
      </w:r>
      <w:r w:rsidR="00284989">
        <w:t>n</w:t>
      </w:r>
      <w:r>
        <w:t xml:space="preserve"> others</w:t>
      </w:r>
      <w:r w:rsidR="00547F21">
        <w:t>,</w:t>
      </w:r>
      <w:r>
        <w:t xml:space="preserve"> the restrictions </w:t>
      </w:r>
      <w:r w:rsidR="00A0740B">
        <w:t>will</w:t>
      </w:r>
      <w:r>
        <w:t xml:space="preserve"> vary depending upon the frequency block</w:t>
      </w:r>
      <w:r w:rsidR="00966EA5">
        <w:t>.  S</w:t>
      </w:r>
      <w:r>
        <w:t>pecifically, in some PEAs subject to coordination with federal incumbents, the A through D blocks may be subject to different restrictions than the E through J blocks.</w:t>
      </w:r>
      <w:r>
        <w:rPr>
          <w:rStyle w:val="FootnoteReference"/>
        </w:rPr>
        <w:footnoteReference w:id="13"/>
      </w:r>
      <w:r w:rsidR="00284989">
        <w:t xml:space="preserve">  Accordingly, the </w:t>
      </w:r>
      <w:r w:rsidRPr="00966EA5" w:rsidR="00284989">
        <w:rPr>
          <w:i/>
          <w:iCs/>
        </w:rPr>
        <w:t>Auction 110 Procedures Public Notice</w:t>
      </w:r>
      <w:r w:rsidR="00284989">
        <w:t xml:space="preserve"> established bidding categories as follows: in the 334 PEAs where all ten blocks </w:t>
      </w:r>
      <w:r w:rsidR="00531AAE">
        <w:t xml:space="preserve">would </w:t>
      </w:r>
      <w:r w:rsidR="00284989">
        <w:t xml:space="preserve">either </w:t>
      </w:r>
      <w:r w:rsidR="00531AAE">
        <w:t xml:space="preserve">be </w:t>
      </w:r>
      <w:r w:rsidR="00284989">
        <w:t xml:space="preserve">unrestricted or all subject to the same restrictions, the ten blocks </w:t>
      </w:r>
      <w:r w:rsidR="00636CC7">
        <w:t xml:space="preserve">would </w:t>
      </w:r>
      <w:r w:rsidR="00284989">
        <w:t>be considered Category 1, or “Cat1.”</w:t>
      </w:r>
      <w:r>
        <w:rPr>
          <w:rStyle w:val="FootnoteReference"/>
        </w:rPr>
        <w:footnoteReference w:id="14"/>
      </w:r>
      <w:r w:rsidR="00284989">
        <w:t xml:space="preserve">  In the 72 PEAs where the </w:t>
      </w:r>
      <w:r w:rsidR="00827129">
        <w:t xml:space="preserve">restrictions </w:t>
      </w:r>
      <w:r w:rsidR="00636CC7">
        <w:t xml:space="preserve">would </w:t>
      </w:r>
      <w:r w:rsidR="00827129">
        <w:t xml:space="preserve">differ among the ten blocks according to the </w:t>
      </w:r>
      <w:r w:rsidR="00827129">
        <w:t xml:space="preserve">frequency, the four blocks A through D </w:t>
      </w:r>
      <w:r w:rsidR="007E083C">
        <w:t xml:space="preserve">would </w:t>
      </w:r>
      <w:r w:rsidR="00827129">
        <w:t xml:space="preserve">be considered Category 1, or “Cat1,” while the six blocks E through J </w:t>
      </w:r>
      <w:r w:rsidR="001C4A91">
        <w:t xml:space="preserve">would </w:t>
      </w:r>
      <w:r w:rsidR="00827129">
        <w:t>be considered Category 2, or “Cat2,” for bidding.</w:t>
      </w:r>
      <w:r>
        <w:rPr>
          <w:rStyle w:val="FootnoteReference"/>
        </w:rPr>
        <w:footnoteReference w:id="15"/>
      </w:r>
      <w:r w:rsidR="00284989">
        <w:t xml:space="preserve"> </w:t>
      </w:r>
    </w:p>
    <w:p w:rsidR="00AB50E0" w:rsidP="00547DC2" w14:paraId="0CE0A5AE" w14:textId="17DB4D98">
      <w:pPr>
        <w:pStyle w:val="ParaNum"/>
        <w:widowControl/>
      </w:pPr>
      <w:r>
        <w:t>We remind interested parties that th</w:t>
      </w:r>
      <w:r w:rsidR="00EB72B3">
        <w:t xml:space="preserve">ey </w:t>
      </w:r>
      <w:r w:rsidR="007442C3">
        <w:t xml:space="preserve">can </w:t>
      </w:r>
      <w:r w:rsidRPr="00315914" w:rsidR="002C2D17">
        <w:t xml:space="preserve">find additional information about the cooperative sharing requirements, including information about the encumbrances in specific PEAs, on </w:t>
      </w:r>
      <w:r w:rsidR="002C2D17">
        <w:t>NTIA</w:t>
      </w:r>
      <w:r w:rsidR="000D0247">
        <w:t>’s</w:t>
      </w:r>
      <w:r w:rsidR="002C2D17">
        <w:t xml:space="preserve"> 3450-3550 MHz webpage at </w:t>
      </w:r>
      <w:hyperlink r:id="rId5" w:history="1">
        <w:r w:rsidRPr="00380BD8" w:rsidR="00F95B19">
          <w:rPr>
            <w:rStyle w:val="Hyperlink"/>
          </w:rPr>
          <w:t>https://www.ntia.doc.gov/category/3450-3550-mhz</w:t>
        </w:r>
      </w:hyperlink>
      <w:r w:rsidRPr="00315914" w:rsidR="002C2D17">
        <w:t xml:space="preserve">.  </w:t>
      </w:r>
      <w:r w:rsidR="002C2D17">
        <w:t>Interested parties can also find additional guidance and information on federal/non-federal coordination procedures in the public notice issued jointly by NTIA and the Commission.</w:t>
      </w:r>
      <w:r>
        <w:rPr>
          <w:rStyle w:val="FootnoteReference"/>
        </w:rPr>
        <w:footnoteReference w:id="16"/>
      </w:r>
      <w:r w:rsidR="002C2D17">
        <w:t xml:space="preserve">  </w:t>
      </w:r>
    </w:p>
    <w:p w:rsidR="007161BA" w:rsidP="004A49F9" w14:paraId="52232D3A" w14:textId="00F664AF">
      <w:pPr>
        <w:pStyle w:val="Heading2"/>
      </w:pPr>
      <w:r>
        <w:t>Lockheed Martin Corporation’s</w:t>
      </w:r>
      <w:r w:rsidR="00DE2B74">
        <w:t xml:space="preserve"> Operations and</w:t>
      </w:r>
      <w:r>
        <w:t xml:space="preserve"> Request</w:t>
      </w:r>
      <w:r w:rsidR="0082390F">
        <w:t>s</w:t>
      </w:r>
      <w:r>
        <w:t xml:space="preserve"> for Waiver and for Special Temporary Authority </w:t>
      </w:r>
    </w:p>
    <w:p w:rsidR="007246AB" w:rsidRPr="007246AB" w:rsidP="00F60FA0" w14:paraId="016B5216" w14:textId="370BBCE6">
      <w:pPr>
        <w:pStyle w:val="ParaNum"/>
        <w:widowControl/>
      </w:pPr>
      <w:r>
        <w:t xml:space="preserve">In addition to the </w:t>
      </w:r>
      <w:r w:rsidR="0020229C">
        <w:t>sharing requirements</w:t>
      </w:r>
      <w:r>
        <w:t xml:space="preserve"> described above, the </w:t>
      </w:r>
      <w:r w:rsidRPr="0082390F">
        <w:rPr>
          <w:i/>
          <w:iCs/>
        </w:rPr>
        <w:t>Auction 110 Procedures Public Notice</w:t>
      </w:r>
      <w:r>
        <w:t xml:space="preserve"> </w:t>
      </w:r>
      <w:r w:rsidR="00827129">
        <w:t>alerted</w:t>
      </w:r>
      <w:r w:rsidR="005808FB">
        <w:t xml:space="preserve"> prospective bidders</w:t>
      </w:r>
      <w:r w:rsidR="00827129">
        <w:t xml:space="preserve"> to</w:t>
      </w:r>
      <w:r w:rsidR="005808FB">
        <w:t xml:space="preserve"> </w:t>
      </w:r>
      <w:r>
        <w:t>the potential impact of a request</w:t>
      </w:r>
      <w:r w:rsidR="007161BA">
        <w:t xml:space="preserve"> </w:t>
      </w:r>
      <w:r w:rsidR="009A7B49">
        <w:t>from</w:t>
      </w:r>
      <w:r w:rsidR="007161BA">
        <w:t xml:space="preserve"> the Lockheed Martin Corporation (Lockheed)</w:t>
      </w:r>
      <w:r>
        <w:t xml:space="preserve"> for waiver of certain Commission rules across the lower 75 megahertz of the 3.45 GHz band.</w:t>
      </w:r>
      <w:r>
        <w:rPr>
          <w:rStyle w:val="FootnoteReference"/>
        </w:rPr>
        <w:footnoteReference w:id="17"/>
      </w:r>
      <w:r w:rsidR="0020229C">
        <w:t xml:space="preserve">  </w:t>
      </w:r>
      <w:r w:rsidR="0021387E">
        <w:t xml:space="preserve">Lockheed </w:t>
      </w:r>
      <w:r w:rsidR="00132A70">
        <w:t xml:space="preserve">currently </w:t>
      </w:r>
      <w:r w:rsidRPr="007246AB">
        <w:t>operates</w:t>
      </w:r>
      <w:r w:rsidR="00D36565">
        <w:t xml:space="preserve"> </w:t>
      </w:r>
      <w:r w:rsidRPr="00864F82" w:rsidR="00D36565">
        <w:t>Research, Development, Test &amp; Evaluation</w:t>
      </w:r>
      <w:r w:rsidRPr="007246AB">
        <w:t xml:space="preserve"> </w:t>
      </w:r>
      <w:r w:rsidR="00C96858">
        <w:t>(</w:t>
      </w:r>
      <w:r w:rsidRPr="007246AB">
        <w:t>RDT&amp;E</w:t>
      </w:r>
      <w:r w:rsidR="00C96858">
        <w:t>)</w:t>
      </w:r>
      <w:r w:rsidRPr="007246AB">
        <w:t xml:space="preserve"> radar facilities in Cazenovia, NY and Liverpool, NY</w:t>
      </w:r>
      <w:r w:rsidR="00F03B01">
        <w:t>,</w:t>
      </w:r>
      <w:r w:rsidRPr="007246AB">
        <w:t xml:space="preserve"> using part 5 experimental licenses, </w:t>
      </w:r>
      <w:r w:rsidR="00F03B01">
        <w:t>to</w:t>
      </w:r>
      <w:r w:rsidRPr="007246AB">
        <w:t xml:space="preserve"> “develop and produce S-band radars</w:t>
      </w:r>
      <w:r w:rsidR="002E40ED">
        <w:t xml:space="preserve"> …</w:t>
      </w:r>
      <w:r w:rsidRPr="002E40ED" w:rsidR="002E40ED">
        <w:t xml:space="preserve"> </w:t>
      </w:r>
      <w:r w:rsidRPr="007246AB" w:rsidR="002E40ED">
        <w:t>for use by both the Department of Defense and U.S. allies abroad.”</w:t>
      </w:r>
      <w:r>
        <w:rPr>
          <w:rStyle w:val="FootnoteReference"/>
        </w:rPr>
        <w:footnoteReference w:id="18"/>
      </w:r>
      <w:r w:rsidRPr="007246AB">
        <w:t xml:space="preserve"> </w:t>
      </w:r>
      <w:r w:rsidR="002E40ED">
        <w:t xml:space="preserve"> </w:t>
      </w:r>
      <w:r w:rsidRPr="007246AB">
        <w:t>Lockheed states</w:t>
      </w:r>
      <w:r w:rsidR="0021387E">
        <w:t xml:space="preserve"> that </w:t>
      </w:r>
      <w:r w:rsidRPr="007246AB">
        <w:t>it has been testing radars in the area since the 1950s and that it has invested tens of millions of dollars in its RDT&amp;E infrastructure.</w:t>
      </w:r>
      <w:r>
        <w:rPr>
          <w:rStyle w:val="FootnoteReference"/>
        </w:rPr>
        <w:footnoteReference w:id="19"/>
      </w:r>
      <w:r w:rsidRPr="007246AB">
        <w:t xml:space="preserve"> </w:t>
      </w:r>
    </w:p>
    <w:p w:rsidR="00083DBB" w:rsidP="00F60FA0" w14:paraId="32B1F838" w14:textId="74B17673">
      <w:pPr>
        <w:pStyle w:val="ParaNum"/>
        <w:widowControl/>
      </w:pPr>
      <w:r>
        <w:t>Lockheed’s waiver</w:t>
      </w:r>
      <w:r w:rsidR="0021387E">
        <w:t xml:space="preserve"> request</w:t>
      </w:r>
      <w:r w:rsidR="00663DDB">
        <w:t>, filed</w:t>
      </w:r>
      <w:r w:rsidR="0021387E">
        <w:t xml:space="preserve"> on April 29, 2021</w:t>
      </w:r>
      <w:r w:rsidR="00D71A2D">
        <w:t xml:space="preserve">, </w:t>
      </w:r>
      <w:r w:rsidR="0020229C">
        <w:t>sought a limited</w:t>
      </w:r>
      <w:r w:rsidR="00012428">
        <w:t>,</w:t>
      </w:r>
      <w:r w:rsidR="0020229C">
        <w:t xml:space="preserve"> expedited waiver of sections 5.5 and 5.84 of the Commission’s experimental licensing rules </w:t>
      </w:r>
      <w:r w:rsidRPr="00864F82" w:rsidR="0020229C">
        <w:t>in order to be afforded the right to protection from harmful interference from other operators in the 3.45 GHz band at its RDT&amp;E radar facilities in Cazenovia, NY and Liverpool, NY</w:t>
      </w:r>
      <w:r w:rsidR="0020229C">
        <w:t>.</w:t>
      </w:r>
      <w:r>
        <w:rPr>
          <w:rStyle w:val="FootnoteReference"/>
        </w:rPr>
        <w:footnoteReference w:id="20"/>
      </w:r>
      <w:r w:rsidR="001422CC">
        <w:t xml:space="preserve">  The </w:t>
      </w:r>
      <w:bookmarkStart w:id="1" w:name="_Hlk74674339"/>
      <w:r w:rsidRPr="00B22385" w:rsidR="001422CC">
        <w:rPr>
          <w:i/>
          <w:iCs/>
        </w:rPr>
        <w:t>Auction 110 Procedure</w:t>
      </w:r>
      <w:r w:rsidR="001422CC">
        <w:rPr>
          <w:i/>
          <w:iCs/>
        </w:rPr>
        <w:t>s</w:t>
      </w:r>
      <w:r w:rsidRPr="00B22385" w:rsidR="001422CC">
        <w:rPr>
          <w:i/>
          <w:iCs/>
        </w:rPr>
        <w:t xml:space="preserve"> P</w:t>
      </w:r>
      <w:r w:rsidR="001422CC">
        <w:rPr>
          <w:i/>
          <w:iCs/>
        </w:rPr>
        <w:t xml:space="preserve">ublic </w:t>
      </w:r>
      <w:r w:rsidRPr="00B22385" w:rsidR="001422CC">
        <w:rPr>
          <w:i/>
          <w:iCs/>
        </w:rPr>
        <w:t>N</w:t>
      </w:r>
      <w:r w:rsidR="001422CC">
        <w:rPr>
          <w:i/>
          <w:iCs/>
        </w:rPr>
        <w:t>otice</w:t>
      </w:r>
      <w:bookmarkEnd w:id="1"/>
      <w:r w:rsidR="001422CC">
        <w:t xml:space="preserve"> referenced Lockheed’s part 5 waiver request, and it advised p</w:t>
      </w:r>
      <w:r w:rsidRPr="00FB17D5" w:rsidR="001422CC">
        <w:t xml:space="preserve">otential bidders </w:t>
      </w:r>
      <w:r w:rsidR="001422CC">
        <w:t xml:space="preserve">to be </w:t>
      </w:r>
      <w:r w:rsidRPr="00FB17D5" w:rsidR="001422CC">
        <w:t xml:space="preserve">aware that </w:t>
      </w:r>
      <w:r w:rsidR="001422CC">
        <w:t xml:space="preserve">any </w:t>
      </w:r>
      <w:r w:rsidRPr="00FB17D5" w:rsidR="001422CC">
        <w:t xml:space="preserve">relief </w:t>
      </w:r>
      <w:r w:rsidR="001422CC">
        <w:t>granted to Lockheed could</w:t>
      </w:r>
      <w:r w:rsidRPr="00FB17D5" w:rsidR="001422CC">
        <w:t xml:space="preserve"> affect coordination requirements and spectrum use in blocks A through H in PEAs 41, 44, and 227.</w:t>
      </w:r>
      <w:r>
        <w:rPr>
          <w:rStyle w:val="FootnoteReference"/>
        </w:rPr>
        <w:footnoteReference w:id="21"/>
      </w:r>
      <w:r w:rsidR="001422CC">
        <w:t xml:space="preserve">  Related r</w:t>
      </w:r>
      <w:r w:rsidRPr="00927E9D" w:rsidR="001422CC">
        <w:t>eference</w:t>
      </w:r>
      <w:r w:rsidR="001422CC">
        <w:t xml:space="preserve">s to Lockheed’s waiver request in </w:t>
      </w:r>
      <w:r w:rsidRPr="00927E9D" w:rsidR="001422CC">
        <w:t xml:space="preserve">the </w:t>
      </w:r>
      <w:r w:rsidRPr="00B22385" w:rsidR="001422CC">
        <w:rPr>
          <w:i/>
          <w:iCs/>
        </w:rPr>
        <w:t>Auction 110 Procedure</w:t>
      </w:r>
      <w:r w:rsidR="001422CC">
        <w:rPr>
          <w:i/>
          <w:iCs/>
        </w:rPr>
        <w:t>s</w:t>
      </w:r>
      <w:r w:rsidRPr="00B22385" w:rsidR="001422CC">
        <w:rPr>
          <w:i/>
          <w:iCs/>
        </w:rPr>
        <w:t xml:space="preserve"> P</w:t>
      </w:r>
      <w:r w:rsidR="001422CC">
        <w:rPr>
          <w:i/>
          <w:iCs/>
        </w:rPr>
        <w:t xml:space="preserve">ublic </w:t>
      </w:r>
      <w:r w:rsidRPr="00B22385" w:rsidR="001422CC">
        <w:rPr>
          <w:i/>
          <w:iCs/>
        </w:rPr>
        <w:t>N</w:t>
      </w:r>
      <w:r w:rsidR="001422CC">
        <w:rPr>
          <w:i/>
          <w:iCs/>
        </w:rPr>
        <w:t>otice</w:t>
      </w:r>
      <w:r w:rsidRPr="00927E9D" w:rsidR="001422CC">
        <w:t xml:space="preserve"> were identified as </w:t>
      </w:r>
      <w:r w:rsidR="001422CC">
        <w:t xml:space="preserve">potential </w:t>
      </w:r>
      <w:r w:rsidRPr="00927E9D" w:rsidR="001422CC">
        <w:t xml:space="preserve">encumbrances across these </w:t>
      </w:r>
      <w:r w:rsidR="00B3463B">
        <w:t xml:space="preserve">eight </w:t>
      </w:r>
      <w:r w:rsidRPr="00927E9D" w:rsidR="001422CC">
        <w:t>blocks.</w:t>
      </w:r>
    </w:p>
    <w:p w:rsidR="0082390F" w:rsidP="00F60FA0" w14:paraId="3648DD42" w14:textId="533C77AA">
      <w:pPr>
        <w:pStyle w:val="ParaNum"/>
        <w:widowControl/>
      </w:pPr>
      <w:r>
        <w:t xml:space="preserve">On June </w:t>
      </w:r>
      <w:r w:rsidR="00A624B5">
        <w:t>9, 2021</w:t>
      </w:r>
      <w:r w:rsidR="0099120F">
        <w:t>, roughly one month prior to the opening of the Auction 110 short-form application window,</w:t>
      </w:r>
      <w:r w:rsidR="0055774F">
        <w:t xml:space="preserve"> </w:t>
      </w:r>
      <w:r w:rsidR="00A624B5">
        <w:t>Lockheed filed a new, related request</w:t>
      </w:r>
      <w:r w:rsidR="00547DC2">
        <w:t xml:space="preserve"> for an alternative form of relief</w:t>
      </w:r>
      <w:r w:rsidR="0035666D">
        <w:t xml:space="preserve"> covering the same operations in the same cities</w:t>
      </w:r>
      <w:r w:rsidR="00A624B5">
        <w:t>.</w:t>
      </w:r>
      <w:r>
        <w:rPr>
          <w:rStyle w:val="FootnoteReference"/>
        </w:rPr>
        <w:footnoteReference w:id="22"/>
      </w:r>
      <w:r w:rsidR="00827129">
        <w:t xml:space="preserve">  </w:t>
      </w:r>
      <w:r w:rsidR="00547DC2">
        <w:t>In that second filing,</w:t>
      </w:r>
      <w:r w:rsidR="00827129">
        <w:t xml:space="preserve"> Lockheed </w:t>
      </w:r>
      <w:r w:rsidR="00012428">
        <w:t>sought</w:t>
      </w:r>
      <w:r w:rsidR="00827129">
        <w:t xml:space="preserve"> special temporary authority </w:t>
      </w:r>
      <w:r w:rsidR="00827129">
        <w:t>(STA)</w:t>
      </w:r>
      <w:r w:rsidR="00DE2B74">
        <w:t xml:space="preserve"> pursuant to Section 1.931(b)(2)(</w:t>
      </w:r>
      <w:r w:rsidR="00620EF7">
        <w:t>v</w:t>
      </w:r>
      <w:r w:rsidR="00DE2B74">
        <w:t>) of the Commission’s rules</w:t>
      </w:r>
      <w:r>
        <w:rPr>
          <w:rStyle w:val="FootnoteReference"/>
        </w:rPr>
        <w:footnoteReference w:id="23"/>
      </w:r>
      <w:r w:rsidR="00827129">
        <w:t xml:space="preserve"> “to operate on a co-primary basis in the 3.45</w:t>
      </w:r>
      <w:r w:rsidRPr="004F0F5E" w:rsidR="00827129">
        <w:rPr>
          <w:snapToGrid/>
        </w:rPr>
        <w:t>–</w:t>
      </w:r>
      <w:r w:rsidR="00827129">
        <w:rPr>
          <w:snapToGrid/>
        </w:rPr>
        <w:t>3.525 GHz segment two facilities in the Radiolocation Service at Lockheed Martin’s [RDT&amp;E] radar facilities in Cazenovia, NY and Liverpool, NY.”</w:t>
      </w:r>
      <w:r>
        <w:rPr>
          <w:rStyle w:val="FootnoteReference"/>
          <w:snapToGrid/>
        </w:rPr>
        <w:footnoteReference w:id="24"/>
      </w:r>
      <w:r w:rsidR="00827129">
        <w:rPr>
          <w:snapToGrid/>
        </w:rPr>
        <w:t xml:space="preserve">  </w:t>
      </w:r>
      <w:r w:rsidR="0035666D">
        <w:rPr>
          <w:snapToGrid/>
        </w:rPr>
        <w:t>Thus, the</w:t>
      </w:r>
      <w:r w:rsidR="00827129">
        <w:rPr>
          <w:snapToGrid/>
        </w:rPr>
        <w:t xml:space="preserve"> STA Request </w:t>
      </w:r>
      <w:r w:rsidR="00547DC2">
        <w:rPr>
          <w:snapToGrid/>
        </w:rPr>
        <w:t>and Lockheed’s</w:t>
      </w:r>
      <w:r w:rsidR="00827129">
        <w:rPr>
          <w:snapToGrid/>
        </w:rPr>
        <w:t xml:space="preserve"> original Waiver Request</w:t>
      </w:r>
      <w:r w:rsidR="00547DC2">
        <w:rPr>
          <w:snapToGrid/>
        </w:rPr>
        <w:t xml:space="preserve"> sought different forms of relief</w:t>
      </w:r>
      <w:r w:rsidR="00827129">
        <w:rPr>
          <w:snapToGrid/>
        </w:rPr>
        <w:t xml:space="preserve">, but both requests covered the </w:t>
      </w:r>
      <w:r w:rsidR="0035666D">
        <w:t>3.45</w:t>
      </w:r>
      <w:r w:rsidRPr="004F0F5E" w:rsidR="0035666D">
        <w:rPr>
          <w:snapToGrid/>
        </w:rPr>
        <w:t>–</w:t>
      </w:r>
      <w:r w:rsidR="0035666D">
        <w:rPr>
          <w:snapToGrid/>
        </w:rPr>
        <w:t xml:space="preserve">3.525 GHz segment </w:t>
      </w:r>
      <w:r w:rsidR="00827129">
        <w:rPr>
          <w:snapToGrid/>
        </w:rPr>
        <w:t>of the 3.45 GHz band, and in the same locations.</w:t>
      </w:r>
      <w:r>
        <w:rPr>
          <w:rStyle w:val="FootnoteReference"/>
          <w:snapToGrid/>
        </w:rPr>
        <w:footnoteReference w:id="25"/>
      </w:r>
      <w:r w:rsidR="00012428">
        <w:rPr>
          <w:snapToGrid/>
        </w:rPr>
        <w:t xml:space="preserve">  </w:t>
      </w:r>
      <w:r w:rsidR="00966EA5">
        <w:rPr>
          <w:snapToGrid/>
        </w:rPr>
        <w:t xml:space="preserve">Accordingly, </w:t>
      </w:r>
      <w:r w:rsidR="00012428">
        <w:rPr>
          <w:snapToGrid/>
        </w:rPr>
        <w:t>Lockheed indicated that it would withdraw its Waiver Request in the event that its STA Request was granted.</w:t>
      </w:r>
      <w:r>
        <w:rPr>
          <w:rStyle w:val="FootnoteReference"/>
          <w:snapToGrid/>
        </w:rPr>
        <w:footnoteReference w:id="26"/>
      </w:r>
    </w:p>
    <w:p w:rsidR="004F40FB" w:rsidP="00F60FA0" w14:paraId="2B60B890" w14:textId="5E4E698D">
      <w:pPr>
        <w:pStyle w:val="ParaNum"/>
        <w:widowControl/>
      </w:pPr>
      <w:r>
        <w:t xml:space="preserve">On June </w:t>
      </w:r>
      <w:r w:rsidR="00827129">
        <w:t>16</w:t>
      </w:r>
      <w:r>
        <w:t xml:space="preserve">, 2021, WTB and the Office of Engineering and Technology (OET) issued an order granting </w:t>
      </w:r>
      <w:r w:rsidR="00DE2B74">
        <w:t>Lockheed’s STA Request</w:t>
      </w:r>
      <w:r w:rsidR="00547DC2">
        <w:t>, permitting Lockheed</w:t>
      </w:r>
      <w:r>
        <w:t xml:space="preserve"> to operate pursuant to part 90 of the Commission’s rules for 180 days</w:t>
      </w:r>
      <w:r>
        <w:rPr>
          <w:rStyle w:val="FootnoteReference"/>
        </w:rPr>
        <w:footnoteReference w:id="27"/>
      </w:r>
      <w:r>
        <w:t xml:space="preserve"> in the 3.45–3.525 GHz segment of the 3.45 GHz band, subject to certain conditions and parameters.</w:t>
      </w:r>
      <w:r>
        <w:rPr>
          <w:rStyle w:val="FootnoteReference"/>
        </w:rPr>
        <w:footnoteReference w:id="28"/>
      </w:r>
      <w:bookmarkEnd w:id="0"/>
      <w:r w:rsidR="00D71A2D">
        <w:t xml:space="preserve">  </w:t>
      </w:r>
      <w:r w:rsidR="00034E18">
        <w:t>The STA</w:t>
      </w:r>
      <w:r w:rsidR="00FD1907">
        <w:t xml:space="preserve"> </w:t>
      </w:r>
      <w:r w:rsidR="001D475E">
        <w:t xml:space="preserve">became </w:t>
      </w:r>
      <w:r w:rsidR="00FD1907">
        <w:t>effective</w:t>
      </w:r>
      <w:r w:rsidR="001D475E">
        <w:t xml:space="preserve"> </w:t>
      </w:r>
      <w:r w:rsidR="00D60E96">
        <w:t xml:space="preserve">on June </w:t>
      </w:r>
      <w:r w:rsidR="00803919">
        <w:t>21, 2021</w:t>
      </w:r>
      <w:r w:rsidR="00E8647C">
        <w:t>.</w:t>
      </w:r>
      <w:r>
        <w:rPr>
          <w:rStyle w:val="FootnoteReference"/>
        </w:rPr>
        <w:footnoteReference w:id="29"/>
      </w:r>
      <w:r w:rsidR="00D71A2D">
        <w:t xml:space="preserve">  Upon the grant of its STA Request, Lockheed promptly withdrew its related Waiver Request on </w:t>
      </w:r>
      <w:r w:rsidR="001E1A59">
        <w:t>June 17</w:t>
      </w:r>
      <w:r w:rsidR="000467C1">
        <w:t>, 2021</w:t>
      </w:r>
      <w:r w:rsidR="00D71A2D">
        <w:t>.</w:t>
      </w:r>
      <w:r>
        <w:rPr>
          <w:rStyle w:val="FootnoteReference"/>
        </w:rPr>
        <w:footnoteReference w:id="30"/>
      </w:r>
    </w:p>
    <w:p w:rsidR="00850346" w:rsidP="00547DC2" w14:paraId="4215C639" w14:textId="1876990C">
      <w:pPr>
        <w:pStyle w:val="Heading1"/>
      </w:pPr>
      <w:r>
        <w:rPr>
          <w:caps w:val="0"/>
        </w:rPr>
        <w:t xml:space="preserve">INVENTORY CHANGES </w:t>
      </w:r>
      <w:r w:rsidR="00C12C62">
        <w:rPr>
          <w:caps w:val="0"/>
        </w:rPr>
        <w:t xml:space="preserve">FOR </w:t>
      </w:r>
      <w:r>
        <w:rPr>
          <w:caps w:val="0"/>
        </w:rPr>
        <w:t xml:space="preserve">AUCTION 110 </w:t>
      </w:r>
    </w:p>
    <w:p w:rsidR="00547DC2" w:rsidP="004A49F9" w14:paraId="40F7C9B3" w14:textId="18DA222D">
      <w:pPr>
        <w:pStyle w:val="Heading2"/>
      </w:pPr>
      <w:r>
        <w:t>The PEAs</w:t>
      </w:r>
      <w:r w:rsidR="004A49F9">
        <w:t xml:space="preserve"> </w:t>
      </w:r>
      <w:r w:rsidR="00F92F59">
        <w:t xml:space="preserve">Affected by the Lockheed Order </w:t>
      </w:r>
      <w:r w:rsidR="004A49F9">
        <w:t xml:space="preserve">and </w:t>
      </w:r>
      <w:r w:rsidR="00012428">
        <w:t>Licensees’ Obligations</w:t>
      </w:r>
    </w:p>
    <w:p w:rsidR="00547DC2" w:rsidP="00F60FA0" w14:paraId="1D595803" w14:textId="34FB2028">
      <w:pPr>
        <w:pStyle w:val="ParaNum"/>
        <w:widowControl/>
      </w:pPr>
      <w:r>
        <w:t xml:space="preserve">The </w:t>
      </w:r>
      <w:r w:rsidR="00D71A2D">
        <w:t>STA</w:t>
      </w:r>
      <w:r>
        <w:t xml:space="preserve"> granted in the </w:t>
      </w:r>
      <w:r w:rsidRPr="00012428">
        <w:rPr>
          <w:i/>
          <w:iCs/>
        </w:rPr>
        <w:t>Lockheed Order</w:t>
      </w:r>
      <w:r>
        <w:t xml:space="preserve"> will affect the Auction 110 inventory </w:t>
      </w:r>
      <w:r w:rsidR="00012428">
        <w:t xml:space="preserve">only </w:t>
      </w:r>
      <w:r>
        <w:t>in PEAs 41</w:t>
      </w:r>
      <w:r w:rsidR="00012428">
        <w:t xml:space="preserve"> (Syracuse, NY)</w:t>
      </w:r>
      <w:r>
        <w:t>, 44</w:t>
      </w:r>
      <w:r w:rsidR="00012428">
        <w:t xml:space="preserve"> (Rochester, NY)</w:t>
      </w:r>
      <w:r>
        <w:t>, and 227</w:t>
      </w:r>
      <w:r w:rsidR="00012428">
        <w:t xml:space="preserve"> (Watertown, NY</w:t>
      </w:r>
      <w:r>
        <w:t>).</w:t>
      </w:r>
      <w:r>
        <w:rPr>
          <w:rStyle w:val="FootnoteReference"/>
        </w:rPr>
        <w:footnoteReference w:id="31"/>
      </w:r>
    </w:p>
    <w:p w:rsidR="00853722" w:rsidP="00F60FA0" w14:paraId="36A81370" w14:textId="0BBAF750">
      <w:pPr>
        <w:pStyle w:val="ParaNum"/>
        <w:widowControl/>
      </w:pPr>
      <w:r>
        <w:t xml:space="preserve">Prospective bidders who </w:t>
      </w:r>
      <w:r w:rsidR="00D71A2D">
        <w:t>are considering</w:t>
      </w:r>
      <w:r>
        <w:t xml:space="preserve"> </w:t>
      </w:r>
      <w:r w:rsidR="00D71A2D">
        <w:t>bidding on</w:t>
      </w:r>
      <w:r>
        <w:t xml:space="preserve"> licenses in </w:t>
      </w:r>
      <w:r w:rsidR="00966EA5">
        <w:t>the three affected</w:t>
      </w:r>
      <w:r>
        <w:t xml:space="preserve"> PEAs should pay careful attention to the parameters and conditions </w:t>
      </w:r>
      <w:r w:rsidR="00FD1DEF">
        <w:t xml:space="preserve">that have been imposed upon Lockheed’s 180-day STA, as described in detail in the </w:t>
      </w:r>
      <w:r w:rsidRPr="00D71A2D" w:rsidR="00FD1DEF">
        <w:rPr>
          <w:i/>
          <w:iCs/>
        </w:rPr>
        <w:t>Lockheed Order</w:t>
      </w:r>
      <w:r w:rsidR="00FD1DEF">
        <w:t>.</w:t>
      </w:r>
      <w:r>
        <w:rPr>
          <w:rStyle w:val="FootnoteReference"/>
        </w:rPr>
        <w:footnoteReference w:id="32"/>
      </w:r>
      <w:r w:rsidR="00FD1DEF">
        <w:t xml:space="preserve">  For instance, the licenses issued in blocks A through H of the affected PEAs will be conditioned such that licensees must not cause harmful interference to Lockheed’s RDT&amp;E operations for the duration of the STA, and licensees will be expected to negotiate </w:t>
      </w:r>
      <w:r w:rsidR="008E6376">
        <w:t xml:space="preserve">to </w:t>
      </w:r>
      <w:r w:rsidR="00FD1DEF">
        <w:t xml:space="preserve">reach mutually acceptable agreements to permit operations consistent with applicable conditions for the </w:t>
      </w:r>
      <w:r w:rsidR="009A7B49">
        <w:t xml:space="preserve">180-day </w:t>
      </w:r>
      <w:r w:rsidR="00FD1DEF">
        <w:t>duration of the STA.</w:t>
      </w:r>
      <w:r>
        <w:rPr>
          <w:rStyle w:val="FootnoteReference"/>
        </w:rPr>
        <w:footnoteReference w:id="33"/>
      </w:r>
      <w:r w:rsidR="00FD1DEF">
        <w:t xml:space="preserve">  </w:t>
      </w:r>
    </w:p>
    <w:p w:rsidR="004A49F9" w:rsidP="00F60FA0" w14:paraId="7002AAE4" w14:textId="757C2518">
      <w:pPr>
        <w:pStyle w:val="ParaNum"/>
        <w:widowControl/>
      </w:pPr>
      <w:r>
        <w:t>T</w:t>
      </w:r>
      <w:r w:rsidR="00FD1DEF">
        <w:t xml:space="preserve">he </w:t>
      </w:r>
      <w:r w:rsidRPr="009A7B49" w:rsidR="00FD1DEF">
        <w:rPr>
          <w:i/>
          <w:iCs/>
        </w:rPr>
        <w:t>Lockheed Order</w:t>
      </w:r>
      <w:r w:rsidR="00FD1DEF">
        <w:t xml:space="preserve"> imposes seven conditions on Lockheed’s STA, including</w:t>
      </w:r>
      <w:r>
        <w:t>:</w:t>
      </w:r>
    </w:p>
    <w:p w:rsidR="004A49F9" w:rsidP="00F60FA0" w14:paraId="5E518CCB" w14:textId="2C408714">
      <w:pPr>
        <w:pStyle w:val="ParaNum"/>
        <w:widowControl/>
        <w:numPr>
          <w:ilvl w:val="0"/>
          <w:numId w:val="7"/>
        </w:numPr>
      </w:pPr>
      <w:r>
        <w:t>the STA is confined to the 3.45–3.525 GHz segment of the 3.45 GHz band;</w:t>
      </w:r>
    </w:p>
    <w:p w:rsidR="004A49F9" w:rsidP="00F60FA0" w14:paraId="7993373C" w14:textId="2600CB93">
      <w:pPr>
        <w:pStyle w:val="ParaNum"/>
        <w:widowControl/>
        <w:numPr>
          <w:ilvl w:val="0"/>
          <w:numId w:val="7"/>
        </w:numPr>
      </w:pPr>
      <w:r>
        <w:t>Lockheed may operate on a co-primary, non-harmful interference basis</w:t>
      </w:r>
      <w:r w:rsidR="0074325F">
        <w:t xml:space="preserve"> (i.e., </w:t>
      </w:r>
      <w:r w:rsidR="003749DF">
        <w:t>Lockheed must address any instances of reported interference that are experienced by 3.45 GHz Service licensees regardless of where and when they occur</w:t>
      </w:r>
      <w:r w:rsidR="00566CBF">
        <w:t>)</w:t>
      </w:r>
      <w:r>
        <w:t>;</w:t>
      </w:r>
    </w:p>
    <w:p w:rsidR="004A49F9" w:rsidP="00F60FA0" w14:paraId="1FBB03CB" w14:textId="3930C303">
      <w:pPr>
        <w:pStyle w:val="ParaNum"/>
        <w:widowControl/>
        <w:numPr>
          <w:ilvl w:val="0"/>
          <w:numId w:val="7"/>
        </w:numPr>
      </w:pPr>
      <w:r>
        <w:t>Lockheed’s high-power outdoor RDT&amp;E operations are limited to off-peak hours between midnight and 8:00 a.m.</w:t>
      </w:r>
      <w:r w:rsidR="00CA6EAE">
        <w:t xml:space="preserve"> Eastern Time</w:t>
      </w:r>
      <w:r>
        <w:t>;</w:t>
      </w:r>
    </w:p>
    <w:p w:rsidR="004A49F9" w:rsidP="00F60FA0" w14:paraId="648D341F" w14:textId="77777777">
      <w:pPr>
        <w:pStyle w:val="ParaNum"/>
        <w:widowControl/>
        <w:numPr>
          <w:ilvl w:val="0"/>
          <w:numId w:val="7"/>
        </w:numPr>
      </w:pPr>
      <w:r>
        <w:t>Lockheed’s operations during the remaining 16 hours of the day must not exceed 317 Watts ERP;</w:t>
      </w:r>
    </w:p>
    <w:p w:rsidR="004A49F9" w:rsidP="00F60FA0" w14:paraId="18157E01" w14:textId="4A8D14B7">
      <w:pPr>
        <w:pStyle w:val="ParaNum"/>
        <w:widowControl/>
        <w:numPr>
          <w:ilvl w:val="0"/>
          <w:numId w:val="7"/>
        </w:numPr>
      </w:pPr>
      <w:r>
        <w:t xml:space="preserve">Lockheed may adjust its operating hours based on mutual agreement with </w:t>
      </w:r>
      <w:r w:rsidR="00EF5566">
        <w:t xml:space="preserve">all </w:t>
      </w:r>
      <w:r>
        <w:t>affected co-primary licensees;</w:t>
      </w:r>
    </w:p>
    <w:p w:rsidR="004A49F9" w:rsidP="00F60FA0" w14:paraId="0B8F9FB1" w14:textId="77777777">
      <w:pPr>
        <w:pStyle w:val="ParaNum"/>
        <w:widowControl/>
        <w:numPr>
          <w:ilvl w:val="0"/>
          <w:numId w:val="7"/>
        </w:numPr>
      </w:pPr>
      <w:r>
        <w:t xml:space="preserve">the STA grant is subject to any decision that the Commission may reach in connection with pending requests for reconsideration of the </w:t>
      </w:r>
      <w:r w:rsidRPr="00EE3FD6">
        <w:rPr>
          <w:i/>
        </w:rPr>
        <w:t>3.45 GHz Second Report and Order</w:t>
      </w:r>
      <w:r>
        <w:t>; and</w:t>
      </w:r>
    </w:p>
    <w:p w:rsidR="004A49F9" w:rsidP="00F60FA0" w14:paraId="3688F324" w14:textId="04CE5745">
      <w:pPr>
        <w:pStyle w:val="ParaNum"/>
        <w:widowControl/>
        <w:numPr>
          <w:ilvl w:val="0"/>
          <w:numId w:val="7"/>
        </w:numPr>
      </w:pPr>
      <w:r>
        <w:t xml:space="preserve">beginning </w:t>
      </w:r>
      <w:r>
        <w:t>two months after the release of the public notice announcing winning bidders in Auction 110, and every two months thereafter—until the STA expires—Lockheed must issue a report to WTB and OET detailing its progress in reaching a solution for long-term coordination.</w:t>
      </w:r>
      <w:r>
        <w:rPr>
          <w:rStyle w:val="FootnoteReference"/>
        </w:rPr>
        <w:footnoteReference w:id="34"/>
      </w:r>
    </w:p>
    <w:p w:rsidR="00012428" w:rsidP="004A49F9" w14:paraId="6FE72905" w14:textId="035DD066">
      <w:pPr>
        <w:pStyle w:val="Heading2"/>
      </w:pPr>
      <w:r>
        <w:t xml:space="preserve">Categories </w:t>
      </w:r>
      <w:r w:rsidR="00AE3777">
        <w:t xml:space="preserve">of Blocks </w:t>
      </w:r>
      <w:r>
        <w:t>in the PEAs</w:t>
      </w:r>
      <w:r w:rsidR="00D01C7C">
        <w:t xml:space="preserve"> Affected by the Lockheed Order</w:t>
      </w:r>
    </w:p>
    <w:p w:rsidR="00AE3777" w:rsidP="00F60FA0" w14:paraId="201424C9" w14:textId="22C85E77">
      <w:pPr>
        <w:pStyle w:val="ParaNum"/>
        <w:widowControl/>
      </w:pPr>
      <w:r>
        <w:t xml:space="preserve">The </w:t>
      </w:r>
      <w:r w:rsidR="009959AA">
        <w:t xml:space="preserve">180-day </w:t>
      </w:r>
      <w:r>
        <w:t xml:space="preserve">STA that the </w:t>
      </w:r>
      <w:r w:rsidRPr="00AE3777">
        <w:rPr>
          <w:i/>
          <w:iCs/>
        </w:rPr>
        <w:t>Lockheed Order</w:t>
      </w:r>
      <w:r w:rsidR="004A49F9">
        <w:t xml:space="preserve"> </w:t>
      </w:r>
      <w:r w:rsidR="009959AA">
        <w:t xml:space="preserve">granted </w:t>
      </w:r>
      <w:r w:rsidR="004A49F9">
        <w:t>applies only to the 3.45–3.525 GHz segment of the 3.45 GHz band.</w:t>
      </w:r>
      <w:r>
        <w:rPr>
          <w:rStyle w:val="FootnoteReference"/>
        </w:rPr>
        <w:footnoteReference w:id="35"/>
      </w:r>
      <w:r w:rsidR="004A49F9">
        <w:t xml:space="preserve">  Therefore, in PEAs 41, 44, and 227, </w:t>
      </w:r>
      <w:r>
        <w:t xml:space="preserve">the first eight blocks—to which the STA applies and which are designated as A through H—will be considered Category 1, or “Cat1.”  The two uppermost blocks—designated as I and J—will be considered Category 2, or “Cat2.” </w:t>
      </w:r>
      <w:r w:rsidR="00B3757E">
        <w:t xml:space="preserve"> The </w:t>
      </w:r>
      <w:r w:rsidR="00523E47">
        <w:t>“</w:t>
      </w:r>
      <w:r w:rsidR="00B3757E">
        <w:t>Attachment A</w:t>
      </w:r>
      <w:r w:rsidR="00523E47">
        <w:t>”</w:t>
      </w:r>
      <w:r w:rsidR="00B3757E">
        <w:t xml:space="preserve"> file (</w:t>
      </w:r>
      <w:r w:rsidRPr="004B4B2F" w:rsidR="00B3757E">
        <w:t>PEA Information, Upfront Payments, and Minimum Opening Bids</w:t>
      </w:r>
      <w:r w:rsidR="00B3757E">
        <w:t xml:space="preserve">) has been </w:t>
      </w:r>
      <w:r w:rsidR="003E2885">
        <w:t>updated to reflect this change</w:t>
      </w:r>
      <w:r w:rsidR="00961A99">
        <w:t xml:space="preserve"> and </w:t>
      </w:r>
      <w:r w:rsidR="00A420E4">
        <w:t xml:space="preserve">posted on the Auction 110 website at </w:t>
      </w:r>
      <w:hyperlink r:id="rId6" w:history="1">
        <w:r w:rsidRPr="00231A3C" w:rsidR="00A420E4">
          <w:rPr>
            <w:rStyle w:val="Hyperlink"/>
          </w:rPr>
          <w:t>www.fcc.gov/auction/110</w:t>
        </w:r>
      </w:hyperlink>
      <w:r w:rsidR="003E2885">
        <w:t>.</w:t>
      </w:r>
      <w:r w:rsidR="00B3757E">
        <w:t xml:space="preserve"> </w:t>
      </w:r>
      <w:r>
        <w:t xml:space="preserve"> </w:t>
      </w:r>
    </w:p>
    <w:p w:rsidR="003236B1" w:rsidP="00F60FA0" w14:paraId="49D5399D" w14:textId="717111CA">
      <w:pPr>
        <w:pStyle w:val="ParaNum"/>
        <w:widowControl/>
      </w:pPr>
      <w:r>
        <w:t>Potential bidders should take note that in PEAs 41, 44, and 227, there are eight Cat1 blocks and two Cat2 blocks.  But</w:t>
      </w:r>
      <w:r w:rsidR="00084E99">
        <w:t xml:space="preserve"> in</w:t>
      </w:r>
      <w:r>
        <w:t xml:space="preserve"> the 72 other PEAs that contain two categories, there are four Cat1 blocks and six Cat2 blocks.</w:t>
      </w:r>
      <w:r>
        <w:rPr>
          <w:rStyle w:val="FootnoteReference"/>
        </w:rPr>
        <w:footnoteReference w:id="36"/>
      </w:r>
      <w:r>
        <w:t xml:space="preserve"> </w:t>
      </w:r>
      <w:r w:rsidR="002B5C2F">
        <w:t xml:space="preserve"> The </w:t>
      </w:r>
      <w:r w:rsidR="004D70F4">
        <w:t xml:space="preserve">other </w:t>
      </w:r>
      <w:r w:rsidR="00C91193">
        <w:t>33</w:t>
      </w:r>
      <w:r w:rsidR="004D70F4">
        <w:t>1</w:t>
      </w:r>
      <w:r w:rsidR="00C91193">
        <w:t xml:space="preserve"> PEAs where all ten blocks </w:t>
      </w:r>
      <w:r w:rsidR="0095512A">
        <w:t xml:space="preserve">will </w:t>
      </w:r>
      <w:r w:rsidR="00C91193">
        <w:t>either be unrestricted or all subject to the same restrictions</w:t>
      </w:r>
      <w:r w:rsidR="00A11A8B">
        <w:t xml:space="preserve"> have </w:t>
      </w:r>
      <w:r w:rsidR="00C91193">
        <w:t xml:space="preserve">ten </w:t>
      </w:r>
      <w:r w:rsidR="00A11A8B">
        <w:t xml:space="preserve">Cat1 </w:t>
      </w:r>
      <w:r w:rsidR="00C91193">
        <w:t>blocks</w:t>
      </w:r>
      <w:r w:rsidR="00A11A8B">
        <w:t>.</w:t>
      </w:r>
    </w:p>
    <w:p w:rsidR="004A7831" w:rsidP="00B41256" w14:paraId="7FCBFE44" w14:textId="3068505A">
      <w:pPr>
        <w:pStyle w:val="Heading2"/>
      </w:pPr>
      <w:r>
        <w:t xml:space="preserve">Corrections </w:t>
      </w:r>
      <w:r w:rsidR="00CF7CAD">
        <w:t xml:space="preserve">to </w:t>
      </w:r>
      <w:r w:rsidR="00C44B82">
        <w:t>Inventory</w:t>
      </w:r>
      <w:r>
        <w:t xml:space="preserve"> Information</w:t>
      </w:r>
      <w:r w:rsidR="00C44B82">
        <w:t xml:space="preserve"> </w:t>
      </w:r>
      <w:r w:rsidR="00266E8B">
        <w:t xml:space="preserve">Related to </w:t>
      </w:r>
      <w:r w:rsidR="009B1ECE">
        <w:t>CPA</w:t>
      </w:r>
      <w:r w:rsidR="000E5677">
        <w:t>s and PUAs</w:t>
      </w:r>
    </w:p>
    <w:p w:rsidR="00FD0E04" w:rsidP="00F60FA0" w14:paraId="19C4658D" w14:textId="31DF4D7C">
      <w:pPr>
        <w:pStyle w:val="ParaNum"/>
        <w:widowControl/>
      </w:pPr>
      <w:r>
        <w:t>The updated</w:t>
      </w:r>
      <w:r w:rsidR="009F4C11">
        <w:t xml:space="preserve"> </w:t>
      </w:r>
      <w:r>
        <w:t>“</w:t>
      </w:r>
      <w:r w:rsidR="009F4C11">
        <w:t>Attachment A</w:t>
      </w:r>
      <w:r>
        <w:t>” file</w:t>
      </w:r>
      <w:r w:rsidR="009F4C11">
        <w:t xml:space="preserve"> </w:t>
      </w:r>
      <w:r w:rsidR="00EA2C41">
        <w:t>corrects</w:t>
      </w:r>
      <w:r w:rsidR="009F4C11">
        <w:t xml:space="preserve"> </w:t>
      </w:r>
      <w:r w:rsidR="00926BD5">
        <w:t xml:space="preserve">an error </w:t>
      </w:r>
      <w:r w:rsidR="009F4C11">
        <w:t>to accurately indicate certain PEAs in which coordination requirements apply to both the upper six blocks (Category 2 blocks E-J) and the lower four blocks (Category 1 blocks A-D).</w:t>
      </w:r>
      <w:r w:rsidR="008041EA">
        <w:t xml:space="preserve">  </w:t>
      </w:r>
      <w:r w:rsidR="00E268CD">
        <w:t xml:space="preserve">In the PEAs </w:t>
      </w:r>
      <w:r w:rsidR="00187776">
        <w:t>w</w:t>
      </w:r>
      <w:r w:rsidR="00D8170A">
        <w:t>ith</w:t>
      </w:r>
      <w:r w:rsidR="00C77811">
        <w:t>in</w:t>
      </w:r>
      <w:r w:rsidR="00E268CD">
        <w:t xml:space="preserve"> the </w:t>
      </w:r>
      <w:r w:rsidR="000706EC">
        <w:t>Fort Bragg</w:t>
      </w:r>
      <w:r w:rsidR="00F307F6">
        <w:t xml:space="preserve"> Periodic Use</w:t>
      </w:r>
      <w:r w:rsidR="000302AA">
        <w:t xml:space="preserve"> Area (PUA)</w:t>
      </w:r>
      <w:r w:rsidR="00E268CD">
        <w:t xml:space="preserve">, the category distinctions remain the same, with four Cat1 blocks and six Cat2 blocks.  However, the </w:t>
      </w:r>
      <w:r w:rsidRPr="00B94BDA" w:rsidR="00E268CD">
        <w:t>“Attachment A” file</w:t>
      </w:r>
      <w:r w:rsidR="00E268CD">
        <w:t xml:space="preserve"> originally indicated that only the Cat1 blocks carr</w:t>
      </w:r>
      <w:r w:rsidR="0059290F">
        <w:t>y</w:t>
      </w:r>
      <w:r w:rsidR="00E268CD">
        <w:t xml:space="preserve"> requirements for coordination with federal entities, which is incorrect.  Both categories have restrictions—the Cat1 blocks are affected by the Fort Bragg </w:t>
      </w:r>
      <w:r w:rsidR="0071780D">
        <w:t>PUA</w:t>
      </w:r>
      <w:r w:rsidR="0059290F">
        <w:t xml:space="preserve">, and both Cat1 and Cat2 blocks are affected by overlap with </w:t>
      </w:r>
      <w:r w:rsidR="0071780D">
        <w:t>one or more</w:t>
      </w:r>
      <w:r w:rsidR="0059290F">
        <w:t xml:space="preserve"> </w:t>
      </w:r>
      <w:r w:rsidRPr="004E21E7" w:rsidR="0059290F">
        <w:t>Cooperative Planning Area</w:t>
      </w:r>
      <w:r w:rsidR="0071780D">
        <w:t>s</w:t>
      </w:r>
      <w:r w:rsidR="0059290F">
        <w:t xml:space="preserve"> </w:t>
      </w:r>
      <w:r w:rsidR="0071780D">
        <w:t xml:space="preserve">(“CPAs”) </w:t>
      </w:r>
      <w:r w:rsidR="0059290F">
        <w:t xml:space="preserve">in certain geographic portions of the PEA.  Therefore, in </w:t>
      </w:r>
      <w:r w:rsidR="00352528">
        <w:t xml:space="preserve">the following </w:t>
      </w:r>
      <w:r w:rsidR="0059290F">
        <w:t xml:space="preserve">PEAs, a licensee for a Cat1 block </w:t>
      </w:r>
      <w:r w:rsidR="00795AAC">
        <w:t>is subject to restrictions</w:t>
      </w:r>
      <w:r w:rsidR="0059290F">
        <w:t xml:space="preserve"> owing </w:t>
      </w:r>
      <w:r w:rsidR="00294239">
        <w:t xml:space="preserve">both </w:t>
      </w:r>
      <w:r w:rsidR="0059290F">
        <w:t xml:space="preserve">to </w:t>
      </w:r>
      <w:r w:rsidR="0071780D">
        <w:t xml:space="preserve">the PEA’s inclusion in </w:t>
      </w:r>
      <w:r w:rsidR="0059290F">
        <w:t xml:space="preserve">the Fort Bragg PUA and to the overlapped CPA or CPAs, while a Cat2 licensee is </w:t>
      </w:r>
      <w:r w:rsidR="0059442D">
        <w:t xml:space="preserve">subject to </w:t>
      </w:r>
      <w:r w:rsidR="00827252">
        <w:t>restrictions corresponding</w:t>
      </w:r>
      <w:r w:rsidR="0059290F">
        <w:t xml:space="preserve"> only </w:t>
      </w:r>
      <w:r w:rsidR="00827252">
        <w:t>to</w:t>
      </w:r>
      <w:r w:rsidR="0059290F">
        <w:t xml:space="preserve"> the CPA or </w:t>
      </w:r>
      <w:r w:rsidR="00D16940">
        <w:t>overlapped</w:t>
      </w:r>
      <w:r w:rsidR="0059290F">
        <w:t xml:space="preserve"> CPAs</w:t>
      </w:r>
      <w:r w:rsidR="00352528">
        <w:t>:</w:t>
      </w:r>
      <w:r>
        <w:rPr>
          <w:rStyle w:val="FootnoteReference"/>
        </w:rPr>
        <w:footnoteReference w:id="37"/>
      </w:r>
      <w:r w:rsidR="00352528">
        <w:t xml:space="preserve"> </w:t>
      </w:r>
      <w:r w:rsidR="00A94614">
        <w:t xml:space="preserve"> </w:t>
      </w:r>
      <w:r w:rsidR="008E2E25">
        <w:t xml:space="preserve">PEA </w:t>
      </w:r>
      <w:r w:rsidR="00037E27">
        <w:t>33 (</w:t>
      </w:r>
      <w:r w:rsidR="00F6705F">
        <w:t>Virginia Beach</w:t>
      </w:r>
      <w:r w:rsidR="008979A1">
        <w:t>, VA</w:t>
      </w:r>
      <w:r w:rsidR="00BB62D6">
        <w:t>), PEA</w:t>
      </w:r>
      <w:r w:rsidR="00ED45C4">
        <w:t xml:space="preserve"> 57</w:t>
      </w:r>
      <w:r w:rsidR="00680D81">
        <w:t xml:space="preserve"> (Richmond, VA)</w:t>
      </w:r>
      <w:r w:rsidR="00F92223">
        <w:t xml:space="preserve">, </w:t>
      </w:r>
      <w:r w:rsidR="003D7412">
        <w:t xml:space="preserve">PEA 100 (Greenville, NC), </w:t>
      </w:r>
      <w:r w:rsidR="00C83E3B">
        <w:t xml:space="preserve">PEA 109 (Rocky Mount, NC), </w:t>
      </w:r>
      <w:r w:rsidR="001D53A4">
        <w:t>PEA</w:t>
      </w:r>
      <w:r w:rsidR="005B605B">
        <w:t xml:space="preserve"> 146 (</w:t>
      </w:r>
      <w:r w:rsidR="001D3D24">
        <w:t>Wilmington</w:t>
      </w:r>
      <w:r w:rsidR="005B605B">
        <w:t>, NC), PEA</w:t>
      </w:r>
      <w:r w:rsidR="003703E3">
        <w:t xml:space="preserve"> 169 </w:t>
      </w:r>
      <w:r w:rsidR="00D0660E">
        <w:t>(</w:t>
      </w:r>
      <w:r w:rsidR="003703E3">
        <w:t>Goldsboro</w:t>
      </w:r>
      <w:r w:rsidR="00D0660E">
        <w:t xml:space="preserve">, NC), </w:t>
      </w:r>
      <w:r w:rsidR="007E7B24">
        <w:t>PEA 191 (Petersburg, VA), PEA</w:t>
      </w:r>
      <w:r w:rsidR="00494C0E">
        <w:t xml:space="preserve"> 309 (Elizabeth C</w:t>
      </w:r>
      <w:r w:rsidR="001D3D24">
        <w:t>ity, NC).</w:t>
      </w:r>
      <w:r w:rsidR="0059290F">
        <w:t xml:space="preserve">  The auction </w:t>
      </w:r>
      <w:r w:rsidR="0059290F">
        <w:t xml:space="preserve">inventory now includes a </w:t>
      </w:r>
      <w:r w:rsidR="00C77811">
        <w:t>double</w:t>
      </w:r>
      <w:r w:rsidR="0059290F">
        <w:t xml:space="preserve"> asterisk indicat</w:t>
      </w:r>
      <w:r w:rsidR="0071780D">
        <w:t>ing this change to the status of the Cat2 blocks in the</w:t>
      </w:r>
      <w:r w:rsidR="00C77811">
        <w:t>se</w:t>
      </w:r>
      <w:r w:rsidR="0071780D">
        <w:t xml:space="preserve"> affected PEAs. </w:t>
      </w:r>
    </w:p>
    <w:p w:rsidR="00692F85" w:rsidRPr="00547DC2" w:rsidP="00F60FA0" w14:paraId="251DDC65" w14:textId="09EC0BCD">
      <w:pPr>
        <w:pStyle w:val="ParaNum"/>
        <w:widowControl/>
      </w:pPr>
      <w:r>
        <w:t xml:space="preserve">An updated version </w:t>
      </w:r>
      <w:r w:rsidR="00CC2A72">
        <w:t xml:space="preserve">of </w:t>
      </w:r>
      <w:r w:rsidRPr="00B94BDA">
        <w:t>the “Attachment A” file</w:t>
      </w:r>
      <w:r>
        <w:t xml:space="preserve"> </w:t>
      </w:r>
      <w:r w:rsidR="00B17677">
        <w:t xml:space="preserve">that includes details about the auction inventory </w:t>
      </w:r>
      <w:r w:rsidR="00CC2A72">
        <w:t xml:space="preserve">has been posted </w:t>
      </w:r>
      <w:r>
        <w:t xml:space="preserve">on the Auction 110 website at </w:t>
      </w:r>
      <w:hyperlink r:id="rId6" w:history="1">
        <w:r w:rsidRPr="00231A3C">
          <w:rPr>
            <w:rStyle w:val="Hyperlink"/>
          </w:rPr>
          <w:t>www.fcc.gov/auction/110</w:t>
        </w:r>
      </w:hyperlink>
      <w:r w:rsidRPr="00B94BDA">
        <w:t xml:space="preserve">.  </w:t>
      </w:r>
    </w:p>
    <w:p w:rsidR="0056411C" w:rsidP="0056411C" w14:paraId="1461874E" w14:textId="706BD2CA">
      <w:pPr>
        <w:pStyle w:val="Heading1"/>
      </w:pPr>
      <w:r>
        <w:rPr>
          <w:caps w:val="0"/>
        </w:rPr>
        <w:t>UPDATED TECHNICAL GUIDES AVAILABLE</w:t>
      </w:r>
    </w:p>
    <w:p w:rsidR="00076FE6" w:rsidRPr="00D45527" w:rsidP="00B41256" w14:paraId="75C213FD" w14:textId="543A2182">
      <w:pPr>
        <w:pStyle w:val="ParaNum"/>
        <w:widowControl/>
      </w:pPr>
      <w:r>
        <w:t xml:space="preserve">The technical guides for </w:t>
      </w:r>
      <w:r w:rsidR="008C4E5C">
        <w:t xml:space="preserve">bidding procedures in </w:t>
      </w:r>
      <w:r>
        <w:t>the clock phase and the assignment phase of Auction 110 have been updated</w:t>
      </w:r>
      <w:r w:rsidR="006A23CA">
        <w:t xml:space="preserve">.  </w:t>
      </w:r>
      <w:r w:rsidRPr="006565DD">
        <w:t xml:space="preserve">These guides provide examples and serve as </w:t>
      </w:r>
      <w:r w:rsidRPr="003A1E5B">
        <w:t>supplements to the bidding and bid processing procedures for the clock</w:t>
      </w:r>
      <w:r>
        <w:t xml:space="preserve"> and assignment phases </w:t>
      </w:r>
      <w:r w:rsidRPr="00D45527">
        <w:t xml:space="preserve">as </w:t>
      </w:r>
      <w:r>
        <w:t>described by t</w:t>
      </w:r>
      <w:r w:rsidRPr="00D45527">
        <w:t xml:space="preserve">he Commission in the </w:t>
      </w:r>
      <w:r w:rsidRPr="00076FE6">
        <w:rPr>
          <w:i/>
        </w:rPr>
        <w:t>Auction 1</w:t>
      </w:r>
      <w:r w:rsidR="00C013CE">
        <w:rPr>
          <w:i/>
        </w:rPr>
        <w:t>10</w:t>
      </w:r>
      <w:r w:rsidRPr="00076FE6">
        <w:rPr>
          <w:i/>
        </w:rPr>
        <w:t xml:space="preserve"> </w:t>
      </w:r>
      <w:r w:rsidRPr="00D128EA">
        <w:rPr>
          <w:i/>
        </w:rPr>
        <w:t>Procedures Public Notice</w:t>
      </w:r>
      <w:r w:rsidRPr="00D45527">
        <w:t>.</w:t>
      </w:r>
      <w:r>
        <w:rPr>
          <w:vertAlign w:val="superscript"/>
        </w:rPr>
        <w:footnoteReference w:id="38"/>
      </w:r>
      <w:r w:rsidRPr="00D45527">
        <w:t xml:space="preserve">  The guide</w:t>
      </w:r>
      <w:r>
        <w:t>s</w:t>
      </w:r>
      <w:r w:rsidRPr="00D45527">
        <w:t xml:space="preserve">, which </w:t>
      </w:r>
      <w:r>
        <w:t>are</w:t>
      </w:r>
      <w:r w:rsidRPr="00D45527">
        <w:t xml:space="preserve"> entitled</w:t>
      </w:r>
      <w:r>
        <w:t xml:space="preserve"> </w:t>
      </w:r>
      <w:r w:rsidRPr="00076FE6">
        <w:rPr>
          <w:i/>
        </w:rPr>
        <w:t>Auction 1</w:t>
      </w:r>
      <w:r w:rsidR="0091140C">
        <w:rPr>
          <w:i/>
        </w:rPr>
        <w:t>10</w:t>
      </w:r>
      <w:r w:rsidRPr="00D128EA">
        <w:rPr>
          <w:i/>
        </w:rPr>
        <w:t xml:space="preserve"> </w:t>
      </w:r>
      <w:r w:rsidRPr="009A0781">
        <w:rPr>
          <w:i/>
        </w:rPr>
        <w:t>Clock Phase Technical Guide</w:t>
      </w:r>
      <w:r>
        <w:t xml:space="preserve"> and </w:t>
      </w:r>
      <w:r w:rsidRPr="00076FE6">
        <w:rPr>
          <w:i/>
          <w:iCs/>
        </w:rPr>
        <w:t>Auction 1</w:t>
      </w:r>
      <w:r w:rsidR="0091140C">
        <w:rPr>
          <w:i/>
          <w:iCs/>
        </w:rPr>
        <w:t>10</w:t>
      </w:r>
      <w:r w:rsidRPr="00076FE6">
        <w:rPr>
          <w:i/>
          <w:iCs/>
        </w:rPr>
        <w:t xml:space="preserve"> Assignment Phase Technical Guide</w:t>
      </w:r>
      <w:r>
        <w:t>, respectively, are</w:t>
      </w:r>
      <w:r w:rsidRPr="00D45527">
        <w:t xml:space="preserve"> available on the Commission’s Auction 1</w:t>
      </w:r>
      <w:r w:rsidR="0091140C">
        <w:t>10</w:t>
      </w:r>
      <w:r w:rsidRPr="00D45527">
        <w:t xml:space="preserve"> website (</w:t>
      </w:r>
      <w:r w:rsidRPr="00076FE6">
        <w:rPr>
          <w:color w:val="0000FF"/>
          <w:u w:val="single"/>
        </w:rPr>
        <w:t>www.fcc.gov/auction/1</w:t>
      </w:r>
      <w:r w:rsidR="00ED5236">
        <w:rPr>
          <w:color w:val="0000FF"/>
          <w:u w:val="single"/>
        </w:rPr>
        <w:t>10</w:t>
      </w:r>
      <w:r w:rsidRPr="00D45527">
        <w:t xml:space="preserve">) in the Education section, where </w:t>
      </w:r>
      <w:r>
        <w:t>they</w:t>
      </w:r>
      <w:r w:rsidRPr="00D45527">
        <w:t xml:space="preserve"> will remain available and accessible for reference.  </w:t>
      </w:r>
    </w:p>
    <w:p w:rsidR="00076FE6" w:rsidRPr="00D45527" w:rsidP="00076FE6" w14:paraId="3185DADB" w14:textId="7BE065B4">
      <w:pPr>
        <w:pStyle w:val="ParaNum"/>
      </w:pPr>
      <w:bookmarkStart w:id="2" w:name="_Hlk505075609"/>
      <w:r w:rsidRPr="00D45527">
        <w:t>For further information concerning the technical guide</w:t>
      </w:r>
      <w:r>
        <w:t>s</w:t>
      </w:r>
      <w:r w:rsidRPr="00D45527">
        <w:t xml:space="preserve">, email </w:t>
      </w:r>
      <w:hyperlink r:id="rId7" w:history="1">
        <w:r w:rsidRPr="00994A88" w:rsidR="00994A88">
          <w:rPr>
            <w:rStyle w:val="Hyperlink"/>
            <w:szCs w:val="22"/>
          </w:rPr>
          <w:t>auction110@fcc.gov</w:t>
        </w:r>
      </w:hyperlink>
      <w:r w:rsidRPr="00D45527">
        <w:t xml:space="preserve"> or contact the FCC Auctions Hotline at (717) 338-2868.  For further information concerning this proceeding, contact the offices listed below:</w:t>
      </w:r>
    </w:p>
    <w:bookmarkEnd w:id="2"/>
    <w:p w:rsidR="00076FE6" w:rsidRPr="00D45527" w:rsidP="00994A88" w14:paraId="1D2C262D" w14:textId="77777777">
      <w:pPr>
        <w:keepNext/>
        <w:keepLines/>
        <w:widowControl/>
        <w:tabs>
          <w:tab w:val="left" w:pos="1080"/>
        </w:tabs>
        <w:suppressAutoHyphens/>
        <w:rPr>
          <w:b/>
          <w:szCs w:val="22"/>
        </w:rPr>
      </w:pPr>
      <w:r w:rsidRPr="00D45527">
        <w:rPr>
          <w:b/>
          <w:szCs w:val="22"/>
        </w:rPr>
        <w:t xml:space="preserve">Mobility Division, Wireless Telecommunications Bureau </w:t>
      </w:r>
    </w:p>
    <w:p w:rsidR="00076FE6" w:rsidRPr="00D45527" w:rsidP="00994A88" w14:paraId="41C14C1D" w14:textId="77777777">
      <w:pPr>
        <w:keepNext/>
        <w:keepLines/>
        <w:widowControl/>
        <w:tabs>
          <w:tab w:val="left" w:pos="1080"/>
        </w:tabs>
        <w:suppressAutoHyphens/>
        <w:rPr>
          <w:szCs w:val="22"/>
        </w:rPr>
      </w:pPr>
    </w:p>
    <w:p w:rsidR="00D55325" w14:paraId="49574DE6" w14:textId="5EAC69C2">
      <w:pPr>
        <w:widowControl/>
        <w:suppressAutoHyphens/>
        <w:ind w:left="4320" w:hanging="4320"/>
        <w:rPr>
          <w:szCs w:val="22"/>
        </w:rPr>
      </w:pPr>
      <w:r>
        <w:rPr>
          <w:szCs w:val="22"/>
        </w:rPr>
        <w:t>3.</w:t>
      </w:r>
      <w:r w:rsidR="00DC65E9">
        <w:rPr>
          <w:szCs w:val="22"/>
        </w:rPr>
        <w:t>45</w:t>
      </w:r>
      <w:r>
        <w:rPr>
          <w:szCs w:val="22"/>
        </w:rPr>
        <w:t xml:space="preserve"> GHz</w:t>
      </w:r>
      <w:r w:rsidRPr="00D45527">
        <w:rPr>
          <w:szCs w:val="22"/>
        </w:rPr>
        <w:t xml:space="preserve"> </w:t>
      </w:r>
      <w:r>
        <w:rPr>
          <w:szCs w:val="22"/>
        </w:rPr>
        <w:t>Service</w:t>
      </w:r>
      <w:r w:rsidRPr="00D45527">
        <w:rPr>
          <w:szCs w:val="22"/>
        </w:rPr>
        <w:t xml:space="preserve"> questions:</w:t>
      </w:r>
      <w:r w:rsidRPr="00D45527">
        <w:rPr>
          <w:szCs w:val="22"/>
        </w:rPr>
        <w:tab/>
      </w:r>
      <w:r w:rsidR="00C77811">
        <w:rPr>
          <w:szCs w:val="22"/>
        </w:rPr>
        <w:t xml:space="preserve">Jon Markman at (202) 418-7090 or </w:t>
      </w:r>
    </w:p>
    <w:p w:rsidR="00994A88" w:rsidRPr="00D45527" w:rsidP="00EE3FD6" w14:paraId="2F91BE1E" w14:textId="17621DE8">
      <w:pPr>
        <w:widowControl/>
        <w:suppressAutoHyphens/>
        <w:ind w:left="4320"/>
        <w:rPr>
          <w:szCs w:val="22"/>
        </w:rPr>
      </w:pPr>
      <w:r>
        <w:rPr>
          <w:szCs w:val="22"/>
        </w:rPr>
        <w:t>Joyce Jones</w:t>
      </w:r>
      <w:r w:rsidRPr="00D45527">
        <w:rPr>
          <w:szCs w:val="22"/>
        </w:rPr>
        <w:t xml:space="preserve"> at (202) 418-</w:t>
      </w:r>
      <w:r w:rsidR="00AB03EE">
        <w:rPr>
          <w:szCs w:val="22"/>
        </w:rPr>
        <w:t>1327</w:t>
      </w:r>
    </w:p>
    <w:p w:rsidR="00076FE6" w:rsidRPr="00D45527" w:rsidP="00994A88" w14:paraId="0537469D" w14:textId="77777777">
      <w:pPr>
        <w:widowControl/>
        <w:suppressAutoHyphens/>
        <w:ind w:left="4320" w:hanging="4320"/>
        <w:rPr>
          <w:szCs w:val="22"/>
        </w:rPr>
      </w:pPr>
    </w:p>
    <w:p w:rsidR="00076FE6" w:rsidRPr="00D45527" w:rsidP="00994A88" w14:paraId="349CB3FA" w14:textId="77777777">
      <w:pPr>
        <w:widowControl/>
        <w:suppressAutoHyphens/>
        <w:ind w:left="4320" w:hanging="4320"/>
        <w:rPr>
          <w:b/>
          <w:szCs w:val="22"/>
        </w:rPr>
      </w:pPr>
      <w:r w:rsidRPr="00D45527">
        <w:rPr>
          <w:b/>
          <w:szCs w:val="22"/>
        </w:rPr>
        <w:t>Auctions Division, Office of Economics and Analytics</w:t>
      </w:r>
    </w:p>
    <w:p w:rsidR="00076FE6" w:rsidRPr="00D45527" w:rsidP="00994A88" w14:paraId="7AB14779" w14:textId="77777777">
      <w:pPr>
        <w:widowControl/>
        <w:suppressAutoHyphens/>
        <w:rPr>
          <w:b/>
          <w:szCs w:val="22"/>
        </w:rPr>
      </w:pPr>
    </w:p>
    <w:p w:rsidR="004F40FB" w:rsidRPr="00625CC5" w:rsidP="00EE3FD6" w14:paraId="100DA763" w14:textId="24767C40">
      <w:pPr>
        <w:widowControl/>
        <w:suppressAutoHyphens/>
        <w:ind w:left="4320" w:hanging="4320"/>
      </w:pPr>
      <w:r>
        <w:t>Auction legal questions:</w:t>
      </w:r>
      <w:r>
        <w:tab/>
      </w:r>
      <w:r w:rsidR="0016559C">
        <w:t>Mary Lovejoy</w:t>
      </w:r>
      <w:r>
        <w:t xml:space="preserve"> </w:t>
      </w:r>
      <w:r w:rsidR="00625CC5">
        <w:t xml:space="preserve">or Andrew McArdell </w:t>
      </w:r>
      <w:r>
        <w:t>at (202) 418-</w:t>
      </w:r>
      <w:r w:rsidR="00625CC5">
        <w:t>0660</w:t>
      </w:r>
      <w:r w:rsidR="00994A88">
        <w:t xml:space="preserve"> </w:t>
      </w:r>
    </w:p>
    <w:p w:rsidR="00BD346D" w:rsidP="00BD346D" w14:paraId="10E3B3D9" w14:textId="77777777"/>
    <w:p w:rsidR="000A5E01" w:rsidRPr="000A5E01" w:rsidP="00BD346D" w14:paraId="1EFD8642" w14:textId="3C2637A7">
      <w:pPr>
        <w:jc w:val="center"/>
      </w:pPr>
      <w:r w:rsidRPr="00D45527">
        <w:rPr>
          <w:b/>
          <w:szCs w:val="22"/>
        </w:rPr>
        <w:t>- FCC -</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CFF" w14:paraId="14A5CF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940CFF" w14:paraId="38135E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CFF" w14:paraId="56426E63" w14:textId="422A905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CFF" w14:paraId="44C05D4E" w14:textId="12873A5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673C" w14:paraId="332E7955" w14:textId="77777777">
      <w:r>
        <w:separator/>
      </w:r>
    </w:p>
  </w:footnote>
  <w:footnote w:type="continuationSeparator" w:id="1">
    <w:p w:rsidR="00DE673C" w14:paraId="051CA86F" w14:textId="77777777">
      <w:pPr>
        <w:rPr>
          <w:sz w:val="20"/>
        </w:rPr>
      </w:pPr>
      <w:r>
        <w:rPr>
          <w:sz w:val="20"/>
        </w:rPr>
        <w:t xml:space="preserve">(Continued from previous page)  </w:t>
      </w:r>
      <w:r>
        <w:rPr>
          <w:sz w:val="20"/>
        </w:rPr>
        <w:separator/>
      </w:r>
    </w:p>
  </w:footnote>
  <w:footnote w:type="continuationNotice" w:id="2">
    <w:p w:rsidR="00DE673C" w14:paraId="5360CE7D" w14:textId="77777777">
      <w:pPr>
        <w:jc w:val="right"/>
        <w:rPr>
          <w:sz w:val="20"/>
        </w:rPr>
      </w:pPr>
      <w:r>
        <w:rPr>
          <w:sz w:val="20"/>
        </w:rPr>
        <w:t>(continued….)</w:t>
      </w:r>
    </w:p>
  </w:footnote>
  <w:footnote w:id="3">
    <w:p w:rsidR="0001039B" w14:paraId="445FD415" w14:textId="7571023B">
      <w:pPr>
        <w:pStyle w:val="FootnoteText"/>
      </w:pPr>
      <w:r>
        <w:rPr>
          <w:rStyle w:val="FootnoteReference"/>
        </w:rPr>
        <w:footnoteRef/>
      </w:r>
      <w:r>
        <w:t xml:space="preserve"> </w:t>
      </w:r>
      <w:r w:rsidRPr="00F939E2" w:rsidR="00B41256">
        <w:rPr>
          <w:i/>
          <w:iCs/>
        </w:rPr>
        <w:t>See</w:t>
      </w:r>
      <w:r w:rsidR="00B41256">
        <w:t xml:space="preserve"> </w:t>
      </w:r>
      <w:r w:rsidRPr="00850346" w:rsidR="00B41256">
        <w:rPr>
          <w:i/>
          <w:iCs/>
        </w:rPr>
        <w:t>Lockheed Martin Request for Part 90 Special Temporary Authority to Operate Two Radiolocation Service Sites</w:t>
      </w:r>
      <w:r w:rsidR="00B41256">
        <w:t xml:space="preserve"> </w:t>
      </w:r>
      <w:r w:rsidRPr="00850346" w:rsidR="00B41256">
        <w:rPr>
          <w:i/>
          <w:iCs/>
        </w:rPr>
        <w:t>in the 3.45 GHz Band</w:t>
      </w:r>
      <w:r w:rsidR="00B41256">
        <w:t>, Order, DA 21-</w:t>
      </w:r>
      <w:r w:rsidR="00323F84">
        <w:t>693</w:t>
      </w:r>
      <w:r w:rsidR="000A33AB">
        <w:t xml:space="preserve">, at </w:t>
      </w:r>
      <w:r w:rsidR="00A778A6">
        <w:t>7</w:t>
      </w:r>
      <w:r w:rsidR="000A33AB">
        <w:t>-10</w:t>
      </w:r>
      <w:r w:rsidR="00B41256">
        <w:t xml:space="preserve"> (</w:t>
      </w:r>
      <w:r w:rsidR="00323F84">
        <w:t>WTB</w:t>
      </w:r>
      <w:r w:rsidR="00537A81">
        <w:t>/OET</w:t>
      </w:r>
      <w:r w:rsidR="00B41256">
        <w:t xml:space="preserve"> June</w:t>
      </w:r>
      <w:r w:rsidR="00323F84">
        <w:t xml:space="preserve"> 16</w:t>
      </w:r>
      <w:r w:rsidR="00B41256">
        <w:t>, 2021) (</w:t>
      </w:r>
      <w:r w:rsidRPr="00850346" w:rsidR="00B41256">
        <w:rPr>
          <w:i/>
          <w:iCs/>
        </w:rPr>
        <w:t>Lockheed Order</w:t>
      </w:r>
      <w:r w:rsidR="00B41256">
        <w:t>).</w:t>
      </w:r>
    </w:p>
  </w:footnote>
  <w:footnote w:id="4">
    <w:p w:rsidR="00AF78B2" w14:paraId="13B9ACAE" w14:textId="08D2DC82">
      <w:pPr>
        <w:pStyle w:val="FootnoteText"/>
      </w:pPr>
      <w:r>
        <w:rPr>
          <w:rStyle w:val="FootnoteReference"/>
        </w:rPr>
        <w:footnoteRef/>
      </w:r>
      <w:r>
        <w:t xml:space="preserve"> </w:t>
      </w:r>
      <w:r w:rsidRPr="00394EA3" w:rsidR="00394EA3">
        <w:rPr>
          <w:i/>
          <w:iCs/>
        </w:rPr>
        <w:t>See generally Auction of Flexible-Use Service Licenses in the 3.45–3.55 GHz Band for Next-Generation Wireless Services; Notice and Filing Requirements, Minimum Opening Bids, Upfront Payments, and Other Procedures for Auction 110</w:t>
      </w:r>
      <w:r w:rsidR="00394EA3">
        <w:t>, AU Docket No. 21-62, Public Notice, DA 21-655 (rel. June 9, 2021) (</w:t>
      </w:r>
      <w:r w:rsidRPr="00394EA3" w:rsidR="00394EA3">
        <w:rPr>
          <w:i/>
          <w:iCs/>
        </w:rPr>
        <w:t>Auction 110 Procedures Public Notice</w:t>
      </w:r>
      <w:r w:rsidR="00394EA3">
        <w:t>).</w:t>
      </w:r>
    </w:p>
  </w:footnote>
  <w:footnote w:id="5">
    <w:p w:rsidR="00394EA3" w14:paraId="1D60D8C8" w14:textId="70BD4A4C">
      <w:pPr>
        <w:pStyle w:val="FootnoteText"/>
      </w:pPr>
      <w:r>
        <w:rPr>
          <w:rStyle w:val="FootnoteReference"/>
        </w:rPr>
        <w:footnoteRef/>
      </w:r>
      <w:r>
        <w:t xml:space="preserve"> </w:t>
      </w:r>
      <w:r w:rsidRPr="00394EA3" w:rsidR="00A60DB0">
        <w:rPr>
          <w:i/>
          <w:iCs/>
        </w:rPr>
        <w:t>Auction 110 Procedures Public Notice</w:t>
      </w:r>
      <w:r>
        <w:t xml:space="preserve"> at 5, para. 7.</w:t>
      </w:r>
    </w:p>
  </w:footnote>
  <w:footnote w:id="6">
    <w:p w:rsidR="00394EA3" w14:paraId="02F8FF7F" w14:textId="4F72BB8B">
      <w:pPr>
        <w:pStyle w:val="FootnoteText"/>
      </w:pPr>
      <w:r>
        <w:rPr>
          <w:rStyle w:val="FootnoteReference"/>
        </w:rPr>
        <w:footnoteRef/>
      </w:r>
      <w:r>
        <w:t xml:space="preserve"> </w:t>
      </w:r>
      <w:r w:rsidRPr="00394EA3">
        <w:rPr>
          <w:i/>
          <w:iCs/>
        </w:rPr>
        <w:t>Id</w:t>
      </w:r>
      <w:r>
        <w:t>.</w:t>
      </w:r>
    </w:p>
  </w:footnote>
  <w:footnote w:id="7">
    <w:p w:rsidR="00AF78B2" w14:paraId="088D98A7" w14:textId="09F00B6E">
      <w:pPr>
        <w:pStyle w:val="FootnoteText"/>
      </w:pPr>
      <w:r>
        <w:rPr>
          <w:rStyle w:val="FootnoteReference"/>
        </w:rPr>
        <w:footnoteRef/>
      </w:r>
      <w:r>
        <w:t xml:space="preserve"> </w:t>
      </w:r>
      <w:r w:rsidR="00394EA3">
        <w:rPr>
          <w:i/>
          <w:iCs/>
        </w:rPr>
        <w:t>Id</w:t>
      </w:r>
      <w:r>
        <w:t>.</w:t>
      </w:r>
    </w:p>
  </w:footnote>
  <w:footnote w:id="8">
    <w:p w:rsidR="000B3AC7" w:rsidRPr="00E665CA" w:rsidP="000B3AC7" w14:paraId="1175F2A5" w14:textId="59308E99">
      <w:pPr>
        <w:pStyle w:val="FootnoteText"/>
      </w:pPr>
      <w:r>
        <w:rPr>
          <w:rStyle w:val="FootnoteReference"/>
        </w:rPr>
        <w:footnoteRef/>
      </w:r>
      <w:r>
        <w:t xml:space="preserve"> </w:t>
      </w:r>
      <w:r>
        <w:rPr>
          <w:i/>
          <w:iCs/>
        </w:rPr>
        <w:t xml:space="preserve">See </w:t>
      </w:r>
      <w:r w:rsidRPr="00181083" w:rsidR="00B522BA">
        <w:rPr>
          <w:i/>
          <w:iCs/>
        </w:rPr>
        <w:t>Facilitating Shared Use in the 3100-3550 MHz Band</w:t>
      </w:r>
      <w:r w:rsidRPr="00181083" w:rsidR="00B522BA">
        <w:t xml:space="preserve">, WT Docket No. 19-348, Second Report and Order, Order on Reconsideration, </w:t>
      </w:r>
      <w:r w:rsidR="00B522BA">
        <w:t xml:space="preserve">and </w:t>
      </w:r>
      <w:r w:rsidRPr="00181083" w:rsidR="00B522BA">
        <w:t xml:space="preserve">Order </w:t>
      </w:r>
      <w:r w:rsidR="00B522BA">
        <w:t>of Proposed</w:t>
      </w:r>
      <w:r w:rsidRPr="00181083" w:rsidR="00B522BA">
        <w:t xml:space="preserve"> Modification,</w:t>
      </w:r>
      <w:r w:rsidR="00B522BA">
        <w:t xml:space="preserve"> FCC 21-32 (Mar. 18, 2021) (</w:t>
      </w:r>
      <w:r w:rsidRPr="0095188F" w:rsidR="00B522BA">
        <w:rPr>
          <w:i/>
          <w:iCs/>
        </w:rPr>
        <w:t>3.45 GHz Second Report and Order</w:t>
      </w:r>
      <w:r w:rsidR="00B522BA">
        <w:t xml:space="preserve">) </w:t>
      </w:r>
      <w:r>
        <w:t>at</w:t>
      </w:r>
      <w:r w:rsidRPr="00C5000B">
        <w:rPr>
          <w:i/>
          <w:iCs/>
        </w:rPr>
        <w:t xml:space="preserve"> </w:t>
      </w:r>
      <w:r w:rsidR="00634CCC">
        <w:t>5-6</w:t>
      </w:r>
      <w:r>
        <w:t xml:space="preserve">, </w:t>
      </w:r>
      <w:r w:rsidR="008E6E4F">
        <w:t>11</w:t>
      </w:r>
      <w:r>
        <w:t>,</w:t>
      </w:r>
      <w:r w:rsidR="008E6E4F">
        <w:t xml:space="preserve"> 12-14,</w:t>
      </w:r>
      <w:r>
        <w:t xml:space="preserve"> paras. 8-9, 21, 23-25.</w:t>
      </w:r>
      <w:r w:rsidR="00034B0B">
        <w:t xml:space="preserve"> </w:t>
      </w:r>
      <w:r w:rsidRPr="00594C93" w:rsidR="00034B0B">
        <w:rPr>
          <w:i/>
          <w:iCs/>
        </w:rPr>
        <w:t>See also</w:t>
      </w:r>
      <w:r w:rsidR="00034B0B">
        <w:t xml:space="preserve"> </w:t>
      </w:r>
      <w:r w:rsidRPr="00394EA3" w:rsidR="00034B0B">
        <w:rPr>
          <w:i/>
          <w:iCs/>
        </w:rPr>
        <w:t>Auction 110 Procedures Public Notice</w:t>
      </w:r>
      <w:r w:rsidRPr="00594C93" w:rsidR="006D090B">
        <w:t xml:space="preserve"> at 40</w:t>
      </w:r>
      <w:r w:rsidRPr="00795F5E" w:rsidR="00E665CA">
        <w:t>,</w:t>
      </w:r>
      <w:r w:rsidR="00E665CA">
        <w:t xml:space="preserve"> para. 115</w:t>
      </w:r>
      <w:r w:rsidR="00CE51CD">
        <w:t>.</w:t>
      </w:r>
    </w:p>
  </w:footnote>
  <w:footnote w:id="9">
    <w:p w:rsidR="000B3AC7" w:rsidP="000B3AC7" w14:paraId="74EA6DAB" w14:textId="1488224A">
      <w:pPr>
        <w:pStyle w:val="FootnoteText"/>
      </w:pPr>
      <w:r>
        <w:rPr>
          <w:rStyle w:val="FootnoteReference"/>
        </w:rPr>
        <w:footnoteRef/>
      </w:r>
      <w:r>
        <w:t xml:space="preserve"> </w:t>
      </w:r>
      <w:r w:rsidR="00CA0F1C">
        <w:rPr>
          <w:i/>
          <w:iCs/>
        </w:rPr>
        <w:t>The Federal Communications Commission and the National Telecommunications and Information Administration:  Coordination Procedures in the 3.45</w:t>
      </w:r>
      <w:r w:rsidRPr="00B65A44" w:rsidR="00CA0F1C">
        <w:rPr>
          <w:i/>
          <w:iCs/>
        </w:rPr>
        <w:t>–3.55</w:t>
      </w:r>
      <w:r w:rsidR="00CA0F1C">
        <w:t xml:space="preserve"> </w:t>
      </w:r>
      <w:r w:rsidRPr="00B65A44" w:rsidR="00CA0F1C">
        <w:rPr>
          <w:i/>
          <w:iCs/>
        </w:rPr>
        <w:t>Band</w:t>
      </w:r>
      <w:r w:rsidR="00CA0F1C">
        <w:t>, WT Docket No. 19-348, Public Notice, DA 21-645 (WTB/NTIA Jun. 2, 2021) (</w:t>
      </w:r>
      <w:r w:rsidR="00CA0F1C">
        <w:rPr>
          <w:i/>
          <w:iCs/>
        </w:rPr>
        <w:t>Joint Coordination Public Notice</w:t>
      </w:r>
      <w:r>
        <w:t>).</w:t>
      </w:r>
    </w:p>
  </w:footnote>
  <w:footnote w:id="10">
    <w:p w:rsidR="000B3AC7" w:rsidP="000B3AC7" w14:paraId="607E2F22" w14:textId="3F667C89">
      <w:pPr>
        <w:pStyle w:val="FootnoteText"/>
      </w:pPr>
      <w:r>
        <w:rPr>
          <w:rStyle w:val="FootnoteReference"/>
        </w:rPr>
        <w:footnoteRef/>
      </w:r>
      <w:r>
        <w:t xml:space="preserve"> </w:t>
      </w:r>
      <w:r w:rsidRPr="004B5C91">
        <w:rPr>
          <w:i/>
          <w:iCs/>
        </w:rPr>
        <w:t>See</w:t>
      </w:r>
      <w:r>
        <w:t xml:space="preserve"> </w:t>
      </w:r>
      <w:r>
        <w:rPr>
          <w:i/>
          <w:iCs/>
        </w:rPr>
        <w:t xml:space="preserve">3.45 GHz Second Report &amp; Order </w:t>
      </w:r>
      <w:r w:rsidRPr="00C50FD7">
        <w:t>at</w:t>
      </w:r>
      <w:r>
        <w:t xml:space="preserve"> </w:t>
      </w:r>
      <w:r w:rsidR="008E6E4F">
        <w:t>5-6, 11</w:t>
      </w:r>
      <w:r>
        <w:t xml:space="preserve">, paras. 8-9, 21.  </w:t>
      </w:r>
      <w:r w:rsidRPr="004E21E7">
        <w:t xml:space="preserve">Cooperative Planning Areas </w:t>
      </w:r>
      <w:r>
        <w:t>are areas</w:t>
      </w:r>
      <w:r w:rsidRPr="004E21E7">
        <w:t xml:space="preserve"> in which </w:t>
      </w:r>
      <w:r>
        <w:t>the DoD</w:t>
      </w:r>
      <w:r w:rsidRPr="004E21E7">
        <w:t xml:space="preserve"> anticipates that federal operations will continue after the assignment of flexible use licenses in the band; Periodic Use Areas overlap with certain Cooperative Planning Areas</w:t>
      </w:r>
      <w:r>
        <w:t xml:space="preserve"> and are areas</w:t>
      </w:r>
      <w:r w:rsidRPr="004E21E7">
        <w:t xml:space="preserve"> in which the DoD will need episodic access to all or a portion of the band in specific, limited geographic areas</w:t>
      </w:r>
      <w:r>
        <w:t xml:space="preserve">.  </w:t>
      </w:r>
      <w:r w:rsidRPr="004B5C91">
        <w:rPr>
          <w:i/>
          <w:iCs/>
        </w:rPr>
        <w:t>See</w:t>
      </w:r>
      <w:r>
        <w:t xml:space="preserve"> </w:t>
      </w:r>
      <w:r>
        <w:rPr>
          <w:i/>
          <w:iCs/>
        </w:rPr>
        <w:t>id.</w:t>
      </w:r>
      <w:r>
        <w:t xml:space="preserve"> at </w:t>
      </w:r>
      <w:r w:rsidR="00510AE3">
        <w:t>13-14</w:t>
      </w:r>
      <w:r>
        <w:t>, para. 25.</w:t>
      </w:r>
      <w:r w:rsidR="00974F2F">
        <w:t xml:space="preserve">  </w:t>
      </w:r>
      <w:r w:rsidRPr="00287310" w:rsidR="00974F2F">
        <w:t xml:space="preserve">Within Cooperative Planning and Periodic Use Areas, federal and non-federal operators may reach mutually acceptable operator-to-operator agreements to permit more extensive non-federal use by identifying and mutually agreeing upon a technical approach that mitigates the interference risk to federal operations.  </w:t>
      </w:r>
      <w:r w:rsidRPr="00287310" w:rsidR="00974F2F">
        <w:rPr>
          <w:i/>
          <w:iCs/>
        </w:rPr>
        <w:t xml:space="preserve">See id. </w:t>
      </w:r>
      <w:r w:rsidRPr="00287310" w:rsidR="00974F2F">
        <w:t>at</w:t>
      </w:r>
      <w:r w:rsidR="00974F2F">
        <w:t xml:space="preserve"> </w:t>
      </w:r>
      <w:r w:rsidR="00362E29">
        <w:t>12</w:t>
      </w:r>
      <w:r w:rsidRPr="00287310" w:rsidR="00974F2F">
        <w:t>, para. 23 (quoting note US431B to the Table of Allocations).</w:t>
      </w:r>
    </w:p>
  </w:footnote>
  <w:footnote w:id="11">
    <w:p w:rsidR="000B3AC7" w:rsidP="000B3AC7" w14:paraId="63E3087C" w14:textId="77777777">
      <w:pPr>
        <w:pStyle w:val="FootnoteText"/>
      </w:pPr>
      <w:r>
        <w:rPr>
          <w:rStyle w:val="FootnoteReference"/>
        </w:rPr>
        <w:footnoteRef/>
      </w:r>
      <w:r>
        <w:t xml:space="preserve"> Incumbent federal operations include all current and planned federal use in the </w:t>
      </w:r>
      <w:r w:rsidRPr="00924F30">
        <w:t>3.</w:t>
      </w:r>
      <w:r>
        <w:t>45</w:t>
      </w:r>
      <w:r w:rsidRPr="00924F30">
        <w:t>–3.</w:t>
      </w:r>
      <w:r>
        <w:t>55</w:t>
      </w:r>
      <w:r w:rsidRPr="00924F30">
        <w:t xml:space="preserve"> GHz band</w:t>
      </w:r>
      <w:r>
        <w:t>.</w:t>
      </w:r>
    </w:p>
  </w:footnote>
  <w:footnote w:id="12">
    <w:p w:rsidR="000B3AC7" w:rsidP="000B3AC7" w14:paraId="17C974C9" w14:textId="0D908154">
      <w:pPr>
        <w:pStyle w:val="FootnoteText"/>
      </w:pPr>
      <w:r>
        <w:rPr>
          <w:rStyle w:val="FootnoteReference"/>
        </w:rPr>
        <w:footnoteRef/>
      </w:r>
      <w:r>
        <w:t xml:space="preserve"> </w:t>
      </w:r>
      <w:r w:rsidRPr="004B5C91">
        <w:rPr>
          <w:i/>
          <w:iCs/>
        </w:rPr>
        <w:t>See</w:t>
      </w:r>
      <w:r>
        <w:t xml:space="preserve"> </w:t>
      </w:r>
      <w:r>
        <w:rPr>
          <w:i/>
          <w:iCs/>
        </w:rPr>
        <w:t>3.45 GHz Second Report and Order</w:t>
      </w:r>
      <w:r>
        <w:t xml:space="preserve"> at </w:t>
      </w:r>
      <w:r w:rsidR="00510AE3">
        <w:t>12-</w:t>
      </w:r>
      <w:r w:rsidR="00F1513A">
        <w:t>23</w:t>
      </w:r>
      <w:r>
        <w:t>, paras. 23-57</w:t>
      </w:r>
      <w:r w:rsidR="00A03A84">
        <w:t>; s</w:t>
      </w:r>
      <w:r w:rsidRPr="00594C93" w:rsidR="00A922AD">
        <w:rPr>
          <w:i/>
          <w:iCs/>
        </w:rPr>
        <w:t>ee also</w:t>
      </w:r>
      <w:r w:rsidR="00A922AD">
        <w:t xml:space="preserve"> </w:t>
      </w:r>
      <w:r w:rsidRPr="00394EA3" w:rsidR="00A922AD">
        <w:rPr>
          <w:i/>
          <w:iCs/>
        </w:rPr>
        <w:t>Auction 110 Procedures Public Notice</w:t>
      </w:r>
      <w:r w:rsidR="00A922AD">
        <w:rPr>
          <w:i/>
          <w:iCs/>
        </w:rPr>
        <w:t xml:space="preserve"> </w:t>
      </w:r>
      <w:r w:rsidR="00A922AD">
        <w:t>at 55, para. 176.</w:t>
      </w:r>
    </w:p>
  </w:footnote>
  <w:footnote w:id="13">
    <w:p w:rsidR="00EE0AA3" w14:paraId="603555A4" w14:textId="6635D511">
      <w:pPr>
        <w:pStyle w:val="FootnoteText"/>
      </w:pPr>
      <w:r>
        <w:rPr>
          <w:rStyle w:val="FootnoteReference"/>
        </w:rPr>
        <w:footnoteRef/>
      </w:r>
      <w:r>
        <w:t xml:space="preserve"> </w:t>
      </w:r>
      <w:r w:rsidR="00F465BE">
        <w:rPr>
          <w:i/>
          <w:iCs/>
        </w:rPr>
        <w:t xml:space="preserve">See Auction 110 Procedures Public Notice </w:t>
      </w:r>
      <w:r w:rsidRPr="00F465BE" w:rsidR="00F465BE">
        <w:t>at 55, para</w:t>
      </w:r>
      <w:r w:rsidR="00F465BE">
        <w:t>.</w:t>
      </w:r>
      <w:r w:rsidRPr="00F465BE" w:rsidR="00F465BE">
        <w:t xml:space="preserve"> 176</w:t>
      </w:r>
      <w:r w:rsidR="0082390F">
        <w:t xml:space="preserve">; </w:t>
      </w:r>
      <w:r w:rsidRPr="0082390F" w:rsidR="0082390F">
        <w:rPr>
          <w:i/>
          <w:iCs/>
        </w:rPr>
        <w:t>see also</w:t>
      </w:r>
      <w:r w:rsidR="0082390F">
        <w:t xml:space="preserve"> </w:t>
      </w:r>
      <w:r w:rsidRPr="0095188F" w:rsidR="00A624B5">
        <w:rPr>
          <w:i/>
          <w:iCs/>
        </w:rPr>
        <w:t>3.45 GHz Second Report and Order</w:t>
      </w:r>
      <w:r w:rsidR="0095188F">
        <w:t xml:space="preserve"> </w:t>
      </w:r>
      <w:r w:rsidRPr="007161BA" w:rsidR="0082390F">
        <w:t>at 15-16, paras. 30-31</w:t>
      </w:r>
      <w:r w:rsidR="0082390F">
        <w:t>.</w:t>
      </w:r>
    </w:p>
  </w:footnote>
  <w:footnote w:id="14">
    <w:p w:rsidR="0035666D" w14:paraId="451CF665" w14:textId="3A3BCAB0">
      <w:pPr>
        <w:pStyle w:val="FootnoteText"/>
      </w:pPr>
      <w:r>
        <w:rPr>
          <w:rStyle w:val="FootnoteReference"/>
        </w:rPr>
        <w:footnoteRef/>
      </w:r>
      <w:r>
        <w:t xml:space="preserve"> </w:t>
      </w:r>
      <w:r w:rsidRPr="00827129">
        <w:rPr>
          <w:i/>
          <w:iCs/>
        </w:rPr>
        <w:t>See Auction 110 Procedures Public Notice</w:t>
      </w:r>
      <w:r>
        <w:t xml:space="preserve"> at 55, para 177</w:t>
      </w:r>
      <w:r w:rsidR="00F465BE">
        <w:t>.</w:t>
      </w:r>
    </w:p>
  </w:footnote>
  <w:footnote w:id="15">
    <w:p w:rsidR="00827129" w14:paraId="1C8F6BE4" w14:textId="6F4ADC88">
      <w:pPr>
        <w:pStyle w:val="FootnoteText"/>
      </w:pPr>
      <w:r>
        <w:rPr>
          <w:rStyle w:val="FootnoteReference"/>
        </w:rPr>
        <w:footnoteRef/>
      </w:r>
      <w:r>
        <w:t xml:space="preserve"> </w:t>
      </w:r>
      <w:r w:rsidR="0035666D">
        <w:rPr>
          <w:i/>
          <w:iCs/>
        </w:rPr>
        <w:t>Id</w:t>
      </w:r>
      <w:r>
        <w:t>.</w:t>
      </w:r>
    </w:p>
  </w:footnote>
  <w:footnote w:id="16">
    <w:p w:rsidR="002C2D17" w:rsidP="002C2D17" w14:paraId="4EDA505F" w14:textId="64F3DCDC">
      <w:pPr>
        <w:pStyle w:val="FootnoteText"/>
      </w:pPr>
      <w:r>
        <w:rPr>
          <w:rStyle w:val="FootnoteReference"/>
        </w:rPr>
        <w:footnoteRef/>
      </w:r>
      <w:r>
        <w:t xml:space="preserve"> </w:t>
      </w:r>
      <w:r>
        <w:rPr>
          <w:i/>
          <w:iCs/>
        </w:rPr>
        <w:t>See Joint Coordination Public Notice</w:t>
      </w:r>
      <w:r>
        <w:t xml:space="preserve">.  </w:t>
      </w:r>
    </w:p>
  </w:footnote>
  <w:footnote w:id="17">
    <w:p w:rsidR="00083DBB" w:rsidRPr="007161BA" w:rsidP="005D38C8" w14:paraId="592ADF4A" w14:textId="012303C5">
      <w:pPr>
        <w:widowControl/>
        <w:autoSpaceDE w:val="0"/>
        <w:autoSpaceDN w:val="0"/>
        <w:adjustRightInd w:val="0"/>
        <w:spacing w:after="120"/>
        <w:rPr>
          <w:snapToGrid/>
          <w:color w:val="000000"/>
          <w:kern w:val="0"/>
          <w:sz w:val="20"/>
        </w:rPr>
      </w:pPr>
      <w:r>
        <w:rPr>
          <w:rStyle w:val="FootnoteReference"/>
        </w:rPr>
        <w:footnoteRef/>
      </w:r>
      <w:r>
        <w:t xml:space="preserve"> </w:t>
      </w:r>
      <w:r w:rsidRPr="007161BA" w:rsidR="005D38C8">
        <w:rPr>
          <w:i/>
          <w:iCs/>
          <w:sz w:val="20"/>
        </w:rPr>
        <w:t>See</w:t>
      </w:r>
      <w:r w:rsidRPr="007161BA" w:rsidR="005D38C8">
        <w:rPr>
          <w:sz w:val="20"/>
        </w:rPr>
        <w:t xml:space="preserve"> </w:t>
      </w:r>
      <w:r w:rsidRPr="007161BA" w:rsidR="007161BA">
        <w:rPr>
          <w:i/>
          <w:iCs/>
          <w:sz w:val="20"/>
        </w:rPr>
        <w:t>id</w:t>
      </w:r>
      <w:r w:rsidRPr="007161BA" w:rsidR="007161BA">
        <w:rPr>
          <w:sz w:val="20"/>
        </w:rPr>
        <w:t xml:space="preserve">. at 40, para. 116. (“Potential bidders should be aware that if relief substantially similar </w:t>
      </w:r>
      <w:r w:rsidR="0082390F">
        <w:rPr>
          <w:sz w:val="20"/>
        </w:rPr>
        <w:t>to</w:t>
      </w:r>
      <w:r w:rsidRPr="007161BA" w:rsidR="007161BA">
        <w:rPr>
          <w:sz w:val="20"/>
        </w:rPr>
        <w:t xml:space="preserve"> that sought by Lockheed were granted, it would affect coordination requirements and spectrum use in blocks A through H in PEAs 41, 44, and 227 for the duration of time of any such grant.”); </w:t>
      </w:r>
      <w:r w:rsidRPr="007161BA" w:rsidR="007161BA">
        <w:rPr>
          <w:i/>
          <w:iCs/>
          <w:sz w:val="20"/>
        </w:rPr>
        <w:t>see also</w:t>
      </w:r>
      <w:r w:rsidR="0082390F">
        <w:rPr>
          <w:sz w:val="20"/>
        </w:rPr>
        <w:t xml:space="preserve"> </w:t>
      </w:r>
      <w:r w:rsidRPr="007161BA" w:rsidR="005D38C8">
        <w:rPr>
          <w:snapToGrid/>
          <w:color w:val="000000"/>
          <w:kern w:val="0"/>
          <w:sz w:val="20"/>
        </w:rPr>
        <w:t xml:space="preserve">Lockheed Martin Corporation Request for Waiver, WT Docket No. 19-348, AU Docket No. 21-62 (filed Apr. 29, 2021), </w:t>
      </w:r>
      <w:hyperlink r:id="rId1" w:history="1">
        <w:r w:rsidRPr="0079717E" w:rsidR="00C96858">
          <w:rPr>
            <w:rStyle w:val="Hyperlink"/>
            <w:snapToGrid/>
            <w:kern w:val="0"/>
            <w:sz w:val="20"/>
          </w:rPr>
          <w:t>https://ecfsapi.fcc.gov/file/10507200669956/Lockheed%20Martin.pdf</w:t>
        </w:r>
      </w:hyperlink>
      <w:r w:rsidR="00C96858">
        <w:rPr>
          <w:snapToGrid/>
          <w:color w:val="0000FF"/>
          <w:kern w:val="0"/>
          <w:sz w:val="20"/>
        </w:rPr>
        <w:t xml:space="preserve"> </w:t>
      </w:r>
      <w:r w:rsidRPr="007161BA" w:rsidR="005D38C8">
        <w:rPr>
          <w:snapToGrid/>
          <w:color w:val="000000"/>
          <w:kern w:val="0"/>
          <w:sz w:val="20"/>
        </w:rPr>
        <w:t xml:space="preserve">(Waiver Request); </w:t>
      </w:r>
      <w:r w:rsidRPr="0035666D">
        <w:rPr>
          <w:i/>
          <w:iCs/>
          <w:snapToGrid/>
          <w:kern w:val="0"/>
          <w:sz w:val="20"/>
        </w:rPr>
        <w:t>Wireless Telecommunications Bureau and Office of Engineering and Technology Seek Comment on Lockheed Martin Corporation Request for Waiver of Certain Experimental Radio Service Rules</w:t>
      </w:r>
      <w:r w:rsidRPr="0035666D">
        <w:rPr>
          <w:snapToGrid/>
          <w:kern w:val="0"/>
          <w:sz w:val="20"/>
        </w:rPr>
        <w:t>, WT Docket No. 19-348, AU Docket No. 21-62, Public Notice, DA 21-539 (rel. May 7, 2021).</w:t>
      </w:r>
    </w:p>
  </w:footnote>
  <w:footnote w:id="18">
    <w:p w:rsidR="002E40ED" w:rsidRPr="00C901A4" w:rsidP="002E40ED" w14:paraId="553DFC6D" w14:textId="5964415D">
      <w:pPr>
        <w:pStyle w:val="FootnoteText"/>
      </w:pPr>
      <w:r w:rsidRPr="00AB1DCA">
        <w:rPr>
          <w:rStyle w:val="FootnoteReference"/>
        </w:rPr>
        <w:footnoteRef/>
      </w:r>
      <w:r w:rsidRPr="00AB1DCA">
        <w:t xml:space="preserve"> </w:t>
      </w:r>
      <w:r w:rsidRPr="00F34C35" w:rsidR="00B96051">
        <w:rPr>
          <w:i/>
          <w:iCs/>
        </w:rPr>
        <w:t>See</w:t>
      </w:r>
      <w:r w:rsidR="00B96051">
        <w:t xml:space="preserve"> </w:t>
      </w:r>
      <w:r w:rsidR="004B56CC">
        <w:t>Waiver Request at 2</w:t>
      </w:r>
      <w:r w:rsidR="004B56CC">
        <w:t xml:space="preserve">; </w:t>
      </w:r>
      <w:r w:rsidRPr="00F34C35" w:rsidR="00F34C35">
        <w:rPr>
          <w:i/>
          <w:iCs/>
        </w:rPr>
        <w:t>see also</w:t>
      </w:r>
      <w:r w:rsidR="00F34C35">
        <w:t xml:space="preserve"> </w:t>
      </w:r>
      <w:r w:rsidR="00B96051">
        <w:t>Lockheed Martin Request for Part 90 Special Temporary Authority to Operate Two Radiolocation Service Sites, FCC File No. 0009581172 (filed June 9, 2021) (STA Request</w:t>
      </w:r>
      <w:r w:rsidR="00B96051">
        <w:t>)</w:t>
      </w:r>
      <w:r w:rsidRPr="0017233B">
        <w:t xml:space="preserve"> at 3</w:t>
      </w:r>
      <w:r>
        <w:t>.</w:t>
      </w:r>
    </w:p>
  </w:footnote>
  <w:footnote w:id="19">
    <w:p w:rsidR="007B2C4C" w:rsidP="007B2C4C" w14:paraId="7C54A5C3" w14:textId="77777777">
      <w:pPr>
        <w:pStyle w:val="FootnoteText"/>
      </w:pPr>
      <w:r>
        <w:rPr>
          <w:rStyle w:val="FootnoteReference"/>
        </w:rPr>
        <w:footnoteRef/>
      </w:r>
      <w:r>
        <w:t xml:space="preserve"> </w:t>
      </w:r>
      <w:r>
        <w:rPr>
          <w:i/>
          <w:iCs/>
        </w:rPr>
        <w:t xml:space="preserve">See </w:t>
      </w:r>
      <w:r w:rsidRPr="00AB1DCA">
        <w:t>STA</w:t>
      </w:r>
      <w:r w:rsidRPr="005A077E">
        <w:t xml:space="preserve"> Request</w:t>
      </w:r>
      <w:r w:rsidRPr="0017233B">
        <w:t xml:space="preserve"> at</w:t>
      </w:r>
      <w:r>
        <w:t xml:space="preserve"> 4; Waiver Request at 18.</w:t>
      </w:r>
    </w:p>
  </w:footnote>
  <w:footnote w:id="20">
    <w:p w:rsidR="0020229C" w14:paraId="609C1EA1" w14:textId="0DE2E768">
      <w:pPr>
        <w:pStyle w:val="FootnoteText"/>
      </w:pPr>
      <w:r>
        <w:rPr>
          <w:rStyle w:val="FootnoteReference"/>
        </w:rPr>
        <w:footnoteRef/>
      </w:r>
      <w:r>
        <w:t xml:space="preserve"> </w:t>
      </w:r>
      <w:r w:rsidRPr="0020229C">
        <w:rPr>
          <w:i/>
          <w:iCs/>
        </w:rPr>
        <w:t>See generally</w:t>
      </w:r>
      <w:r>
        <w:t xml:space="preserve"> Waiver Request.</w:t>
      </w:r>
    </w:p>
  </w:footnote>
  <w:footnote w:id="21">
    <w:p w:rsidR="001422CC" w:rsidP="001422CC" w14:paraId="33077F9A" w14:textId="35F493C8">
      <w:pPr>
        <w:pStyle w:val="FootnoteText"/>
      </w:pPr>
      <w:r>
        <w:rPr>
          <w:rStyle w:val="FootnoteReference"/>
        </w:rPr>
        <w:footnoteRef/>
      </w:r>
      <w:r>
        <w:t xml:space="preserve"> </w:t>
      </w:r>
      <w:r w:rsidRPr="00B22385">
        <w:rPr>
          <w:i/>
          <w:iCs/>
        </w:rPr>
        <w:t>Auction 110 Procedure</w:t>
      </w:r>
      <w:r>
        <w:rPr>
          <w:i/>
          <w:iCs/>
        </w:rPr>
        <w:t>s</w:t>
      </w:r>
      <w:r w:rsidRPr="00B22385">
        <w:rPr>
          <w:i/>
          <w:iCs/>
        </w:rPr>
        <w:t xml:space="preserve"> P</w:t>
      </w:r>
      <w:r>
        <w:rPr>
          <w:i/>
          <w:iCs/>
        </w:rPr>
        <w:t xml:space="preserve">ublic </w:t>
      </w:r>
      <w:r w:rsidRPr="00625CC5">
        <w:rPr>
          <w:i/>
          <w:iCs/>
        </w:rPr>
        <w:t xml:space="preserve">Notice </w:t>
      </w:r>
      <w:r w:rsidRPr="00625CC5">
        <w:t xml:space="preserve">at </w:t>
      </w:r>
      <w:r w:rsidRPr="00625CC5" w:rsidR="00B41256">
        <w:t xml:space="preserve">40, </w:t>
      </w:r>
      <w:r w:rsidRPr="00625CC5">
        <w:t>para. 116.</w:t>
      </w:r>
    </w:p>
  </w:footnote>
  <w:footnote w:id="22">
    <w:p w:rsidR="00A624B5" w14:paraId="35AC5419" w14:textId="2859257D">
      <w:pPr>
        <w:pStyle w:val="FootnoteText"/>
      </w:pPr>
      <w:r>
        <w:rPr>
          <w:rStyle w:val="FootnoteReference"/>
        </w:rPr>
        <w:footnoteRef/>
      </w:r>
      <w:r>
        <w:t xml:space="preserve"> </w:t>
      </w:r>
      <w:r w:rsidRPr="00A624B5">
        <w:rPr>
          <w:i/>
          <w:iCs/>
        </w:rPr>
        <w:t>See</w:t>
      </w:r>
      <w:r>
        <w:t xml:space="preserve"> </w:t>
      </w:r>
      <w:r w:rsidRPr="00B0247E" w:rsidR="00B0247E">
        <w:rPr>
          <w:i/>
          <w:iCs/>
        </w:rPr>
        <w:t>generally</w:t>
      </w:r>
      <w:r w:rsidR="00B0247E">
        <w:t xml:space="preserve"> </w:t>
      </w:r>
      <w:r w:rsidR="0020229C">
        <w:t>STA Request.</w:t>
      </w:r>
    </w:p>
  </w:footnote>
  <w:footnote w:id="23">
    <w:p w:rsidR="00DE2B74" w14:paraId="7666DA06" w14:textId="5426D167">
      <w:pPr>
        <w:pStyle w:val="FootnoteText"/>
      </w:pPr>
      <w:r>
        <w:rPr>
          <w:rStyle w:val="FootnoteReference"/>
        </w:rPr>
        <w:footnoteRef/>
      </w:r>
      <w:r>
        <w:t xml:space="preserve"> 47 CFR § 1.931(b)(2)(</w:t>
      </w:r>
      <w:r w:rsidR="00C77811">
        <w:t>v</w:t>
      </w:r>
      <w:r>
        <w:t>).</w:t>
      </w:r>
    </w:p>
  </w:footnote>
  <w:footnote w:id="24">
    <w:p w:rsidR="00827129" w14:paraId="086FC4CE" w14:textId="0500FBB6">
      <w:pPr>
        <w:pStyle w:val="FootnoteText"/>
      </w:pPr>
      <w:r>
        <w:rPr>
          <w:rStyle w:val="FootnoteReference"/>
        </w:rPr>
        <w:footnoteRef/>
      </w:r>
      <w:r>
        <w:t xml:space="preserve"> STA Request at 1.</w:t>
      </w:r>
    </w:p>
  </w:footnote>
  <w:footnote w:id="25">
    <w:p w:rsidR="00827129" w14:paraId="27FC9A9D" w14:textId="524143A8">
      <w:pPr>
        <w:pStyle w:val="FootnoteText"/>
      </w:pPr>
      <w:r>
        <w:rPr>
          <w:rStyle w:val="FootnoteReference"/>
        </w:rPr>
        <w:footnoteRef/>
      </w:r>
      <w:r>
        <w:t xml:space="preserve"> </w:t>
      </w:r>
      <w:r w:rsidRPr="00827129">
        <w:rPr>
          <w:i/>
          <w:iCs/>
        </w:rPr>
        <w:t>Compare</w:t>
      </w:r>
      <w:r>
        <w:t xml:space="preserve"> Waiver Request at </w:t>
      </w:r>
      <w:r w:rsidR="00E0064B">
        <w:t>1-3</w:t>
      </w:r>
      <w:r>
        <w:t xml:space="preserve">, </w:t>
      </w:r>
      <w:r w:rsidRPr="00827129">
        <w:rPr>
          <w:i/>
          <w:iCs/>
        </w:rPr>
        <w:t>with</w:t>
      </w:r>
      <w:r>
        <w:t xml:space="preserve"> STA Request at </w:t>
      </w:r>
      <w:r w:rsidR="00076D39">
        <w:t>1</w:t>
      </w:r>
      <w:r w:rsidR="00875F5E">
        <w:t>-3</w:t>
      </w:r>
      <w:r>
        <w:t>.</w:t>
      </w:r>
    </w:p>
  </w:footnote>
  <w:footnote w:id="26">
    <w:p w:rsidR="00012428" w14:paraId="169FF75A" w14:textId="7DA731AC">
      <w:pPr>
        <w:pStyle w:val="FootnoteText"/>
      </w:pPr>
      <w:r>
        <w:rPr>
          <w:rStyle w:val="FootnoteReference"/>
        </w:rPr>
        <w:footnoteRef/>
      </w:r>
      <w:r>
        <w:t xml:space="preserve"> STA Request at 10.</w:t>
      </w:r>
    </w:p>
  </w:footnote>
  <w:footnote w:id="27">
    <w:p w:rsidR="00966EA5" w14:paraId="075F1372" w14:textId="25AD267F">
      <w:pPr>
        <w:pStyle w:val="FootnoteText"/>
      </w:pPr>
      <w:r>
        <w:rPr>
          <w:rStyle w:val="FootnoteReference"/>
        </w:rPr>
        <w:footnoteRef/>
      </w:r>
      <w:r>
        <w:t xml:space="preserve"> WTB and OET denied Lockheed’s request for waiver of the 180-day limit that applies to STAs.  </w:t>
      </w:r>
      <w:r w:rsidRPr="003236B1" w:rsidR="003236B1">
        <w:rPr>
          <w:i/>
          <w:iCs/>
        </w:rPr>
        <w:t>See</w:t>
      </w:r>
      <w:r w:rsidR="003236B1">
        <w:t xml:space="preserve"> </w:t>
      </w:r>
      <w:r w:rsidRPr="00850346">
        <w:rPr>
          <w:i/>
          <w:iCs/>
        </w:rPr>
        <w:t>Lockheed Order</w:t>
      </w:r>
      <w:r>
        <w:t xml:space="preserve"> at </w:t>
      </w:r>
      <w:r w:rsidR="00575EEF">
        <w:t>11-</w:t>
      </w:r>
      <w:r>
        <w:t>12.</w:t>
      </w:r>
    </w:p>
  </w:footnote>
  <w:footnote w:id="28">
    <w:p w:rsidR="00850346" w14:paraId="7DF68CD2" w14:textId="121878EF">
      <w:pPr>
        <w:pStyle w:val="FootnoteText"/>
      </w:pPr>
      <w:r>
        <w:rPr>
          <w:rStyle w:val="FootnoteReference"/>
        </w:rPr>
        <w:footnoteRef/>
      </w:r>
      <w:r>
        <w:t xml:space="preserve"> </w:t>
      </w:r>
      <w:r w:rsidRPr="00850346">
        <w:rPr>
          <w:i/>
          <w:iCs/>
        </w:rPr>
        <w:t>See generally</w:t>
      </w:r>
      <w:r>
        <w:t xml:space="preserve"> </w:t>
      </w:r>
      <w:r w:rsidR="00966EA5">
        <w:rPr>
          <w:i/>
          <w:iCs/>
        </w:rPr>
        <w:t>Lockheed Order</w:t>
      </w:r>
      <w:r>
        <w:t>.</w:t>
      </w:r>
    </w:p>
  </w:footnote>
  <w:footnote w:id="29">
    <w:p w:rsidR="00E8647C" w14:paraId="66D52AFE" w14:textId="5FEC831E">
      <w:pPr>
        <w:pStyle w:val="FootnoteText"/>
      </w:pPr>
      <w:r>
        <w:rPr>
          <w:rStyle w:val="FootnoteReference"/>
        </w:rPr>
        <w:footnoteRef/>
      </w:r>
      <w:r>
        <w:t xml:space="preserve"> </w:t>
      </w:r>
      <w:r w:rsidRPr="00594C93" w:rsidR="002A2D2F">
        <w:rPr>
          <w:i/>
          <w:iCs/>
        </w:rPr>
        <w:t>Id</w:t>
      </w:r>
      <w:r w:rsidR="002A2D2F">
        <w:t xml:space="preserve">. at </w:t>
      </w:r>
      <w:r w:rsidR="001F5210">
        <w:t>7</w:t>
      </w:r>
      <w:r w:rsidR="00F3143C">
        <w:t>.</w:t>
      </w:r>
    </w:p>
  </w:footnote>
  <w:footnote w:id="30">
    <w:p w:rsidR="00D71A2D" w14:paraId="71008778" w14:textId="65FD62C4">
      <w:pPr>
        <w:pStyle w:val="FootnoteText"/>
      </w:pPr>
      <w:r>
        <w:rPr>
          <w:rStyle w:val="FootnoteReference"/>
        </w:rPr>
        <w:footnoteRef/>
      </w:r>
      <w:r>
        <w:t xml:space="preserve"> </w:t>
      </w:r>
      <w:r w:rsidR="00FB5895">
        <w:t xml:space="preserve">Letter from </w:t>
      </w:r>
      <w:r w:rsidR="00D96571">
        <w:t xml:space="preserve">Jennifer A. Warren, Vice President, Civil &amp; Regulatory Affairs, </w:t>
      </w:r>
      <w:r w:rsidR="002B12AF">
        <w:t xml:space="preserve">Lockheed Martin Corporation, to Marlene </w:t>
      </w:r>
      <w:r w:rsidR="0057664B">
        <w:t xml:space="preserve">H. </w:t>
      </w:r>
      <w:r w:rsidR="002B12AF">
        <w:t xml:space="preserve">Dortch, </w:t>
      </w:r>
      <w:r w:rsidR="0057664B">
        <w:t>Secretary, Federal Communications Commission</w:t>
      </w:r>
      <w:r w:rsidR="00B85518">
        <w:t xml:space="preserve"> (June 17, 2021)</w:t>
      </w:r>
      <w:r w:rsidR="00631A1E">
        <w:t>.</w:t>
      </w:r>
    </w:p>
  </w:footnote>
  <w:footnote w:id="31">
    <w:p w:rsidR="00012428" w14:paraId="42771C56" w14:textId="1BD242ED">
      <w:pPr>
        <w:pStyle w:val="FootnoteText"/>
      </w:pPr>
      <w:r>
        <w:rPr>
          <w:rStyle w:val="FootnoteReference"/>
        </w:rPr>
        <w:footnoteRef/>
      </w:r>
      <w:r>
        <w:t xml:space="preserve"> </w:t>
      </w:r>
      <w:r w:rsidRPr="00012428">
        <w:rPr>
          <w:i/>
          <w:iCs/>
        </w:rPr>
        <w:t xml:space="preserve">See </w:t>
      </w:r>
      <w:r w:rsidR="0035666D">
        <w:rPr>
          <w:i/>
          <w:iCs/>
        </w:rPr>
        <w:t>Lockheed Order</w:t>
      </w:r>
      <w:r>
        <w:t xml:space="preserve"> at </w:t>
      </w:r>
      <w:r w:rsidR="002020C2">
        <w:t>7-9</w:t>
      </w:r>
      <w:r>
        <w:t>.</w:t>
      </w:r>
    </w:p>
  </w:footnote>
  <w:footnote w:id="32">
    <w:p w:rsidR="00FD1DEF" w14:paraId="6AE15D7C" w14:textId="2EAD0CE2">
      <w:pPr>
        <w:pStyle w:val="FootnoteText"/>
      </w:pPr>
      <w:r>
        <w:rPr>
          <w:rStyle w:val="FootnoteReference"/>
        </w:rPr>
        <w:footnoteRef/>
      </w:r>
      <w:r>
        <w:t xml:space="preserve"> </w:t>
      </w:r>
      <w:r w:rsidRPr="00FD1DEF">
        <w:rPr>
          <w:i/>
          <w:iCs/>
        </w:rPr>
        <w:t>See id</w:t>
      </w:r>
      <w:r>
        <w:t>.</w:t>
      </w:r>
    </w:p>
  </w:footnote>
  <w:footnote w:id="33">
    <w:p w:rsidR="00FD1DEF" w14:paraId="7CC9913D" w14:textId="6169DD54">
      <w:pPr>
        <w:pStyle w:val="FootnoteText"/>
      </w:pPr>
      <w:r>
        <w:rPr>
          <w:rStyle w:val="FootnoteReference"/>
        </w:rPr>
        <w:footnoteRef/>
      </w:r>
      <w:r>
        <w:t xml:space="preserve"> </w:t>
      </w:r>
      <w:r w:rsidRPr="00FD1DEF">
        <w:rPr>
          <w:i/>
          <w:iCs/>
        </w:rPr>
        <w:t>See id</w:t>
      </w:r>
      <w:r>
        <w:t>. at 8-9.</w:t>
      </w:r>
      <w:r w:rsidR="003236B1">
        <w:t xml:space="preserve">  We nonetheless emphasize that Lockheed and any Auction 110 winning bidders of licenses in the affected PEAs must be mindful that the prohibition on certain communications between auction applicants will remain in effect until the post-auction down payment deadline.  </w:t>
      </w:r>
      <w:r w:rsidRPr="00AB1DCA" w:rsidR="003236B1">
        <w:t>47 CFR</w:t>
      </w:r>
      <w:r w:rsidRPr="00E77D16" w:rsidR="003236B1">
        <w:t xml:space="preserve"> § 1</w:t>
      </w:r>
      <w:r w:rsidR="003236B1">
        <w:t xml:space="preserve">.2105(c); </w:t>
      </w:r>
      <w:r w:rsidR="003236B1">
        <w:rPr>
          <w:i/>
          <w:iCs/>
        </w:rPr>
        <w:t>see also Auction 110 Procedures Public Notice</w:t>
      </w:r>
      <w:r w:rsidR="003236B1">
        <w:t xml:space="preserve"> at 16-22, paras. 43-64.  The down payment deadline for Auction 110 will be the later of January 7, 2022, or ten business days after release of the auction closing public notice.  </w:t>
      </w:r>
      <w:r w:rsidR="003236B1">
        <w:rPr>
          <w:i/>
          <w:iCs/>
        </w:rPr>
        <w:t>Auction 110 Procedures Public Notice</w:t>
      </w:r>
      <w:r w:rsidR="003236B1">
        <w:t xml:space="preserve"> at 71, para. 253</w:t>
      </w:r>
    </w:p>
  </w:footnote>
  <w:footnote w:id="34">
    <w:p w:rsidR="0021387E" w14:paraId="7AF69FC5" w14:textId="52B9E314">
      <w:pPr>
        <w:pStyle w:val="FootnoteText"/>
      </w:pPr>
      <w:r>
        <w:rPr>
          <w:rStyle w:val="FootnoteReference"/>
        </w:rPr>
        <w:footnoteRef/>
      </w:r>
      <w:r>
        <w:t xml:space="preserve"> </w:t>
      </w:r>
      <w:r w:rsidRPr="0021387E">
        <w:rPr>
          <w:i/>
          <w:iCs/>
        </w:rPr>
        <w:t>See id</w:t>
      </w:r>
      <w:r>
        <w:t xml:space="preserve">. at </w:t>
      </w:r>
      <w:r w:rsidR="00686F9E">
        <w:t>8-</w:t>
      </w:r>
      <w:r>
        <w:t>9.</w:t>
      </w:r>
    </w:p>
  </w:footnote>
  <w:footnote w:id="35">
    <w:p w:rsidR="00AE3777" w14:paraId="18ABB82D" w14:textId="39EF34CB">
      <w:pPr>
        <w:pStyle w:val="FootnoteText"/>
      </w:pPr>
      <w:r>
        <w:rPr>
          <w:rStyle w:val="FootnoteReference"/>
        </w:rPr>
        <w:footnoteRef/>
      </w:r>
      <w:r>
        <w:t xml:space="preserve"> </w:t>
      </w:r>
      <w:r w:rsidRPr="00AE3777">
        <w:rPr>
          <w:i/>
          <w:iCs/>
        </w:rPr>
        <w:t>See id</w:t>
      </w:r>
      <w:r>
        <w:t>. at 9.</w:t>
      </w:r>
    </w:p>
  </w:footnote>
  <w:footnote w:id="36">
    <w:p w:rsidR="00AE3777" w14:paraId="3FA87B56" w14:textId="4E14A21B">
      <w:pPr>
        <w:pStyle w:val="FootnoteText"/>
      </w:pPr>
      <w:r>
        <w:rPr>
          <w:rStyle w:val="FootnoteReference"/>
        </w:rPr>
        <w:footnoteRef/>
      </w:r>
      <w:r>
        <w:t xml:space="preserve"> </w:t>
      </w:r>
      <w:r w:rsidRPr="00827129">
        <w:rPr>
          <w:i/>
          <w:iCs/>
        </w:rPr>
        <w:t>See Auction 110 Procedures Public Notice</w:t>
      </w:r>
      <w:r>
        <w:t xml:space="preserve"> at 55, para 177.</w:t>
      </w:r>
    </w:p>
  </w:footnote>
  <w:footnote w:id="37">
    <w:p w:rsidR="002206C9" w14:paraId="5D64914C" w14:textId="7C4072D1">
      <w:pPr>
        <w:pStyle w:val="FootnoteText"/>
      </w:pPr>
      <w:r>
        <w:rPr>
          <w:rStyle w:val="FootnoteReference"/>
        </w:rPr>
        <w:footnoteRef/>
      </w:r>
      <w:r>
        <w:t xml:space="preserve"> </w:t>
      </w:r>
      <w:r w:rsidRPr="004B5C91" w:rsidR="00A93D2D">
        <w:rPr>
          <w:i/>
          <w:iCs/>
        </w:rPr>
        <w:t>See</w:t>
      </w:r>
      <w:r w:rsidR="00A93D2D">
        <w:t xml:space="preserve"> </w:t>
      </w:r>
      <w:r w:rsidR="00A93D2D">
        <w:rPr>
          <w:i/>
          <w:iCs/>
        </w:rPr>
        <w:t>3.45 GHz Second Report and Order</w:t>
      </w:r>
      <w:r w:rsidR="00A93D2D">
        <w:t xml:space="preserve"> at </w:t>
      </w:r>
      <w:r w:rsidR="001015B5">
        <w:t>12-23</w:t>
      </w:r>
      <w:r w:rsidR="00A93D2D">
        <w:t>, paras. 23-57.</w:t>
      </w:r>
    </w:p>
  </w:footnote>
  <w:footnote w:id="38">
    <w:p w:rsidR="00076FE6" w:rsidRPr="00B41256" w:rsidP="00076FE6" w14:paraId="00990018" w14:textId="5BB01BAA">
      <w:pPr>
        <w:pStyle w:val="FootnoteText"/>
      </w:pPr>
      <w:r>
        <w:rPr>
          <w:rStyle w:val="FootnoteReference"/>
        </w:rPr>
        <w:footnoteRef/>
      </w:r>
      <w:r>
        <w:t xml:space="preserve"> </w:t>
      </w:r>
      <w:r w:rsidR="0089600F">
        <w:rPr>
          <w:i/>
          <w:iCs/>
        </w:rPr>
        <w:t>Auction 110 Procedures Public Notice</w:t>
      </w:r>
      <w:r w:rsidR="0089600F">
        <w:t xml:space="preserve"> at </w:t>
      </w:r>
      <w:r w:rsidR="0097093C">
        <w:t>54</w:t>
      </w:r>
      <w:r w:rsidR="0089600F">
        <w:t>-</w:t>
      </w:r>
      <w:r w:rsidR="0097093C">
        <w:t>70</w:t>
      </w:r>
      <w:r w:rsidR="0089600F">
        <w:t xml:space="preserve">, </w:t>
      </w:r>
      <w:r w:rsidR="0089600F">
        <w:rPr>
          <w:iCs/>
        </w:rPr>
        <w:t>paras. 172-245</w:t>
      </w:r>
      <w:r w:rsidR="00AB03EE">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CFF" w14:paraId="14C65BDA" w14:textId="5E388177">
    <w:pPr>
      <w:tabs>
        <w:tab w:val="center" w:pos="4680"/>
        <w:tab w:val="right" w:pos="9360"/>
      </w:tabs>
    </w:pPr>
    <w:r>
      <w:rPr>
        <w:b/>
      </w:rPr>
      <w:tab/>
      <w:t>Federal Communications Commission</w:t>
    </w:r>
    <w:r>
      <w:rPr>
        <w:b/>
      </w:rPr>
      <w:tab/>
    </w:r>
    <w:r w:rsidR="00064BB6">
      <w:rPr>
        <w:b/>
      </w:rPr>
      <w:t>DA 21-</w:t>
    </w:r>
    <w:r w:rsidR="006F5267">
      <w:rPr>
        <w:b/>
      </w:rPr>
      <w:t>738</w:t>
    </w:r>
  </w:p>
  <w:p w:rsidR="00940CFF" w14:paraId="18BE852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40CFF" w14:paraId="6005E8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CFF" w14:paraId="68B7D450"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32508B5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2AF4450"/>
    <w:multiLevelType w:val="hybridMultilevel"/>
    <w:tmpl w:val="02D636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FB"/>
    <w:rsid w:val="000010E8"/>
    <w:rsid w:val="00001948"/>
    <w:rsid w:val="00007D18"/>
    <w:rsid w:val="0001039B"/>
    <w:rsid w:val="00012428"/>
    <w:rsid w:val="000148CD"/>
    <w:rsid w:val="0002324F"/>
    <w:rsid w:val="000302AA"/>
    <w:rsid w:val="0003348A"/>
    <w:rsid w:val="00034B0B"/>
    <w:rsid w:val="00034B86"/>
    <w:rsid w:val="00034E18"/>
    <w:rsid w:val="00037E27"/>
    <w:rsid w:val="000428A8"/>
    <w:rsid w:val="0004391A"/>
    <w:rsid w:val="000467C1"/>
    <w:rsid w:val="00047487"/>
    <w:rsid w:val="00050B8B"/>
    <w:rsid w:val="00052756"/>
    <w:rsid w:val="0005500C"/>
    <w:rsid w:val="00055B25"/>
    <w:rsid w:val="00061114"/>
    <w:rsid w:val="00063303"/>
    <w:rsid w:val="00064BB6"/>
    <w:rsid w:val="00064D46"/>
    <w:rsid w:val="000706EC"/>
    <w:rsid w:val="00076D39"/>
    <w:rsid w:val="00076FE6"/>
    <w:rsid w:val="00077B91"/>
    <w:rsid w:val="00080E1E"/>
    <w:rsid w:val="00082D8E"/>
    <w:rsid w:val="00083DBB"/>
    <w:rsid w:val="00084E99"/>
    <w:rsid w:val="000855F0"/>
    <w:rsid w:val="00092518"/>
    <w:rsid w:val="00093A56"/>
    <w:rsid w:val="0009732E"/>
    <w:rsid w:val="000976D5"/>
    <w:rsid w:val="000A33AB"/>
    <w:rsid w:val="000A5E01"/>
    <w:rsid w:val="000A79F5"/>
    <w:rsid w:val="000B3AC7"/>
    <w:rsid w:val="000B4AB7"/>
    <w:rsid w:val="000B507B"/>
    <w:rsid w:val="000B7C53"/>
    <w:rsid w:val="000C0B04"/>
    <w:rsid w:val="000C3745"/>
    <w:rsid w:val="000D0247"/>
    <w:rsid w:val="000E293C"/>
    <w:rsid w:val="000E3850"/>
    <w:rsid w:val="000E5677"/>
    <w:rsid w:val="000E6FEC"/>
    <w:rsid w:val="000F42F6"/>
    <w:rsid w:val="000F7424"/>
    <w:rsid w:val="001015B5"/>
    <w:rsid w:val="00104B30"/>
    <w:rsid w:val="00105A0E"/>
    <w:rsid w:val="001114AD"/>
    <w:rsid w:val="00113664"/>
    <w:rsid w:val="00113E54"/>
    <w:rsid w:val="00113E8B"/>
    <w:rsid w:val="00115450"/>
    <w:rsid w:val="00115E2E"/>
    <w:rsid w:val="00116141"/>
    <w:rsid w:val="00117340"/>
    <w:rsid w:val="0012443C"/>
    <w:rsid w:val="00132A70"/>
    <w:rsid w:val="001422CC"/>
    <w:rsid w:val="00143507"/>
    <w:rsid w:val="00143DCC"/>
    <w:rsid w:val="001446F0"/>
    <w:rsid w:val="0015110F"/>
    <w:rsid w:val="00154287"/>
    <w:rsid w:val="00154729"/>
    <w:rsid w:val="00154BC3"/>
    <w:rsid w:val="0016559C"/>
    <w:rsid w:val="00167136"/>
    <w:rsid w:val="001671D0"/>
    <w:rsid w:val="001677C8"/>
    <w:rsid w:val="001707F8"/>
    <w:rsid w:val="00170B9F"/>
    <w:rsid w:val="0017233B"/>
    <w:rsid w:val="00181083"/>
    <w:rsid w:val="00184FD3"/>
    <w:rsid w:val="00186FA3"/>
    <w:rsid w:val="001871FE"/>
    <w:rsid w:val="00187776"/>
    <w:rsid w:val="00187DC9"/>
    <w:rsid w:val="00192A10"/>
    <w:rsid w:val="001935EA"/>
    <w:rsid w:val="00196674"/>
    <w:rsid w:val="001A7F44"/>
    <w:rsid w:val="001B0DD3"/>
    <w:rsid w:val="001B241E"/>
    <w:rsid w:val="001B2CEA"/>
    <w:rsid w:val="001B7E92"/>
    <w:rsid w:val="001C4A91"/>
    <w:rsid w:val="001C6623"/>
    <w:rsid w:val="001C68EB"/>
    <w:rsid w:val="001D3D24"/>
    <w:rsid w:val="001D475E"/>
    <w:rsid w:val="001D53A4"/>
    <w:rsid w:val="001D67F4"/>
    <w:rsid w:val="001E1A59"/>
    <w:rsid w:val="001E3E0C"/>
    <w:rsid w:val="001E5A08"/>
    <w:rsid w:val="001E72BE"/>
    <w:rsid w:val="001F2887"/>
    <w:rsid w:val="001F3BF7"/>
    <w:rsid w:val="001F4FF0"/>
    <w:rsid w:val="001F5210"/>
    <w:rsid w:val="001F5311"/>
    <w:rsid w:val="002020C2"/>
    <w:rsid w:val="0020229C"/>
    <w:rsid w:val="00203B9C"/>
    <w:rsid w:val="0021387E"/>
    <w:rsid w:val="002141F3"/>
    <w:rsid w:val="002206C9"/>
    <w:rsid w:val="00224F42"/>
    <w:rsid w:val="002275AB"/>
    <w:rsid w:val="00230E42"/>
    <w:rsid w:val="00231A3C"/>
    <w:rsid w:val="00232112"/>
    <w:rsid w:val="002336B6"/>
    <w:rsid w:val="0023731D"/>
    <w:rsid w:val="002426F9"/>
    <w:rsid w:val="002478DB"/>
    <w:rsid w:val="00250C64"/>
    <w:rsid w:val="0025241F"/>
    <w:rsid w:val="002540BA"/>
    <w:rsid w:val="002565C7"/>
    <w:rsid w:val="002575BE"/>
    <w:rsid w:val="00257EF3"/>
    <w:rsid w:val="00261E78"/>
    <w:rsid w:val="00262C57"/>
    <w:rsid w:val="00266E8B"/>
    <w:rsid w:val="00271635"/>
    <w:rsid w:val="00272F6C"/>
    <w:rsid w:val="00276FBF"/>
    <w:rsid w:val="00284989"/>
    <w:rsid w:val="00287310"/>
    <w:rsid w:val="00294239"/>
    <w:rsid w:val="00294D4D"/>
    <w:rsid w:val="002A02A8"/>
    <w:rsid w:val="002A1934"/>
    <w:rsid w:val="002A2D2F"/>
    <w:rsid w:val="002B12AF"/>
    <w:rsid w:val="002B5C2F"/>
    <w:rsid w:val="002B7383"/>
    <w:rsid w:val="002C2D17"/>
    <w:rsid w:val="002C3663"/>
    <w:rsid w:val="002C53A3"/>
    <w:rsid w:val="002C55B8"/>
    <w:rsid w:val="002C6315"/>
    <w:rsid w:val="002C7947"/>
    <w:rsid w:val="002D48C7"/>
    <w:rsid w:val="002D782E"/>
    <w:rsid w:val="002E034A"/>
    <w:rsid w:val="002E1E3B"/>
    <w:rsid w:val="002E40ED"/>
    <w:rsid w:val="00303A1C"/>
    <w:rsid w:val="00303FDB"/>
    <w:rsid w:val="003145FF"/>
    <w:rsid w:val="00315914"/>
    <w:rsid w:val="00320112"/>
    <w:rsid w:val="00322289"/>
    <w:rsid w:val="00322E3B"/>
    <w:rsid w:val="003236B1"/>
    <w:rsid w:val="00323F84"/>
    <w:rsid w:val="00324E85"/>
    <w:rsid w:val="00324F07"/>
    <w:rsid w:val="00326E7C"/>
    <w:rsid w:val="0033616B"/>
    <w:rsid w:val="0034751B"/>
    <w:rsid w:val="00352528"/>
    <w:rsid w:val="00353645"/>
    <w:rsid w:val="00355598"/>
    <w:rsid w:val="0035666D"/>
    <w:rsid w:val="0036160D"/>
    <w:rsid w:val="00361CB3"/>
    <w:rsid w:val="00362E29"/>
    <w:rsid w:val="003703E3"/>
    <w:rsid w:val="003749DF"/>
    <w:rsid w:val="00377F75"/>
    <w:rsid w:val="00380BD8"/>
    <w:rsid w:val="00383274"/>
    <w:rsid w:val="00387FC7"/>
    <w:rsid w:val="00390DC7"/>
    <w:rsid w:val="00391F56"/>
    <w:rsid w:val="00393539"/>
    <w:rsid w:val="003947FF"/>
    <w:rsid w:val="0039492B"/>
    <w:rsid w:val="00394EA3"/>
    <w:rsid w:val="003A1E5B"/>
    <w:rsid w:val="003A2802"/>
    <w:rsid w:val="003A2EF9"/>
    <w:rsid w:val="003B1A9B"/>
    <w:rsid w:val="003B306C"/>
    <w:rsid w:val="003B53C5"/>
    <w:rsid w:val="003B5625"/>
    <w:rsid w:val="003C0613"/>
    <w:rsid w:val="003C7057"/>
    <w:rsid w:val="003D007B"/>
    <w:rsid w:val="003D2108"/>
    <w:rsid w:val="003D445F"/>
    <w:rsid w:val="003D664A"/>
    <w:rsid w:val="003D7412"/>
    <w:rsid w:val="003E2885"/>
    <w:rsid w:val="003E6433"/>
    <w:rsid w:val="003E79D0"/>
    <w:rsid w:val="00400015"/>
    <w:rsid w:val="00405E59"/>
    <w:rsid w:val="00407146"/>
    <w:rsid w:val="00414B48"/>
    <w:rsid w:val="00414FBA"/>
    <w:rsid w:val="00416C54"/>
    <w:rsid w:val="0041765E"/>
    <w:rsid w:val="0042064B"/>
    <w:rsid w:val="004302AB"/>
    <w:rsid w:val="004303A1"/>
    <w:rsid w:val="00437DAE"/>
    <w:rsid w:val="00447654"/>
    <w:rsid w:val="00450898"/>
    <w:rsid w:val="00453A74"/>
    <w:rsid w:val="0045466F"/>
    <w:rsid w:val="00474D77"/>
    <w:rsid w:val="0047713A"/>
    <w:rsid w:val="00486D6F"/>
    <w:rsid w:val="00490757"/>
    <w:rsid w:val="00490B92"/>
    <w:rsid w:val="00494C0E"/>
    <w:rsid w:val="004A11C5"/>
    <w:rsid w:val="004A2200"/>
    <w:rsid w:val="004A23FF"/>
    <w:rsid w:val="004A2962"/>
    <w:rsid w:val="004A2CF2"/>
    <w:rsid w:val="004A363F"/>
    <w:rsid w:val="004A49F9"/>
    <w:rsid w:val="004A7831"/>
    <w:rsid w:val="004A7E8A"/>
    <w:rsid w:val="004B16EB"/>
    <w:rsid w:val="004B323E"/>
    <w:rsid w:val="004B4B2F"/>
    <w:rsid w:val="004B4CD0"/>
    <w:rsid w:val="004B507C"/>
    <w:rsid w:val="004B56CC"/>
    <w:rsid w:val="004B5C91"/>
    <w:rsid w:val="004C002A"/>
    <w:rsid w:val="004C0A0F"/>
    <w:rsid w:val="004C748B"/>
    <w:rsid w:val="004D4157"/>
    <w:rsid w:val="004D70F4"/>
    <w:rsid w:val="004E21E7"/>
    <w:rsid w:val="004E4162"/>
    <w:rsid w:val="004E701C"/>
    <w:rsid w:val="004F0F5E"/>
    <w:rsid w:val="004F1C56"/>
    <w:rsid w:val="004F2149"/>
    <w:rsid w:val="004F40FB"/>
    <w:rsid w:val="00503BAA"/>
    <w:rsid w:val="0050724F"/>
    <w:rsid w:val="00510AE3"/>
    <w:rsid w:val="00523E47"/>
    <w:rsid w:val="00531AAE"/>
    <w:rsid w:val="005324E9"/>
    <w:rsid w:val="00537A81"/>
    <w:rsid w:val="00544947"/>
    <w:rsid w:val="00547DC2"/>
    <w:rsid w:val="00547F21"/>
    <w:rsid w:val="005509FA"/>
    <w:rsid w:val="005525E7"/>
    <w:rsid w:val="00552DB7"/>
    <w:rsid w:val="00553A8A"/>
    <w:rsid w:val="0055774F"/>
    <w:rsid w:val="00561AA1"/>
    <w:rsid w:val="00562205"/>
    <w:rsid w:val="005624AE"/>
    <w:rsid w:val="005626CE"/>
    <w:rsid w:val="00563D60"/>
    <w:rsid w:val="0056411C"/>
    <w:rsid w:val="00565F96"/>
    <w:rsid w:val="0056609B"/>
    <w:rsid w:val="00566CBF"/>
    <w:rsid w:val="005671B3"/>
    <w:rsid w:val="00572992"/>
    <w:rsid w:val="00575EEF"/>
    <w:rsid w:val="0057664B"/>
    <w:rsid w:val="00576EE3"/>
    <w:rsid w:val="00576F36"/>
    <w:rsid w:val="0058068D"/>
    <w:rsid w:val="005808FB"/>
    <w:rsid w:val="00581BE7"/>
    <w:rsid w:val="00583033"/>
    <w:rsid w:val="0058761E"/>
    <w:rsid w:val="0059290F"/>
    <w:rsid w:val="0059442D"/>
    <w:rsid w:val="005947E7"/>
    <w:rsid w:val="00594C93"/>
    <w:rsid w:val="00597654"/>
    <w:rsid w:val="005A077E"/>
    <w:rsid w:val="005A5CC6"/>
    <w:rsid w:val="005A674B"/>
    <w:rsid w:val="005A79C5"/>
    <w:rsid w:val="005A7C65"/>
    <w:rsid w:val="005B3C6B"/>
    <w:rsid w:val="005B605B"/>
    <w:rsid w:val="005B6EA8"/>
    <w:rsid w:val="005C4BC8"/>
    <w:rsid w:val="005C51F6"/>
    <w:rsid w:val="005C62B8"/>
    <w:rsid w:val="005C676A"/>
    <w:rsid w:val="005D09CB"/>
    <w:rsid w:val="005D2D6B"/>
    <w:rsid w:val="005D3188"/>
    <w:rsid w:val="005D38C8"/>
    <w:rsid w:val="005D5C7D"/>
    <w:rsid w:val="005E14DF"/>
    <w:rsid w:val="005E329E"/>
    <w:rsid w:val="005E34C0"/>
    <w:rsid w:val="005F0F39"/>
    <w:rsid w:val="005F2880"/>
    <w:rsid w:val="005F44FB"/>
    <w:rsid w:val="00601369"/>
    <w:rsid w:val="00610E50"/>
    <w:rsid w:val="006111D7"/>
    <w:rsid w:val="0061655A"/>
    <w:rsid w:val="00620EF7"/>
    <w:rsid w:val="00623E9E"/>
    <w:rsid w:val="00625CC5"/>
    <w:rsid w:val="00627A1D"/>
    <w:rsid w:val="00631A1E"/>
    <w:rsid w:val="006325EB"/>
    <w:rsid w:val="00634CCC"/>
    <w:rsid w:val="00635D03"/>
    <w:rsid w:val="00635E7F"/>
    <w:rsid w:val="00636CC7"/>
    <w:rsid w:val="006379EC"/>
    <w:rsid w:val="00641944"/>
    <w:rsid w:val="00643420"/>
    <w:rsid w:val="00645FAA"/>
    <w:rsid w:val="00647C52"/>
    <w:rsid w:val="00650CF6"/>
    <w:rsid w:val="00652B4D"/>
    <w:rsid w:val="00655577"/>
    <w:rsid w:val="006565DD"/>
    <w:rsid w:val="00660D0D"/>
    <w:rsid w:val="00663B71"/>
    <w:rsid w:val="00663DDB"/>
    <w:rsid w:val="00664C3B"/>
    <w:rsid w:val="0066568F"/>
    <w:rsid w:val="006741A7"/>
    <w:rsid w:val="00674277"/>
    <w:rsid w:val="00680D81"/>
    <w:rsid w:val="00686F9E"/>
    <w:rsid w:val="00692F85"/>
    <w:rsid w:val="00694970"/>
    <w:rsid w:val="0069647E"/>
    <w:rsid w:val="00697BDF"/>
    <w:rsid w:val="006A23CA"/>
    <w:rsid w:val="006A4ABB"/>
    <w:rsid w:val="006B1C6B"/>
    <w:rsid w:val="006B757A"/>
    <w:rsid w:val="006C15CF"/>
    <w:rsid w:val="006C34FA"/>
    <w:rsid w:val="006C751B"/>
    <w:rsid w:val="006C75E5"/>
    <w:rsid w:val="006D090B"/>
    <w:rsid w:val="006D0FB9"/>
    <w:rsid w:val="006D1DBE"/>
    <w:rsid w:val="006D3F9F"/>
    <w:rsid w:val="006D4B01"/>
    <w:rsid w:val="006E54FD"/>
    <w:rsid w:val="006F3082"/>
    <w:rsid w:val="006F5267"/>
    <w:rsid w:val="007013BF"/>
    <w:rsid w:val="007014E4"/>
    <w:rsid w:val="00706128"/>
    <w:rsid w:val="00711012"/>
    <w:rsid w:val="00711AB4"/>
    <w:rsid w:val="00714438"/>
    <w:rsid w:val="00714945"/>
    <w:rsid w:val="00715334"/>
    <w:rsid w:val="007161BA"/>
    <w:rsid w:val="0071780D"/>
    <w:rsid w:val="00722EB6"/>
    <w:rsid w:val="00724092"/>
    <w:rsid w:val="007246AB"/>
    <w:rsid w:val="00727036"/>
    <w:rsid w:val="00733021"/>
    <w:rsid w:val="00735967"/>
    <w:rsid w:val="0074325F"/>
    <w:rsid w:val="007442C3"/>
    <w:rsid w:val="0074791A"/>
    <w:rsid w:val="007567A9"/>
    <w:rsid w:val="007615CD"/>
    <w:rsid w:val="00770830"/>
    <w:rsid w:val="00771C7B"/>
    <w:rsid w:val="00773958"/>
    <w:rsid w:val="00776BEB"/>
    <w:rsid w:val="00780930"/>
    <w:rsid w:val="00783D81"/>
    <w:rsid w:val="00787E4C"/>
    <w:rsid w:val="0079205C"/>
    <w:rsid w:val="00793A7C"/>
    <w:rsid w:val="00795AAC"/>
    <w:rsid w:val="00795F5E"/>
    <w:rsid w:val="0079717E"/>
    <w:rsid w:val="007977DC"/>
    <w:rsid w:val="007A25DF"/>
    <w:rsid w:val="007A429F"/>
    <w:rsid w:val="007A4780"/>
    <w:rsid w:val="007B2C4C"/>
    <w:rsid w:val="007C03A7"/>
    <w:rsid w:val="007D21C7"/>
    <w:rsid w:val="007E00C0"/>
    <w:rsid w:val="007E083C"/>
    <w:rsid w:val="007E365F"/>
    <w:rsid w:val="007E4CB4"/>
    <w:rsid w:val="007E7711"/>
    <w:rsid w:val="007E7B24"/>
    <w:rsid w:val="007F42EB"/>
    <w:rsid w:val="008020F6"/>
    <w:rsid w:val="00803919"/>
    <w:rsid w:val="008041EA"/>
    <w:rsid w:val="008073E6"/>
    <w:rsid w:val="00815874"/>
    <w:rsid w:val="00817B2F"/>
    <w:rsid w:val="00820B03"/>
    <w:rsid w:val="00821FB1"/>
    <w:rsid w:val="0082390F"/>
    <w:rsid w:val="00827129"/>
    <w:rsid w:val="00827252"/>
    <w:rsid w:val="00830741"/>
    <w:rsid w:val="008470BA"/>
    <w:rsid w:val="00850346"/>
    <w:rsid w:val="008526CB"/>
    <w:rsid w:val="00853722"/>
    <w:rsid w:val="008543E4"/>
    <w:rsid w:val="00856115"/>
    <w:rsid w:val="008578EE"/>
    <w:rsid w:val="008615E6"/>
    <w:rsid w:val="00862C9A"/>
    <w:rsid w:val="00863166"/>
    <w:rsid w:val="00864F82"/>
    <w:rsid w:val="008727C6"/>
    <w:rsid w:val="00875F5E"/>
    <w:rsid w:val="00892548"/>
    <w:rsid w:val="00895EF6"/>
    <w:rsid w:val="0089600F"/>
    <w:rsid w:val="008965E2"/>
    <w:rsid w:val="00896F83"/>
    <w:rsid w:val="008979A1"/>
    <w:rsid w:val="008A082B"/>
    <w:rsid w:val="008A0BF8"/>
    <w:rsid w:val="008A2AC1"/>
    <w:rsid w:val="008A2EBC"/>
    <w:rsid w:val="008A3257"/>
    <w:rsid w:val="008A4F9F"/>
    <w:rsid w:val="008B033F"/>
    <w:rsid w:val="008B0EC4"/>
    <w:rsid w:val="008B4807"/>
    <w:rsid w:val="008C15B5"/>
    <w:rsid w:val="008C233D"/>
    <w:rsid w:val="008C2348"/>
    <w:rsid w:val="008C4CFC"/>
    <w:rsid w:val="008C4E5C"/>
    <w:rsid w:val="008D2B3B"/>
    <w:rsid w:val="008E0BD4"/>
    <w:rsid w:val="008E205D"/>
    <w:rsid w:val="008E2190"/>
    <w:rsid w:val="008E2E25"/>
    <w:rsid w:val="008E3445"/>
    <w:rsid w:val="008E4C8B"/>
    <w:rsid w:val="008E6376"/>
    <w:rsid w:val="008E6E4F"/>
    <w:rsid w:val="008F152E"/>
    <w:rsid w:val="008F1E88"/>
    <w:rsid w:val="008F2FA7"/>
    <w:rsid w:val="008F66B0"/>
    <w:rsid w:val="0090082B"/>
    <w:rsid w:val="00901396"/>
    <w:rsid w:val="00903250"/>
    <w:rsid w:val="0090339B"/>
    <w:rsid w:val="00906A57"/>
    <w:rsid w:val="0090783C"/>
    <w:rsid w:val="0091140C"/>
    <w:rsid w:val="009116C1"/>
    <w:rsid w:val="00911A20"/>
    <w:rsid w:val="00916028"/>
    <w:rsid w:val="009165B6"/>
    <w:rsid w:val="009219AF"/>
    <w:rsid w:val="00924F30"/>
    <w:rsid w:val="0092582B"/>
    <w:rsid w:val="00926BD5"/>
    <w:rsid w:val="00927068"/>
    <w:rsid w:val="00927E9D"/>
    <w:rsid w:val="0093046D"/>
    <w:rsid w:val="00935217"/>
    <w:rsid w:val="00935694"/>
    <w:rsid w:val="0094009B"/>
    <w:rsid w:val="00940CFF"/>
    <w:rsid w:val="00945D2E"/>
    <w:rsid w:val="0095188F"/>
    <w:rsid w:val="0095512A"/>
    <w:rsid w:val="009565DF"/>
    <w:rsid w:val="0095712F"/>
    <w:rsid w:val="00961A99"/>
    <w:rsid w:val="00964AB9"/>
    <w:rsid w:val="00965CC9"/>
    <w:rsid w:val="00966EA5"/>
    <w:rsid w:val="0097093C"/>
    <w:rsid w:val="0097157C"/>
    <w:rsid w:val="00972067"/>
    <w:rsid w:val="009746CB"/>
    <w:rsid w:val="00974F2F"/>
    <w:rsid w:val="00983BED"/>
    <w:rsid w:val="00986773"/>
    <w:rsid w:val="0099120F"/>
    <w:rsid w:val="00991867"/>
    <w:rsid w:val="0099495C"/>
    <w:rsid w:val="00994A88"/>
    <w:rsid w:val="009959AA"/>
    <w:rsid w:val="0099698A"/>
    <w:rsid w:val="009A0781"/>
    <w:rsid w:val="009A629F"/>
    <w:rsid w:val="009A7B49"/>
    <w:rsid w:val="009B10D3"/>
    <w:rsid w:val="009B1ECE"/>
    <w:rsid w:val="009B4E60"/>
    <w:rsid w:val="009B5BB0"/>
    <w:rsid w:val="009B61FE"/>
    <w:rsid w:val="009C0605"/>
    <w:rsid w:val="009C2334"/>
    <w:rsid w:val="009C5C64"/>
    <w:rsid w:val="009D1BD9"/>
    <w:rsid w:val="009D3821"/>
    <w:rsid w:val="009D38A5"/>
    <w:rsid w:val="009D4701"/>
    <w:rsid w:val="009D7051"/>
    <w:rsid w:val="009E2B33"/>
    <w:rsid w:val="009F2AC6"/>
    <w:rsid w:val="009F4C11"/>
    <w:rsid w:val="009F7FEA"/>
    <w:rsid w:val="00A02B09"/>
    <w:rsid w:val="00A03A84"/>
    <w:rsid w:val="00A0740B"/>
    <w:rsid w:val="00A11A8B"/>
    <w:rsid w:val="00A14A0D"/>
    <w:rsid w:val="00A15D48"/>
    <w:rsid w:val="00A15E5A"/>
    <w:rsid w:val="00A26EB7"/>
    <w:rsid w:val="00A26FED"/>
    <w:rsid w:val="00A3084A"/>
    <w:rsid w:val="00A3546B"/>
    <w:rsid w:val="00A37396"/>
    <w:rsid w:val="00A40642"/>
    <w:rsid w:val="00A40674"/>
    <w:rsid w:val="00A420E4"/>
    <w:rsid w:val="00A45E8E"/>
    <w:rsid w:val="00A477FB"/>
    <w:rsid w:val="00A47DAA"/>
    <w:rsid w:val="00A50050"/>
    <w:rsid w:val="00A50BA2"/>
    <w:rsid w:val="00A5286D"/>
    <w:rsid w:val="00A55338"/>
    <w:rsid w:val="00A56B61"/>
    <w:rsid w:val="00A6045F"/>
    <w:rsid w:val="00A60DB0"/>
    <w:rsid w:val="00A624B5"/>
    <w:rsid w:val="00A65BD1"/>
    <w:rsid w:val="00A72CB5"/>
    <w:rsid w:val="00A778A6"/>
    <w:rsid w:val="00A922AD"/>
    <w:rsid w:val="00A93A49"/>
    <w:rsid w:val="00A93D2D"/>
    <w:rsid w:val="00A94614"/>
    <w:rsid w:val="00AB03EE"/>
    <w:rsid w:val="00AB1DCA"/>
    <w:rsid w:val="00AB50E0"/>
    <w:rsid w:val="00AB69BA"/>
    <w:rsid w:val="00AC5388"/>
    <w:rsid w:val="00AC7C7F"/>
    <w:rsid w:val="00AD0CA8"/>
    <w:rsid w:val="00AD1B5D"/>
    <w:rsid w:val="00AD4E03"/>
    <w:rsid w:val="00AE2371"/>
    <w:rsid w:val="00AE3777"/>
    <w:rsid w:val="00AF0056"/>
    <w:rsid w:val="00AF6A93"/>
    <w:rsid w:val="00AF78B2"/>
    <w:rsid w:val="00B0247E"/>
    <w:rsid w:val="00B05573"/>
    <w:rsid w:val="00B065D6"/>
    <w:rsid w:val="00B17677"/>
    <w:rsid w:val="00B1794D"/>
    <w:rsid w:val="00B22385"/>
    <w:rsid w:val="00B242F3"/>
    <w:rsid w:val="00B24983"/>
    <w:rsid w:val="00B3463B"/>
    <w:rsid w:val="00B34CBB"/>
    <w:rsid w:val="00B37003"/>
    <w:rsid w:val="00B3757E"/>
    <w:rsid w:val="00B41256"/>
    <w:rsid w:val="00B42471"/>
    <w:rsid w:val="00B43B20"/>
    <w:rsid w:val="00B51FD0"/>
    <w:rsid w:val="00B522BA"/>
    <w:rsid w:val="00B52772"/>
    <w:rsid w:val="00B5677E"/>
    <w:rsid w:val="00B60CA6"/>
    <w:rsid w:val="00B634FC"/>
    <w:rsid w:val="00B63AB6"/>
    <w:rsid w:val="00B65A44"/>
    <w:rsid w:val="00B65A99"/>
    <w:rsid w:val="00B6751E"/>
    <w:rsid w:val="00B7122C"/>
    <w:rsid w:val="00B73C69"/>
    <w:rsid w:val="00B80D4B"/>
    <w:rsid w:val="00B81FD5"/>
    <w:rsid w:val="00B82AEA"/>
    <w:rsid w:val="00B85518"/>
    <w:rsid w:val="00B864CE"/>
    <w:rsid w:val="00B933FB"/>
    <w:rsid w:val="00B94BDA"/>
    <w:rsid w:val="00B954DD"/>
    <w:rsid w:val="00B96051"/>
    <w:rsid w:val="00B96C44"/>
    <w:rsid w:val="00BA17ED"/>
    <w:rsid w:val="00BA2584"/>
    <w:rsid w:val="00BA2A85"/>
    <w:rsid w:val="00BA403E"/>
    <w:rsid w:val="00BB062A"/>
    <w:rsid w:val="00BB62D6"/>
    <w:rsid w:val="00BC787C"/>
    <w:rsid w:val="00BD20DF"/>
    <w:rsid w:val="00BD287B"/>
    <w:rsid w:val="00BD346D"/>
    <w:rsid w:val="00BD4849"/>
    <w:rsid w:val="00BE342D"/>
    <w:rsid w:val="00BE5467"/>
    <w:rsid w:val="00BE7C7C"/>
    <w:rsid w:val="00BF0DBB"/>
    <w:rsid w:val="00C013CE"/>
    <w:rsid w:val="00C014D1"/>
    <w:rsid w:val="00C02906"/>
    <w:rsid w:val="00C046FA"/>
    <w:rsid w:val="00C11255"/>
    <w:rsid w:val="00C12C62"/>
    <w:rsid w:val="00C1482B"/>
    <w:rsid w:val="00C14D93"/>
    <w:rsid w:val="00C20DCD"/>
    <w:rsid w:val="00C24AEC"/>
    <w:rsid w:val="00C30E88"/>
    <w:rsid w:val="00C329A5"/>
    <w:rsid w:val="00C34C0C"/>
    <w:rsid w:val="00C3664A"/>
    <w:rsid w:val="00C40B32"/>
    <w:rsid w:val="00C43B59"/>
    <w:rsid w:val="00C44B82"/>
    <w:rsid w:val="00C44C31"/>
    <w:rsid w:val="00C5000B"/>
    <w:rsid w:val="00C50FD7"/>
    <w:rsid w:val="00C6184A"/>
    <w:rsid w:val="00C645C0"/>
    <w:rsid w:val="00C66D9D"/>
    <w:rsid w:val="00C679C2"/>
    <w:rsid w:val="00C729DA"/>
    <w:rsid w:val="00C77811"/>
    <w:rsid w:val="00C83DB9"/>
    <w:rsid w:val="00C83E3B"/>
    <w:rsid w:val="00C84F15"/>
    <w:rsid w:val="00C85031"/>
    <w:rsid w:val="00C901A4"/>
    <w:rsid w:val="00C91193"/>
    <w:rsid w:val="00C92B3A"/>
    <w:rsid w:val="00C96858"/>
    <w:rsid w:val="00CA0F1C"/>
    <w:rsid w:val="00CA2846"/>
    <w:rsid w:val="00CA4520"/>
    <w:rsid w:val="00CA6EAE"/>
    <w:rsid w:val="00CA7AB8"/>
    <w:rsid w:val="00CB757F"/>
    <w:rsid w:val="00CB7F18"/>
    <w:rsid w:val="00CC018F"/>
    <w:rsid w:val="00CC2A72"/>
    <w:rsid w:val="00CD5901"/>
    <w:rsid w:val="00CE1291"/>
    <w:rsid w:val="00CE51CD"/>
    <w:rsid w:val="00CF01D6"/>
    <w:rsid w:val="00CF7CAD"/>
    <w:rsid w:val="00D01C7C"/>
    <w:rsid w:val="00D01D48"/>
    <w:rsid w:val="00D02C4C"/>
    <w:rsid w:val="00D0660E"/>
    <w:rsid w:val="00D07408"/>
    <w:rsid w:val="00D07999"/>
    <w:rsid w:val="00D128EA"/>
    <w:rsid w:val="00D13A85"/>
    <w:rsid w:val="00D15002"/>
    <w:rsid w:val="00D16940"/>
    <w:rsid w:val="00D23A44"/>
    <w:rsid w:val="00D274CB"/>
    <w:rsid w:val="00D2760C"/>
    <w:rsid w:val="00D33CBB"/>
    <w:rsid w:val="00D34943"/>
    <w:rsid w:val="00D36565"/>
    <w:rsid w:val="00D45527"/>
    <w:rsid w:val="00D55325"/>
    <w:rsid w:val="00D60E96"/>
    <w:rsid w:val="00D617C1"/>
    <w:rsid w:val="00D63872"/>
    <w:rsid w:val="00D64138"/>
    <w:rsid w:val="00D65664"/>
    <w:rsid w:val="00D666A9"/>
    <w:rsid w:val="00D66772"/>
    <w:rsid w:val="00D7101D"/>
    <w:rsid w:val="00D71A2D"/>
    <w:rsid w:val="00D8170A"/>
    <w:rsid w:val="00D8288B"/>
    <w:rsid w:val="00D848B7"/>
    <w:rsid w:val="00D917BC"/>
    <w:rsid w:val="00D92641"/>
    <w:rsid w:val="00D94A9B"/>
    <w:rsid w:val="00D96571"/>
    <w:rsid w:val="00DA0E7B"/>
    <w:rsid w:val="00DA171A"/>
    <w:rsid w:val="00DA1D15"/>
    <w:rsid w:val="00DA2EE7"/>
    <w:rsid w:val="00DA5594"/>
    <w:rsid w:val="00DB06EA"/>
    <w:rsid w:val="00DC65E9"/>
    <w:rsid w:val="00DD0923"/>
    <w:rsid w:val="00DD47F5"/>
    <w:rsid w:val="00DD75A5"/>
    <w:rsid w:val="00DE0818"/>
    <w:rsid w:val="00DE2B74"/>
    <w:rsid w:val="00DE34C2"/>
    <w:rsid w:val="00DE6498"/>
    <w:rsid w:val="00DE673C"/>
    <w:rsid w:val="00DE67C6"/>
    <w:rsid w:val="00DE68BE"/>
    <w:rsid w:val="00DE7129"/>
    <w:rsid w:val="00DF42BD"/>
    <w:rsid w:val="00E0064B"/>
    <w:rsid w:val="00E00F4A"/>
    <w:rsid w:val="00E10971"/>
    <w:rsid w:val="00E2077C"/>
    <w:rsid w:val="00E22653"/>
    <w:rsid w:val="00E268CD"/>
    <w:rsid w:val="00E26C45"/>
    <w:rsid w:val="00E31EC7"/>
    <w:rsid w:val="00E31EF4"/>
    <w:rsid w:val="00E3514C"/>
    <w:rsid w:val="00E37164"/>
    <w:rsid w:val="00E524B5"/>
    <w:rsid w:val="00E527C9"/>
    <w:rsid w:val="00E52B2F"/>
    <w:rsid w:val="00E56853"/>
    <w:rsid w:val="00E612C1"/>
    <w:rsid w:val="00E615F0"/>
    <w:rsid w:val="00E665CA"/>
    <w:rsid w:val="00E67A26"/>
    <w:rsid w:val="00E73A37"/>
    <w:rsid w:val="00E769F3"/>
    <w:rsid w:val="00E76E72"/>
    <w:rsid w:val="00E77324"/>
    <w:rsid w:val="00E77D16"/>
    <w:rsid w:val="00E82036"/>
    <w:rsid w:val="00E8227D"/>
    <w:rsid w:val="00E830BD"/>
    <w:rsid w:val="00E8647C"/>
    <w:rsid w:val="00E91ACC"/>
    <w:rsid w:val="00E95712"/>
    <w:rsid w:val="00EA2C41"/>
    <w:rsid w:val="00EA63F2"/>
    <w:rsid w:val="00EA654A"/>
    <w:rsid w:val="00EB3408"/>
    <w:rsid w:val="00EB72B3"/>
    <w:rsid w:val="00EC2D0D"/>
    <w:rsid w:val="00EC3985"/>
    <w:rsid w:val="00EC3BC0"/>
    <w:rsid w:val="00EC3F7A"/>
    <w:rsid w:val="00EC4AD1"/>
    <w:rsid w:val="00EC50F0"/>
    <w:rsid w:val="00EC621E"/>
    <w:rsid w:val="00EC63F3"/>
    <w:rsid w:val="00EC6F7F"/>
    <w:rsid w:val="00ED2113"/>
    <w:rsid w:val="00ED3F2C"/>
    <w:rsid w:val="00ED45C4"/>
    <w:rsid w:val="00ED5236"/>
    <w:rsid w:val="00ED642E"/>
    <w:rsid w:val="00EE0AA3"/>
    <w:rsid w:val="00EE3FD6"/>
    <w:rsid w:val="00EE429D"/>
    <w:rsid w:val="00EE6722"/>
    <w:rsid w:val="00EF5566"/>
    <w:rsid w:val="00F03B01"/>
    <w:rsid w:val="00F04243"/>
    <w:rsid w:val="00F06855"/>
    <w:rsid w:val="00F14767"/>
    <w:rsid w:val="00F14EBD"/>
    <w:rsid w:val="00F1513A"/>
    <w:rsid w:val="00F172F0"/>
    <w:rsid w:val="00F17B88"/>
    <w:rsid w:val="00F21942"/>
    <w:rsid w:val="00F22C3A"/>
    <w:rsid w:val="00F249C2"/>
    <w:rsid w:val="00F27538"/>
    <w:rsid w:val="00F27691"/>
    <w:rsid w:val="00F307F6"/>
    <w:rsid w:val="00F30B20"/>
    <w:rsid w:val="00F3143C"/>
    <w:rsid w:val="00F32292"/>
    <w:rsid w:val="00F33D46"/>
    <w:rsid w:val="00F34C35"/>
    <w:rsid w:val="00F4004D"/>
    <w:rsid w:val="00F445AD"/>
    <w:rsid w:val="00F44CAB"/>
    <w:rsid w:val="00F45475"/>
    <w:rsid w:val="00F465BE"/>
    <w:rsid w:val="00F469CD"/>
    <w:rsid w:val="00F54703"/>
    <w:rsid w:val="00F55123"/>
    <w:rsid w:val="00F60FA0"/>
    <w:rsid w:val="00F64588"/>
    <w:rsid w:val="00F64CEF"/>
    <w:rsid w:val="00F6705F"/>
    <w:rsid w:val="00F673A3"/>
    <w:rsid w:val="00F7373E"/>
    <w:rsid w:val="00F73DB0"/>
    <w:rsid w:val="00F76591"/>
    <w:rsid w:val="00F76A5A"/>
    <w:rsid w:val="00F802D6"/>
    <w:rsid w:val="00F824C3"/>
    <w:rsid w:val="00F8344C"/>
    <w:rsid w:val="00F85FEC"/>
    <w:rsid w:val="00F86461"/>
    <w:rsid w:val="00F87B8F"/>
    <w:rsid w:val="00F92223"/>
    <w:rsid w:val="00F92F59"/>
    <w:rsid w:val="00F939E2"/>
    <w:rsid w:val="00F95B19"/>
    <w:rsid w:val="00F97DF0"/>
    <w:rsid w:val="00FA076B"/>
    <w:rsid w:val="00FA0D78"/>
    <w:rsid w:val="00FA1514"/>
    <w:rsid w:val="00FA44AD"/>
    <w:rsid w:val="00FB17D5"/>
    <w:rsid w:val="00FB5895"/>
    <w:rsid w:val="00FC1BBC"/>
    <w:rsid w:val="00FC499B"/>
    <w:rsid w:val="00FC60B4"/>
    <w:rsid w:val="00FD00F1"/>
    <w:rsid w:val="00FD0E04"/>
    <w:rsid w:val="00FD1907"/>
    <w:rsid w:val="00FD1DEF"/>
    <w:rsid w:val="00FD361C"/>
    <w:rsid w:val="00FD5D19"/>
    <w:rsid w:val="00FE0DDD"/>
    <w:rsid w:val="00FE3BFF"/>
    <w:rsid w:val="00FE5624"/>
    <w:rsid w:val="00FE5789"/>
    <w:rsid w:val="00FF197A"/>
    <w:rsid w:val="00FF1EB1"/>
    <w:rsid w:val="00FF4A37"/>
    <w:rsid w:val="02ED2499"/>
    <w:rsid w:val="03C06921"/>
    <w:rsid w:val="04221EDA"/>
    <w:rsid w:val="170E7A12"/>
    <w:rsid w:val="2C82B82A"/>
    <w:rsid w:val="39CB1047"/>
    <w:rsid w:val="482BA3DB"/>
    <w:rsid w:val="54E7D873"/>
    <w:rsid w:val="561D0F96"/>
    <w:rsid w:val="5986C430"/>
    <w:rsid w:val="5B434F6A"/>
    <w:rsid w:val="5B8BC14C"/>
    <w:rsid w:val="606E5319"/>
    <w:rsid w:val="62BC5415"/>
    <w:rsid w:val="6CCB6D41"/>
    <w:rsid w:val="6EA24ECD"/>
    <w:rsid w:val="78079EBB"/>
    <w:rsid w:val="7851E7E7"/>
    <w:rsid w:val="7A50EAFD"/>
    <w:rsid w:val="7F3BDF4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9AF0275"/>
  <w15:chartTrackingRefBased/>
  <w15:docId w15:val="{49906059-7A49-4127-8D26-161200DC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49F9"/>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4F40FB"/>
  </w:style>
  <w:style w:type="character" w:customStyle="1" w:styleId="ParaNumChar">
    <w:name w:val="ParaNum Char"/>
    <w:link w:val="ParaNum"/>
    <w:rsid w:val="004F40FB"/>
    <w:rPr>
      <w:snapToGrid w:val="0"/>
      <w:kern w:val="28"/>
      <w:sz w:val="22"/>
    </w:rPr>
  </w:style>
  <w:style w:type="paragraph" w:styleId="BalloonText">
    <w:name w:val="Balloon Text"/>
    <w:basedOn w:val="Normal"/>
    <w:link w:val="BalloonTextChar"/>
    <w:uiPriority w:val="99"/>
    <w:semiHidden/>
    <w:unhideWhenUsed/>
    <w:rsid w:val="00850346"/>
    <w:rPr>
      <w:rFonts w:ascii="Segoe UI" w:hAnsi="Segoe UI" w:cs="Segoe UI"/>
      <w:sz w:val="18"/>
      <w:szCs w:val="18"/>
    </w:rPr>
  </w:style>
  <w:style w:type="character" w:customStyle="1" w:styleId="BalloonTextChar">
    <w:name w:val="Balloon Text Char"/>
    <w:link w:val="BalloonText"/>
    <w:uiPriority w:val="99"/>
    <w:semiHidden/>
    <w:rsid w:val="00850346"/>
    <w:rPr>
      <w:rFonts w:ascii="Segoe UI" w:hAnsi="Segoe UI" w:cs="Segoe UI"/>
      <w:snapToGrid w:val="0"/>
      <w:kern w:val="28"/>
      <w:sz w:val="18"/>
      <w:szCs w:val="18"/>
    </w:rPr>
  </w:style>
  <w:style w:type="character" w:styleId="CommentReference">
    <w:name w:val="annotation reference"/>
    <w:uiPriority w:val="99"/>
    <w:semiHidden/>
    <w:unhideWhenUsed/>
    <w:rsid w:val="00FD1DEF"/>
    <w:rPr>
      <w:sz w:val="16"/>
      <w:szCs w:val="16"/>
    </w:rPr>
  </w:style>
  <w:style w:type="paragraph" w:styleId="CommentText">
    <w:name w:val="annotation text"/>
    <w:basedOn w:val="Normal"/>
    <w:link w:val="CommentTextChar"/>
    <w:uiPriority w:val="99"/>
    <w:semiHidden/>
    <w:unhideWhenUsed/>
    <w:rsid w:val="00FD1DEF"/>
    <w:rPr>
      <w:sz w:val="20"/>
    </w:rPr>
  </w:style>
  <w:style w:type="character" w:customStyle="1" w:styleId="CommentTextChar">
    <w:name w:val="Comment Text Char"/>
    <w:link w:val="CommentText"/>
    <w:uiPriority w:val="99"/>
    <w:semiHidden/>
    <w:rsid w:val="00FD1DEF"/>
    <w:rPr>
      <w:snapToGrid w:val="0"/>
      <w:kern w:val="28"/>
    </w:rPr>
  </w:style>
  <w:style w:type="paragraph" w:styleId="CommentSubject">
    <w:name w:val="annotation subject"/>
    <w:basedOn w:val="CommentText"/>
    <w:next w:val="CommentText"/>
    <w:link w:val="CommentSubjectChar"/>
    <w:uiPriority w:val="99"/>
    <w:semiHidden/>
    <w:unhideWhenUsed/>
    <w:rsid w:val="00FD1DEF"/>
    <w:rPr>
      <w:b/>
      <w:bCs/>
    </w:rPr>
  </w:style>
  <w:style w:type="character" w:customStyle="1" w:styleId="CommentSubjectChar">
    <w:name w:val="Comment Subject Char"/>
    <w:link w:val="CommentSubject"/>
    <w:uiPriority w:val="99"/>
    <w:semiHidden/>
    <w:rsid w:val="00FD1DEF"/>
    <w:rPr>
      <w:b/>
      <w:bCs/>
      <w:snapToGrid w:val="0"/>
      <w:kern w:val="28"/>
    </w:rPr>
  </w:style>
  <w:style w:type="character" w:styleId="FollowedHyperlink">
    <w:name w:val="FollowedHyperlink"/>
    <w:uiPriority w:val="99"/>
    <w:semiHidden/>
    <w:unhideWhenUsed/>
    <w:rsid w:val="00F95B19"/>
    <w:rPr>
      <w:color w:val="954F72"/>
      <w:u w:val="single"/>
    </w:rPr>
  </w:style>
  <w:style w:type="character" w:customStyle="1" w:styleId="Mention">
    <w:name w:val="Mention"/>
    <w:uiPriority w:val="99"/>
    <w:unhideWhenUsed/>
    <w:rsid w:val="004B32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ntia.doc.gov/category/3450-3550-mhz" TargetMode="External" /><Relationship Id="rId6" Type="http://schemas.openxmlformats.org/officeDocument/2006/relationships/hyperlink" Target="https://www.fcc.gov/auction/110" TargetMode="External" /><Relationship Id="rId7" Type="http://schemas.openxmlformats.org/officeDocument/2006/relationships/hyperlink" Target="mailto:auction110@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07200669956/Lockheed%20Martin.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