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5764F" w:rsidRPr="00FC6707" w:rsidP="00A12980" w14:paraId="383FEC3A" w14:textId="77777777">
      <w:pPr>
        <w:jc w:val="center"/>
        <w:rPr>
          <w:b/>
        </w:rPr>
      </w:pPr>
      <w:r w:rsidRPr="00FC6707">
        <w:rPr>
          <w:b/>
        </w:rPr>
        <w:t xml:space="preserve">Before </w:t>
      </w:r>
      <w:r w:rsidRPr="00FC6707" w:rsidR="00665D48">
        <w:rPr>
          <w:b/>
        </w:rPr>
        <w:t>the</w:t>
      </w:r>
    </w:p>
    <w:p w:rsidR="0095764F" w:rsidRPr="00FC6707" w:rsidP="00A12980" w14:paraId="07563C59" w14:textId="77777777">
      <w:pPr>
        <w:pStyle w:val="StyleBoldCentered"/>
      </w:pPr>
      <w:r w:rsidRPr="00FC6707">
        <w:t>F</w:t>
      </w:r>
      <w:r w:rsidRPr="00FC6707">
        <w:rPr>
          <w:caps w:val="0"/>
        </w:rPr>
        <w:t>ederal Communications Commission</w:t>
      </w:r>
    </w:p>
    <w:p w:rsidR="0095764F" w:rsidRPr="00FC6707" w:rsidP="00A12980" w14:paraId="1255DC8E" w14:textId="77777777">
      <w:pPr>
        <w:pStyle w:val="StyleBoldCentered"/>
      </w:pPr>
      <w:r w:rsidRPr="00FC6707">
        <w:rPr>
          <w:caps w:val="0"/>
        </w:rPr>
        <w:t>Washington, D.C. 20554</w:t>
      </w:r>
    </w:p>
    <w:p w:rsidR="0095764F" w:rsidRPr="00FC6707" w:rsidP="00A12980" w14:paraId="02FAEC3C" w14:textId="77777777"/>
    <w:p w:rsidR="0095764F" w:rsidRPr="00FC6707" w:rsidP="00A12980" w14:paraId="6F45798F" w14:textId="77777777"/>
    <w:tbl>
      <w:tblPr>
        <w:tblW w:w="0" w:type="auto"/>
        <w:tblLayout w:type="fixed"/>
        <w:tblLook w:val="0000"/>
      </w:tblPr>
      <w:tblGrid>
        <w:gridCol w:w="4698"/>
        <w:gridCol w:w="630"/>
        <w:gridCol w:w="4248"/>
      </w:tblGrid>
      <w:tr w14:paraId="7F150942" w14:textId="77777777" w:rsidTr="00D63E91">
        <w:tblPrEx>
          <w:tblW w:w="0" w:type="auto"/>
          <w:tblLayout w:type="fixed"/>
          <w:tblLook w:val="0000"/>
        </w:tblPrEx>
        <w:trPr>
          <w:trHeight w:val="1260"/>
        </w:trPr>
        <w:tc>
          <w:tcPr>
            <w:tcW w:w="4698" w:type="dxa"/>
          </w:tcPr>
          <w:p w:rsidR="0095764F" w:rsidRPr="00FC6707" w:rsidP="00A12980" w14:paraId="575552E5" w14:textId="77777777">
            <w:pPr>
              <w:tabs>
                <w:tab w:val="center" w:pos="4680"/>
              </w:tabs>
              <w:suppressAutoHyphens/>
              <w:rPr>
                <w:spacing w:val="-2"/>
              </w:rPr>
            </w:pPr>
            <w:r w:rsidRPr="00FC6707">
              <w:rPr>
                <w:spacing w:val="-2"/>
              </w:rPr>
              <w:t>In the Matter of</w:t>
            </w:r>
          </w:p>
          <w:p w:rsidR="0095764F" w:rsidRPr="00FC6707" w:rsidP="00A12980" w14:paraId="7F59F3FA" w14:textId="77777777">
            <w:pPr>
              <w:tabs>
                <w:tab w:val="center" w:pos="4680"/>
              </w:tabs>
              <w:suppressAutoHyphens/>
              <w:rPr>
                <w:spacing w:val="-2"/>
              </w:rPr>
            </w:pPr>
          </w:p>
          <w:p w:rsidR="0095764F" w:rsidRPr="00FC6707" w:rsidP="00A12980" w14:paraId="38F1C764" w14:textId="04B44660">
            <w:pPr>
              <w:tabs>
                <w:tab w:val="center" w:pos="4680"/>
              </w:tabs>
              <w:suppressAutoHyphens/>
              <w:rPr>
                <w:szCs w:val="24"/>
              </w:rPr>
            </w:pPr>
            <w:r w:rsidRPr="00FC6707">
              <w:rPr>
                <w:spacing w:val="-2"/>
              </w:rPr>
              <w:t>Core Communications, Inc., et al.</w:t>
            </w:r>
          </w:p>
          <w:p w:rsidR="0095764F" w:rsidRPr="00FC6707" w:rsidP="00A12980" w14:paraId="2E7B0DB0" w14:textId="77777777">
            <w:pPr>
              <w:ind w:right="-18"/>
              <w:rPr>
                <w:szCs w:val="24"/>
              </w:rPr>
            </w:pPr>
            <w:r w:rsidRPr="00FC6707">
              <w:rPr>
                <w:szCs w:val="24"/>
              </w:rPr>
              <w:t xml:space="preserve">Tariff F.C.C. No. </w:t>
            </w:r>
            <w:r w:rsidRPr="00FC6707" w:rsidR="001A3F84">
              <w:rPr>
                <w:szCs w:val="24"/>
              </w:rPr>
              <w:t>3</w:t>
            </w:r>
          </w:p>
        </w:tc>
        <w:tc>
          <w:tcPr>
            <w:tcW w:w="630" w:type="dxa"/>
          </w:tcPr>
          <w:p w:rsidR="0095764F" w:rsidRPr="00FC6707" w:rsidP="00A12980" w14:paraId="41C8E1EB" w14:textId="77777777">
            <w:pPr>
              <w:tabs>
                <w:tab w:val="center" w:pos="4680"/>
              </w:tabs>
              <w:suppressAutoHyphens/>
              <w:rPr>
                <w:b/>
                <w:spacing w:val="-2"/>
              </w:rPr>
            </w:pPr>
            <w:r w:rsidRPr="00FC6707">
              <w:rPr>
                <w:b/>
                <w:spacing w:val="-2"/>
              </w:rPr>
              <w:t>)</w:t>
            </w:r>
          </w:p>
          <w:p w:rsidR="0095764F" w:rsidRPr="00FC6707" w:rsidP="00A12980" w14:paraId="528FCB10" w14:textId="77777777">
            <w:pPr>
              <w:tabs>
                <w:tab w:val="center" w:pos="4680"/>
              </w:tabs>
              <w:suppressAutoHyphens/>
              <w:rPr>
                <w:b/>
                <w:spacing w:val="-2"/>
              </w:rPr>
            </w:pPr>
            <w:r w:rsidRPr="00FC6707">
              <w:rPr>
                <w:b/>
                <w:spacing w:val="-2"/>
              </w:rPr>
              <w:t>)</w:t>
            </w:r>
          </w:p>
          <w:p w:rsidR="0095764F" w:rsidRPr="00FC6707" w:rsidP="00A12980" w14:paraId="716E04B8" w14:textId="77777777">
            <w:pPr>
              <w:tabs>
                <w:tab w:val="center" w:pos="4680"/>
              </w:tabs>
              <w:suppressAutoHyphens/>
              <w:rPr>
                <w:b/>
                <w:spacing w:val="-2"/>
              </w:rPr>
            </w:pPr>
            <w:r w:rsidRPr="00FC6707">
              <w:rPr>
                <w:b/>
                <w:spacing w:val="-2"/>
              </w:rPr>
              <w:t>)</w:t>
            </w:r>
          </w:p>
          <w:p w:rsidR="0095764F" w:rsidRPr="00FC6707" w:rsidP="00A12980" w14:paraId="24B7F3DE" w14:textId="77777777">
            <w:pPr>
              <w:tabs>
                <w:tab w:val="center" w:pos="4680"/>
              </w:tabs>
              <w:suppressAutoHyphens/>
              <w:rPr>
                <w:b/>
                <w:spacing w:val="-2"/>
              </w:rPr>
            </w:pPr>
            <w:r w:rsidRPr="00FC6707">
              <w:rPr>
                <w:b/>
                <w:spacing w:val="-2"/>
              </w:rPr>
              <w:t>)</w:t>
            </w:r>
          </w:p>
          <w:p w:rsidR="00275823" w:rsidRPr="00FC6707" w:rsidP="00A12980" w14:paraId="5420F4D1" w14:textId="0B117D43">
            <w:pPr>
              <w:tabs>
                <w:tab w:val="center" w:pos="4680"/>
              </w:tabs>
              <w:suppressAutoHyphens/>
              <w:rPr>
                <w:b/>
                <w:spacing w:val="-2"/>
              </w:rPr>
            </w:pPr>
            <w:r w:rsidRPr="00FC6707">
              <w:rPr>
                <w:b/>
                <w:spacing w:val="-2"/>
              </w:rPr>
              <w:t>)</w:t>
            </w:r>
          </w:p>
          <w:p w:rsidR="009172D9" w:rsidRPr="00FC6707" w:rsidP="00A12980" w14:paraId="776D3A6E" w14:textId="77777777">
            <w:pPr>
              <w:tabs>
                <w:tab w:val="center" w:pos="4680"/>
              </w:tabs>
              <w:suppressAutoHyphens/>
              <w:rPr>
                <w:b/>
                <w:spacing w:val="-2"/>
              </w:rPr>
            </w:pPr>
          </w:p>
        </w:tc>
        <w:tc>
          <w:tcPr>
            <w:tcW w:w="4248" w:type="dxa"/>
          </w:tcPr>
          <w:p w:rsidR="00B61C0A" w:rsidRPr="00FC6707" w:rsidP="00A12980" w14:paraId="346793C9" w14:textId="77777777">
            <w:pPr>
              <w:rPr>
                <w:szCs w:val="24"/>
              </w:rPr>
            </w:pPr>
          </w:p>
          <w:p w:rsidR="00567792" w:rsidRPr="00FC6707" w:rsidP="00A12980" w14:paraId="049D4962" w14:textId="6984C016">
            <w:pPr>
              <w:rPr>
                <w:szCs w:val="24"/>
              </w:rPr>
            </w:pPr>
            <w:r w:rsidRPr="00FC6707">
              <w:rPr>
                <w:szCs w:val="24"/>
              </w:rPr>
              <w:t>WC Docket No. 21-191</w:t>
            </w:r>
          </w:p>
          <w:p w:rsidR="0095764F" w:rsidRPr="00FC6707" w:rsidP="00A12980" w14:paraId="2114F365" w14:textId="77777777">
            <w:pPr>
              <w:rPr>
                <w:szCs w:val="24"/>
              </w:rPr>
            </w:pPr>
          </w:p>
          <w:p w:rsidR="0095764F" w:rsidRPr="00FC6707" w:rsidP="00A12980" w14:paraId="3BCA2569" w14:textId="73DB8782">
            <w:pPr>
              <w:rPr>
                <w:szCs w:val="24"/>
              </w:rPr>
            </w:pPr>
            <w:r w:rsidRPr="00FC6707">
              <w:rPr>
                <w:szCs w:val="24"/>
              </w:rPr>
              <w:t>Transmittal No. 17</w:t>
            </w:r>
          </w:p>
          <w:p w:rsidR="009172D9" w:rsidRPr="00FC6707" w:rsidP="00A12980" w14:paraId="7B64B29B" w14:textId="77777777">
            <w:pPr>
              <w:rPr>
                <w:szCs w:val="24"/>
              </w:rPr>
            </w:pPr>
          </w:p>
          <w:p w:rsidR="009172D9" w:rsidRPr="00FC6707" w:rsidP="00A12980" w14:paraId="6124DBBE" w14:textId="77777777">
            <w:pPr>
              <w:rPr>
                <w:szCs w:val="24"/>
              </w:rPr>
            </w:pPr>
          </w:p>
          <w:p w:rsidR="0095764F" w:rsidRPr="00FC6707" w:rsidP="00A12980" w14:paraId="5E0EF68B" w14:textId="77777777">
            <w:pPr>
              <w:tabs>
                <w:tab w:val="center" w:pos="4680"/>
              </w:tabs>
              <w:suppressAutoHyphens/>
              <w:rPr>
                <w:spacing w:val="-2"/>
              </w:rPr>
            </w:pPr>
          </w:p>
        </w:tc>
      </w:tr>
    </w:tbl>
    <w:p w:rsidR="0095764F" w:rsidRPr="00FC6707" w:rsidP="00A12980" w14:paraId="65113637" w14:textId="77777777">
      <w:pPr>
        <w:jc w:val="center"/>
        <w:rPr>
          <w:b/>
          <w:szCs w:val="22"/>
        </w:rPr>
      </w:pPr>
      <w:r w:rsidRPr="00FC6707">
        <w:rPr>
          <w:b/>
          <w:szCs w:val="22"/>
        </w:rPr>
        <w:fldChar w:fldCharType="begin"/>
      </w:r>
      <w:r w:rsidRPr="00FC6707">
        <w:rPr>
          <w:b/>
          <w:szCs w:val="22"/>
        </w:rPr>
        <w:instrText xml:space="preserve"> AUTOTEXTLIST  \* MERGEFORMAT </w:instrText>
      </w:r>
      <w:r w:rsidRPr="00FC6707">
        <w:rPr>
          <w:b/>
          <w:szCs w:val="22"/>
        </w:rPr>
        <w:fldChar w:fldCharType="separate"/>
      </w:r>
      <w:r w:rsidRPr="00FC6707">
        <w:rPr>
          <w:b/>
          <w:szCs w:val="22"/>
        </w:rPr>
        <w:t>ORDER</w:t>
      </w:r>
      <w:r w:rsidRPr="00FC6707">
        <w:rPr>
          <w:b/>
          <w:szCs w:val="22"/>
        </w:rPr>
        <w:fldChar w:fldCharType="end"/>
      </w:r>
      <w:r w:rsidRPr="00FC6707">
        <w:rPr>
          <w:b/>
          <w:szCs w:val="22"/>
        </w:rPr>
        <w:t xml:space="preserve"> DESIGNATING ISSUES FOR INVESTIGATION</w:t>
      </w:r>
    </w:p>
    <w:p w:rsidR="0095764F" w:rsidRPr="00FC6707" w:rsidP="00A12980" w14:paraId="6059C4F4" w14:textId="77777777">
      <w:pPr>
        <w:jc w:val="center"/>
        <w:rPr>
          <w:b/>
          <w:szCs w:val="22"/>
        </w:rPr>
      </w:pPr>
    </w:p>
    <w:p w:rsidR="0095764F" w:rsidRPr="00FC6707" w:rsidP="00A12980" w14:paraId="6EE5B0D6" w14:textId="441E6A35">
      <w:pPr>
        <w:tabs>
          <w:tab w:val="left" w:pos="720"/>
          <w:tab w:val="left" w:pos="5760"/>
          <w:tab w:val="right" w:pos="9270"/>
        </w:tabs>
        <w:suppressAutoHyphens/>
        <w:spacing w:line="227" w:lineRule="auto"/>
        <w:rPr>
          <w:b/>
          <w:spacing w:val="-2"/>
          <w:szCs w:val="22"/>
        </w:rPr>
      </w:pPr>
      <w:r w:rsidRPr="00FC6707">
        <w:rPr>
          <w:b/>
          <w:spacing w:val="-2"/>
          <w:szCs w:val="22"/>
        </w:rPr>
        <w:t xml:space="preserve">Adopted:  </w:t>
      </w:r>
      <w:r w:rsidRPr="00FC6707" w:rsidR="00830F80">
        <w:rPr>
          <w:b/>
          <w:spacing w:val="-2"/>
          <w:szCs w:val="22"/>
        </w:rPr>
        <w:t xml:space="preserve">June </w:t>
      </w:r>
      <w:r w:rsidR="007909BE">
        <w:rPr>
          <w:b/>
          <w:spacing w:val="-2"/>
          <w:szCs w:val="22"/>
        </w:rPr>
        <w:t>23</w:t>
      </w:r>
      <w:r w:rsidRPr="00FC6707" w:rsidR="00830F80">
        <w:rPr>
          <w:b/>
          <w:spacing w:val="-2"/>
          <w:szCs w:val="22"/>
        </w:rPr>
        <w:t>, 2021</w:t>
      </w:r>
      <w:r w:rsidRPr="00FC6707">
        <w:rPr>
          <w:b/>
          <w:spacing w:val="-2"/>
          <w:szCs w:val="22"/>
        </w:rPr>
        <w:tab/>
        <w:t xml:space="preserve">Released:  </w:t>
      </w:r>
      <w:r w:rsidRPr="00FC6707" w:rsidR="00830F80">
        <w:rPr>
          <w:b/>
          <w:spacing w:val="-2"/>
          <w:szCs w:val="22"/>
        </w:rPr>
        <w:t xml:space="preserve">June </w:t>
      </w:r>
      <w:r w:rsidR="007909BE">
        <w:rPr>
          <w:b/>
          <w:spacing w:val="-2"/>
          <w:szCs w:val="22"/>
        </w:rPr>
        <w:t>23</w:t>
      </w:r>
      <w:r w:rsidRPr="00FC6707" w:rsidR="00830F80">
        <w:rPr>
          <w:b/>
          <w:spacing w:val="-2"/>
          <w:szCs w:val="22"/>
        </w:rPr>
        <w:t>, 2021</w:t>
      </w:r>
    </w:p>
    <w:p w:rsidR="0095764F" w:rsidRPr="00FC6707" w14:paraId="7CBDE6AB" w14:textId="77777777">
      <w:pPr>
        <w:tabs>
          <w:tab w:val="left" w:pos="720"/>
          <w:tab w:val="left" w:pos="5760"/>
          <w:tab w:val="right" w:pos="9270"/>
        </w:tabs>
        <w:suppressAutoHyphens/>
        <w:spacing w:line="227" w:lineRule="auto"/>
        <w:rPr>
          <w:b/>
          <w:spacing w:val="-2"/>
          <w:szCs w:val="22"/>
        </w:rPr>
      </w:pPr>
    </w:p>
    <w:p w:rsidR="0095764F" w:rsidRPr="00FC6707" w14:paraId="1C4721BD" w14:textId="7B6A1D3D">
      <w:pPr>
        <w:tabs>
          <w:tab w:val="left" w:pos="720"/>
          <w:tab w:val="left" w:pos="5760"/>
          <w:tab w:val="right" w:pos="9270"/>
        </w:tabs>
        <w:suppressAutoHyphens/>
        <w:rPr>
          <w:b/>
          <w:spacing w:val="-2"/>
          <w:szCs w:val="22"/>
        </w:rPr>
      </w:pPr>
      <w:r w:rsidRPr="00FC6707">
        <w:rPr>
          <w:b/>
          <w:spacing w:val="-2"/>
          <w:szCs w:val="22"/>
        </w:rPr>
        <w:t xml:space="preserve">Core </w:t>
      </w:r>
      <w:r w:rsidRPr="00FC6707" w:rsidR="00665D48">
        <w:rPr>
          <w:b/>
          <w:spacing w:val="-2"/>
          <w:szCs w:val="22"/>
        </w:rPr>
        <w:t xml:space="preserve">Direct Case Due by: </w:t>
      </w:r>
      <w:r w:rsidR="00C634E4">
        <w:rPr>
          <w:b/>
          <w:spacing w:val="-2"/>
          <w:szCs w:val="22"/>
        </w:rPr>
        <w:t xml:space="preserve"> July </w:t>
      </w:r>
      <w:r w:rsidR="0025739D">
        <w:rPr>
          <w:b/>
          <w:spacing w:val="-2"/>
          <w:szCs w:val="22"/>
        </w:rPr>
        <w:t>14</w:t>
      </w:r>
      <w:r w:rsidR="00C634E4">
        <w:rPr>
          <w:b/>
          <w:spacing w:val="-2"/>
          <w:szCs w:val="22"/>
        </w:rPr>
        <w:t>, 2021</w:t>
      </w:r>
    </w:p>
    <w:p w:rsidR="0095764F" w:rsidRPr="00FC6707" w14:paraId="6FE60DA0" w14:textId="486E47C5">
      <w:pPr>
        <w:tabs>
          <w:tab w:val="left" w:pos="720"/>
          <w:tab w:val="left" w:pos="5760"/>
          <w:tab w:val="right" w:pos="9270"/>
        </w:tabs>
        <w:suppressAutoHyphens/>
        <w:rPr>
          <w:b/>
          <w:spacing w:val="-2"/>
          <w:szCs w:val="22"/>
        </w:rPr>
      </w:pPr>
      <w:r w:rsidRPr="00FC6707">
        <w:rPr>
          <w:b/>
          <w:spacing w:val="-2"/>
          <w:szCs w:val="22"/>
        </w:rPr>
        <w:t xml:space="preserve">Oppositions to Direct Case Due by: </w:t>
      </w:r>
      <w:r w:rsidR="00C634E4">
        <w:rPr>
          <w:b/>
          <w:spacing w:val="-2"/>
          <w:szCs w:val="22"/>
        </w:rPr>
        <w:t xml:space="preserve"> </w:t>
      </w:r>
      <w:r w:rsidR="0025739D">
        <w:rPr>
          <w:b/>
          <w:spacing w:val="-2"/>
          <w:szCs w:val="22"/>
        </w:rPr>
        <w:t>July 28</w:t>
      </w:r>
      <w:r w:rsidR="00C634E4">
        <w:rPr>
          <w:b/>
          <w:spacing w:val="-2"/>
          <w:szCs w:val="22"/>
        </w:rPr>
        <w:t>, 2021</w:t>
      </w:r>
      <w:r w:rsidRPr="00FC6707">
        <w:rPr>
          <w:b/>
          <w:spacing w:val="-2"/>
          <w:szCs w:val="22"/>
        </w:rPr>
        <w:t xml:space="preserve"> </w:t>
      </w:r>
    </w:p>
    <w:p w:rsidR="0095764F" w14:paraId="67A59547" w14:textId="3F7A52F6">
      <w:pPr>
        <w:tabs>
          <w:tab w:val="left" w:pos="720"/>
          <w:tab w:val="left" w:pos="5760"/>
          <w:tab w:val="right" w:pos="9270"/>
        </w:tabs>
        <w:suppressAutoHyphens/>
        <w:rPr>
          <w:spacing w:val="-2"/>
          <w:szCs w:val="22"/>
        </w:rPr>
      </w:pPr>
    </w:p>
    <w:p w:rsidR="0095764F" w:rsidRPr="00FC6707" w14:paraId="565CC332" w14:textId="77777777">
      <w:pPr>
        <w:pStyle w:val="Heading1"/>
        <w:spacing w:before="120"/>
      </w:pPr>
      <w:r w:rsidRPr="00FC6707">
        <w:t>INTRODUCTION</w:t>
      </w:r>
    </w:p>
    <w:p w:rsidR="007C2A5D" w:rsidRPr="00FC6707" w:rsidP="00133345" w14:paraId="3FB93F6A" w14:textId="43494D8B">
      <w:pPr>
        <w:pStyle w:val="ParaNum"/>
        <w:rPr>
          <w:szCs w:val="22"/>
        </w:rPr>
      </w:pPr>
      <w:r w:rsidRPr="00FC6707">
        <w:rPr>
          <w:szCs w:val="22"/>
        </w:rPr>
        <w:t xml:space="preserve">In this Order, </w:t>
      </w:r>
      <w:r w:rsidRPr="00FC6707" w:rsidR="001768FE">
        <w:t xml:space="preserve">pursuant to our authority </w:t>
      </w:r>
      <w:r w:rsidR="00002C56">
        <w:t>under</w:t>
      </w:r>
      <w:r w:rsidRPr="00FC6707" w:rsidR="001768FE">
        <w:t xml:space="preserve"> sections 204 and 205 of the Communications Act of 1934, as amended (Act),</w:t>
      </w:r>
      <w:r>
        <w:rPr>
          <w:rStyle w:val="FootnoteReference"/>
        </w:rPr>
        <w:footnoteReference w:id="3"/>
      </w:r>
      <w:r w:rsidRPr="00FC6707" w:rsidR="001768FE">
        <w:t xml:space="preserve"> we designate for investigation </w:t>
      </w:r>
      <w:r w:rsidRPr="00FC6707" w:rsidR="00F80884">
        <w:t xml:space="preserve">the </w:t>
      </w:r>
      <w:r w:rsidRPr="00FC6707" w:rsidR="001768FE">
        <w:t xml:space="preserve">lawfulness of the revisions that Core </w:t>
      </w:r>
      <w:r w:rsidRPr="00133345" w:rsidR="001768FE">
        <w:t>Communications</w:t>
      </w:r>
      <w:r w:rsidRPr="00FC6707" w:rsidR="001768FE">
        <w:t xml:space="preserve">, Inc., et al. (Core), </w:t>
      </w:r>
      <w:r w:rsidRPr="00FC6707" w:rsidR="00F80884">
        <w:t>made</w:t>
      </w:r>
      <w:r w:rsidRPr="00FC6707" w:rsidR="001768FE">
        <w:t xml:space="preserve"> </w:t>
      </w:r>
      <w:r w:rsidRPr="00FC6707" w:rsidR="00140E69">
        <w:t xml:space="preserve">in Transmittal No. 17 to its interstate switched access service Tariff F.C.C. No. 3 </w:t>
      </w:r>
      <w:r w:rsidRPr="00FC6707" w:rsidR="001768FE">
        <w:t>on April 22, 2021.</w:t>
      </w:r>
      <w:r>
        <w:rPr>
          <w:rStyle w:val="FootnoteReference"/>
        </w:rPr>
        <w:footnoteReference w:id="4"/>
      </w:r>
      <w:r w:rsidRPr="00FC6707" w:rsidR="001768FE">
        <w:t xml:space="preserve">  </w:t>
      </w:r>
      <w:r w:rsidR="006A378F">
        <w:t>More specifically, w</w:t>
      </w:r>
      <w:r w:rsidRPr="00FC6707" w:rsidR="001768FE">
        <w:t>e designate for investigation whether the tariff revisions</w:t>
      </w:r>
      <w:r w:rsidRPr="00FC6707" w:rsidR="001768FE">
        <w:rPr>
          <w:rFonts w:ascii="TimesNewRomanPSMT" w:hAnsi="TimesNewRomanPSMT" w:cs="TimesNewRomanPSMT"/>
          <w:snapToGrid/>
          <w:kern w:val="0"/>
          <w:szCs w:val="22"/>
        </w:rPr>
        <w:t xml:space="preserve"> concerning billing disputes, obligations regarding purportedly fraudulent traffic, obligations of customers cut off from service by Core, late payment fees, and 8YY database queries are consistent with the Act, the </w:t>
      </w:r>
      <w:r w:rsidRPr="00FC6707" w:rsidR="001768FE">
        <w:rPr>
          <w:rFonts w:ascii="TimesNewRomanPSMT" w:hAnsi="TimesNewRomanPSMT" w:cs="TimesNewRomanPSMT"/>
          <w:i/>
          <w:iCs/>
          <w:snapToGrid/>
          <w:kern w:val="0"/>
          <w:szCs w:val="22"/>
        </w:rPr>
        <w:t>8YY Access Charge Reform Order</w:t>
      </w:r>
      <w:r w:rsidRPr="00FC6707" w:rsidR="001768FE">
        <w:rPr>
          <w:rFonts w:ascii="TimesNewRomanPSMT" w:hAnsi="TimesNewRomanPSMT" w:cs="TimesNewRomanPSMT"/>
          <w:snapToGrid/>
          <w:kern w:val="0"/>
          <w:szCs w:val="22"/>
        </w:rPr>
        <w:t>,</w:t>
      </w:r>
      <w:r>
        <w:rPr>
          <w:rStyle w:val="FootnoteReference"/>
          <w:rFonts w:cs="TimesNewRomanPSMT"/>
          <w:snapToGrid/>
          <w:kern w:val="0"/>
          <w:szCs w:val="22"/>
        </w:rPr>
        <w:footnoteReference w:id="5"/>
      </w:r>
      <w:r w:rsidRPr="00FC6707" w:rsidR="001768FE">
        <w:rPr>
          <w:rFonts w:ascii="TimesNewRomanPSMT" w:hAnsi="TimesNewRomanPSMT" w:cs="TimesNewRomanPSMT"/>
          <w:snapToGrid/>
          <w:kern w:val="0"/>
          <w:szCs w:val="22"/>
        </w:rPr>
        <w:t xml:space="preserve"> and </w:t>
      </w:r>
      <w:r w:rsidRPr="00FC6707" w:rsidR="00F80884">
        <w:rPr>
          <w:rFonts w:ascii="TimesNewRomanPSMT" w:hAnsi="TimesNewRomanPSMT" w:cs="TimesNewRomanPSMT"/>
          <w:snapToGrid/>
          <w:kern w:val="0"/>
          <w:szCs w:val="22"/>
        </w:rPr>
        <w:t>the</w:t>
      </w:r>
      <w:r w:rsidRPr="00FC6707" w:rsidR="001768FE">
        <w:rPr>
          <w:rFonts w:ascii="TimesNewRomanPSMT" w:hAnsi="TimesNewRomanPSMT" w:cs="TimesNewRomanPSMT"/>
          <w:snapToGrid/>
          <w:kern w:val="0"/>
          <w:szCs w:val="22"/>
        </w:rPr>
        <w:t xml:space="preserve"> Commission</w:t>
      </w:r>
      <w:r w:rsidRPr="00FC6707" w:rsidR="00F80884">
        <w:rPr>
          <w:rFonts w:ascii="TimesNewRomanPSMT" w:hAnsi="TimesNewRomanPSMT" w:cs="TimesNewRomanPSMT"/>
          <w:snapToGrid/>
          <w:kern w:val="0"/>
          <w:szCs w:val="22"/>
        </w:rPr>
        <w:t>’s</w:t>
      </w:r>
      <w:r w:rsidRPr="00FC6707" w:rsidR="001768FE">
        <w:rPr>
          <w:rFonts w:ascii="TimesNewRomanPSMT" w:hAnsi="TimesNewRomanPSMT" w:cs="TimesNewRomanPSMT"/>
          <w:snapToGrid/>
          <w:kern w:val="0"/>
          <w:szCs w:val="22"/>
        </w:rPr>
        <w:t xml:space="preserve"> rules</w:t>
      </w:r>
      <w:r w:rsidR="004700F5">
        <w:rPr>
          <w:rFonts w:ascii="TimesNewRomanPSMT" w:hAnsi="TimesNewRomanPSMT" w:cs="TimesNewRomanPSMT"/>
          <w:snapToGrid/>
          <w:kern w:val="0"/>
          <w:szCs w:val="22"/>
        </w:rPr>
        <w:t>.</w:t>
      </w:r>
      <w:r w:rsidR="006A6E6E">
        <w:rPr>
          <w:rFonts w:ascii="TimesNewRomanPSMT" w:hAnsi="TimesNewRomanPSMT" w:cs="TimesNewRomanPSMT"/>
          <w:snapToGrid/>
          <w:kern w:val="0"/>
          <w:szCs w:val="22"/>
        </w:rPr>
        <w:t xml:space="preserve"> </w:t>
      </w:r>
      <w:r w:rsidR="004700F5">
        <w:rPr>
          <w:rFonts w:ascii="TimesNewRomanPSMT" w:hAnsi="TimesNewRomanPSMT" w:cs="TimesNewRomanPSMT"/>
          <w:snapToGrid/>
          <w:kern w:val="0"/>
          <w:szCs w:val="22"/>
        </w:rPr>
        <w:t xml:space="preserve"> We </w:t>
      </w:r>
      <w:r w:rsidRPr="00133345" w:rsidR="004700F5">
        <w:t>also</w:t>
      </w:r>
      <w:r w:rsidR="004700F5">
        <w:rPr>
          <w:rFonts w:ascii="TimesNewRomanPSMT" w:hAnsi="TimesNewRomanPSMT" w:cs="TimesNewRomanPSMT"/>
          <w:snapToGrid/>
          <w:kern w:val="0"/>
          <w:szCs w:val="22"/>
        </w:rPr>
        <w:t xml:space="preserve"> </w:t>
      </w:r>
      <w:r w:rsidR="006A6E6E">
        <w:rPr>
          <w:rFonts w:ascii="TimesNewRomanPSMT" w:hAnsi="TimesNewRomanPSMT" w:cs="TimesNewRomanPSMT"/>
          <w:snapToGrid/>
          <w:kern w:val="0"/>
          <w:szCs w:val="22"/>
        </w:rPr>
        <w:t xml:space="preserve">provide direction to Core regarding what information it must </w:t>
      </w:r>
      <w:r w:rsidR="00F852A6">
        <w:rPr>
          <w:rFonts w:ascii="TimesNewRomanPSMT" w:hAnsi="TimesNewRomanPSMT" w:cs="TimesNewRomanPSMT"/>
          <w:snapToGrid/>
          <w:kern w:val="0"/>
          <w:szCs w:val="22"/>
        </w:rPr>
        <w:t>submit</w:t>
      </w:r>
      <w:r w:rsidR="006A6E6E">
        <w:rPr>
          <w:rFonts w:ascii="TimesNewRomanPSMT" w:hAnsi="TimesNewRomanPSMT" w:cs="TimesNewRomanPSMT"/>
          <w:snapToGrid/>
          <w:kern w:val="0"/>
          <w:szCs w:val="22"/>
        </w:rPr>
        <w:t xml:space="preserve"> in its </w:t>
      </w:r>
      <w:r w:rsidR="00F852A6">
        <w:rPr>
          <w:rFonts w:ascii="TimesNewRomanPSMT" w:hAnsi="TimesNewRomanPSMT" w:cs="TimesNewRomanPSMT"/>
          <w:snapToGrid/>
          <w:kern w:val="0"/>
          <w:szCs w:val="22"/>
        </w:rPr>
        <w:t>D</w:t>
      </w:r>
      <w:r w:rsidR="006A6E6E">
        <w:rPr>
          <w:rFonts w:ascii="TimesNewRomanPSMT" w:hAnsi="TimesNewRomanPSMT" w:cs="TimesNewRomanPSMT"/>
          <w:snapToGrid/>
          <w:kern w:val="0"/>
          <w:szCs w:val="22"/>
        </w:rPr>
        <w:t xml:space="preserve">irect </w:t>
      </w:r>
      <w:r w:rsidR="00F852A6">
        <w:rPr>
          <w:rFonts w:ascii="TimesNewRomanPSMT" w:hAnsi="TimesNewRomanPSMT" w:cs="TimesNewRomanPSMT"/>
          <w:snapToGrid/>
          <w:kern w:val="0"/>
          <w:szCs w:val="22"/>
        </w:rPr>
        <w:t>C</w:t>
      </w:r>
      <w:r w:rsidR="006A6E6E">
        <w:rPr>
          <w:rFonts w:ascii="TimesNewRomanPSMT" w:hAnsi="TimesNewRomanPSMT" w:cs="TimesNewRomanPSMT"/>
          <w:snapToGrid/>
          <w:kern w:val="0"/>
          <w:szCs w:val="22"/>
        </w:rPr>
        <w:t xml:space="preserve">ase. </w:t>
      </w:r>
    </w:p>
    <w:p w:rsidR="0095764F" w:rsidRPr="00FC6707" w14:paraId="40C28EB7" w14:textId="77777777">
      <w:pPr>
        <w:pStyle w:val="Heading1"/>
      </w:pPr>
      <w:r w:rsidRPr="00FC6707">
        <w:t>background</w:t>
      </w:r>
    </w:p>
    <w:p w:rsidR="0057290C" w14:paraId="338D606D" w14:textId="0E073853">
      <w:pPr>
        <w:pStyle w:val="Heading2"/>
      </w:pPr>
      <w:bookmarkStart w:id="0" w:name="_Hlk30501769"/>
      <w:r w:rsidRPr="00FC6707">
        <w:t>Procedural History and Relevant Precedent</w:t>
      </w:r>
    </w:p>
    <w:p w:rsidR="00E73702" w:rsidRPr="00E73702" w:rsidP="00133345" w14:paraId="46088358" w14:textId="11318299">
      <w:pPr>
        <w:pStyle w:val="ParaNum"/>
        <w:widowControl/>
      </w:pPr>
      <w:r>
        <w:t>Core is</w:t>
      </w:r>
      <w:r w:rsidR="00980ED9">
        <w:t xml:space="preserve"> a competitive local exchange carrier (LEC) </w:t>
      </w:r>
      <w:r>
        <w:t>and</w:t>
      </w:r>
      <w:r w:rsidR="00980ED9">
        <w:t xml:space="preserve"> may file </w:t>
      </w:r>
      <w:r w:rsidR="00A523E0">
        <w:t xml:space="preserve">interstate switched access service </w:t>
      </w:r>
      <w:r w:rsidR="00980ED9">
        <w:t xml:space="preserve">tariffs with the Commission.  Core’s Tariff F.C.C. No. 3 governs the </w:t>
      </w:r>
      <w:r w:rsidR="004700F5">
        <w:t>rates</w:t>
      </w:r>
      <w:r w:rsidR="00980ED9">
        <w:t>, terms</w:t>
      </w:r>
      <w:r w:rsidR="004700F5">
        <w:t>,</w:t>
      </w:r>
      <w:r w:rsidR="00980ED9">
        <w:t xml:space="preserve"> and conditions </w:t>
      </w:r>
      <w:r w:rsidR="004700F5">
        <w:t xml:space="preserve">for Core’s tariffed switched access charges, </w:t>
      </w:r>
      <w:r w:rsidR="00A523E0">
        <w:t xml:space="preserve">some of which </w:t>
      </w:r>
      <w:r>
        <w:t xml:space="preserve">are </w:t>
      </w:r>
      <w:r w:rsidR="00980ED9">
        <w:t xml:space="preserve">at issue in this investigation. </w:t>
      </w:r>
      <w:r>
        <w:t xml:space="preserve"> In its role as a competitive LEC</w:t>
      </w:r>
      <w:r w:rsidR="004700F5">
        <w:t>,</w:t>
      </w:r>
      <w:r>
        <w:t xml:space="preserve"> Core</w:t>
      </w:r>
      <w:r w:rsidR="00A523E0">
        <w:t xml:space="preserve">, among other things, </w:t>
      </w:r>
      <w:r w:rsidR="00CF65E7">
        <w:t xml:space="preserve">serves as an intermediate provider to </w:t>
      </w:r>
      <w:r w:rsidR="00A523E0">
        <w:t>facilitate the</w:t>
      </w:r>
      <w:r>
        <w:t xml:space="preserve"> transm</w:t>
      </w:r>
      <w:r w:rsidR="00A523E0">
        <w:t>ission of telecommunications</w:t>
      </w:r>
      <w:r>
        <w:t xml:space="preserve"> traffic between originating </w:t>
      </w:r>
      <w:r w:rsidR="00CF65E7">
        <w:t>callers</w:t>
      </w:r>
      <w:r>
        <w:t xml:space="preserve"> and 8YY, or toll free, </w:t>
      </w:r>
      <w:r w:rsidR="00A523E0">
        <w:t>service providers</w:t>
      </w:r>
      <w:r>
        <w:t xml:space="preserve">.  The record in this proceeding </w:t>
      </w:r>
      <w:r w:rsidR="00CF65E7">
        <w:t>suggests</w:t>
      </w:r>
      <w:r>
        <w:t xml:space="preserve"> that Core also purchases </w:t>
      </w:r>
      <w:r w:rsidR="00B3251C">
        <w:t>aggregated</w:t>
      </w:r>
      <w:r>
        <w:t xml:space="preserve"> 8YY traffic</w:t>
      </w:r>
      <w:r w:rsidR="004700F5">
        <w:t xml:space="preserve"> from </w:t>
      </w:r>
      <w:r w:rsidR="004700F5">
        <w:t>originating carriers</w:t>
      </w:r>
      <w:r>
        <w:t xml:space="preserve"> </w:t>
      </w:r>
      <w:r w:rsidR="00CF65E7">
        <w:t>and</w:t>
      </w:r>
      <w:r>
        <w:t xml:space="preserve"> </w:t>
      </w:r>
      <w:r w:rsidR="004700F5">
        <w:t xml:space="preserve">carries </w:t>
      </w:r>
      <w:r w:rsidR="00CF65E7">
        <w:t>the calls</w:t>
      </w:r>
      <w:r>
        <w:t xml:space="preserve"> to 8YY </w:t>
      </w:r>
      <w:r w:rsidR="00A523E0">
        <w:t>providers</w:t>
      </w:r>
      <w:r w:rsidR="004700F5">
        <w:t xml:space="preserve"> that are responsible for completing the calls to their subscribers</w:t>
      </w:r>
      <w:r>
        <w:t>.</w:t>
      </w:r>
      <w:r>
        <w:rPr>
          <w:rStyle w:val="FootnoteReference"/>
        </w:rPr>
        <w:footnoteReference w:id="6"/>
      </w:r>
      <w:r w:rsidR="00980ED9">
        <w:t xml:space="preserve"> </w:t>
      </w:r>
    </w:p>
    <w:p w:rsidR="001768FE" w:rsidRPr="00FC6707" w:rsidP="00133345" w14:paraId="02EA50B9" w14:textId="326290DE">
      <w:pPr>
        <w:pStyle w:val="ParaNum"/>
      </w:pPr>
      <w:r w:rsidRPr="0057290C">
        <w:rPr>
          <w:i/>
          <w:iCs/>
        </w:rPr>
        <w:t>USF/ICC Transformation Order</w:t>
      </w:r>
      <w:r w:rsidRPr="00FC6707">
        <w:t xml:space="preserve">. </w:t>
      </w:r>
      <w:r w:rsidRPr="0057290C">
        <w:rPr>
          <w:i/>
          <w:iCs/>
        </w:rPr>
        <w:t xml:space="preserve"> </w:t>
      </w:r>
      <w:r w:rsidRPr="00FC6707">
        <w:t>In the</w:t>
      </w:r>
      <w:r w:rsidRPr="00FC6707" w:rsidR="00F80884">
        <w:t xml:space="preserve"> 2011</w:t>
      </w:r>
      <w:r w:rsidRPr="00FC6707">
        <w:t xml:space="preserve"> </w:t>
      </w:r>
      <w:r w:rsidRPr="0057290C">
        <w:rPr>
          <w:i/>
          <w:iCs/>
        </w:rPr>
        <w:t>USF/ICC Transformation Order</w:t>
      </w:r>
      <w:r w:rsidRPr="00FC6707">
        <w:t xml:space="preserve">, the Commission adopted bill-and-keep as the default methodology for all intercarrier compensation (ICC) charges, capped all terminating ICC rates, and established a transition path requiring scheduled reductions to certain terminating </w:t>
      </w:r>
      <w:r w:rsidRPr="00FC6707" w:rsidR="00F80884">
        <w:t>access</w:t>
      </w:r>
      <w:r w:rsidRPr="00FC6707">
        <w:t xml:space="preserve"> charges.</w:t>
      </w:r>
      <w:r>
        <w:rPr>
          <w:rStyle w:val="FootnoteReference"/>
        </w:rPr>
        <w:footnoteReference w:id="7"/>
      </w:r>
      <w:r w:rsidRPr="00FC6707">
        <w:t xml:space="preserve">  The transition rules also required LECs to adjust, over a period of years, many of their terminating end office switched access charges</w:t>
      </w:r>
      <w:r w:rsidR="00CF705F">
        <w:t>,</w:t>
      </w:r>
      <w:r w:rsidRPr="00FC6707">
        <w:t xml:space="preserve"> consistent with the </w:t>
      </w:r>
      <w:r w:rsidR="00CF705F">
        <w:t xml:space="preserve">Commission’s </w:t>
      </w:r>
      <w:r w:rsidRPr="00FC6707">
        <w:t xml:space="preserve">ultimate goal of </w:t>
      </w:r>
      <w:r w:rsidR="00CF705F">
        <w:t xml:space="preserve">moving </w:t>
      </w:r>
      <w:r w:rsidR="002731C9">
        <w:t xml:space="preserve">all access </w:t>
      </w:r>
      <w:r w:rsidRPr="00FC6707">
        <w:t>charges to bill</w:t>
      </w:r>
      <w:r w:rsidR="00E26E9F">
        <w:t>-</w:t>
      </w:r>
      <w:r w:rsidRPr="00FC6707">
        <w:t>and</w:t>
      </w:r>
      <w:r w:rsidR="00E26E9F">
        <w:t>-</w:t>
      </w:r>
      <w:r w:rsidRPr="00FC6707">
        <w:t>keep.</w:t>
      </w:r>
      <w:r>
        <w:rPr>
          <w:rStyle w:val="FootnoteReference"/>
        </w:rPr>
        <w:footnoteReference w:id="8"/>
      </w:r>
      <w:r w:rsidRPr="00FC6707">
        <w:t xml:space="preserve"> </w:t>
      </w:r>
    </w:p>
    <w:p w:rsidR="0057290C" w:rsidRPr="0057290C" w:rsidP="00133345" w14:paraId="3569DEE3" w14:textId="5F153BDA">
      <w:pPr>
        <w:pStyle w:val="ParaNum"/>
      </w:pPr>
      <w:r w:rsidRPr="00FC6707">
        <w:rPr>
          <w:i/>
          <w:iCs/>
        </w:rPr>
        <w:t>8YY Access Charge Reform Order</w:t>
      </w:r>
      <w:r w:rsidRPr="00FC6707">
        <w:t xml:space="preserve">.  </w:t>
      </w:r>
      <w:r w:rsidRPr="00FC6707">
        <w:t xml:space="preserve">In the </w:t>
      </w:r>
      <w:r>
        <w:t xml:space="preserve">2020 </w:t>
      </w:r>
      <w:r w:rsidRPr="00FC6707">
        <w:rPr>
          <w:i/>
          <w:iCs/>
        </w:rPr>
        <w:t>8YY Access Charge Reform Order</w:t>
      </w:r>
      <w:r w:rsidR="002A4318">
        <w:t>,</w:t>
      </w:r>
      <w:r w:rsidRPr="00FC6707">
        <w:rPr>
          <w:i/>
          <w:iCs/>
        </w:rPr>
        <w:t xml:space="preserve"> </w:t>
      </w:r>
      <w:r w:rsidRPr="00FC6707">
        <w:t>the Commission found that</w:t>
      </w:r>
      <w:r w:rsidR="002731C9">
        <w:t>,</w:t>
      </w:r>
      <w:r w:rsidRPr="00FC6707">
        <w:t xml:space="preserve"> as terminating </w:t>
      </w:r>
      <w:r>
        <w:t xml:space="preserve">access </w:t>
      </w:r>
      <w:r w:rsidRPr="00F80884">
        <w:t>charges transitioned to bill</w:t>
      </w:r>
      <w:r w:rsidR="00E26E9F">
        <w:t>-</w:t>
      </w:r>
      <w:r w:rsidRPr="00F80884">
        <w:t>and</w:t>
      </w:r>
      <w:r w:rsidR="00E26E9F">
        <w:t>-</w:t>
      </w:r>
      <w:r w:rsidRPr="00F80884">
        <w:t xml:space="preserve">keep, some providers sought to take advantage of </w:t>
      </w:r>
      <w:r>
        <w:t xml:space="preserve">the </w:t>
      </w:r>
      <w:r w:rsidRPr="00F80884">
        <w:t xml:space="preserve">originating access charges </w:t>
      </w:r>
      <w:r>
        <w:t>that remained in effect, particularly those associated with toll free calls</w:t>
      </w:r>
      <w:r w:rsidRPr="00FC6707">
        <w:t>.</w:t>
      </w:r>
      <w:r>
        <w:rPr>
          <w:rStyle w:val="FootnoteReference"/>
          <w:szCs w:val="22"/>
        </w:rPr>
        <w:footnoteReference w:id="9"/>
      </w:r>
      <w:r w:rsidRPr="00FC6707">
        <w:t xml:space="preserve">  </w:t>
      </w:r>
      <w:r>
        <w:t>Intercarrier compensation for c</w:t>
      </w:r>
      <w:r w:rsidRPr="00FC6707" w:rsidR="00F80884">
        <w:t>alls to 8YY telephone numbers differ</w:t>
      </w:r>
      <w:r w:rsidR="00F852A6">
        <w:t>s</w:t>
      </w:r>
      <w:r w:rsidRPr="00FC6707" w:rsidR="00F80884">
        <w:t xml:space="preserve"> from </w:t>
      </w:r>
      <w:r>
        <w:t xml:space="preserve">that </w:t>
      </w:r>
      <w:r w:rsidR="00F852A6">
        <w:t xml:space="preserve">for </w:t>
      </w:r>
      <w:r w:rsidRPr="00FC6707" w:rsidR="00F80884">
        <w:t>other calls carried over the public switched telephone network</w:t>
      </w:r>
      <w:r>
        <w:t xml:space="preserve">.  In the case of </w:t>
      </w:r>
      <w:r w:rsidR="00F852A6">
        <w:t xml:space="preserve">calls to </w:t>
      </w:r>
      <w:r>
        <w:t xml:space="preserve">8YY telephone </w:t>
      </w:r>
      <w:r w:rsidR="00F852A6">
        <w:t>numbers</w:t>
      </w:r>
      <w:r>
        <w:t>,</w:t>
      </w:r>
      <w:r w:rsidRPr="00FC6707" w:rsidR="00F80884">
        <w:t xml:space="preserve"> t</w:t>
      </w:r>
      <w:r w:rsidRPr="00FC6707" w:rsidR="00E178E8">
        <w:t>he</w:t>
      </w:r>
      <w:r w:rsidRPr="00FC6707" w:rsidR="00F80884">
        <w:t xml:space="preserve"> party receiving the call, not the party placing the call, pays the toll charges</w:t>
      </w:r>
      <w:r w:rsidR="00814336">
        <w:t>, thereby rendering the calls “toll free” from the perspective of the call</w:t>
      </w:r>
      <w:r w:rsidR="00154C7A">
        <w:t>ing pa</w:t>
      </w:r>
      <w:r w:rsidR="00814336">
        <w:t>r</w:t>
      </w:r>
      <w:r w:rsidR="00154C7A">
        <w:t>ty</w:t>
      </w:r>
      <w:r w:rsidRPr="00FC6707" w:rsidR="00F80884">
        <w:t>.</w:t>
      </w:r>
      <w:r>
        <w:rPr>
          <w:rStyle w:val="FootnoteReference"/>
        </w:rPr>
        <w:footnoteReference w:id="10"/>
      </w:r>
      <w:r w:rsidRPr="00FC6707" w:rsidR="00F80884">
        <w:t xml:space="preserve">  To determine how to route a toll</w:t>
      </w:r>
      <w:r w:rsidRPr="00FC6707" w:rsidR="005C1021">
        <w:t xml:space="preserve"> </w:t>
      </w:r>
      <w:r w:rsidRPr="00FC6707" w:rsidR="00F80884">
        <w:t>free call</w:t>
      </w:r>
      <w:r w:rsidR="002731C9">
        <w:t>,</w:t>
      </w:r>
      <w:r w:rsidRPr="00FC6707" w:rsidR="00F80884">
        <w:t xml:space="preserve"> the originating </w:t>
      </w:r>
      <w:r w:rsidR="006A378F">
        <w:t xml:space="preserve">LEC </w:t>
      </w:r>
      <w:r w:rsidRPr="00FC6707" w:rsidR="00F80884">
        <w:t xml:space="preserve">must query the 8YY Database to determine the 8YY provider </w:t>
      </w:r>
      <w:r w:rsidR="00002C56">
        <w:t>that serves</w:t>
      </w:r>
      <w:r w:rsidRPr="00FC6707" w:rsidR="00F80884">
        <w:t xml:space="preserve"> the dialed number.</w:t>
      </w:r>
      <w:r>
        <w:rPr>
          <w:rStyle w:val="FootnoteReference"/>
        </w:rPr>
        <w:footnoteReference w:id="11"/>
      </w:r>
      <w:r w:rsidRPr="00FC6707" w:rsidR="00F80884">
        <w:t xml:space="preserve">  </w:t>
      </w:r>
      <w:r w:rsidR="00002C56">
        <w:t>If a LEC is unable to conduct a database query it may pa</w:t>
      </w:r>
      <w:r w:rsidR="006A378F">
        <w:t>ss</w:t>
      </w:r>
      <w:r w:rsidR="00002C56">
        <w:t xml:space="preserve"> </w:t>
      </w:r>
      <w:r w:rsidR="006A378F">
        <w:t xml:space="preserve">the call to </w:t>
      </w:r>
      <w:r w:rsidR="00002C56">
        <w:t xml:space="preserve">another carrier to conduct the query </w:t>
      </w:r>
      <w:r w:rsidR="006A378F">
        <w:t xml:space="preserve">to </w:t>
      </w:r>
      <w:r w:rsidR="00002C56">
        <w:t>determine how to route the 8YY call</w:t>
      </w:r>
      <w:r w:rsidRPr="00FC6707" w:rsidR="00F80884">
        <w:t>.</w:t>
      </w:r>
      <w:r>
        <w:rPr>
          <w:rStyle w:val="FootnoteReference"/>
        </w:rPr>
        <w:footnoteReference w:id="12"/>
      </w:r>
      <w:r w:rsidRPr="00FC6707" w:rsidR="00F80884">
        <w:t xml:space="preserve">  The 8YY provider also pays tandem switching and transport </w:t>
      </w:r>
      <w:r w:rsidR="00CF65E7">
        <w:t xml:space="preserve">access </w:t>
      </w:r>
      <w:r w:rsidRPr="00FC6707" w:rsidR="00F80884">
        <w:t>charges to any intermediate carriers in the call path between the LEC and the 8YY provider.</w:t>
      </w:r>
      <w:r>
        <w:rPr>
          <w:rStyle w:val="FootnoteReference"/>
        </w:rPr>
        <w:footnoteReference w:id="13"/>
      </w:r>
      <w:r w:rsidRPr="00FC6707" w:rsidR="00F80884">
        <w:t xml:space="preserve">  </w:t>
      </w:r>
      <w:r w:rsidR="00F42B35">
        <w:t>These services are typically provided pursuant to tariffs that list the applicable rates, terms, and conditions</w:t>
      </w:r>
      <w:r w:rsidRPr="00FC6707" w:rsidR="00F80884">
        <w:t>.</w:t>
      </w:r>
      <w:r>
        <w:rPr>
          <w:rStyle w:val="FootnoteReference"/>
        </w:rPr>
        <w:footnoteReference w:id="14"/>
      </w:r>
      <w:r w:rsidRPr="0057290C">
        <w:t xml:space="preserve"> </w:t>
      </w:r>
    </w:p>
    <w:p w:rsidR="00CA1553" w:rsidRPr="00FC6707" w:rsidP="00133345" w14:paraId="35DF77BA" w14:textId="61F96568">
      <w:pPr>
        <w:pStyle w:val="ParaNum"/>
        <w:widowControl/>
      </w:pPr>
      <w:r>
        <w:t xml:space="preserve">In the </w:t>
      </w:r>
      <w:r w:rsidRPr="005824C0">
        <w:rPr>
          <w:i/>
          <w:iCs/>
        </w:rPr>
        <w:t>8YY Access Charge Reform Order</w:t>
      </w:r>
      <w:r>
        <w:t>,</w:t>
      </w:r>
      <w:r w:rsidRPr="005824C0">
        <w:t xml:space="preserve"> </w:t>
      </w:r>
      <w:r>
        <w:t>t</w:t>
      </w:r>
      <w:r w:rsidR="009D5654">
        <w:t>he</w:t>
      </w:r>
      <w:r w:rsidRPr="0057290C" w:rsidR="0057290C">
        <w:rPr>
          <w:szCs w:val="22"/>
        </w:rPr>
        <w:t xml:space="preserve"> Commission found that the intercarrier compensation regime that applied to toll free calls allowed inefficiencies</w:t>
      </w:r>
      <w:r>
        <w:rPr>
          <w:rStyle w:val="FootnoteReference"/>
          <w:szCs w:val="22"/>
        </w:rPr>
        <w:footnoteReference w:id="15"/>
      </w:r>
      <w:r w:rsidRPr="0057290C" w:rsidR="0057290C">
        <w:rPr>
          <w:szCs w:val="22"/>
        </w:rPr>
        <w:t xml:space="preserve"> and that “[</w:t>
      </w:r>
      <w:r w:rsidRPr="00FC6707" w:rsidR="0057290C">
        <w:t xml:space="preserve">a]rbitrage and </w:t>
      </w:r>
      <w:r w:rsidRPr="00FC6707" w:rsidR="0057290C">
        <w:t>fraud . . . increasingly affect and undermine the system of intercarrier compensation that currently underpins toll free calling</w:t>
      </w:r>
      <w:r w:rsidR="0057290C">
        <w:t>.</w:t>
      </w:r>
      <w:r w:rsidRPr="00FC6707" w:rsidR="0057290C">
        <w:t>”</w:t>
      </w:r>
      <w:r>
        <w:rPr>
          <w:rStyle w:val="FootnoteReference"/>
        </w:rPr>
        <w:footnoteReference w:id="16"/>
      </w:r>
      <w:r w:rsidRPr="0057290C" w:rsidR="0057290C">
        <w:rPr>
          <w:szCs w:val="22"/>
        </w:rPr>
        <w:t xml:space="preserve">  </w:t>
      </w:r>
      <w:r w:rsidRPr="0057290C" w:rsidR="00F42B35">
        <w:rPr>
          <w:szCs w:val="22"/>
        </w:rPr>
        <w:t>I</w:t>
      </w:r>
      <w:r w:rsidR="00F42B35">
        <w:t>n an effort to curb th</w:t>
      </w:r>
      <w:r w:rsidR="00C711C3">
        <w:t>is</w:t>
      </w:r>
      <w:r w:rsidR="00F42B35">
        <w:t xml:space="preserve"> arbitrage</w:t>
      </w:r>
      <w:r w:rsidR="00C711C3">
        <w:t>,</w:t>
      </w:r>
      <w:r w:rsidR="00F42B35">
        <w:t xml:space="preserve"> </w:t>
      </w:r>
      <w:r w:rsidR="00881DAA">
        <w:rPr>
          <w:szCs w:val="22"/>
        </w:rPr>
        <w:t>the</w:t>
      </w:r>
      <w:r w:rsidRPr="0057290C" w:rsidR="00F42B35">
        <w:rPr>
          <w:szCs w:val="22"/>
        </w:rPr>
        <w:t xml:space="preserve"> </w:t>
      </w:r>
      <w:r w:rsidR="00881DAA">
        <w:rPr>
          <w:szCs w:val="22"/>
        </w:rPr>
        <w:t xml:space="preserve">Commission </w:t>
      </w:r>
      <w:r w:rsidRPr="0057290C" w:rsidR="00F42B35">
        <w:rPr>
          <w:szCs w:val="22"/>
        </w:rPr>
        <w:t>cap</w:t>
      </w:r>
      <w:r w:rsidR="00881DAA">
        <w:rPr>
          <w:szCs w:val="22"/>
        </w:rPr>
        <w:t>p</w:t>
      </w:r>
      <w:r w:rsidRPr="0057290C" w:rsidR="00F42B35">
        <w:rPr>
          <w:szCs w:val="22"/>
        </w:rPr>
        <w:t>ed the originating access charges carriers c</w:t>
      </w:r>
      <w:r w:rsidR="006A6E6E">
        <w:rPr>
          <w:szCs w:val="22"/>
        </w:rPr>
        <w:t>an</w:t>
      </w:r>
      <w:r w:rsidRPr="0057290C" w:rsidR="00F42B35">
        <w:rPr>
          <w:szCs w:val="22"/>
        </w:rPr>
        <w:t xml:space="preserve"> impose on 8YY providers pursuant to tariffs, thereby reducing the incentives for fraud and arbitrage, and promoting more efficient call routing</w:t>
      </w:r>
      <w:r w:rsidRPr="0057290C" w:rsidR="001768FE">
        <w:rPr>
          <w:szCs w:val="22"/>
        </w:rPr>
        <w:t>.</w:t>
      </w:r>
      <w:r>
        <w:rPr>
          <w:rStyle w:val="FootnoteReference"/>
          <w:szCs w:val="22"/>
        </w:rPr>
        <w:footnoteReference w:id="17"/>
      </w:r>
      <w:r w:rsidRPr="0057290C" w:rsidR="001768FE">
        <w:rPr>
          <w:szCs w:val="22"/>
        </w:rPr>
        <w:t xml:space="preserve">  </w:t>
      </w:r>
      <w:r w:rsidRPr="0057290C" w:rsidR="00F42B35">
        <w:rPr>
          <w:szCs w:val="22"/>
        </w:rPr>
        <w:t xml:space="preserve">The Commission also permitted </w:t>
      </w:r>
      <w:r w:rsidR="006A6E6E">
        <w:rPr>
          <w:szCs w:val="22"/>
        </w:rPr>
        <w:t xml:space="preserve">only one carrier in the call path </w:t>
      </w:r>
      <w:r w:rsidRPr="0057290C" w:rsidR="00F42B35">
        <w:rPr>
          <w:szCs w:val="22"/>
        </w:rPr>
        <w:t xml:space="preserve">to charge the 8YY provider </w:t>
      </w:r>
      <w:r w:rsidR="002731C9">
        <w:rPr>
          <w:szCs w:val="22"/>
        </w:rPr>
        <w:t xml:space="preserve">for a </w:t>
      </w:r>
      <w:r w:rsidRPr="0057290C" w:rsidR="00F42B35">
        <w:rPr>
          <w:szCs w:val="22"/>
        </w:rPr>
        <w:t>database query, regardless of whether more than one carrier in the call path conduct</w:t>
      </w:r>
      <w:r w:rsidR="006A6E6E">
        <w:rPr>
          <w:szCs w:val="22"/>
        </w:rPr>
        <w:t>s</w:t>
      </w:r>
      <w:r w:rsidRPr="0057290C" w:rsidR="00F42B35">
        <w:rPr>
          <w:szCs w:val="22"/>
        </w:rPr>
        <w:t xml:space="preserve"> such a query</w:t>
      </w:r>
      <w:r w:rsidRPr="0057290C" w:rsidR="001768FE">
        <w:rPr>
          <w:szCs w:val="22"/>
        </w:rPr>
        <w:t>.</w:t>
      </w:r>
      <w:r>
        <w:rPr>
          <w:rStyle w:val="FootnoteReference"/>
          <w:szCs w:val="22"/>
        </w:rPr>
        <w:footnoteReference w:id="18"/>
      </w:r>
      <w:r w:rsidRPr="0057290C" w:rsidR="001768FE">
        <w:rPr>
          <w:szCs w:val="22"/>
        </w:rPr>
        <w:t xml:space="preserve">  </w:t>
      </w:r>
      <w:r w:rsidRPr="00FC6707" w:rsidR="00A2093D">
        <w:t>This limitation became effective on November 27, 2020.</w:t>
      </w:r>
      <w:r>
        <w:rPr>
          <w:rStyle w:val="FootnoteReference"/>
        </w:rPr>
        <w:footnoteReference w:id="19"/>
      </w:r>
      <w:r w:rsidRPr="00FC6707" w:rsidR="00A2093D">
        <w:t xml:space="preserve">  </w:t>
      </w:r>
      <w:r>
        <w:t xml:space="preserve"> </w:t>
      </w:r>
      <w:r w:rsidRPr="00FC6707" w:rsidR="002731C9">
        <w:t>The Commission found that a single database query “could allow [a] call to be correctly routed” and that “routing information should be carried with that call until it is terminated.”</w:t>
      </w:r>
      <w:r>
        <w:rPr>
          <w:sz w:val="20"/>
          <w:vertAlign w:val="superscript"/>
        </w:rPr>
        <w:footnoteReference w:id="20"/>
      </w:r>
      <w:r w:rsidRPr="00FC6707" w:rsidR="002731C9">
        <w:t xml:space="preserve">  </w:t>
      </w:r>
      <w:r w:rsidRPr="00FC6707">
        <w:t>The Commission determined that limiting database query charges would eliminate an obvious source of 8YY arbitrage and encourage efficient routing</w:t>
      </w:r>
      <w:r w:rsidR="002731C9">
        <w:t>.</w:t>
      </w:r>
      <w:r>
        <w:rPr>
          <w:sz w:val="20"/>
          <w:vertAlign w:val="superscript"/>
        </w:rPr>
        <w:footnoteReference w:id="21"/>
      </w:r>
      <w:r w:rsidRPr="00FC6707">
        <w:t xml:space="preserve"> </w:t>
      </w:r>
      <w:r w:rsidR="00F55D62">
        <w:t xml:space="preserve"> </w:t>
      </w:r>
      <w:r w:rsidR="00F55D62">
        <w:rPr>
          <w:szCs w:val="22"/>
        </w:rPr>
        <w:t>In addition, as of July 1, 2021, only the originating carrier may conduct the database query as an initial matter, but if the originating carrier is unable to conduct the database query or transmit the results of the query, the next carrier in the call path that is able to do so may perform the database query and assess a database query charge.</w:t>
      </w:r>
      <w:r>
        <w:rPr>
          <w:rStyle w:val="FootnoteReference"/>
          <w:szCs w:val="22"/>
        </w:rPr>
        <w:footnoteReference w:id="22"/>
      </w:r>
      <w:r w:rsidR="00F55D62">
        <w:t xml:space="preserve">  </w:t>
      </w:r>
    </w:p>
    <w:p w:rsidR="003B464A" w:rsidRPr="00FC6707" w:rsidP="008E0A1F" w14:paraId="149D120C" w14:textId="68FE91DE">
      <w:pPr>
        <w:pStyle w:val="ParaNum"/>
        <w:widowControl/>
        <w:rPr>
          <w:szCs w:val="22"/>
        </w:rPr>
      </w:pPr>
      <w:r w:rsidRPr="00FC6707">
        <w:rPr>
          <w:i/>
          <w:iCs/>
        </w:rPr>
        <w:t xml:space="preserve">Commission Efforts to </w:t>
      </w:r>
      <w:r w:rsidRPr="00FC6707" w:rsidR="00B96718">
        <w:rPr>
          <w:i/>
          <w:iCs/>
        </w:rPr>
        <w:t>Combat</w:t>
      </w:r>
      <w:r w:rsidRPr="00FC6707">
        <w:rPr>
          <w:i/>
          <w:iCs/>
        </w:rPr>
        <w:t xml:space="preserve"> </w:t>
      </w:r>
      <w:r w:rsidR="00FB1CDE">
        <w:rPr>
          <w:i/>
          <w:iCs/>
        </w:rPr>
        <w:t>Illegal</w:t>
      </w:r>
      <w:r w:rsidRPr="00FC6707">
        <w:rPr>
          <w:i/>
          <w:iCs/>
        </w:rPr>
        <w:t xml:space="preserve"> Robocalling</w:t>
      </w:r>
      <w:r w:rsidRPr="00FC6707">
        <w:t>.</w:t>
      </w:r>
      <w:r w:rsidRPr="00FC6707">
        <w:t xml:space="preserve">  The Commission defines </w:t>
      </w:r>
      <w:r w:rsidR="00525062">
        <w:t xml:space="preserve">a </w:t>
      </w:r>
      <w:r w:rsidRPr="00FC6707">
        <w:t>robocall as</w:t>
      </w:r>
      <w:r w:rsidR="00525062">
        <w:t xml:space="preserve"> a</w:t>
      </w:r>
      <w:r w:rsidRPr="00FC6707">
        <w:t xml:space="preserve"> </w:t>
      </w:r>
      <w:r w:rsidRPr="00FC6707">
        <w:rPr>
          <w:szCs w:val="22"/>
        </w:rPr>
        <w:t xml:space="preserve">call made </w:t>
      </w:r>
      <w:r w:rsidR="007E02D9">
        <w:rPr>
          <w:szCs w:val="22"/>
        </w:rPr>
        <w:t>using</w:t>
      </w:r>
      <w:r w:rsidRPr="00FC6707">
        <w:rPr>
          <w:szCs w:val="22"/>
        </w:rPr>
        <w:t xml:space="preserve"> an </w:t>
      </w:r>
      <w:r w:rsidR="007E02D9">
        <w:rPr>
          <w:szCs w:val="22"/>
        </w:rPr>
        <w:t>automatic telephone dialing system</w:t>
      </w:r>
      <w:r w:rsidRPr="00FC6707">
        <w:rPr>
          <w:szCs w:val="22"/>
        </w:rPr>
        <w:t xml:space="preserve"> or </w:t>
      </w:r>
      <w:r w:rsidR="007E02D9">
        <w:rPr>
          <w:szCs w:val="22"/>
        </w:rPr>
        <w:t>an artificial or</w:t>
      </w:r>
      <w:r w:rsidRPr="00FC6707">
        <w:rPr>
          <w:szCs w:val="22"/>
        </w:rPr>
        <w:t xml:space="preserve"> prerecorded voice.</w:t>
      </w:r>
      <w:r>
        <w:rPr>
          <w:rStyle w:val="FootnoteReference"/>
          <w:rFonts w:cs="Calibri"/>
        </w:rPr>
        <w:footnoteReference w:id="23"/>
      </w:r>
      <w:r w:rsidRPr="00FC6707">
        <w:rPr>
          <w:szCs w:val="22"/>
        </w:rPr>
        <w:t xml:space="preserve">  </w:t>
      </w:r>
      <w:r w:rsidR="00284678">
        <w:rPr>
          <w:szCs w:val="22"/>
        </w:rPr>
        <w:t>T</w:t>
      </w:r>
      <w:r w:rsidRPr="00FC6707">
        <w:t xml:space="preserve">he Commission has </w:t>
      </w:r>
      <w:r w:rsidR="00284678">
        <w:t xml:space="preserve">taken numerous steps to stem the tide of </w:t>
      </w:r>
      <w:r w:rsidR="00FB1CDE">
        <w:t>illegal</w:t>
      </w:r>
      <w:r w:rsidRPr="00FC6707">
        <w:t xml:space="preserve"> robocalls</w:t>
      </w:r>
      <w:r w:rsidR="00284678">
        <w:t>.</w:t>
      </w:r>
      <w:r>
        <w:rPr>
          <w:rStyle w:val="FootnoteReference"/>
        </w:rPr>
        <w:footnoteReference w:id="24"/>
      </w:r>
      <w:r w:rsidRPr="00FC6707">
        <w:t xml:space="preserve">  Despite the work of the Commission and other agencies, such as the Federal Trade Commission, </w:t>
      </w:r>
      <w:r w:rsidR="00FB1CDE">
        <w:t>illegal</w:t>
      </w:r>
      <w:r w:rsidRPr="00FC6707">
        <w:t xml:space="preserve"> </w:t>
      </w:r>
      <w:r w:rsidR="00F42B35">
        <w:t>robo</w:t>
      </w:r>
      <w:r w:rsidRPr="00FC6707">
        <w:t>calls persist.</w:t>
      </w:r>
      <w:r>
        <w:rPr>
          <w:rStyle w:val="FootnoteReference"/>
        </w:rPr>
        <w:footnoteReference w:id="25"/>
      </w:r>
      <w:r w:rsidRPr="00FC6707">
        <w:t xml:space="preserve">  In 2019 Congress passed the Pallone-Thune Telephone Robocall Abuse Criminal Enforcement and Deterrence (TRACED) Act.</w:t>
      </w:r>
      <w:r>
        <w:rPr>
          <w:rStyle w:val="FootnoteReference"/>
        </w:rPr>
        <w:footnoteReference w:id="26"/>
      </w:r>
      <w:r w:rsidRPr="00FC6707">
        <w:t xml:space="preserve">  Th</w:t>
      </w:r>
      <w:r w:rsidR="006B6C14">
        <w:t>e TRACED Act</w:t>
      </w:r>
      <w:r w:rsidRPr="00FC6707">
        <w:t xml:space="preserve"> </w:t>
      </w:r>
      <w:r w:rsidR="00FF6F66">
        <w:t>“</w:t>
      </w:r>
      <w:r w:rsidRPr="00FC6707">
        <w:t xml:space="preserve">directs the Commission to encourage voice service providers to block unwanted calls by giving them safe harbors for erroneous blocking based, in whole or </w:t>
      </w:r>
      <w:r w:rsidRPr="00FC6707">
        <w:t xml:space="preserve">in part, on caller ID authentication information and </w:t>
      </w:r>
      <w:r w:rsidR="00F42B35">
        <w:t>by</w:t>
      </w:r>
      <w:r w:rsidRPr="00FC6707">
        <w:t xml:space="preserve"> mak</w:t>
      </w:r>
      <w:r w:rsidR="00F42B35">
        <w:t>ing</w:t>
      </w:r>
      <w:r w:rsidRPr="00FC6707">
        <w:t xml:space="preserve"> it easier </w:t>
      </w:r>
      <w:r w:rsidR="00F42B35">
        <w:t xml:space="preserve">for carriers </w:t>
      </w:r>
      <w:r w:rsidRPr="00FC6707">
        <w:t>to identify and fix erroneous blocking.</w:t>
      </w:r>
      <w:r w:rsidR="00FF6F66">
        <w:t>”</w:t>
      </w:r>
      <w:r>
        <w:rPr>
          <w:rStyle w:val="FootnoteReference"/>
        </w:rPr>
        <w:footnoteReference w:id="27"/>
      </w:r>
      <w:r w:rsidRPr="00FC6707">
        <w:t xml:space="preserve">  </w:t>
      </w:r>
    </w:p>
    <w:p w:rsidR="003B464A" w:rsidRPr="00883DA1" w:rsidP="00133345" w14:paraId="68CA167F" w14:textId="792920A9">
      <w:pPr>
        <w:pStyle w:val="ParaNum"/>
        <w:rPr>
          <w:szCs w:val="22"/>
        </w:rPr>
      </w:pPr>
      <w:r w:rsidRPr="00FC6707">
        <w:t>In December 2020, the Commission continued this important work by adopting several new requirements</w:t>
      </w:r>
      <w:r w:rsidR="00F42B35">
        <w:t xml:space="preserve"> aimed at curbing illegal calls</w:t>
      </w:r>
      <w:r w:rsidRPr="00FC6707">
        <w:t>, including requiring voice service providers to meet certain obligations and to better police their networks.</w:t>
      </w:r>
      <w:r>
        <w:rPr>
          <w:rStyle w:val="FootnoteReference"/>
        </w:rPr>
        <w:footnoteReference w:id="28"/>
      </w:r>
      <w:r w:rsidRPr="00FC6707">
        <w:t xml:space="preserve">  All voice service providers must:  (1) respond to traceback requests from the Commission, civil and criminal law enforcement, and </w:t>
      </w:r>
      <w:r w:rsidR="00FB34A2">
        <w:t xml:space="preserve">the </w:t>
      </w:r>
      <w:r w:rsidR="00D11928">
        <w:t>registered consortium for private-led traceback efforts</w:t>
      </w:r>
      <w:r w:rsidRPr="00FC6707">
        <w:t xml:space="preserve">; (2) take steps to effectively mitigate illegal traffic when </w:t>
      </w:r>
      <w:r w:rsidR="00896C44">
        <w:t>they</w:t>
      </w:r>
      <w:r w:rsidRPr="00FC6707">
        <w:t xml:space="preserve"> receive actual written notice of such traffic from the Commission;</w:t>
      </w:r>
      <w:r>
        <w:rPr>
          <w:rStyle w:val="FootnoteReference"/>
        </w:rPr>
        <w:footnoteReference w:id="29"/>
      </w:r>
      <w:r w:rsidRPr="00FC6707">
        <w:t xml:space="preserve"> and (3) implement affirmative, effective measures to prevent new and renewing customers from using </w:t>
      </w:r>
      <w:r w:rsidR="00896C44">
        <w:t xml:space="preserve">their </w:t>
      </w:r>
      <w:r w:rsidRPr="00FC6707">
        <w:t>network</w:t>
      </w:r>
      <w:r w:rsidR="00896C44">
        <w:t>s</w:t>
      </w:r>
      <w:r w:rsidRPr="00FC6707">
        <w:t xml:space="preserve"> to originate illegal calls.</w:t>
      </w:r>
      <w:r>
        <w:rPr>
          <w:rStyle w:val="FootnoteReference"/>
        </w:rPr>
        <w:footnoteReference w:id="30"/>
      </w:r>
      <w:r w:rsidRPr="00FC6707">
        <w:t xml:space="preserve">  </w:t>
      </w:r>
      <w:r w:rsidR="00D64F3A">
        <w:t>In short, o</w:t>
      </w:r>
      <w:r w:rsidRPr="00FC6707">
        <w:t>riginating, intermediate, and terminating voice service providers are integral to stopping illegal calls.</w:t>
      </w:r>
      <w:r>
        <w:rPr>
          <w:rStyle w:val="FootnoteReference"/>
        </w:rPr>
        <w:footnoteReference w:id="31"/>
      </w:r>
      <w:r w:rsidRPr="00FC6707">
        <w:t xml:space="preserve">  </w:t>
      </w:r>
    </w:p>
    <w:p w:rsidR="00883DA1" w:rsidRPr="00883DA1" w:rsidP="00A12980" w14:paraId="53F34F2D" w14:textId="53272B5E">
      <w:pPr>
        <w:pStyle w:val="Heading2"/>
      </w:pPr>
      <w:r w:rsidRPr="00883DA1">
        <w:t xml:space="preserve">Tariff Revisions  </w:t>
      </w:r>
    </w:p>
    <w:p w:rsidR="001768FE" w:rsidP="00133345" w14:paraId="1AAF6AED" w14:textId="7385A4D1">
      <w:pPr>
        <w:pStyle w:val="ParaNum"/>
      </w:pPr>
      <w:r w:rsidRPr="00FC6707">
        <w:t>On April 22, 2021</w:t>
      </w:r>
      <w:r w:rsidRPr="00FC6707" w:rsidR="005C1021">
        <w:t>,</w:t>
      </w:r>
      <w:r w:rsidRPr="00FC6707">
        <w:t xml:space="preserve"> Core filed Transmittal No. 17 proposing revisions to its interstate </w:t>
      </w:r>
      <w:r w:rsidR="000C0C0A">
        <w:t xml:space="preserve">switched </w:t>
      </w:r>
      <w:r w:rsidRPr="00FC6707">
        <w:t>access service Tariff F.C.C. No. 3</w:t>
      </w:r>
      <w:r w:rsidRPr="00FC6707" w:rsidR="00A57DDA">
        <w:t>.</w:t>
      </w:r>
      <w:r>
        <w:rPr>
          <w:rStyle w:val="FootnoteReference"/>
        </w:rPr>
        <w:footnoteReference w:id="32"/>
      </w:r>
      <w:r w:rsidRPr="00FC6707" w:rsidR="00A57DDA">
        <w:t xml:space="preserve">  In the filing Core</w:t>
      </w:r>
      <w:r w:rsidRPr="00FC6707">
        <w:t xml:space="preserve"> </w:t>
      </w:r>
      <w:r w:rsidRPr="00FC6707" w:rsidR="00A57DDA">
        <w:t>proposes to</w:t>
      </w:r>
      <w:r w:rsidRPr="00FC6707" w:rsidR="00AE7676">
        <w:t xml:space="preserve"> </w:t>
      </w:r>
      <w:r w:rsidRPr="00FC6707">
        <w:t>chan</w:t>
      </w:r>
      <w:r w:rsidRPr="00FC6707" w:rsidR="00AE7676">
        <w:t>ge</w:t>
      </w:r>
      <w:r w:rsidRPr="00FC6707">
        <w:t xml:space="preserve"> the terms and conditions of section 2.10.4.A, which governs “good faith” billing disputes, and section 2.10.5, which governs late payment fees.</w:t>
      </w:r>
      <w:r>
        <w:rPr>
          <w:rStyle w:val="FootnoteReference"/>
        </w:rPr>
        <w:footnoteReference w:id="33"/>
      </w:r>
      <w:r w:rsidRPr="00FC6707">
        <w:t xml:space="preserve">  Core</w:t>
      </w:r>
      <w:r w:rsidR="00C711C3">
        <w:t xml:space="preserve"> </w:t>
      </w:r>
      <w:r w:rsidRPr="00FC6707">
        <w:t>also propose</w:t>
      </w:r>
      <w:r w:rsidR="00C711C3">
        <w:t>s</w:t>
      </w:r>
      <w:r w:rsidRPr="00FC6707">
        <w:t xml:space="preserve"> to change section 2.13.3.H, </w:t>
      </w:r>
      <w:r w:rsidR="00896C44">
        <w:t xml:space="preserve">to </w:t>
      </w:r>
      <w:r w:rsidRPr="00FC6707" w:rsidR="00D14018">
        <w:t>include</w:t>
      </w:r>
      <w:r w:rsidR="00896C44">
        <w:t xml:space="preserve"> language providing </w:t>
      </w:r>
      <w:r w:rsidRPr="00FC6707">
        <w:t>that if Core “discontinues service, it will provide, in connection with access traffic associated with the discontinued Customer, only those minimal functions necessary to identify the Customer as being the relevant carrier (i.e., 8YY database queries).”</w:t>
      </w:r>
      <w:r>
        <w:rPr>
          <w:rStyle w:val="FootnoteReference"/>
        </w:rPr>
        <w:footnoteReference w:id="34"/>
      </w:r>
      <w:r w:rsidRPr="00FC6707">
        <w:t xml:space="preserve">  Core </w:t>
      </w:r>
      <w:r w:rsidR="00896C44">
        <w:t xml:space="preserve">also </w:t>
      </w:r>
      <w:r w:rsidRPr="00FC6707">
        <w:t>add</w:t>
      </w:r>
      <w:r w:rsidRPr="00FC6707" w:rsidR="005C1021">
        <w:t>ed</w:t>
      </w:r>
      <w:r w:rsidRPr="00FC6707">
        <w:t xml:space="preserve"> section 2.21</w:t>
      </w:r>
      <w:r w:rsidR="00896C44">
        <w:t>,</w:t>
      </w:r>
      <w:r w:rsidRPr="00FC6707">
        <w:t xml:space="preserve"> r</w:t>
      </w:r>
      <w:r w:rsidRPr="00FC6707" w:rsidR="009D53ED">
        <w:t xml:space="preserve">egarding </w:t>
      </w:r>
      <w:r w:rsidR="00C651B9">
        <w:t xml:space="preserve">the blocking of </w:t>
      </w:r>
      <w:r w:rsidRPr="00FC6707">
        <w:t>“fraudulent or otherwise illegal traffic</w:t>
      </w:r>
      <w:r w:rsidR="00896C44">
        <w:t>,</w:t>
      </w:r>
      <w:r w:rsidRPr="00FC6707">
        <w:t>”</w:t>
      </w:r>
      <w:r w:rsidR="00896C44">
        <w:t xml:space="preserve"> as well as disputes about such traffic,</w:t>
      </w:r>
      <w:r>
        <w:rPr>
          <w:rStyle w:val="FootnoteReference"/>
        </w:rPr>
        <w:footnoteReference w:id="35"/>
      </w:r>
      <w:r w:rsidRPr="00FC6707">
        <w:t xml:space="preserve"> </w:t>
      </w:r>
      <w:r w:rsidR="00C711C3">
        <w:t xml:space="preserve">and </w:t>
      </w:r>
      <w:r w:rsidRPr="00FC6707">
        <w:t>propose</w:t>
      </w:r>
      <w:r w:rsidRPr="00FC6707" w:rsidR="009D53ED">
        <w:t>d</w:t>
      </w:r>
      <w:r w:rsidRPr="00FC6707">
        <w:t xml:space="preserve"> changes to section 3.3.5 to </w:t>
      </w:r>
      <w:r w:rsidR="00896C44">
        <w:t xml:space="preserve">allow Core to charge an </w:t>
      </w:r>
      <w:r w:rsidR="00227D7C">
        <w:t>interexchange carrier (</w:t>
      </w:r>
      <w:r w:rsidR="00896C44">
        <w:t>IXC</w:t>
      </w:r>
      <w:r w:rsidR="00227D7C">
        <w:t>)</w:t>
      </w:r>
      <w:r w:rsidR="00896C44">
        <w:t xml:space="preserve"> for </w:t>
      </w:r>
      <w:r w:rsidRPr="00FC6707">
        <w:t>an 8YY database query</w:t>
      </w:r>
      <w:r w:rsidR="00896C44">
        <w:t xml:space="preserve"> “even if the underlying call is not completed.”</w:t>
      </w:r>
      <w:r>
        <w:rPr>
          <w:rStyle w:val="FootnoteReference"/>
        </w:rPr>
        <w:footnoteReference w:id="36"/>
      </w:r>
      <w:r w:rsidR="00896C44">
        <w:t xml:space="preserve">  </w:t>
      </w:r>
    </w:p>
    <w:p w:rsidR="004740B5" w:rsidRPr="00FC6707" w:rsidP="00133345" w14:paraId="42AE69E3" w14:textId="36C25C87">
      <w:pPr>
        <w:pStyle w:val="ParaNum"/>
      </w:pPr>
      <w:r w:rsidRPr="00FC6707">
        <w:t xml:space="preserve">On April 28, 2021, Verizon and AT&amp;T Services, Inc. (Petitioners) filed a petition (Petition) requesting that the Commission suspend and investigate or reject Core’s proposed tariff </w:t>
      </w:r>
      <w:r w:rsidRPr="00FC6707">
        <w:t>revisions.</w:t>
      </w:r>
      <w:r>
        <w:rPr>
          <w:rStyle w:val="FootnoteReference"/>
        </w:rPr>
        <w:footnoteReference w:id="37"/>
      </w:r>
      <w:r w:rsidRPr="00FC6707">
        <w:t xml:space="preserve">  Petitioners argue that Core’s proposed tariff revisions are unlawful</w:t>
      </w:r>
      <w:r>
        <w:t xml:space="preserve">.  </w:t>
      </w:r>
      <w:r w:rsidRPr="00FC6707">
        <w:t xml:space="preserve">Petitioners </w:t>
      </w:r>
      <w:r>
        <w:t>contend</w:t>
      </w:r>
      <w:r w:rsidRPr="00FC6707">
        <w:t xml:space="preserve"> that Core is attempting to charge for “unnecessary work” and to “extract profit at IXCs’ expense”</w:t>
      </w:r>
      <w:r>
        <w:rPr>
          <w:rStyle w:val="FootnoteReference"/>
        </w:rPr>
        <w:footnoteReference w:id="38"/>
      </w:r>
      <w:r w:rsidRPr="00FC6707">
        <w:t xml:space="preserve"> </w:t>
      </w:r>
      <w:r>
        <w:t xml:space="preserve">and that the tariff revisions ultimately </w:t>
      </w:r>
      <w:r w:rsidRPr="00FC6707">
        <w:t>w</w:t>
      </w:r>
      <w:r>
        <w:t>ill</w:t>
      </w:r>
      <w:r w:rsidRPr="00FC6707">
        <w:t xml:space="preserve"> “permit Core to profit from 8YY arbitrage schemes and then allow Core to avoid any accountability for doing so.”</w:t>
      </w:r>
      <w:r>
        <w:rPr>
          <w:rStyle w:val="FootnoteReference"/>
        </w:rPr>
        <w:footnoteReference w:id="39"/>
      </w:r>
      <w:r w:rsidRPr="00FC6707">
        <w:t xml:space="preserve">  </w:t>
      </w:r>
    </w:p>
    <w:p w:rsidR="004740B5" w:rsidRPr="00FC6707" w:rsidP="00133345" w14:paraId="394DB3AA" w14:textId="642CE632">
      <w:pPr>
        <w:pStyle w:val="ParaNum"/>
        <w:rPr>
          <w:szCs w:val="22"/>
        </w:rPr>
      </w:pPr>
      <w:r w:rsidRPr="00FC6707">
        <w:t>Core filed a Reply to the Petition on May 4, 2021, requesting that the Petition be denied.</w:t>
      </w:r>
      <w:r>
        <w:rPr>
          <w:rStyle w:val="FootnoteReference"/>
        </w:rPr>
        <w:footnoteReference w:id="40"/>
      </w:r>
      <w:r w:rsidRPr="00FC6707">
        <w:t xml:space="preserve">  Core claims that the Petitioners present no “credible basis” to support suspension or rejection</w:t>
      </w:r>
      <w:r w:rsidRPr="00FC6707">
        <w:rPr>
          <w:szCs w:val="22"/>
        </w:rPr>
        <w:t xml:space="preserve"> </w:t>
      </w:r>
      <w:r w:rsidRPr="00FC6707">
        <w:t>and that Petitioners inadequately support their substantive challenges to the proposed tariff revisions.</w:t>
      </w:r>
      <w:r>
        <w:rPr>
          <w:rStyle w:val="FootnoteReference"/>
        </w:rPr>
        <w:footnoteReference w:id="41"/>
      </w:r>
      <w:r w:rsidR="00D472B9">
        <w:t xml:space="preserve">  </w:t>
      </w:r>
    </w:p>
    <w:p w:rsidR="008C46BC" w14:paraId="41698892" w14:textId="5745FB2C">
      <w:pPr>
        <w:pStyle w:val="Heading3"/>
      </w:pPr>
      <w:r>
        <w:t xml:space="preserve">Tariff Sections 2.10.4.A and 2.21—Dispute Resolution Provisions </w:t>
      </w:r>
    </w:p>
    <w:p w:rsidR="000E4AEA" w:rsidRPr="00FC6707" w:rsidP="00133345" w14:paraId="504760A9" w14:textId="777F795C">
      <w:pPr>
        <w:pStyle w:val="ParaNum"/>
      </w:pPr>
      <w:r w:rsidRPr="00FC6707">
        <w:t xml:space="preserve">Section 2.10.4.A of Core’s tariff revisions </w:t>
      </w:r>
      <w:r w:rsidR="00CE580F">
        <w:t>describes</w:t>
      </w:r>
      <w:r w:rsidRPr="00FC6707">
        <w:t xml:space="preserve"> the procedure a </w:t>
      </w:r>
      <w:r w:rsidR="002A4318">
        <w:t>c</w:t>
      </w:r>
      <w:r w:rsidRPr="00FC6707">
        <w:t>ustomer must follow to raise a general billing dispute with Core “to</w:t>
      </w:r>
      <w:r w:rsidR="00CE580F">
        <w:t xml:space="preserve"> permit [Core] to</w:t>
      </w:r>
      <w:r w:rsidRPr="00FC6707">
        <w:t xml:space="preserve"> investigate the merits of the dispute.”</w:t>
      </w:r>
      <w:r>
        <w:rPr>
          <w:sz w:val="20"/>
          <w:vertAlign w:val="superscript"/>
        </w:rPr>
        <w:footnoteReference w:id="42"/>
      </w:r>
      <w:r w:rsidRPr="00FC6707">
        <w:t xml:space="preserve">  Th</w:t>
      </w:r>
      <w:r w:rsidR="00227D7C">
        <w:t xml:space="preserve">e </w:t>
      </w:r>
      <w:r w:rsidRPr="00D64F3A" w:rsidR="00227D7C">
        <w:t>revised</w:t>
      </w:r>
      <w:r w:rsidRPr="00FC6707">
        <w:t xml:space="preserve"> provision explains that a “good faith dispute requires the Customer to provide a written claim” and specifies the details that the claim must contain.</w:t>
      </w:r>
      <w:r>
        <w:rPr>
          <w:rStyle w:val="FootnoteReference"/>
        </w:rPr>
        <w:footnoteReference w:id="43"/>
      </w:r>
      <w:r w:rsidRPr="00FC6707">
        <w:t xml:space="preserve">  This section also provides that “alternative requirements apply for disputes based on allegations of fraudulent or otherwise illegal traffic to be considered good faith disputes, as set forth in Section 2.21.”</w:t>
      </w:r>
      <w:r>
        <w:rPr>
          <w:rStyle w:val="FootnoteReference"/>
        </w:rPr>
        <w:footnoteReference w:id="44"/>
      </w:r>
      <w:r w:rsidRPr="00FC6707">
        <w:t xml:space="preserve">  Under new section 2.21, 8YY traffic that Core delivers to an IXC is “presumed to be legal traffic” unless the IXC blocks that traffic from reaching its 8YY customers.</w:t>
      </w:r>
      <w:r>
        <w:rPr>
          <w:sz w:val="20"/>
          <w:vertAlign w:val="superscript"/>
        </w:rPr>
        <w:footnoteReference w:id="45"/>
      </w:r>
      <w:r w:rsidRPr="00FC6707">
        <w:t xml:space="preserve">  If an IXC does not block an 8YY call and Core bills the IXC for delivering the call, the IXC may raise a “good faith dispute” seeking a refund of the charge</w:t>
      </w:r>
      <w:r w:rsidR="00227D7C">
        <w:t xml:space="preserve">, if the IXC claims the call was </w:t>
      </w:r>
      <w:r w:rsidR="00FE3DDB">
        <w:t>fraudulent or otherwise illegal</w:t>
      </w:r>
      <w:r w:rsidRPr="00FC6707">
        <w:t>.</w:t>
      </w:r>
      <w:r>
        <w:rPr>
          <w:rStyle w:val="FootnoteReference"/>
        </w:rPr>
        <w:footnoteReference w:id="46"/>
      </w:r>
      <w:r w:rsidRPr="00FC6707">
        <w:t xml:space="preserve">  Section 2.21 provides that for an IXC’s complaint “[t]o qualify as good faith, disputes alleging fraudulent or otherwise illegal traffic can be sufficiently supported with documentation demonstrating that, because such traffic was</w:t>
      </w:r>
      <w:r w:rsidR="000C0C0A">
        <w:t> </w:t>
      </w:r>
      <w:r w:rsidRPr="00FC6707">
        <w:t>.</w:t>
      </w:r>
      <w:r w:rsidR="000C0C0A">
        <w:t> </w:t>
      </w:r>
      <w:r w:rsidRPr="00FC6707">
        <w:t>.</w:t>
      </w:r>
      <w:r w:rsidR="000C0C0A">
        <w:t> </w:t>
      </w:r>
      <w:r w:rsidRPr="00FC6707">
        <w:t>.</w:t>
      </w:r>
      <w:r w:rsidR="000C0C0A">
        <w:t> </w:t>
      </w:r>
      <w:r w:rsidRPr="00FC6707">
        <w:t>illegal,” the IXC did not assess charges to its own customers for that traffic</w:t>
      </w:r>
      <w:r w:rsidR="000C0C0A">
        <w:t xml:space="preserve"> or credited otherwise applicable </w:t>
      </w:r>
      <w:r w:rsidR="00E81837">
        <w:t>usage</w:t>
      </w:r>
      <w:r w:rsidR="000C0C0A">
        <w:t xml:space="preserve"> charges</w:t>
      </w:r>
      <w:r w:rsidRPr="00FC6707">
        <w:t>.</w:t>
      </w:r>
      <w:r>
        <w:rPr>
          <w:rStyle w:val="FootnoteReference"/>
        </w:rPr>
        <w:footnoteReference w:id="47"/>
      </w:r>
      <w:r w:rsidRPr="00FC6707">
        <w:t xml:space="preserve">  </w:t>
      </w:r>
    </w:p>
    <w:p w:rsidR="00CA1553" w:rsidP="008E0A1F" w14:paraId="7A2EC4F2" w14:textId="5A2DCE40">
      <w:pPr>
        <w:pStyle w:val="ParaNum"/>
      </w:pPr>
      <w:r w:rsidRPr="00FC6707">
        <w:t>Petitioners contend that “sections 2.10.4(A) and 2.21 are unlawful because they establish a presumption that all 8YY traffic that Core sends to IXCs is lawful if the IXCs do not block it in real time, and provide that an IXC cannot raise a dispute in good faith about such calls unless it first credits its 8YY customer for any charges on those calls.”</w:t>
      </w:r>
      <w:r>
        <w:rPr>
          <w:rStyle w:val="FootnoteReference"/>
        </w:rPr>
        <w:footnoteReference w:id="48"/>
      </w:r>
      <w:r w:rsidRPr="00FC6707">
        <w:t xml:space="preserve">  </w:t>
      </w:r>
      <w:r w:rsidRPr="00FC6707" w:rsidR="007B3D42">
        <w:t xml:space="preserve">Petitioners </w:t>
      </w:r>
      <w:r w:rsidR="00227D7C">
        <w:t xml:space="preserve">argue that </w:t>
      </w:r>
      <w:r w:rsidRPr="00FC6707" w:rsidR="007B3D42">
        <w:t xml:space="preserve">Core’s </w:t>
      </w:r>
      <w:r w:rsidR="007B3D42">
        <w:t>t</w:t>
      </w:r>
      <w:r w:rsidRPr="00FC6707" w:rsidR="007B3D42">
        <w:t xml:space="preserve">ariff revision in section 2.10.4.A </w:t>
      </w:r>
      <w:r w:rsidR="00227D7C">
        <w:t xml:space="preserve">is </w:t>
      </w:r>
      <w:r w:rsidRPr="00FC6707" w:rsidR="007B3D42">
        <w:t>“unlawful on its face</w:t>
      </w:r>
      <w:r w:rsidR="00227D7C">
        <w:t>,</w:t>
      </w:r>
      <w:r w:rsidRPr="00FC6707" w:rsidR="007B3D42">
        <w:t>”</w:t>
      </w:r>
      <w:r>
        <w:rPr>
          <w:rStyle w:val="FootnoteReference"/>
        </w:rPr>
        <w:footnoteReference w:id="49"/>
      </w:r>
      <w:r w:rsidRPr="00FC6707" w:rsidR="007B3D42">
        <w:t xml:space="preserve"> </w:t>
      </w:r>
      <w:r w:rsidR="00227D7C">
        <w:t xml:space="preserve">because it </w:t>
      </w:r>
      <w:r w:rsidRPr="00FC6707" w:rsidR="007B3D42">
        <w:t xml:space="preserve">“makes Core the sole judge of whether any dispute is in </w:t>
      </w:r>
      <w:r w:rsidRPr="00FC6707" w:rsidR="007B3D42">
        <w:t xml:space="preserve">‘good faith,’” </w:t>
      </w:r>
      <w:r w:rsidR="00227D7C">
        <w:t xml:space="preserve">in </w:t>
      </w:r>
      <w:r w:rsidR="00FB44CC">
        <w:t xml:space="preserve">contravention of </w:t>
      </w:r>
      <w:r w:rsidRPr="00FC6707" w:rsidR="007B3D42">
        <w:t xml:space="preserve">the Commission’s decision in the </w:t>
      </w:r>
      <w:r w:rsidRPr="00FC6707" w:rsidR="007B3D42">
        <w:rPr>
          <w:i/>
          <w:iCs/>
        </w:rPr>
        <w:t>Northern Valley Order.</w:t>
      </w:r>
      <w:r>
        <w:rPr>
          <w:rStyle w:val="FootnoteReference"/>
        </w:rPr>
        <w:footnoteReference w:id="50"/>
      </w:r>
      <w:r w:rsidRPr="00FC6707" w:rsidR="007B3D42">
        <w:rPr>
          <w:i/>
          <w:iCs/>
        </w:rPr>
        <w:t xml:space="preserve">  </w:t>
      </w:r>
      <w:r w:rsidRPr="00FC6707" w:rsidR="007B3D42">
        <w:t xml:space="preserve">According to Petitioners, that case held that a similar tariff provision—in which the competitive </w:t>
      </w:r>
      <w:r w:rsidR="00881DAA">
        <w:t>LEC</w:t>
      </w:r>
      <w:r w:rsidRPr="00FC6707" w:rsidR="007B3D42">
        <w:t xml:space="preserve"> was the “sole judge of whether any bill dispute has merit”—was unjust and unreasonable and in conflict with </w:t>
      </w:r>
      <w:r>
        <w:t xml:space="preserve">sections 206 and 208 </w:t>
      </w:r>
      <w:r w:rsidRPr="00FC6707" w:rsidR="007B3D42">
        <w:t>of the Ac</w:t>
      </w:r>
      <w:r w:rsidRPr="004740B5" w:rsidR="007B3D42">
        <w:t>t.</w:t>
      </w:r>
      <w:r>
        <w:rPr>
          <w:rStyle w:val="FootnoteReference"/>
        </w:rPr>
        <w:footnoteReference w:id="51"/>
      </w:r>
      <w:r w:rsidRPr="004740B5" w:rsidR="007B3D42">
        <w:t xml:space="preserve">  In its Reply, Core does not explicitly address this argument</w:t>
      </w:r>
      <w:r w:rsidR="00227D7C">
        <w:t>,</w:t>
      </w:r>
      <w:r w:rsidR="00CE580F">
        <w:t xml:space="preserve"> </w:t>
      </w:r>
      <w:r w:rsidR="00A2093D">
        <w:t xml:space="preserve">but </w:t>
      </w:r>
      <w:r w:rsidR="003921B0">
        <w:t xml:space="preserve">rather </w:t>
      </w:r>
      <w:r w:rsidRPr="00FC6707" w:rsidR="00A2093D">
        <w:t xml:space="preserve">argues that </w:t>
      </w:r>
      <w:r w:rsidR="00A2093D">
        <w:t>the</w:t>
      </w:r>
      <w:r w:rsidRPr="00FC6707" w:rsidR="00A2093D">
        <w:t xml:space="preserve"> tariff revisions in section 2.10.4</w:t>
      </w:r>
      <w:r w:rsidR="00A2093D">
        <w:t xml:space="preserve">.A </w:t>
      </w:r>
      <w:r w:rsidRPr="00FC6707" w:rsidR="00A2093D">
        <w:t>should be shielded from any allegation of unlawfulness because the language replicates</w:t>
      </w:r>
      <w:r w:rsidR="00B0792F">
        <w:t xml:space="preserve"> tariff</w:t>
      </w:r>
      <w:r w:rsidRPr="00FC6707" w:rsidR="00A2093D">
        <w:t xml:space="preserve"> provisions </w:t>
      </w:r>
      <w:r w:rsidR="007D2066">
        <w:t>filed by incumbent LECs</w:t>
      </w:r>
      <w:r w:rsidRPr="00FC6707" w:rsidR="00A2093D">
        <w:t xml:space="preserve"> affiliate</w:t>
      </w:r>
      <w:r w:rsidR="007D2066">
        <w:t>d with the Petitioners and</w:t>
      </w:r>
      <w:r w:rsidRPr="00FC6707" w:rsidR="00A2093D">
        <w:t xml:space="preserve"> were deemed lawful.</w:t>
      </w:r>
      <w:r>
        <w:rPr>
          <w:rStyle w:val="FootnoteReference"/>
        </w:rPr>
        <w:footnoteReference w:id="52"/>
      </w:r>
      <w:r w:rsidRPr="00FC6707" w:rsidR="00A2093D">
        <w:t xml:space="preserve">  </w:t>
      </w:r>
    </w:p>
    <w:p w:rsidR="007B3D42" w:rsidRPr="00CA1553" w:rsidP="00133345" w14:paraId="484B8D25" w14:textId="016C6203">
      <w:pPr>
        <w:pStyle w:val="ParaNum"/>
      </w:pPr>
      <w:r w:rsidRPr="00CA1553">
        <w:rPr>
          <w:szCs w:val="22"/>
        </w:rPr>
        <w:t>Petitioners</w:t>
      </w:r>
      <w:r w:rsidRPr="00CA1553">
        <w:t xml:space="preserve"> </w:t>
      </w:r>
      <w:r w:rsidR="000572FF">
        <w:t xml:space="preserve">also </w:t>
      </w:r>
      <w:r w:rsidRPr="00CA1553">
        <w:t>assert that section 2.21 is unjust and unreasonable because it “establishes an</w:t>
      </w:r>
      <w:r w:rsidRPr="00FC6707">
        <w:t xml:space="preserve"> unlawful presumption that any traffic th</w:t>
      </w:r>
      <w:r w:rsidR="002A4318">
        <w:t>at</w:t>
      </w:r>
      <w:r w:rsidRPr="00FC6707">
        <w:t xml:space="preserve"> Core sends its [IXC] customers and that its customers do not block is ‘legal traffic’”</w:t>
      </w:r>
      <w:r>
        <w:rPr>
          <w:rStyle w:val="FootnoteReference"/>
        </w:rPr>
        <w:footnoteReference w:id="53"/>
      </w:r>
      <w:r>
        <w:t>—</w:t>
      </w:r>
      <w:r w:rsidRPr="00FC6707">
        <w:t>thereby putting “no burden on Core to ensure that the 8YY calls it purchases are legitimate calls by actual end users.”</w:t>
      </w:r>
      <w:r>
        <w:rPr>
          <w:rStyle w:val="FootnoteReference"/>
        </w:rPr>
        <w:footnoteReference w:id="54"/>
      </w:r>
      <w:r w:rsidRPr="00FC6707">
        <w:t xml:space="preserve">  Petitioners assert that section 2.21 is also “unlawful because it conditions an IXC’s ability to dispute Core’s billing for </w:t>
      </w:r>
      <w:r w:rsidR="00FF6F66">
        <w:t>‘</w:t>
      </w:r>
      <w:r w:rsidRPr="00FC6707">
        <w:t>fraudulent or otherwise illegal</w:t>
      </w:r>
      <w:r w:rsidR="00FF6F66">
        <w:t>’</w:t>
      </w:r>
      <w:r w:rsidRPr="00FC6707">
        <w:t xml:space="preserve"> 8YY traffic that the IXC did not block on the IXC first having refunded (or not having billed) its 8YY customers for that traffic.”</w:t>
      </w:r>
      <w:r>
        <w:rPr>
          <w:rStyle w:val="FootnoteReference"/>
        </w:rPr>
        <w:footnoteReference w:id="55"/>
      </w:r>
      <w:r w:rsidRPr="00FC6707">
        <w:t xml:space="preserve">  Petitioners contend that this means “an IXC must incur a financial penalty just to raise a dispute</w:t>
      </w:r>
      <w:r w:rsidR="00FB44CC">
        <w:t>,</w:t>
      </w:r>
      <w:r w:rsidR="00881DAA">
        <w:t>”</w:t>
      </w:r>
      <w:r w:rsidRPr="00FC6707">
        <w:t xml:space="preserve"> which Petitioners contend is contrary to the Commission’s </w:t>
      </w:r>
      <w:r w:rsidRPr="00CA1553">
        <w:rPr>
          <w:i/>
          <w:iCs/>
        </w:rPr>
        <w:t>Northern Valley Order</w:t>
      </w:r>
      <w:r w:rsidR="009D5654">
        <w:t xml:space="preserve"> and interferes with the Petitioners’ </w:t>
      </w:r>
      <w:r w:rsidR="00D8604D">
        <w:t>contracts with their own 8YY customers.</w:t>
      </w:r>
      <w:r>
        <w:rPr>
          <w:rStyle w:val="FootnoteReference"/>
        </w:rPr>
        <w:footnoteReference w:id="56"/>
      </w:r>
      <w:r w:rsidRPr="00FC6707">
        <w:t xml:space="preserve">  </w:t>
      </w:r>
      <w:r w:rsidRPr="00CA1553">
        <w:t>Core</w:t>
      </w:r>
      <w:r w:rsidR="00FB44CC">
        <w:t xml:space="preserve"> </w:t>
      </w:r>
      <w:r w:rsidRPr="00CA1553">
        <w:t xml:space="preserve">disagrees </w:t>
      </w:r>
      <w:r w:rsidR="00FB44CC">
        <w:t xml:space="preserve">with this assessment </w:t>
      </w:r>
      <w:r w:rsidRPr="00CA1553">
        <w:t xml:space="preserve">and argues </w:t>
      </w:r>
      <w:r w:rsidR="00881DAA">
        <w:t xml:space="preserve">that </w:t>
      </w:r>
      <w:r w:rsidRPr="00CA1553" w:rsidR="00881DAA">
        <w:t>section 2.21</w:t>
      </w:r>
      <w:r w:rsidR="00D8604D">
        <w:t xml:space="preserve"> </w:t>
      </w:r>
      <w:r w:rsidRPr="00CA1553">
        <w:t>“simply requires that a dispute have basic, reasonable support.”</w:t>
      </w:r>
      <w:r>
        <w:rPr>
          <w:rStyle w:val="FootnoteReference"/>
        </w:rPr>
        <w:footnoteReference w:id="57"/>
      </w:r>
      <w:r w:rsidRPr="00CA1553">
        <w:t xml:space="preserve">  </w:t>
      </w:r>
    </w:p>
    <w:p w:rsidR="004740B5" w14:paraId="4CB8A55A" w14:textId="2E593FAF">
      <w:pPr>
        <w:pStyle w:val="Heading3"/>
      </w:pPr>
      <w:r>
        <w:t>Tariff Section 2.10.5—Late Payment Fees</w:t>
      </w:r>
    </w:p>
    <w:p w:rsidR="004740B5" w:rsidRPr="00FC6707" w:rsidP="00133345" w14:paraId="15FF3A84" w14:textId="705FB81A">
      <w:pPr>
        <w:pStyle w:val="ParaNum"/>
      </w:pPr>
      <w:r w:rsidRPr="00FC6707">
        <w:t>Core</w:t>
      </w:r>
      <w:r w:rsidR="00D8604D">
        <w:t xml:space="preserve"> also</w:t>
      </w:r>
      <w:r w:rsidRPr="00FC6707">
        <w:t xml:space="preserve"> revise</w:t>
      </w:r>
      <w:r w:rsidR="002378D1">
        <w:t>d</w:t>
      </w:r>
      <w:r w:rsidRPr="00FC6707">
        <w:t xml:space="preserve"> tariff section 2.10.5, which governs late payment fees.  Core </w:t>
      </w:r>
      <w:r w:rsidR="002378D1">
        <w:t xml:space="preserve">revised this section to </w:t>
      </w:r>
      <w:r w:rsidRPr="00FC6707">
        <w:t>require that if “an unpaid amount is not part of a good faith dispute as described in this tariff” the late payment fee increases to “3.0% (rather than 1.5%) per month, or the highest rate permitted by applicable law, whichever is less.”</w:t>
      </w:r>
      <w:r>
        <w:rPr>
          <w:rStyle w:val="FootnoteReference"/>
        </w:rPr>
        <w:footnoteReference w:id="58"/>
      </w:r>
      <w:r w:rsidRPr="00FC6707">
        <w:t xml:space="preserve">  Petitioners </w:t>
      </w:r>
      <w:r w:rsidR="002338B4">
        <w:t>argue</w:t>
      </w:r>
      <w:r w:rsidRPr="00FC6707">
        <w:t xml:space="preserve"> that the late payment rate of 3% </w:t>
      </w:r>
      <w:r w:rsidR="002338B4">
        <w:t xml:space="preserve">per month </w:t>
      </w:r>
      <w:r w:rsidRPr="00FC6707">
        <w:t>is “usurious</w:t>
      </w:r>
      <w:r w:rsidR="002338B4">
        <w:t>.</w:t>
      </w:r>
      <w:r w:rsidRPr="00FC6707">
        <w:t>”</w:t>
      </w:r>
      <w:r>
        <w:rPr>
          <w:rStyle w:val="FootnoteReference"/>
        </w:rPr>
        <w:footnoteReference w:id="59"/>
      </w:r>
      <w:r w:rsidR="002338B4">
        <w:t xml:space="preserve"> </w:t>
      </w:r>
      <w:r w:rsidRPr="00FC6707">
        <w:t xml:space="preserve"> </w:t>
      </w:r>
      <w:r w:rsidR="002338B4">
        <w:t>They also complain</w:t>
      </w:r>
      <w:r w:rsidRPr="00FC6707">
        <w:t xml:space="preserve"> that Core proposes to require high late payment fees “on any amounts withheld based on a dispute that Core decides was not raised in ‘good faith.’”</w:t>
      </w:r>
      <w:r>
        <w:rPr>
          <w:rStyle w:val="FootnoteReference"/>
        </w:rPr>
        <w:footnoteReference w:id="60"/>
      </w:r>
      <w:r w:rsidRPr="00FC6707">
        <w:t xml:space="preserve">  </w:t>
      </w:r>
      <w:r w:rsidR="002338B4">
        <w:t xml:space="preserve">According to </w:t>
      </w:r>
      <w:r w:rsidRPr="00FC6707">
        <w:t>Petitioners</w:t>
      </w:r>
      <w:r w:rsidR="002338B4">
        <w:t>,</w:t>
      </w:r>
      <w:r w:rsidRPr="00FC6707">
        <w:t xml:space="preserve"> “Core’s proposed tariff thus pairs sole-decider power with a strong financial incentive to misuse it.”</w:t>
      </w:r>
      <w:r>
        <w:rPr>
          <w:rStyle w:val="FootnoteReference"/>
        </w:rPr>
        <w:footnoteReference w:id="61"/>
      </w:r>
      <w:r w:rsidRPr="00FC6707">
        <w:t xml:space="preserve">  </w:t>
      </w:r>
      <w:r w:rsidR="002338B4">
        <w:t xml:space="preserve">In its Reply, </w:t>
      </w:r>
      <w:r w:rsidRPr="00FC6707">
        <w:t xml:space="preserve">Core </w:t>
      </w:r>
      <w:r w:rsidR="00881DAA">
        <w:t>ex</w:t>
      </w:r>
      <w:r w:rsidR="002338B4">
        <w:t>plains</w:t>
      </w:r>
      <w:r w:rsidRPr="00FC6707">
        <w:t xml:space="preserve"> that “[i]f Petitioners (or any other party) can demonstrate that Core’s proposed 3% per month late fee is unlawful, the 3% will not apply (‘or the highest rate permitted by applicable law, </w:t>
      </w:r>
      <w:r w:rsidRPr="00FC6707">
        <w:rPr>
          <w:u w:val="single"/>
        </w:rPr>
        <w:t>whichever is less</w:t>
      </w:r>
      <w:r w:rsidRPr="00FC6707">
        <w:t>’).”</w:t>
      </w:r>
      <w:r>
        <w:rPr>
          <w:rStyle w:val="FootnoteReference"/>
        </w:rPr>
        <w:footnoteReference w:id="62"/>
      </w:r>
      <w:r w:rsidR="00CB18AF">
        <w:t xml:space="preserve">  Core does not otherwise specifically address </w:t>
      </w:r>
      <w:r w:rsidR="00D64F3A">
        <w:t>the</w:t>
      </w:r>
      <w:r w:rsidR="00CB18AF">
        <w:t xml:space="preserve"> 3% late fee, but it notes that </w:t>
      </w:r>
      <w:r w:rsidRPr="00FC6707" w:rsidR="00CB18AF">
        <w:t xml:space="preserve">a per </w:t>
      </w:r>
      <w:r w:rsidRPr="00FC6707" w:rsidR="00CB18AF">
        <w:t>month late fee of 1.5% is “the near</w:t>
      </w:r>
      <w:r w:rsidR="00FF6F66">
        <w:t>-</w:t>
      </w:r>
      <w:r w:rsidRPr="00FC6707" w:rsidR="00CB18AF">
        <w:t>ubiquitous rate found in Petitioners’ ILEC affiliates’ tariffs”</w:t>
      </w:r>
      <w:r>
        <w:rPr>
          <w:rStyle w:val="FootnoteReference"/>
        </w:rPr>
        <w:footnoteReference w:id="63"/>
      </w:r>
      <w:r w:rsidRPr="00FC6707" w:rsidR="00CB18AF">
        <w:t xml:space="preserve"> and that “Petitioners’ behaviors . . . demonstrate that the threat of the 1.5% late payment fee is insufficient to motivate payment.”</w:t>
      </w:r>
      <w:r>
        <w:rPr>
          <w:rStyle w:val="FootnoteReference"/>
        </w:rPr>
        <w:footnoteReference w:id="64"/>
      </w:r>
      <w:r w:rsidRPr="00FC6707" w:rsidR="00CB18AF">
        <w:rPr>
          <w:rStyle w:val="FootnoteReference"/>
        </w:rPr>
        <w:t xml:space="preserve"> </w:t>
      </w:r>
      <w:r w:rsidRPr="00FC6707" w:rsidR="00CB18AF">
        <w:t xml:space="preserve"> </w:t>
      </w:r>
    </w:p>
    <w:p w:rsidR="004740B5" w14:paraId="0B886B46" w14:textId="075ABDC0">
      <w:pPr>
        <w:pStyle w:val="Heading3"/>
      </w:pPr>
      <w:r>
        <w:t>Tariff Section 2.13.3.H—Cancellation by Company</w:t>
      </w:r>
    </w:p>
    <w:p w:rsidR="00D472B9" w:rsidRPr="00FC6707" w:rsidP="00133345" w14:paraId="0D1E9BF5" w14:textId="22C4D5E5">
      <w:pPr>
        <w:pStyle w:val="ParaNum"/>
      </w:pPr>
      <w:r w:rsidRPr="00FC6707">
        <w:t>In its revision to section 2.13.3.H, Core announces that “</w:t>
      </w:r>
      <w:r w:rsidRPr="00264530">
        <w:t>[i]f the Company discontinues service to a Customer, it will provide, in connection with access traffic associated with the discontinued Customer, only those minimal functions necessary to identify the Customer as being the relevant carrier (i.e.</w:t>
      </w:r>
      <w:r w:rsidRPr="00264530" w:rsidR="0074714A">
        <w:t>,</w:t>
      </w:r>
      <w:r w:rsidRPr="00264530">
        <w:t xml:space="preserve"> 8YY database queries).”</w:t>
      </w:r>
      <w:r>
        <w:rPr>
          <w:rStyle w:val="FootnoteReference"/>
        </w:rPr>
        <w:footnoteReference w:id="65"/>
      </w:r>
      <w:r w:rsidRPr="00264530">
        <w:rPr>
          <w:rStyle w:val="FootnoteReference"/>
        </w:rPr>
        <w:t xml:space="preserve"> </w:t>
      </w:r>
      <w:r w:rsidRPr="00FC6707">
        <w:rPr>
          <w:rFonts w:ascii="TimesNewRoman" w:hAnsi="TimesNewRoman" w:cs="TimesNewRoman"/>
          <w:snapToGrid/>
          <w:kern w:val="0"/>
        </w:rPr>
        <w:t xml:space="preserve"> </w:t>
      </w:r>
      <w:r w:rsidRPr="00FC6707">
        <w:t>Petitioners contend that the revisions in section 2.13.3.H “are unlawful because they purport to allow Core to continue to profit from its 8YY arbitrage schemes via database query charges even after it has terminated service to a customer for nonpayment.”</w:t>
      </w:r>
      <w:r>
        <w:rPr>
          <w:rStyle w:val="FootnoteReference"/>
          <w:szCs w:val="22"/>
        </w:rPr>
        <w:footnoteReference w:id="66"/>
      </w:r>
      <w:r w:rsidRPr="00FC6707">
        <w:t xml:space="preserve">  Petitioners assert that “Core is </w:t>
      </w:r>
      <w:r w:rsidRPr="004F7E07">
        <w:rPr>
          <w:i/>
          <w:iCs/>
        </w:rPr>
        <w:t>never</w:t>
      </w:r>
      <w:r w:rsidRPr="00FC6707">
        <w:t xml:space="preserve"> ‘the carrier that originates the call’”</w:t>
      </w:r>
      <w:r>
        <w:rPr>
          <w:rStyle w:val="FootnoteReference"/>
        </w:rPr>
        <w:footnoteReference w:id="67"/>
      </w:r>
      <w:r w:rsidRPr="00FC6707">
        <w:t xml:space="preserve"> because “Core has no end user customers of its own, . . . it purchases all its 8YY traffic in bulk from other carriers or 8YY aggregators.</w:t>
      </w:r>
      <w:r w:rsidR="006D3E7A">
        <w:t>”</w:t>
      </w:r>
      <w:r>
        <w:rPr>
          <w:rStyle w:val="FootnoteReference"/>
        </w:rPr>
        <w:footnoteReference w:id="68"/>
      </w:r>
      <w:r w:rsidRPr="00FC6707">
        <w:t xml:space="preserve">  As a result, Petitioners argue, “Core’s 8YY queries are never ‘necessary to identify the relevant Customer in advance of routing’ because the entities from which it bought the traffic could perform those queries.”</w:t>
      </w:r>
      <w:r>
        <w:rPr>
          <w:rStyle w:val="FootnoteReference"/>
        </w:rPr>
        <w:footnoteReference w:id="69"/>
      </w:r>
      <w:r w:rsidRPr="00FC6707">
        <w:t xml:space="preserve"> </w:t>
      </w:r>
      <w:r>
        <w:t xml:space="preserve"> Core </w:t>
      </w:r>
      <w:r w:rsidRPr="00FC6707" w:rsidR="003921B0">
        <w:t xml:space="preserve">argues that </w:t>
      </w:r>
      <w:r w:rsidR="003921B0">
        <w:t>the</w:t>
      </w:r>
      <w:r w:rsidRPr="00FC6707" w:rsidR="003921B0">
        <w:t xml:space="preserve"> tariff revisions in section 2.13.3.H should be shielded from any allegations of unlawfulness because the language replicates </w:t>
      </w:r>
      <w:r w:rsidR="00A42E16">
        <w:t xml:space="preserve">tariff </w:t>
      </w:r>
      <w:r w:rsidRPr="00FC6707" w:rsidR="003921B0">
        <w:t>provisions</w:t>
      </w:r>
      <w:r w:rsidR="007D2066">
        <w:t xml:space="preserve"> that were filed by</w:t>
      </w:r>
      <w:r w:rsidRPr="00FC6707" w:rsidR="003921B0">
        <w:t xml:space="preserve"> </w:t>
      </w:r>
      <w:r w:rsidRPr="00FC6707" w:rsidR="007D2066">
        <w:t>incumbent LEC</w:t>
      </w:r>
      <w:r w:rsidR="007D2066">
        <w:t>s affiliated with the</w:t>
      </w:r>
      <w:r w:rsidRPr="00FC6707" w:rsidR="007D2066">
        <w:t xml:space="preserve"> </w:t>
      </w:r>
      <w:r w:rsidRPr="00FC6707" w:rsidR="003921B0">
        <w:t xml:space="preserve">Petitioners </w:t>
      </w:r>
      <w:r w:rsidR="007D2066">
        <w:t xml:space="preserve">and </w:t>
      </w:r>
      <w:r w:rsidRPr="00FC6707" w:rsidR="003921B0">
        <w:t>were deemed lawful.</w:t>
      </w:r>
      <w:r>
        <w:rPr>
          <w:rStyle w:val="FootnoteReference"/>
        </w:rPr>
        <w:footnoteReference w:id="70"/>
      </w:r>
      <w:r w:rsidRPr="00FC6707" w:rsidR="003921B0">
        <w:t xml:space="preserve">  </w:t>
      </w:r>
    </w:p>
    <w:p w:rsidR="00D472B9" w14:paraId="659C6DFD" w14:textId="6DF5E822">
      <w:pPr>
        <w:pStyle w:val="Heading3"/>
      </w:pPr>
      <w:r>
        <w:t xml:space="preserve">Tariff </w:t>
      </w:r>
      <w:r w:rsidRPr="00FC6707">
        <w:t>Section 3.3.5</w:t>
      </w:r>
      <w:r>
        <w:t>—Toll Free Interexchange Delivery Service</w:t>
      </w:r>
    </w:p>
    <w:p w:rsidR="00D472B9" w:rsidP="00133345" w14:paraId="06130110" w14:textId="0733C4FE">
      <w:pPr>
        <w:pStyle w:val="ParaNum"/>
        <w:widowControl/>
      </w:pPr>
      <w:r w:rsidRPr="00FC6707">
        <w:t>The revisions to section 3.3.5 of Core</w:t>
      </w:r>
      <w:r>
        <w:t>’s</w:t>
      </w:r>
      <w:r w:rsidRPr="00FC6707">
        <w:t xml:space="preserve"> tariff provide</w:t>
      </w:r>
      <w:r>
        <w:t xml:space="preserve"> it</w:t>
      </w:r>
      <w:r w:rsidRPr="00FC6707">
        <w:t xml:space="preserve"> with the right to charge an IXC for 8YY database queries “even if the underlying call is not completed.”</w:t>
      </w:r>
      <w:r>
        <w:rPr>
          <w:sz w:val="20"/>
          <w:vertAlign w:val="superscript"/>
        </w:rPr>
        <w:footnoteReference w:id="71"/>
      </w:r>
      <w:r w:rsidRPr="00FC6707">
        <w:t xml:space="preserve">  </w:t>
      </w:r>
      <w:r>
        <w:t>P</w:t>
      </w:r>
      <w:r w:rsidRPr="00FC6707" w:rsidR="00A2093D">
        <w:t xml:space="preserve">etitioners argue that section 3.3.5 </w:t>
      </w:r>
      <w:r>
        <w:t>is</w:t>
      </w:r>
      <w:r w:rsidRPr="00FC6707" w:rsidR="00A2093D">
        <w:t xml:space="preserve"> unlawful because </w:t>
      </w:r>
      <w:r w:rsidR="00867BF1">
        <w:t>“[i]t is unjust and unreasonable to let Core profit from calls that it refuses to complete.”</w:t>
      </w:r>
      <w:r>
        <w:rPr>
          <w:rStyle w:val="FootnoteReference"/>
        </w:rPr>
        <w:footnoteReference w:id="72"/>
      </w:r>
      <w:r w:rsidRPr="00FC6707" w:rsidR="00A2093D">
        <w:t xml:space="preserve">  </w:t>
      </w:r>
      <w:r w:rsidR="004F7E07">
        <w:t>In response to this challenge, Core again relies on its argument</w:t>
      </w:r>
      <w:r w:rsidRPr="00FC6707" w:rsidR="004F7E07">
        <w:t xml:space="preserve"> that </w:t>
      </w:r>
      <w:r w:rsidR="004F7E07">
        <w:t xml:space="preserve">its </w:t>
      </w:r>
      <w:r w:rsidRPr="00FC6707" w:rsidR="004F7E07">
        <w:t xml:space="preserve">tariff </w:t>
      </w:r>
      <w:r w:rsidR="004F7E07">
        <w:t xml:space="preserve">language “simply mirrored” </w:t>
      </w:r>
      <w:r w:rsidR="00A42E16">
        <w:t xml:space="preserve">tariff </w:t>
      </w:r>
      <w:r w:rsidRPr="00FC6707" w:rsidR="004F7E07">
        <w:t>provisions</w:t>
      </w:r>
      <w:r w:rsidR="004F7E07">
        <w:t xml:space="preserve"> that were</w:t>
      </w:r>
      <w:r w:rsidRPr="00FC6707" w:rsidR="004F7E07">
        <w:t xml:space="preserve"> </w:t>
      </w:r>
      <w:r w:rsidR="004F7E07">
        <w:t>filed by incumbent LECs affiliated with the</w:t>
      </w:r>
      <w:r w:rsidRPr="00FC6707" w:rsidR="004F7E07">
        <w:t xml:space="preserve"> Petitioners </w:t>
      </w:r>
      <w:r w:rsidR="004F7E07">
        <w:t>and</w:t>
      </w:r>
      <w:r w:rsidRPr="00FC6707" w:rsidR="004F7E07">
        <w:t xml:space="preserve"> that were deemed lawful</w:t>
      </w:r>
      <w:r w:rsidR="004F7E07">
        <w:t>, and thus</w:t>
      </w:r>
      <w:r w:rsidRPr="00FC6707" w:rsidR="004F7E07">
        <w:t xml:space="preserve"> should be shielded from any allegations of unlawfulness</w:t>
      </w:r>
      <w:r w:rsidRPr="00FC6707">
        <w:t>.</w:t>
      </w:r>
      <w:r>
        <w:rPr>
          <w:rStyle w:val="FootnoteReference"/>
        </w:rPr>
        <w:footnoteReference w:id="73"/>
      </w:r>
      <w:r w:rsidRPr="00FC6707">
        <w:t xml:space="preserve">  </w:t>
      </w:r>
    </w:p>
    <w:p w:rsidR="007C2A5D" w:rsidRPr="00FC6707" w14:paraId="4C6E7C73" w14:textId="77777777">
      <w:pPr>
        <w:pStyle w:val="Heading2"/>
      </w:pPr>
      <w:r w:rsidRPr="00FC6707">
        <w:t xml:space="preserve">Commission Authority and Duty to Investigate Tariffs </w:t>
      </w:r>
    </w:p>
    <w:p w:rsidR="003921B0" w:rsidRPr="00FC6707" w:rsidP="00133345" w14:paraId="6913A46B" w14:textId="77777777">
      <w:pPr>
        <w:pStyle w:val="ParaNum"/>
      </w:pPr>
      <w:r w:rsidRPr="00FC6707">
        <w:t xml:space="preserve">On our own motion, we adopted a </w:t>
      </w:r>
      <w:r w:rsidRPr="00FC6707">
        <w:rPr>
          <w:i/>
          <w:iCs/>
        </w:rPr>
        <w:t>Suspension Order</w:t>
      </w:r>
      <w:r w:rsidRPr="00FC6707">
        <w:t xml:space="preserve"> on May 6, 2021, finding that substantial questions exist regarding the lawfulness of Core’s proposed tariff revisions that require further </w:t>
      </w:r>
      <w:r w:rsidRPr="00FC6707">
        <w:t>investigation.</w:t>
      </w:r>
      <w:r>
        <w:rPr>
          <w:rStyle w:val="FootnoteReference"/>
        </w:rPr>
        <w:footnoteReference w:id="74"/>
      </w:r>
      <w:r w:rsidRPr="00FC6707">
        <w:t xml:space="preserve">  </w:t>
      </w:r>
      <w:r>
        <w:rPr>
          <w:snapToGrid/>
        </w:rPr>
        <w:t>P</w:t>
      </w:r>
      <w:r w:rsidRPr="00FC6707">
        <w:rPr>
          <w:snapToGrid/>
        </w:rPr>
        <w:t>ursuant to section 204 of the Act, we advanced the tariff revisions’ effective date for one day to May 6, 2021 and suspended the revisions for one day, allowing the revisions to become effective on May 7, 2021, imposed an accounting order, and instituted an investigation into the lawfulness of Core’s proposed tariff modifications.</w:t>
      </w:r>
      <w:r>
        <w:rPr>
          <w:rStyle w:val="FootnoteReference"/>
        </w:rPr>
        <w:footnoteReference w:id="75"/>
      </w:r>
      <w:r w:rsidRPr="00FC6707">
        <w:rPr>
          <w:snapToGrid/>
        </w:rPr>
        <w:t xml:space="preserve">  On May 13, 2021, Core submitted a supplemental tariff filing reflecting the suspension.</w:t>
      </w:r>
      <w:r>
        <w:rPr>
          <w:rStyle w:val="FootnoteReference"/>
          <w:snapToGrid/>
        </w:rPr>
        <w:footnoteReference w:id="76"/>
      </w:r>
      <w:r w:rsidRPr="00FC6707">
        <w:rPr>
          <w:snapToGrid/>
        </w:rPr>
        <w:t xml:space="preserve">  </w:t>
      </w:r>
      <w:r>
        <w:rPr>
          <w:snapToGrid/>
        </w:rPr>
        <w:t xml:space="preserve">We </w:t>
      </w:r>
      <w:r w:rsidRPr="00FC6707">
        <w:rPr>
          <w:snapToGrid/>
        </w:rPr>
        <w:t xml:space="preserve">subsequently released a </w:t>
      </w:r>
      <w:r w:rsidRPr="00FC6707">
        <w:rPr>
          <w:i/>
          <w:iCs/>
          <w:snapToGrid/>
        </w:rPr>
        <w:t xml:space="preserve">Protective Order </w:t>
      </w:r>
      <w:r w:rsidRPr="00FC6707">
        <w:rPr>
          <w:snapToGrid/>
        </w:rPr>
        <w:t>in this docket to govern any confidential filings that may be submitted during the investigation.</w:t>
      </w:r>
      <w:r>
        <w:rPr>
          <w:rStyle w:val="FootnoteReference"/>
          <w:snapToGrid/>
        </w:rPr>
        <w:footnoteReference w:id="77"/>
      </w:r>
    </w:p>
    <w:p w:rsidR="009E3F56" w:rsidRPr="00FC6707" w:rsidP="00133345" w14:paraId="45A93612" w14:textId="6DE14420">
      <w:pPr>
        <w:pStyle w:val="ParaNum"/>
      </w:pPr>
      <w:r w:rsidRPr="006214C5">
        <w:t xml:space="preserve">Section 204 of the Act provides that </w:t>
      </w:r>
      <w:r>
        <w:t xml:space="preserve">once </w:t>
      </w:r>
      <w:r w:rsidRPr="006214C5">
        <w:t xml:space="preserve">a tariff filing has been suspended, the tariffing carrier </w:t>
      </w:r>
      <w:r w:rsidR="00C711C3">
        <w:t>bears</w:t>
      </w:r>
      <w:r>
        <w:t xml:space="preserve"> the burden of proving </w:t>
      </w:r>
      <w:r w:rsidRPr="006214C5">
        <w:t>that the filing is just and reasonable</w:t>
      </w:r>
      <w:r w:rsidRPr="00FC6707" w:rsidR="00626888">
        <w:t>.</w:t>
      </w:r>
      <w:r>
        <w:rPr>
          <w:sz w:val="20"/>
          <w:vertAlign w:val="superscript"/>
        </w:rPr>
        <w:footnoteReference w:id="78"/>
      </w:r>
      <w:r w:rsidRPr="00FC6707" w:rsidR="00626888">
        <w:t xml:space="preserve">  </w:t>
      </w:r>
      <w:r w:rsidRPr="00FC6707" w:rsidR="002564E5">
        <w:t>A</w:t>
      </w:r>
      <w:r>
        <w:t>ccordingly</w:t>
      </w:r>
      <w:r w:rsidRPr="00FC6707" w:rsidR="002564E5">
        <w:t xml:space="preserve">, </w:t>
      </w:r>
      <w:r w:rsidR="00C651B9">
        <w:t xml:space="preserve">in its Direct Case, </w:t>
      </w:r>
      <w:r w:rsidRPr="00FC6707" w:rsidR="002564E5">
        <w:t>C</w:t>
      </w:r>
      <w:r w:rsidRPr="00FC6707" w:rsidR="00B70B29">
        <w:t>ore</w:t>
      </w:r>
      <w:r w:rsidRPr="00FC6707" w:rsidR="00626888">
        <w:t xml:space="preserve"> must provide the information requested in this </w:t>
      </w:r>
      <w:r w:rsidRPr="00A42E16" w:rsidR="00626888">
        <w:t>Order</w:t>
      </w:r>
      <w:r w:rsidRPr="00FC6707" w:rsidR="00626888">
        <w:t xml:space="preserve"> pursuant to section 204(a)(1) of the Act so the Commission can determine whether </w:t>
      </w:r>
      <w:r w:rsidRPr="00FC6707" w:rsidR="00B70B29">
        <w:t>Core’s</w:t>
      </w:r>
      <w:r w:rsidRPr="00FC6707" w:rsidR="00626888">
        <w:t xml:space="preserve"> tariff revisions are just and reasonable.</w:t>
      </w:r>
      <w:r>
        <w:rPr>
          <w:sz w:val="20"/>
          <w:vertAlign w:val="superscript"/>
        </w:rPr>
        <w:footnoteReference w:id="79"/>
      </w:r>
      <w:r w:rsidRPr="00FC6707" w:rsidR="00626888">
        <w:t xml:space="preserve">  At the conclusion of an investigation under section 204, the Commission may, pursuant to section 205, “determine and prescribe what will be the just and reasonable charge or the maximum or minimum charge or charges to be thereafter observed, and what classification, regulation, or practice is or will be just, fair, and reasonable, to be thereafter followed.”</w:t>
      </w:r>
      <w:r>
        <w:rPr>
          <w:sz w:val="20"/>
          <w:vertAlign w:val="superscript"/>
        </w:rPr>
        <w:footnoteReference w:id="80"/>
      </w:r>
    </w:p>
    <w:p w:rsidR="000D1B1E" w:rsidRPr="00FC6707" w14:paraId="1EA52CF3" w14:textId="1BD7C1A0">
      <w:pPr>
        <w:pStyle w:val="Heading1"/>
        <w:rPr>
          <w:rFonts w:ascii="Times New Roman" w:hAnsi="Times New Roman"/>
        </w:rPr>
      </w:pPr>
      <w:r w:rsidRPr="00FC6707">
        <w:rPr>
          <w:rFonts w:ascii="Times New Roman" w:hAnsi="Times New Roman"/>
        </w:rPr>
        <w:t xml:space="preserve">Issues designated for Investigation </w:t>
      </w:r>
    </w:p>
    <w:p w:rsidR="00710A7A" w:rsidRPr="00FC6707" w:rsidP="00133345" w14:paraId="734AA930" w14:textId="744E849C">
      <w:pPr>
        <w:pStyle w:val="ParaNum"/>
      </w:pPr>
      <w:r w:rsidRPr="00710A7A">
        <w:t xml:space="preserve">We designate for investigation under sections 204 and 205 of the Act whether Core’s revisions in sections 2.10.4.A, 2.10.5, 2.13.3.H, 2.21 and 3.3.5 of its tariff are unlawful under sections 201 of the Act </w:t>
      </w:r>
      <w:r w:rsidR="00C43677">
        <w:t>or</w:t>
      </w:r>
      <w:r w:rsidRPr="00710A7A">
        <w:t xml:space="preserve"> the Commission’s tariffing rules.</w:t>
      </w:r>
      <w:r>
        <w:rPr>
          <w:sz w:val="20"/>
          <w:vertAlign w:val="superscript"/>
        </w:rPr>
        <w:footnoteReference w:id="81"/>
      </w:r>
      <w:r w:rsidRPr="00710A7A">
        <w:t xml:space="preserve">  Section 201(b) of the Act provides that “[a]ll </w:t>
      </w:r>
      <w:r w:rsidRPr="00710A7A">
        <w:t>charges, practices, classifications, and regulations for and in connection with</w:t>
      </w:r>
      <w:r w:rsidR="00A42E16">
        <w:t> </w:t>
      </w:r>
      <w:r w:rsidRPr="00710A7A">
        <w:t>.</w:t>
      </w:r>
      <w:r w:rsidR="00A42E16">
        <w:t> </w:t>
      </w:r>
      <w:r w:rsidRPr="00710A7A">
        <w:t>.</w:t>
      </w:r>
      <w:r w:rsidR="00A42E16">
        <w:t> </w:t>
      </w:r>
      <w:r w:rsidRPr="00710A7A">
        <w:t>.</w:t>
      </w:r>
      <w:r w:rsidR="00A42E16">
        <w:t> </w:t>
      </w:r>
      <w:r w:rsidRPr="00710A7A">
        <w:t>communication service, shall be just and reasonable”</w:t>
      </w:r>
      <w:r w:rsidR="00C43677">
        <w:t xml:space="preserve"> and that any unjust or unreasonable charges or practices</w:t>
      </w:r>
      <w:r w:rsidRPr="00710A7A">
        <w:t xml:space="preserve"> shall be “declared . . . unlawful.”</w:t>
      </w:r>
      <w:r>
        <w:rPr>
          <w:rStyle w:val="FootnoteReference"/>
          <w:szCs w:val="22"/>
        </w:rPr>
        <w:footnoteReference w:id="82"/>
      </w:r>
      <w:r w:rsidRPr="00710A7A">
        <w:t xml:space="preserve">  </w:t>
      </w:r>
      <w:r w:rsidR="00060339">
        <w:t>We designate for investigation whether Core’s tariff revisions comply with other portions of the Act including</w:t>
      </w:r>
      <w:r w:rsidR="0074714A">
        <w:t>,</w:t>
      </w:r>
      <w:r w:rsidR="00060339">
        <w:t xml:space="preserve"> sections 206</w:t>
      </w:r>
      <w:r w:rsidR="00E15B0B">
        <w:t>,</w:t>
      </w:r>
      <w:r>
        <w:rPr>
          <w:rStyle w:val="FootnoteReference"/>
          <w:szCs w:val="22"/>
        </w:rPr>
        <w:footnoteReference w:id="83"/>
      </w:r>
      <w:r w:rsidR="00060339">
        <w:t xml:space="preserve"> concerning the liability of carriers</w:t>
      </w:r>
      <w:r w:rsidR="00E15B0B">
        <w:t>,</w:t>
      </w:r>
      <w:r w:rsidR="00060339">
        <w:t xml:space="preserve"> and 208</w:t>
      </w:r>
      <w:r w:rsidR="00E15B0B">
        <w:t>,</w:t>
      </w:r>
      <w:r>
        <w:rPr>
          <w:rStyle w:val="FootnoteReference"/>
          <w:szCs w:val="22"/>
        </w:rPr>
        <w:footnoteReference w:id="84"/>
      </w:r>
      <w:r w:rsidR="00060339">
        <w:t xml:space="preserve"> </w:t>
      </w:r>
      <w:r w:rsidR="008803B0">
        <w:t xml:space="preserve">granting </w:t>
      </w:r>
      <w:r w:rsidR="00060339">
        <w:t xml:space="preserve">the Commission authority to adjudicate complaints.  We also designate for investigation whether Core’s tariff revisions comply with the </w:t>
      </w:r>
      <w:r w:rsidRPr="00060339" w:rsidR="00060339">
        <w:rPr>
          <w:i/>
          <w:iCs/>
        </w:rPr>
        <w:t>8YY Access Charge Reform Order</w:t>
      </w:r>
      <w:r w:rsidR="00060339">
        <w:t xml:space="preserve"> and the </w:t>
      </w:r>
      <w:r w:rsidR="00A42E16">
        <w:t xml:space="preserve">limitations and </w:t>
      </w:r>
      <w:r w:rsidR="00060339">
        <w:t>rules adopted therein.</w:t>
      </w:r>
      <w:r>
        <w:rPr>
          <w:rStyle w:val="FootnoteReference"/>
          <w:szCs w:val="22"/>
        </w:rPr>
        <w:footnoteReference w:id="85"/>
      </w:r>
    </w:p>
    <w:p w:rsidR="000D1B1E" w:rsidRPr="00FC6707" w:rsidP="00133345" w14:paraId="107A768B" w14:textId="72D67AFD">
      <w:pPr>
        <w:pStyle w:val="ParaNum"/>
      </w:pPr>
      <w:r w:rsidRPr="00F5771C">
        <w:t>T</w:t>
      </w:r>
      <w:r w:rsidRPr="00F5771C" w:rsidR="00710A7A">
        <w:t>he Commission’s rules require all tariff language</w:t>
      </w:r>
      <w:r w:rsidR="008803B0">
        <w:t xml:space="preserve"> to</w:t>
      </w:r>
      <w:r w:rsidRPr="00F5771C" w:rsidR="00710A7A">
        <w:t xml:space="preserve"> be clear and unambiguous.</w:t>
      </w:r>
      <w:r>
        <w:rPr>
          <w:rStyle w:val="FootnoteReference"/>
          <w:szCs w:val="22"/>
        </w:rPr>
        <w:footnoteReference w:id="86"/>
      </w:r>
      <w:r w:rsidRPr="00F5771C" w:rsidR="00710A7A">
        <w:t xml:space="preserve">  Pursuant to section 61.2 of the Commission’s rules, all </w:t>
      </w:r>
      <w:hyperlink r:id="rId5" w:history="1">
        <w:r w:rsidRPr="00F5771C" w:rsidR="00710A7A">
          <w:rPr>
            <w:rStyle w:val="Hyperlink"/>
            <w:color w:val="auto"/>
            <w:szCs w:val="22"/>
            <w:u w:val="none"/>
          </w:rPr>
          <w:t>tariff</w:t>
        </w:r>
      </w:hyperlink>
      <w:r w:rsidRPr="00F5771C" w:rsidR="00710A7A">
        <w:t xml:space="preserve"> publications must contain “clear and explicit explanatory statements” regarding </w:t>
      </w:r>
      <w:hyperlink r:id="rId6" w:history="1">
        <w:r w:rsidRPr="00F5771C" w:rsidR="00710A7A">
          <w:rPr>
            <w:rStyle w:val="Hyperlink"/>
            <w:color w:val="auto"/>
            <w:szCs w:val="22"/>
            <w:u w:val="none"/>
          </w:rPr>
          <w:t>rates</w:t>
        </w:r>
      </w:hyperlink>
      <w:r w:rsidRPr="00F5771C" w:rsidR="00710A7A">
        <w:t> and </w:t>
      </w:r>
      <w:hyperlink r:id="rId7" w:history="1">
        <w:r w:rsidRPr="00F5771C" w:rsidR="00710A7A">
          <w:rPr>
            <w:rStyle w:val="Hyperlink"/>
            <w:color w:val="auto"/>
            <w:szCs w:val="22"/>
            <w:u w:val="none"/>
          </w:rPr>
          <w:t>regulations</w:t>
        </w:r>
      </w:hyperlink>
      <w:r w:rsidRPr="00F5771C" w:rsidR="00710A7A">
        <w:t xml:space="preserve"> to “remove all doubt as to their proper application.”</w:t>
      </w:r>
      <w:r>
        <w:rPr>
          <w:rStyle w:val="FootnoteReference"/>
          <w:szCs w:val="22"/>
        </w:rPr>
        <w:footnoteReference w:id="87"/>
      </w:r>
      <w:r w:rsidRPr="00F5771C" w:rsidR="00710A7A">
        <w:t xml:space="preserve">  Section 61.54(j) of </w:t>
      </w:r>
      <w:r w:rsidR="00C43677">
        <w:t>the Commission’s</w:t>
      </w:r>
      <w:r w:rsidRPr="00F5771C" w:rsidR="00710A7A">
        <w:t xml:space="preserve"> rules further provides that regulations, exceptions, and conditions which govern a tariff must be “specified” and stated “clearly and definitely.”</w:t>
      </w:r>
      <w:r>
        <w:rPr>
          <w:rStyle w:val="FootnoteReference"/>
          <w:szCs w:val="22"/>
        </w:rPr>
        <w:footnoteReference w:id="88"/>
      </w:r>
      <w:r w:rsidRPr="00F5771C" w:rsidR="00710A7A">
        <w:t xml:space="preserve">  This rule explicitly states that “[c]omplicated or ambiguous terminology may not be used.”</w:t>
      </w:r>
      <w:r>
        <w:rPr>
          <w:rStyle w:val="FootnoteReference"/>
          <w:szCs w:val="22"/>
        </w:rPr>
        <w:footnoteReference w:id="89"/>
      </w:r>
      <w:r w:rsidRPr="00F5771C" w:rsidR="00710A7A">
        <w:t xml:space="preserve">  We designate for investigation whether any of Core’s tariff revisions are unclear or ambiguous </w:t>
      </w:r>
      <w:r w:rsidR="00060339">
        <w:t>in violation of these rules</w:t>
      </w:r>
      <w:r w:rsidRPr="00F5771C" w:rsidR="00710A7A">
        <w:t xml:space="preserve">.  </w:t>
      </w:r>
    </w:p>
    <w:p w:rsidR="001D1722" w:rsidRPr="00FC6707" w14:paraId="16186936" w14:textId="0C8A6943">
      <w:pPr>
        <w:pStyle w:val="Heading2"/>
      </w:pPr>
      <w:r>
        <w:t xml:space="preserve">Background </w:t>
      </w:r>
      <w:r w:rsidRPr="00FC6707">
        <w:t xml:space="preserve">Questions Related to </w:t>
      </w:r>
      <w:r>
        <w:t xml:space="preserve">the </w:t>
      </w:r>
      <w:r w:rsidRPr="00FC6707">
        <w:t xml:space="preserve">Tariff </w:t>
      </w:r>
      <w:r w:rsidRPr="00FC6707" w:rsidR="00484F80">
        <w:t>Investigation</w:t>
      </w:r>
      <w:r w:rsidRPr="00FC6707">
        <w:t xml:space="preserve">  </w:t>
      </w:r>
    </w:p>
    <w:p w:rsidR="00710A7A" w:rsidP="00133345" w14:paraId="0DCDAD7F" w14:textId="78E01FFB">
      <w:pPr>
        <w:pStyle w:val="ParaNum"/>
      </w:pPr>
      <w:r w:rsidRPr="00FC6707">
        <w:t xml:space="preserve">To allow the Commission to determine the lawfulness of </w:t>
      </w:r>
      <w:r>
        <w:t xml:space="preserve">Core’s </w:t>
      </w:r>
      <w:r w:rsidRPr="00FC6707">
        <w:t xml:space="preserve">tariff revisions, including </w:t>
      </w:r>
      <w:r>
        <w:t xml:space="preserve">whether the revisions </w:t>
      </w:r>
      <w:r w:rsidR="008803B0">
        <w:t xml:space="preserve">comply </w:t>
      </w:r>
      <w:r w:rsidRPr="00FC6707">
        <w:t xml:space="preserve">with the Act, the </w:t>
      </w:r>
      <w:r w:rsidRPr="00FC6707">
        <w:rPr>
          <w:i/>
          <w:iCs/>
        </w:rPr>
        <w:t>8YY Access Charge Reform Order</w:t>
      </w:r>
      <w:r w:rsidRPr="00FC6707">
        <w:t xml:space="preserve">, and the Commission’s rules, we must first understand the role and function that Core plays in the transmission of 8YY traffic to IXCs.  We also need to understand the </w:t>
      </w:r>
      <w:r w:rsidR="00506C23">
        <w:t xml:space="preserve">marketplace for the </w:t>
      </w:r>
      <w:r w:rsidRPr="00FC6707">
        <w:t>purchase and sale of 8YY traffic and the process f</w:t>
      </w:r>
      <w:r>
        <w:t>or</w:t>
      </w:r>
      <w:r w:rsidRPr="00FC6707">
        <w:t xml:space="preserve"> routing that traffic to IXCs.  We must better understand the extent to which Core’s tariff revisions </w:t>
      </w:r>
      <w:r w:rsidR="008803B0">
        <w:t>are aimed at addressing</w:t>
      </w:r>
      <w:r w:rsidRPr="00FC6707" w:rsidR="008803B0">
        <w:t xml:space="preserve"> </w:t>
      </w:r>
      <w:r w:rsidRPr="00FC6707">
        <w:t xml:space="preserve">the transmission of illegal 8YY traffic, such as </w:t>
      </w:r>
      <w:r w:rsidR="006B0F4C">
        <w:t xml:space="preserve">unlawful </w:t>
      </w:r>
      <w:r w:rsidRPr="00FC6707">
        <w:t>robocalls,</w:t>
      </w:r>
      <w:r>
        <w:rPr>
          <w:rStyle w:val="FootnoteReference"/>
        </w:rPr>
        <w:footnoteReference w:id="90"/>
      </w:r>
      <w:r w:rsidRPr="00FC6707">
        <w:t xml:space="preserve"> and whether Core’s attempts to place the responsibility on IXCs to detect and block such illegal calls </w:t>
      </w:r>
      <w:r w:rsidR="004F7E07">
        <w:t>are</w:t>
      </w:r>
      <w:r w:rsidRPr="00FC6707">
        <w:t xml:space="preserve"> just and reasonable.  </w:t>
      </w:r>
      <w:r w:rsidRPr="008A4FD2" w:rsidR="00173B5C">
        <w:t>Do Core’s tariff revisions apply to non-8YY traffic?  If so, Core must indicate such in its Direct Case</w:t>
      </w:r>
      <w:r w:rsidR="00173B5C">
        <w:t xml:space="preserve">.  </w:t>
      </w:r>
      <w:r>
        <w:t xml:space="preserve">Core </w:t>
      </w:r>
      <w:r w:rsidRPr="000D1B1E">
        <w:t>must confirm</w:t>
      </w:r>
      <w:r>
        <w:t>,</w:t>
      </w:r>
      <w:r w:rsidRPr="000D1B1E">
        <w:t xml:space="preserve"> deny, </w:t>
      </w:r>
      <w:r>
        <w:t xml:space="preserve">or </w:t>
      </w:r>
      <w:r w:rsidRPr="000D1B1E">
        <w:t xml:space="preserve">correct each of the statements </w:t>
      </w:r>
      <w:r>
        <w:t xml:space="preserve">below </w:t>
      </w:r>
      <w:r w:rsidRPr="000D1B1E">
        <w:t xml:space="preserve">and </w:t>
      </w:r>
      <w:r>
        <w:t xml:space="preserve">provide detailed and complete </w:t>
      </w:r>
      <w:r w:rsidRPr="000D1B1E">
        <w:t>answer</w:t>
      </w:r>
      <w:r>
        <w:t>s to</w:t>
      </w:r>
      <w:r w:rsidRPr="000D1B1E">
        <w:t xml:space="preserve"> each of the questions below</w:t>
      </w:r>
      <w:r w:rsidRPr="00FC6707">
        <w:t xml:space="preserve">.  </w:t>
      </w:r>
      <w:r>
        <w:t xml:space="preserve">We invite Core to offer other information relevant to this tariff investigation.  </w:t>
      </w:r>
      <w:r w:rsidRPr="00FC6707">
        <w:t>We further direct Core to identify the individual(s) in the company most knowledgeable about each of the issues designated below</w:t>
      </w:r>
      <w:r>
        <w:t xml:space="preserve"> and any additional issues that Core raises in response to this Designation Order</w:t>
      </w:r>
      <w:r w:rsidR="004A3421">
        <w:t>.</w:t>
      </w:r>
    </w:p>
    <w:p w:rsidR="00CD4EAC" w:rsidRPr="00FC6707" w:rsidP="00133345" w14:paraId="69CF5A16" w14:textId="10CA73EC">
      <w:pPr>
        <w:pStyle w:val="ParaNum"/>
      </w:pPr>
      <w:r>
        <w:t>Core must provide a clear description of its business model with respect to 8YY traffic.</w:t>
      </w:r>
      <w:r>
        <w:rPr>
          <w:rStyle w:val="FootnoteReference"/>
        </w:rPr>
        <w:footnoteReference w:id="91"/>
      </w:r>
      <w:r>
        <w:t xml:space="preserve">  </w:t>
      </w:r>
      <w:r w:rsidR="00D906CA">
        <w:t xml:space="preserve">Does </w:t>
      </w:r>
      <w:r w:rsidRPr="00FC6707" w:rsidR="00F928DE">
        <w:t>Core purchase its 8YY traffic and ha</w:t>
      </w:r>
      <w:r w:rsidR="00D906CA">
        <w:t>ve</w:t>
      </w:r>
      <w:r w:rsidRPr="00FC6707" w:rsidR="00F928DE">
        <w:t xml:space="preserve"> no </w:t>
      </w:r>
      <w:r w:rsidR="000E64B6">
        <w:t xml:space="preserve">calling </w:t>
      </w:r>
      <w:r w:rsidR="00514E8D">
        <w:t xml:space="preserve">or called </w:t>
      </w:r>
      <w:r w:rsidR="000E64B6">
        <w:t>party</w:t>
      </w:r>
      <w:r w:rsidRPr="00FC6707" w:rsidR="00F928DE">
        <w:t xml:space="preserve"> customers</w:t>
      </w:r>
      <w:r w:rsidR="00245625">
        <w:t>?</w:t>
      </w:r>
      <w:r>
        <w:rPr>
          <w:rStyle w:val="FootnoteReference"/>
        </w:rPr>
        <w:footnoteReference w:id="92"/>
      </w:r>
      <w:r w:rsidRPr="00FC6707" w:rsidR="00F928DE">
        <w:t xml:space="preserve"> </w:t>
      </w:r>
      <w:r w:rsidR="00AA0EC3">
        <w:t xml:space="preserve"> If </w:t>
      </w:r>
      <w:r w:rsidR="00A42E16">
        <w:t>this</w:t>
      </w:r>
      <w:r w:rsidR="00AA0EC3">
        <w:t xml:space="preserve"> is not accurate, does Core purchase </w:t>
      </w:r>
      <w:r w:rsidR="00AC2D22">
        <w:t>a</w:t>
      </w:r>
      <w:r w:rsidR="00B10BB4">
        <w:t>ny</w:t>
      </w:r>
      <w:r w:rsidR="00AC2D22">
        <w:t xml:space="preserve"> portion</w:t>
      </w:r>
      <w:r w:rsidR="00AA0EC3">
        <w:t xml:space="preserve"> of its 8YY traffic?  If so, what percentage of its 8YY traffic does Core purchase? </w:t>
      </w:r>
      <w:r w:rsidRPr="00FC6707" w:rsidR="00F928DE">
        <w:t xml:space="preserve"> </w:t>
      </w:r>
      <w:r w:rsidR="004F10A7">
        <w:t xml:space="preserve">If Core does purchase some or all of its 8YY traffic, Core must explain </w:t>
      </w:r>
      <w:r w:rsidRPr="00DF1C81" w:rsidR="004F10A7">
        <w:t xml:space="preserve">the </w:t>
      </w:r>
      <w:r w:rsidRPr="00506C23" w:rsidR="004F10A7">
        <w:t>market</w:t>
      </w:r>
      <w:r w:rsidRPr="00506C23" w:rsidR="00506C23">
        <w:t>place</w:t>
      </w:r>
      <w:r w:rsidRPr="00DF1C81" w:rsidR="004F10A7">
        <w:t xml:space="preserve"> </w:t>
      </w:r>
      <w:r w:rsidR="004F10A7">
        <w:t>for</w:t>
      </w:r>
      <w:r w:rsidRPr="00DF1C81" w:rsidR="004F10A7">
        <w:t xml:space="preserve"> the purchase and sale of </w:t>
      </w:r>
      <w:r w:rsidR="004F10A7">
        <w:t xml:space="preserve">such </w:t>
      </w:r>
      <w:r w:rsidRPr="00DF1C81" w:rsidR="004F10A7">
        <w:t>traffic</w:t>
      </w:r>
      <w:r w:rsidRPr="00FC6707" w:rsidR="00DF1C81">
        <w:t xml:space="preserve">, including </w:t>
      </w:r>
      <w:r w:rsidRPr="00FC6707">
        <w:t xml:space="preserve">how </w:t>
      </w:r>
      <w:r w:rsidR="00506C23">
        <w:t>it</w:t>
      </w:r>
      <w:r w:rsidRPr="00FC6707">
        <w:t xml:space="preserve"> operate</w:t>
      </w:r>
      <w:r w:rsidRPr="00FC6707" w:rsidR="00EF11BF">
        <w:t>s</w:t>
      </w:r>
      <w:r w:rsidRPr="00FC6707" w:rsidR="00DF1C81">
        <w:t xml:space="preserve"> and </w:t>
      </w:r>
      <w:r w:rsidRPr="00FC6707" w:rsidR="008B2FF7">
        <w:t>who the</w:t>
      </w:r>
      <w:r w:rsidRPr="00FC6707">
        <w:t xml:space="preserve"> sellers and purchasers</w:t>
      </w:r>
      <w:r w:rsidRPr="00FC6707" w:rsidR="003C2478">
        <w:t xml:space="preserve"> of 8YY traffic</w:t>
      </w:r>
      <w:r w:rsidRPr="00FC6707" w:rsidR="008B2FF7">
        <w:t xml:space="preserve"> </w:t>
      </w:r>
      <w:r w:rsidRPr="00FC6707" w:rsidR="001A2F0D">
        <w:t xml:space="preserve">are </w:t>
      </w:r>
      <w:r w:rsidRPr="00FC6707" w:rsidR="008B2FF7">
        <w:t xml:space="preserve">(besides Core).  </w:t>
      </w:r>
      <w:r w:rsidR="00D27E4E">
        <w:t xml:space="preserve">For example, </w:t>
      </w:r>
      <w:r w:rsidRPr="00002C56" w:rsidR="00002C56">
        <w:t xml:space="preserve">Core must </w:t>
      </w:r>
      <w:r w:rsidRPr="00002C56" w:rsidR="009E38C8">
        <w:t>identify</w:t>
      </w:r>
      <w:r w:rsidRPr="00002C56" w:rsidR="00A64B55">
        <w:t xml:space="preserve"> the types of </w:t>
      </w:r>
      <w:r w:rsidRPr="00002C56" w:rsidR="00002C56">
        <w:t>entities</w:t>
      </w:r>
      <w:r w:rsidRPr="00002C56" w:rsidR="00A64B55">
        <w:t xml:space="preserve"> from which </w:t>
      </w:r>
      <w:r w:rsidRPr="00002C56" w:rsidR="00002C56">
        <w:t>it</w:t>
      </w:r>
      <w:r w:rsidRPr="00002C56" w:rsidR="00A64B55">
        <w:t xml:space="preserve"> buy</w:t>
      </w:r>
      <w:r w:rsidRPr="00002C56" w:rsidR="00002C56">
        <w:t>s</w:t>
      </w:r>
      <w:r w:rsidRPr="00002C56" w:rsidR="00A64B55">
        <w:t xml:space="preserve"> 8YY traffic</w:t>
      </w:r>
      <w:r w:rsidR="00B10BB4">
        <w:t xml:space="preserve"> (e.g.,</w:t>
      </w:r>
      <w:r w:rsidRPr="00002C56" w:rsidR="00A64B55">
        <w:t xml:space="preserve"> wireless/CMRS </w:t>
      </w:r>
      <w:r w:rsidRPr="00002C56" w:rsidR="00002C56">
        <w:t>carriers,</w:t>
      </w:r>
      <w:r w:rsidR="00EF0318">
        <w:t xml:space="preserve"> cable providers, </w:t>
      </w:r>
      <w:r w:rsidRPr="00002C56" w:rsidR="00002C56">
        <w:t>8YY traffic aggregators</w:t>
      </w:r>
      <w:r w:rsidR="00D27E4E">
        <w:t>,</w:t>
      </w:r>
      <w:r w:rsidR="00245625">
        <w:t xml:space="preserve"> VoIP providers,</w:t>
      </w:r>
      <w:r w:rsidRPr="00002C56" w:rsidR="00002C56">
        <w:t xml:space="preserve"> and</w:t>
      </w:r>
      <w:r w:rsidR="00742EB0">
        <w:t>/or</w:t>
      </w:r>
      <w:r w:rsidRPr="00002C56" w:rsidR="00002C56">
        <w:t xml:space="preserve"> </w:t>
      </w:r>
      <w:r w:rsidRPr="00002C56" w:rsidR="00A64B55">
        <w:t>others</w:t>
      </w:r>
      <w:r w:rsidR="00B10BB4">
        <w:t>)</w:t>
      </w:r>
      <w:r w:rsidRPr="00FC6707" w:rsidR="00183872">
        <w:t xml:space="preserve">. </w:t>
      </w:r>
      <w:r w:rsidRPr="00FC6707" w:rsidR="00C062B8">
        <w:t xml:space="preserve"> </w:t>
      </w:r>
      <w:r w:rsidR="00D27E4E">
        <w:t>W</w:t>
      </w:r>
      <w:r w:rsidR="00931914">
        <w:t>hy do</w:t>
      </w:r>
      <w:r w:rsidR="00B32A78">
        <w:t xml:space="preserve"> entities</w:t>
      </w:r>
      <w:r w:rsidR="00D27E4E">
        <w:t xml:space="preserve"> </w:t>
      </w:r>
      <w:r w:rsidRPr="00FC6707" w:rsidR="00D27E4E">
        <w:t xml:space="preserve">sell 8YY traffic to intermediate </w:t>
      </w:r>
      <w:r w:rsidR="00D27E4E">
        <w:t xml:space="preserve">providers, such as </w:t>
      </w:r>
      <w:r w:rsidRPr="00CD4EAC" w:rsidR="00D27E4E">
        <w:t>Core</w:t>
      </w:r>
      <w:r w:rsidR="00D27E4E">
        <w:t>,</w:t>
      </w:r>
      <w:r w:rsidRPr="00CD4EAC" w:rsidR="00D27E4E">
        <w:t xml:space="preserve"> instead of transmitting these calls to IXCs</w:t>
      </w:r>
      <w:r w:rsidR="00D27E4E">
        <w:t xml:space="preserve"> directly?  </w:t>
      </w:r>
      <w:r w:rsidR="00B32A78">
        <w:t>Finally, C</w:t>
      </w:r>
      <w:r w:rsidRPr="00FC6707" w:rsidR="00AA0EC3">
        <w:t>ore must provide</w:t>
      </w:r>
      <w:r w:rsidR="00D64F3A">
        <w:t xml:space="preserve"> copies of </w:t>
      </w:r>
      <w:r w:rsidR="00506C23">
        <w:t xml:space="preserve">its </w:t>
      </w:r>
      <w:r w:rsidR="00D64F3A">
        <w:t>current</w:t>
      </w:r>
      <w:r w:rsidR="00506C23">
        <w:t>,</w:t>
      </w:r>
      <w:r w:rsidR="00D64F3A">
        <w:t xml:space="preserve"> </w:t>
      </w:r>
      <w:r w:rsidR="00506C23">
        <w:t xml:space="preserve">largest (by traffic volume) </w:t>
      </w:r>
      <w:r w:rsidR="00D64F3A">
        <w:t>agreements, not to exceed five</w:t>
      </w:r>
      <w:r w:rsidR="00506C23">
        <w:t xml:space="preserve"> </w:t>
      </w:r>
      <w:r w:rsidR="00D64F3A">
        <w:t xml:space="preserve">contracts, </w:t>
      </w:r>
      <w:r w:rsidR="002913C5">
        <w:t>for</w:t>
      </w:r>
      <w:r w:rsidR="00D64F3A">
        <w:t xml:space="preserve"> </w:t>
      </w:r>
      <w:r w:rsidR="00421D8A">
        <w:t>its</w:t>
      </w:r>
      <w:r w:rsidR="00D64F3A">
        <w:t xml:space="preserve"> purchase of 8YY traffic</w:t>
      </w:r>
      <w:r w:rsidR="00AA0EC3">
        <w:t xml:space="preserve">. </w:t>
      </w:r>
      <w:r w:rsidRPr="00FC6707" w:rsidR="00C062B8">
        <w:t xml:space="preserve">  </w:t>
      </w:r>
    </w:p>
    <w:p w:rsidR="00BE09BD" w:rsidP="00133345" w14:paraId="68460541" w14:textId="1107CBA1">
      <w:pPr>
        <w:pStyle w:val="ParaNum"/>
      </w:pPr>
      <w:r w:rsidRPr="00FC6707">
        <w:t xml:space="preserve">Core </w:t>
      </w:r>
      <w:r w:rsidRPr="00FC6707" w:rsidR="006858D1">
        <w:t xml:space="preserve">must </w:t>
      </w:r>
      <w:r w:rsidRPr="00FC6707" w:rsidR="001317A1">
        <w:t xml:space="preserve">identify all </w:t>
      </w:r>
      <w:r w:rsidR="000474F1">
        <w:t xml:space="preserve">entities </w:t>
      </w:r>
      <w:r w:rsidRPr="00FC6707" w:rsidR="001317A1">
        <w:t xml:space="preserve">that </w:t>
      </w:r>
      <w:r w:rsidR="004F10A7">
        <w:t>it</w:t>
      </w:r>
      <w:r w:rsidRPr="00FC6707" w:rsidR="001317A1">
        <w:t xml:space="preserve"> </w:t>
      </w:r>
      <w:r w:rsidRPr="00FC6707" w:rsidR="00EF11BF">
        <w:t xml:space="preserve">works with to </w:t>
      </w:r>
      <w:r w:rsidR="001370E7">
        <w:t xml:space="preserve">obtain and/or </w:t>
      </w:r>
      <w:r w:rsidRPr="00FC6707">
        <w:t>transmi</w:t>
      </w:r>
      <w:r w:rsidRPr="00FC6707" w:rsidR="00EF11BF">
        <w:t>t</w:t>
      </w:r>
      <w:r w:rsidRPr="00FC6707">
        <w:t xml:space="preserve"> </w:t>
      </w:r>
      <w:r w:rsidRPr="00FC6707" w:rsidR="001317A1">
        <w:t>8YY traffic to an IXC</w:t>
      </w:r>
      <w:r w:rsidR="000474F1">
        <w:t xml:space="preserve"> and indicate whether each entity it identifies is affiliated with Core</w:t>
      </w:r>
      <w:r w:rsidR="004F10A7">
        <w:t xml:space="preserve">.  </w:t>
      </w:r>
      <w:r w:rsidR="008332FA">
        <w:t>Core</w:t>
      </w:r>
      <w:r w:rsidR="004F10A7">
        <w:t xml:space="preserve"> must also explain</w:t>
      </w:r>
      <w:r w:rsidRPr="00FC6707" w:rsidR="00FB56C3">
        <w:t xml:space="preserve"> </w:t>
      </w:r>
      <w:r w:rsidR="004F10A7">
        <w:t xml:space="preserve">what functions and services </w:t>
      </w:r>
      <w:r w:rsidR="00AA0EC3">
        <w:t xml:space="preserve">each of those companies provides </w:t>
      </w:r>
      <w:r w:rsidR="004F10A7">
        <w:t xml:space="preserve">and whether </w:t>
      </w:r>
      <w:r w:rsidR="00AA0EC3">
        <w:t>its</w:t>
      </w:r>
      <w:r w:rsidR="004F10A7">
        <w:t xml:space="preserve"> business relationship with each company is governed by tariff or contractual agreement</w:t>
      </w:r>
      <w:r w:rsidRPr="00FC6707" w:rsidR="001317A1">
        <w:t xml:space="preserve">.  </w:t>
      </w:r>
      <w:r w:rsidRPr="00FC6707" w:rsidR="00F376F1">
        <w:t xml:space="preserve">If Core has discontinued service to </w:t>
      </w:r>
      <w:r w:rsidR="00F376F1">
        <w:t>any c</w:t>
      </w:r>
      <w:r w:rsidRPr="00FC6707" w:rsidR="00F376F1">
        <w:t xml:space="preserve">ustomers pursuant to its tariff in the last 12 months from the date of this Order, including pursuant to section 2.13.3.H of its tariff revisions, Core must include those </w:t>
      </w:r>
      <w:r w:rsidR="00742EB0">
        <w:t>carriers</w:t>
      </w:r>
      <w:r w:rsidRPr="00FC6707" w:rsidR="00F376F1">
        <w:t xml:space="preserve"> in its response.  </w:t>
      </w:r>
    </w:p>
    <w:p w:rsidR="002529E3" w:rsidP="00133345" w14:paraId="063734EB" w14:textId="77777777">
      <w:pPr>
        <w:pStyle w:val="ParaNum"/>
      </w:pPr>
      <w:r w:rsidRPr="00FC6707">
        <w:t xml:space="preserve">Petitioners </w:t>
      </w:r>
      <w:r w:rsidR="008570F4">
        <w:t xml:space="preserve">allege </w:t>
      </w:r>
      <w:r w:rsidRPr="00FC6707">
        <w:t xml:space="preserve">that Core makes no effort to ensure that it </w:t>
      </w:r>
      <w:r w:rsidR="004770CD">
        <w:t xml:space="preserve">purchases </w:t>
      </w:r>
      <w:r w:rsidRPr="00FC6707">
        <w:t>only legitimate 8YY traffic.</w:t>
      </w:r>
      <w:r>
        <w:rPr>
          <w:rStyle w:val="FootnoteReference"/>
        </w:rPr>
        <w:footnoteReference w:id="93"/>
      </w:r>
      <w:r w:rsidRPr="00FC6707">
        <w:t xml:space="preserve">  In its Reply, Core disputes this</w:t>
      </w:r>
      <w:r w:rsidR="008570F4">
        <w:t xml:space="preserve"> allegation</w:t>
      </w:r>
      <w:r w:rsidRPr="00FC6707">
        <w:t>.</w:t>
      </w:r>
      <w:r>
        <w:rPr>
          <w:rStyle w:val="FootnoteReference"/>
        </w:rPr>
        <w:footnoteReference w:id="94"/>
      </w:r>
      <w:r w:rsidRPr="00FC6707">
        <w:t xml:space="preserve">  </w:t>
      </w:r>
      <w:r w:rsidR="00111652">
        <w:t xml:space="preserve">To assess whether the tariff revisions </w:t>
      </w:r>
      <w:r w:rsidR="0074714A">
        <w:t xml:space="preserve">create </w:t>
      </w:r>
      <w:r w:rsidR="00111652">
        <w:t xml:space="preserve">an unreasonable presumption that </w:t>
      </w:r>
      <w:r w:rsidR="0074714A">
        <w:t>all</w:t>
      </w:r>
      <w:r w:rsidR="00256C06">
        <w:t xml:space="preserve"> of</w:t>
      </w:r>
      <w:r w:rsidR="0074714A">
        <w:t xml:space="preserve"> </w:t>
      </w:r>
      <w:r w:rsidR="00A42E16">
        <w:t xml:space="preserve">the 8YY traffic </w:t>
      </w:r>
      <w:r w:rsidR="00111652">
        <w:t>Core</w:t>
      </w:r>
      <w:r w:rsidR="00A42E16">
        <w:t xml:space="preserve"> </w:t>
      </w:r>
      <w:r w:rsidR="0074714A">
        <w:t>sends to IXCs</w:t>
      </w:r>
      <w:r w:rsidR="00111652">
        <w:t xml:space="preserve"> is </w:t>
      </w:r>
      <w:r w:rsidR="006D02E3">
        <w:t>legitimate</w:t>
      </w:r>
      <w:r w:rsidR="00111652">
        <w:t xml:space="preserve">, we must assess the extent to which Core </w:t>
      </w:r>
      <w:r w:rsidR="006D02E3">
        <w:t>screens</w:t>
      </w:r>
      <w:r w:rsidR="00111652">
        <w:t xml:space="preserve"> traffic before handing it off to IXCs.  </w:t>
      </w:r>
      <w:r w:rsidR="006D02E3">
        <w:t>When</w:t>
      </w:r>
      <w:r w:rsidR="00111652">
        <w:t xml:space="preserve"> Core purchases 8YY traffic</w:t>
      </w:r>
      <w:r w:rsidR="0074714A">
        <w:t>,</w:t>
      </w:r>
      <w:r w:rsidR="00111652">
        <w:t xml:space="preserve"> what are </w:t>
      </w:r>
      <w:r w:rsidR="006D02E3">
        <w:t>its</w:t>
      </w:r>
      <w:r w:rsidR="00111652">
        <w:t xml:space="preserve"> legal obligations to ensure the traffic it purchases, carries</w:t>
      </w:r>
      <w:r w:rsidR="0074714A">
        <w:t>,</w:t>
      </w:r>
      <w:r w:rsidR="00111652">
        <w:t xml:space="preserve"> or transports is legitimate?  </w:t>
      </w:r>
      <w:r w:rsidR="00D6132B">
        <w:t xml:space="preserve">To the extent that Core purchases 8YY traffic, it </w:t>
      </w:r>
      <w:r w:rsidRPr="00FC6707" w:rsidR="00BE09BD">
        <w:t xml:space="preserve">must </w:t>
      </w:r>
      <w:r w:rsidRPr="00FC6707" w:rsidR="00E056A4">
        <w:t xml:space="preserve">detail </w:t>
      </w:r>
      <w:r w:rsidR="008570F4">
        <w:t xml:space="preserve">the steps it </w:t>
      </w:r>
      <w:r w:rsidR="004770CD">
        <w:t>took,</w:t>
      </w:r>
      <w:r w:rsidR="008570F4">
        <w:t xml:space="preserve"> </w:t>
      </w:r>
      <w:r w:rsidRPr="00FC6707" w:rsidR="004770CD">
        <w:t>prior to the tariff revisions at issue in this investigation</w:t>
      </w:r>
      <w:r w:rsidR="004770CD">
        <w:t xml:space="preserve">, </w:t>
      </w:r>
      <w:r w:rsidRPr="00FC6707" w:rsidR="00E056A4">
        <w:t xml:space="preserve">to ensure that the 8YY </w:t>
      </w:r>
      <w:r w:rsidR="00D6132B">
        <w:t xml:space="preserve">traffic </w:t>
      </w:r>
      <w:r w:rsidRPr="00FC6707" w:rsidR="00E056A4">
        <w:t>it obtain</w:t>
      </w:r>
      <w:r w:rsidR="004770CD">
        <w:t xml:space="preserve">ed </w:t>
      </w:r>
      <w:r w:rsidR="00D6132B">
        <w:t xml:space="preserve">was </w:t>
      </w:r>
      <w:r w:rsidRPr="00FC6707" w:rsidR="00E056A4">
        <w:t>legitimate</w:t>
      </w:r>
      <w:r w:rsidR="00D6132B">
        <w:t>.  Core must also explain how—if at all—</w:t>
      </w:r>
      <w:r w:rsidRPr="00FC6707" w:rsidR="008A5BBB">
        <w:t xml:space="preserve">that process has, or will, change </w:t>
      </w:r>
      <w:r w:rsidR="00525062">
        <w:t>due to</w:t>
      </w:r>
      <w:r w:rsidRPr="00FC6707" w:rsidR="008A5BBB">
        <w:t xml:space="preserve"> the tariff revisions</w:t>
      </w:r>
      <w:r w:rsidR="00D6132B">
        <w:t xml:space="preserve"> that are the subject of this investigation</w:t>
      </w:r>
      <w:r w:rsidRPr="00FC6707" w:rsidR="00001A02">
        <w:t>.</w:t>
      </w:r>
      <w:r w:rsidRPr="00FC6707" w:rsidR="008C0AB2">
        <w:t xml:space="preserve">  </w:t>
      </w:r>
      <w:r w:rsidR="002C6EE3">
        <w:t xml:space="preserve">To the extent that Core purchases </w:t>
      </w:r>
      <w:r w:rsidR="002913C5">
        <w:t xml:space="preserve">8YY </w:t>
      </w:r>
      <w:r w:rsidR="002C6EE3">
        <w:t xml:space="preserve">traffic, it </w:t>
      </w:r>
      <w:r w:rsidR="006D02E3">
        <w:t>must</w:t>
      </w:r>
      <w:r w:rsidR="002C6EE3">
        <w:t xml:space="preserve"> explain whether the terms under which it acquires the traffic address whether Core or the selling party must bear </w:t>
      </w:r>
      <w:r w:rsidRPr="00310079" w:rsidR="004770CD">
        <w:t>the financial risk</w:t>
      </w:r>
      <w:r w:rsidR="002C6EE3">
        <w:t xml:space="preserve"> for any</w:t>
      </w:r>
      <w:r w:rsidRPr="00310079" w:rsidR="004770CD">
        <w:t xml:space="preserve"> </w:t>
      </w:r>
      <w:r w:rsidRPr="00FC6707" w:rsidR="00310079">
        <w:t xml:space="preserve">purchased </w:t>
      </w:r>
      <w:r w:rsidRPr="00FC6707">
        <w:t xml:space="preserve">8YY </w:t>
      </w:r>
      <w:r w:rsidRPr="00FC6707" w:rsidR="00310079">
        <w:t xml:space="preserve">traffic </w:t>
      </w:r>
      <w:r w:rsidR="002C6EE3">
        <w:t xml:space="preserve">that turns out to be </w:t>
      </w:r>
      <w:r w:rsidR="005E3D51">
        <w:t>illegitimate</w:t>
      </w:r>
      <w:r w:rsidR="002C6EE3">
        <w:t>.</w:t>
      </w:r>
      <w:r w:rsidRPr="00FC6707" w:rsidR="00310079">
        <w:t xml:space="preserve"> </w:t>
      </w:r>
      <w:r w:rsidR="002C6EE3">
        <w:t xml:space="preserve"> </w:t>
      </w:r>
      <w:r w:rsidR="005B4156">
        <w:t>S</w:t>
      </w:r>
      <w:r w:rsidR="00085FBD">
        <w:t xml:space="preserve">hould </w:t>
      </w:r>
      <w:r w:rsidR="005B4156">
        <w:t xml:space="preserve">Core </w:t>
      </w:r>
      <w:r w:rsidR="00085FBD">
        <w:t xml:space="preserve">be permitted to charge IXCs tariffed rates for carrying </w:t>
      </w:r>
      <w:r w:rsidR="005B4156">
        <w:t xml:space="preserve">traffic that Core has purchased from other parties that is </w:t>
      </w:r>
      <w:r w:rsidR="00085FBD">
        <w:t>illegal or illegitimate</w:t>
      </w:r>
      <w:r w:rsidR="005B4156">
        <w:t>?</w:t>
      </w:r>
      <w:r w:rsidRPr="00310079" w:rsidR="00085FBD">
        <w:t xml:space="preserve">  </w:t>
      </w:r>
    </w:p>
    <w:p w:rsidR="00FE681A" w:rsidP="00133345" w14:paraId="638B0267" w14:textId="16D86213">
      <w:pPr>
        <w:pStyle w:val="ParaNum"/>
      </w:pPr>
      <w:r w:rsidRPr="00FC6707">
        <w:t xml:space="preserve">Core must </w:t>
      </w:r>
      <w:r w:rsidR="002C6EE3">
        <w:t xml:space="preserve">also explain </w:t>
      </w:r>
      <w:r w:rsidR="00002C56">
        <w:t>h</w:t>
      </w:r>
      <w:r w:rsidRPr="00002C56" w:rsidR="00002C56">
        <w:t xml:space="preserve">ow </w:t>
      </w:r>
      <w:r w:rsidR="00111652">
        <w:t>it</w:t>
      </w:r>
      <w:r w:rsidR="002C6EE3">
        <w:t xml:space="preserve"> and entities from which it acquires </w:t>
      </w:r>
      <w:r w:rsidRPr="00002C56" w:rsidR="00002C56">
        <w:t>8YY traffic div</w:t>
      </w:r>
      <w:r w:rsidR="00F376F1">
        <w:t xml:space="preserve">ide or share </w:t>
      </w:r>
      <w:r w:rsidRPr="00002C56" w:rsidR="009E38C8">
        <w:t>responsibilities</w:t>
      </w:r>
      <w:r w:rsidRPr="00002C56" w:rsidR="00002C56">
        <w:t xml:space="preserve"> </w:t>
      </w:r>
      <w:r w:rsidR="00002C56">
        <w:t>for determining</w:t>
      </w:r>
      <w:r w:rsidRPr="00002C56" w:rsidR="00002C56">
        <w:t xml:space="preserve"> the </w:t>
      </w:r>
      <w:r w:rsidR="00111652">
        <w:t>legitimacy</w:t>
      </w:r>
      <w:r w:rsidRPr="00002C56" w:rsidR="00111652">
        <w:t xml:space="preserve"> </w:t>
      </w:r>
      <w:r w:rsidRPr="00002C56" w:rsidR="00002C56">
        <w:t>of the traffic</w:t>
      </w:r>
      <w:r w:rsidR="002C6EE3">
        <w:t xml:space="preserve"> being purchased or sold</w:t>
      </w:r>
      <w:r w:rsidR="00002C56">
        <w:t xml:space="preserve">.  </w:t>
      </w:r>
      <w:r w:rsidRPr="00FC6707" w:rsidR="008A5BBB">
        <w:t xml:space="preserve">Exactly what identifying information </w:t>
      </w:r>
      <w:r w:rsidR="00085FBD">
        <w:t>does</w:t>
      </w:r>
      <w:r w:rsidRPr="00FC6707" w:rsidR="008A5BBB">
        <w:t xml:space="preserve"> Core </w:t>
      </w:r>
      <w:r w:rsidR="00085FBD">
        <w:t xml:space="preserve">obtain when it purchases </w:t>
      </w:r>
      <w:r w:rsidR="00C85A58">
        <w:t xml:space="preserve">8YY </w:t>
      </w:r>
      <w:r w:rsidR="00085FBD">
        <w:t>traffic</w:t>
      </w:r>
      <w:r w:rsidRPr="00FC6707" w:rsidR="008A5BBB">
        <w:t xml:space="preserve">?  </w:t>
      </w:r>
      <w:r w:rsidRPr="00296175" w:rsidR="00D906CA">
        <w:t xml:space="preserve">Is </w:t>
      </w:r>
      <w:r w:rsidRPr="00296175" w:rsidR="003B7991">
        <w:t xml:space="preserve">Core </w:t>
      </w:r>
      <w:r w:rsidRPr="00296175" w:rsidR="00001A02">
        <w:t>best</w:t>
      </w:r>
      <w:r w:rsidRPr="00296175" w:rsidR="003B7991">
        <w:t xml:space="preserve"> situated to determin</w:t>
      </w:r>
      <w:r w:rsidRPr="00296175">
        <w:t>e</w:t>
      </w:r>
      <w:r w:rsidRPr="00296175" w:rsidR="003B7991">
        <w:t xml:space="preserve"> the legitimacy of </w:t>
      </w:r>
      <w:r w:rsidRPr="00296175" w:rsidR="009A1AFB">
        <w:t xml:space="preserve">the </w:t>
      </w:r>
      <w:r w:rsidRPr="00296175" w:rsidR="003B7991">
        <w:t xml:space="preserve">8YY </w:t>
      </w:r>
      <w:r w:rsidR="00A42E16">
        <w:t>traffic</w:t>
      </w:r>
      <w:r w:rsidRPr="00296175" w:rsidR="009A1AFB">
        <w:t xml:space="preserve"> it</w:t>
      </w:r>
      <w:r w:rsidRPr="00FC6707" w:rsidR="009A1AFB">
        <w:t xml:space="preserve"> purchases</w:t>
      </w:r>
      <w:r w:rsidRPr="00FC6707" w:rsidR="003B7991">
        <w:t>?</w:t>
      </w:r>
      <w:r>
        <w:rPr>
          <w:rStyle w:val="FootnoteReference"/>
        </w:rPr>
        <w:footnoteReference w:id="95"/>
      </w:r>
      <w:r w:rsidRPr="00FC6707" w:rsidR="003B7991">
        <w:t xml:space="preserve">  </w:t>
      </w:r>
      <w:r w:rsidRPr="00FC6707" w:rsidR="00001A02">
        <w:t>Does Core</w:t>
      </w:r>
      <w:r w:rsidR="00085FBD">
        <w:t xml:space="preserve"> make any effort to</w:t>
      </w:r>
      <w:r w:rsidRPr="00FC6707" w:rsidR="00001A02">
        <w:t xml:space="preserve"> </w:t>
      </w:r>
      <w:r w:rsidRPr="00FC6707" w:rsidR="009F5EFB">
        <w:t xml:space="preserve">determine or </w:t>
      </w:r>
      <w:r w:rsidRPr="00FC6707" w:rsidR="00001A02">
        <w:t>confirm the legitimacy of the 8YY calls it purchases</w:t>
      </w:r>
      <w:r w:rsidRPr="00FC6707" w:rsidR="00D73F97">
        <w:t xml:space="preserve"> </w:t>
      </w:r>
      <w:r w:rsidR="00085FBD">
        <w:t>before it routes the traffic to IXCs</w:t>
      </w:r>
      <w:r w:rsidRPr="00FC6707" w:rsidR="00D73F97">
        <w:t xml:space="preserve">?  </w:t>
      </w:r>
      <w:r w:rsidR="00966AE0">
        <w:t>Or d</w:t>
      </w:r>
      <w:r w:rsidRPr="00FC6707" w:rsidR="00100B50">
        <w:t xml:space="preserve">oes Core </w:t>
      </w:r>
      <w:r w:rsidR="002C6EE3">
        <w:t xml:space="preserve">assume a certain amount of the traffic it routes is illegal or illegitimate </w:t>
      </w:r>
      <w:r w:rsidRPr="00FC6707" w:rsidR="00100B50">
        <w:t xml:space="preserve">and then </w:t>
      </w:r>
      <w:r w:rsidR="00C76DC4">
        <w:t>calculate</w:t>
      </w:r>
      <w:r w:rsidR="00A42E16">
        <w:t>s</w:t>
      </w:r>
      <w:r w:rsidR="00C76DC4">
        <w:t xml:space="preserve"> the actual amounts of legitimate or illegitimate 8YY traffic </w:t>
      </w:r>
      <w:r w:rsidR="002C6EE3">
        <w:t>before it issue</w:t>
      </w:r>
      <w:r w:rsidR="00295D0A">
        <w:t>s</w:t>
      </w:r>
      <w:r w:rsidR="002C6EE3">
        <w:t xml:space="preserve"> a final bill to its customers</w:t>
      </w:r>
      <w:r w:rsidRPr="00FC6707" w:rsidR="00100B50">
        <w:t xml:space="preserve">?  </w:t>
      </w:r>
      <w:r w:rsidRPr="00FC6707" w:rsidR="00D73F97">
        <w:t xml:space="preserve">If </w:t>
      </w:r>
      <w:r w:rsidR="002C6EE3">
        <w:t xml:space="preserve">Core does not evaluate the legitimacy or legality of the traffic it routes in real time, how long does it usually take to </w:t>
      </w:r>
      <w:r w:rsidR="002C6EE3">
        <w:t xml:space="preserve">make that determination?  </w:t>
      </w:r>
      <w:r w:rsidRPr="00FC6707" w:rsidR="009A1AFB">
        <w:t xml:space="preserve">Is </w:t>
      </w:r>
      <w:r w:rsidR="00C76DC4">
        <w:t>th</w:t>
      </w:r>
      <w:r w:rsidR="002913C5">
        <w:t>e</w:t>
      </w:r>
      <w:r w:rsidRPr="00FC6707" w:rsidR="00001A02">
        <w:t xml:space="preserve"> process</w:t>
      </w:r>
      <w:r w:rsidRPr="00FC6707" w:rsidR="009A1AFB">
        <w:t xml:space="preserve"> </w:t>
      </w:r>
      <w:r w:rsidR="002C6EE3">
        <w:t xml:space="preserve">Core uses to determine the legitimacy of the traffic it carries </w:t>
      </w:r>
      <w:r w:rsidR="00966AE0">
        <w:t>detailed</w:t>
      </w:r>
      <w:r w:rsidRPr="00FC6707" w:rsidR="009A1AFB">
        <w:t xml:space="preserve"> in individual contracts</w:t>
      </w:r>
      <w:r w:rsidR="002C6EE3">
        <w:t xml:space="preserve">?  If not, </w:t>
      </w:r>
      <w:r w:rsidRPr="00FC6707" w:rsidR="009A1AFB">
        <w:t>is there a common industry practice</w:t>
      </w:r>
      <w:r w:rsidR="002C6EE3">
        <w:t xml:space="preserve"> that Core follows</w:t>
      </w:r>
      <w:r w:rsidRPr="00FC6707" w:rsidR="009A1AFB">
        <w:t xml:space="preserve">?  </w:t>
      </w:r>
      <w:r w:rsidR="002C6EE3">
        <w:t xml:space="preserve">Core must provide a detailed explanation of </w:t>
      </w:r>
      <w:r w:rsidR="008B7DCD">
        <w:t>the process it uses to determine the legitimacy of the 8YY traffic it carries</w:t>
      </w:r>
      <w:r w:rsidR="006D02E3">
        <w:t xml:space="preserve"> and</w:t>
      </w:r>
      <w:r w:rsidR="008B7DCD">
        <w:t xml:space="preserve"> whether that process is governed by contracts or follows industry practice.  </w:t>
      </w:r>
    </w:p>
    <w:p w:rsidR="00563A9C" w:rsidRPr="00FC6707" w:rsidP="00133345" w14:paraId="2B7E7035" w14:textId="6274EDA5">
      <w:pPr>
        <w:pStyle w:val="ParaNum"/>
      </w:pPr>
      <w:r>
        <w:t>What effect, if any, d</w:t>
      </w:r>
      <w:r w:rsidR="00421D8A">
        <w:t>o</w:t>
      </w:r>
      <w:r>
        <w:t xml:space="preserve"> the Commission’s </w:t>
      </w:r>
      <w:r w:rsidR="00C76DC4">
        <w:t>rules</w:t>
      </w:r>
      <w:r w:rsidR="00C21548">
        <w:t xml:space="preserve"> addressing</w:t>
      </w:r>
      <w:r w:rsidR="00C76DC4">
        <w:t xml:space="preserve"> illegal robocalling</w:t>
      </w:r>
      <w:r>
        <w:t xml:space="preserve"> have on Core’s proposed tariff revisions?  </w:t>
      </w:r>
      <w:r w:rsidR="00421D8A">
        <w:t>Are Core’s tariff</w:t>
      </w:r>
      <w:r>
        <w:t xml:space="preserve"> revisions intended to ensure that Core complies with the Commission’s robocalling rules?</w:t>
      </w:r>
      <w:r>
        <w:rPr>
          <w:rStyle w:val="FootnoteReference"/>
        </w:rPr>
        <w:footnoteReference w:id="96"/>
      </w:r>
      <w:r>
        <w:t xml:space="preserve">  If so, Core </w:t>
      </w:r>
      <w:r w:rsidR="002913C5">
        <w:t>must</w:t>
      </w:r>
      <w:r>
        <w:t xml:space="preserve"> provide a detailed explanation of how the revisions allow better compliance with those rules.</w:t>
      </w:r>
      <w:r w:rsidR="00421D8A">
        <w:t xml:space="preserve"> </w:t>
      </w:r>
      <w:r w:rsidR="00916DF4">
        <w:t xml:space="preserve"> </w:t>
      </w:r>
    </w:p>
    <w:p w:rsidR="00676AA1" w:rsidP="00133345" w14:paraId="2B3D638E" w14:textId="637F1199">
      <w:pPr>
        <w:pStyle w:val="ParaNum"/>
      </w:pPr>
      <w:r>
        <w:t>Core must explain why, a</w:t>
      </w:r>
      <w:r w:rsidRPr="00FC6707" w:rsidR="004313DB">
        <w:t xml:space="preserve">s an intermediate provider, </w:t>
      </w:r>
      <w:r>
        <w:t xml:space="preserve">it would conduct </w:t>
      </w:r>
      <w:r w:rsidRPr="00FC6707" w:rsidR="004313DB">
        <w:t>database que</w:t>
      </w:r>
      <w:r>
        <w:t>ries</w:t>
      </w:r>
      <w:r w:rsidR="00677C15">
        <w:t xml:space="preserve"> for 8YY calls it receives</w:t>
      </w:r>
      <w:r w:rsidRPr="00FC6707" w:rsidR="007A195B">
        <w:t>, as provided for in section</w:t>
      </w:r>
      <w:r w:rsidRPr="00FC6707" w:rsidR="00A573AF">
        <w:t>s 2.13.3.H and</w:t>
      </w:r>
      <w:r w:rsidRPr="00FC6707" w:rsidR="007A195B">
        <w:t xml:space="preserve"> 3.3</w:t>
      </w:r>
      <w:r w:rsidRPr="00FC6707" w:rsidR="006C6990">
        <w:t>.</w:t>
      </w:r>
      <w:r w:rsidRPr="00FC6707" w:rsidR="007A195B">
        <w:t>5 of its tariff revisions,</w:t>
      </w:r>
      <w:r w:rsidRPr="00FC6707" w:rsidR="004313DB">
        <w:t xml:space="preserve"> and </w:t>
      </w:r>
      <w:r>
        <w:t>why it should be allowed to charge IXCs for those queries.</w:t>
      </w:r>
      <w:r w:rsidRPr="00FC6707" w:rsidR="004313DB">
        <w:t xml:space="preserve">  </w:t>
      </w:r>
      <w:r w:rsidR="00216F21">
        <w:t xml:space="preserve">How </w:t>
      </w:r>
      <w:r w:rsidR="002913C5">
        <w:t>does</w:t>
      </w:r>
      <w:r w:rsidR="00216F21">
        <w:t xml:space="preserve"> </w:t>
      </w:r>
      <w:r w:rsidR="00421D8A">
        <w:t xml:space="preserve">Core’s conducting a database query and </w:t>
      </w:r>
      <w:r w:rsidR="002529E3">
        <w:t>assessment</w:t>
      </w:r>
      <w:r w:rsidR="00421D8A">
        <w:t xml:space="preserve"> of</w:t>
      </w:r>
      <w:r w:rsidR="00216F21">
        <w:t xml:space="preserve"> a database query charge comply with the requirements of the </w:t>
      </w:r>
      <w:r w:rsidRPr="00563A9C" w:rsidR="00216F21">
        <w:rPr>
          <w:i/>
          <w:iCs/>
        </w:rPr>
        <w:t>8YY Access Charge Reform Order</w:t>
      </w:r>
      <w:r w:rsidRPr="00421D8A" w:rsidR="00F67B73">
        <w:t>,</w:t>
      </w:r>
      <w:r w:rsidR="00F67B73">
        <w:rPr>
          <w:i/>
          <w:iCs/>
        </w:rPr>
        <w:t xml:space="preserve"> </w:t>
      </w:r>
      <w:r w:rsidRPr="00295D0A" w:rsidR="00F67B73">
        <w:t>which</w:t>
      </w:r>
      <w:r w:rsidR="00F67B73">
        <w:rPr>
          <w:i/>
          <w:iCs/>
        </w:rPr>
        <w:t xml:space="preserve"> </w:t>
      </w:r>
      <w:r w:rsidR="00F67B73">
        <w:t>places the responsibility for the database query on the originating provider and allows only one database query charge per 8YY call</w:t>
      </w:r>
      <w:r w:rsidR="00216F21">
        <w:t>?</w:t>
      </w:r>
      <w:r>
        <w:rPr>
          <w:rStyle w:val="FootnoteReference"/>
        </w:rPr>
        <w:footnoteReference w:id="97"/>
      </w:r>
      <w:r w:rsidR="00216F21">
        <w:t xml:space="preserve">  How does Core ensure that the IXC is not being charged a</w:t>
      </w:r>
      <w:r w:rsidR="002913C5">
        <w:t>nother</w:t>
      </w:r>
      <w:r w:rsidR="00216F21">
        <w:t xml:space="preserve"> database query charge by the originating carrier or any other carrier in the call flow?</w:t>
      </w:r>
      <w:r w:rsidRPr="009417BA" w:rsidR="00216F21">
        <w:t xml:space="preserve"> </w:t>
      </w:r>
      <w:r w:rsidR="00216F21">
        <w:t xml:space="preserve"> </w:t>
      </w:r>
      <w:r w:rsidRPr="00FC6707" w:rsidR="00F67B73">
        <w:t xml:space="preserve">How does Core determine </w:t>
      </w:r>
      <w:r w:rsidR="00F67B73">
        <w:t xml:space="preserve">whether it or the originating carrier should bill for </w:t>
      </w:r>
      <w:r w:rsidRPr="00FC6707" w:rsidR="00F67B73">
        <w:t xml:space="preserve">database query charges?  </w:t>
      </w:r>
      <w:r w:rsidRPr="00FC6707" w:rsidR="00310079">
        <w:t xml:space="preserve">Is there a reason that </w:t>
      </w:r>
      <w:r w:rsidR="00710A7A">
        <w:t>a</w:t>
      </w:r>
      <w:r w:rsidRPr="00FC6707" w:rsidR="00310079">
        <w:t xml:space="preserve"> carrier from wh</w:t>
      </w:r>
      <w:r w:rsidRPr="00FC6707" w:rsidR="006C6990">
        <w:t>ich</w:t>
      </w:r>
      <w:r w:rsidRPr="00FC6707" w:rsidR="00310079">
        <w:t xml:space="preserve"> Core purchase</w:t>
      </w:r>
      <w:r w:rsidR="00710A7A">
        <w:t>s</w:t>
      </w:r>
      <w:r w:rsidRPr="00FC6707" w:rsidR="00310079">
        <w:t xml:space="preserve"> </w:t>
      </w:r>
      <w:r w:rsidR="00710A7A">
        <w:t>8YY</w:t>
      </w:r>
      <w:r w:rsidR="00840127">
        <w:t xml:space="preserve"> </w:t>
      </w:r>
      <w:r w:rsidRPr="00FC6707" w:rsidR="00310079">
        <w:t xml:space="preserve">traffic would not have performed a database query?  </w:t>
      </w:r>
      <w:r w:rsidRPr="00FC6707" w:rsidR="00291459">
        <w:t>Is it correct that once a database query is conducted, the information produced as a result of that query travels with the call to its termination point, thus allowing each carrier in the call path to access that information for call routing and completion purposes?</w:t>
      </w:r>
      <w:r>
        <w:rPr>
          <w:rStyle w:val="FootnoteReference"/>
        </w:rPr>
        <w:footnoteReference w:id="98"/>
      </w:r>
      <w:r w:rsidRPr="00FC6707" w:rsidR="00291459">
        <w:t xml:space="preserve">  </w:t>
      </w:r>
      <w:r w:rsidRPr="00FC6707" w:rsidR="009B4C0C">
        <w:t>If not, w</w:t>
      </w:r>
      <w:r w:rsidRPr="00FC6707" w:rsidR="00563A9C">
        <w:t>hat</w:t>
      </w:r>
      <w:r w:rsidRPr="00FC6707" w:rsidR="006C6990">
        <w:t xml:space="preserve"> </w:t>
      </w:r>
      <w:r w:rsidR="00F67B73">
        <w:t xml:space="preserve">actions, other than conducting </w:t>
      </w:r>
      <w:r w:rsidR="00966AE0">
        <w:t>a database query</w:t>
      </w:r>
      <w:r w:rsidRPr="00FC6707" w:rsidR="00563A9C">
        <w:t xml:space="preserve">, does </w:t>
      </w:r>
      <w:r w:rsidR="00F67B73">
        <w:t xml:space="preserve">Core </w:t>
      </w:r>
      <w:r w:rsidRPr="00FC6707" w:rsidR="00563A9C">
        <w:t xml:space="preserve">need to </w:t>
      </w:r>
      <w:r w:rsidR="00F67B73">
        <w:t xml:space="preserve">perform </w:t>
      </w:r>
      <w:r w:rsidRPr="00FC6707" w:rsidR="00563A9C">
        <w:t>in order to know how to route a call?</w:t>
      </w:r>
      <w:r w:rsidR="00F67B73">
        <w:t xml:space="preserve">  In its response, Core must identify all of the “minimal functions,” beyond a database query, that are necessary for it to identify the relevant 8YY provider for any particular toll free call.</w:t>
      </w:r>
      <w:r>
        <w:rPr>
          <w:rStyle w:val="FootnoteReference"/>
        </w:rPr>
        <w:footnoteReference w:id="99"/>
      </w:r>
      <w:r w:rsidRPr="00FC6707" w:rsidR="00F67B73">
        <w:t xml:space="preserve">  </w:t>
      </w:r>
    </w:p>
    <w:p w:rsidR="00564379" w:rsidP="00133345" w14:paraId="1B2D42FA" w14:textId="35EFA8D2">
      <w:pPr>
        <w:pStyle w:val="ParaNum"/>
      </w:pPr>
      <w:r>
        <w:t>W</w:t>
      </w:r>
      <w:r w:rsidRPr="00FC6707" w:rsidR="007A195B">
        <w:t xml:space="preserve">hat steps, </w:t>
      </w:r>
      <w:r w:rsidRPr="00FC6707" w:rsidR="008A667D">
        <w:t>if</w:t>
      </w:r>
      <w:r w:rsidRPr="00FC6707" w:rsidR="007A195B">
        <w:t xml:space="preserve"> any,</w:t>
      </w:r>
      <w:r w:rsidRPr="00FC6707" w:rsidR="008A667D">
        <w:t xml:space="preserve"> </w:t>
      </w:r>
      <w:r>
        <w:t xml:space="preserve">does Core </w:t>
      </w:r>
      <w:r w:rsidRPr="00FC6707" w:rsidR="008A667D">
        <w:t xml:space="preserve">take to determine whether the 8YY traffic it purchases already contains the information </w:t>
      </w:r>
      <w:r w:rsidRPr="00FC6707" w:rsidR="007A195B">
        <w:t xml:space="preserve">necessary to route and complete a call </w:t>
      </w:r>
      <w:r w:rsidRPr="00FC6707" w:rsidR="008A667D">
        <w:t>that would make a second query</w:t>
      </w:r>
      <w:r w:rsidRPr="00FC6707" w:rsidR="00A573AF">
        <w:t>, and</w:t>
      </w:r>
      <w:r w:rsidRPr="00FC6707" w:rsidR="008A667D">
        <w:t xml:space="preserve"> charge</w:t>
      </w:r>
      <w:r w:rsidRPr="00FC6707" w:rsidR="00A573AF">
        <w:t>,</w:t>
      </w:r>
      <w:r w:rsidRPr="00FC6707" w:rsidR="008A667D">
        <w:t xml:space="preserve"> by Core unnecessary</w:t>
      </w:r>
      <w:r w:rsidR="00E51DCB">
        <w:t>?</w:t>
      </w:r>
      <w:r w:rsidRPr="00FC6707" w:rsidR="008A667D">
        <w:t xml:space="preserve">  </w:t>
      </w:r>
      <w:r w:rsidR="00676AA1">
        <w:t xml:space="preserve">What percentage of the </w:t>
      </w:r>
      <w:r w:rsidRPr="00FC6707" w:rsidR="00676AA1">
        <w:t>8YY traffic that Core purchases contain</w:t>
      </w:r>
      <w:r w:rsidR="00F67B73">
        <w:t>s</w:t>
      </w:r>
      <w:r w:rsidRPr="00FC6707" w:rsidR="00676AA1">
        <w:t xml:space="preserve"> the routing identifiers that associate 8YY traffic with a specific IXC?  </w:t>
      </w:r>
      <w:r w:rsidR="00216F21">
        <w:t>Petitioners assert that it is common industry practice for a carrier that purchases 8YY traffic to specif</w:t>
      </w:r>
      <w:r w:rsidR="00F67B73">
        <w:t>y</w:t>
      </w:r>
      <w:r w:rsidR="00216F21">
        <w:t xml:space="preserve"> which IXC’s traffic it wishes to acquire.</w:t>
      </w:r>
      <w:r>
        <w:rPr>
          <w:sz w:val="20"/>
          <w:vertAlign w:val="superscript"/>
        </w:rPr>
        <w:footnoteReference w:id="100"/>
      </w:r>
      <w:r w:rsidR="00216F21">
        <w:t xml:space="preserve"> </w:t>
      </w:r>
      <w:r w:rsidRPr="00FC6707" w:rsidR="009A1AFB">
        <w:t xml:space="preserve"> </w:t>
      </w:r>
      <w:r w:rsidRPr="00FC6707" w:rsidR="004313DB">
        <w:t xml:space="preserve">Is this </w:t>
      </w:r>
      <w:r w:rsidRPr="00FC6707" w:rsidR="00291459">
        <w:t>accurate</w:t>
      </w:r>
      <w:r w:rsidRPr="00FC6707" w:rsidR="004313DB">
        <w:t xml:space="preserve">?  </w:t>
      </w:r>
      <w:r w:rsidR="00314690">
        <w:t>Does Core specify which IXC’s traffic it wants to buy?  If not, why not?  If yes, why does that not obviate the need to query the database to determine where Core needs to route the traffic?</w:t>
      </w:r>
    </w:p>
    <w:p w:rsidR="00677C15" w:rsidRPr="00FC6707" w:rsidP="00133345" w14:paraId="4281F37C" w14:textId="2326BD0D">
      <w:pPr>
        <w:pStyle w:val="ParaNum"/>
      </w:pPr>
      <w:r w:rsidRPr="00547551">
        <w:t xml:space="preserve">Core must provide a </w:t>
      </w:r>
      <w:r>
        <w:t xml:space="preserve">clear call-flow </w:t>
      </w:r>
      <w:r w:rsidRPr="00547551">
        <w:t xml:space="preserve">diagram showing the path </w:t>
      </w:r>
      <w:r>
        <w:t>that</w:t>
      </w:r>
      <w:r w:rsidRPr="00547551">
        <w:t xml:space="preserve"> a </w:t>
      </w:r>
      <w:r>
        <w:t xml:space="preserve">typical </w:t>
      </w:r>
      <w:r w:rsidRPr="00547551">
        <w:t>8YY call</w:t>
      </w:r>
      <w:r w:rsidR="00F67B73">
        <w:t>, in which Core acts as an intermediate carrier,</w:t>
      </w:r>
      <w:r>
        <w:t xml:space="preserve"> follows from the originating caller to the 8YY subscriber.  </w:t>
      </w:r>
      <w:r w:rsidRPr="00547551">
        <w:t>The diagram</w:t>
      </w:r>
      <w:r>
        <w:t>, or an accompanying written document referring to the call-flow diagram,</w:t>
      </w:r>
      <w:r w:rsidRPr="00547551">
        <w:t xml:space="preserve"> must </w:t>
      </w:r>
      <w:r>
        <w:t>clearly indicate Core’s position in the call flow</w:t>
      </w:r>
      <w:r w:rsidR="000D6F1C">
        <w:t xml:space="preserve">, </w:t>
      </w:r>
      <w:r>
        <w:t xml:space="preserve">including an explanation of whether Core’s involvement stems from its </w:t>
      </w:r>
      <w:r w:rsidRPr="00547551">
        <w:t>purchase of the call from an originating carrier</w:t>
      </w:r>
      <w:r>
        <w:t xml:space="preserve">, 8YY call aggregator, or </w:t>
      </w:r>
      <w:r w:rsidR="006D02E3">
        <w:t>an</w:t>
      </w:r>
      <w:r>
        <w:t>other carrier, as</w:t>
      </w:r>
      <w:r w:rsidRPr="00547551">
        <w:t xml:space="preserve"> </w:t>
      </w:r>
      <w:r>
        <w:t>applicable</w:t>
      </w:r>
      <w:r w:rsidRPr="00FC6707">
        <w:t xml:space="preserve">.  </w:t>
      </w:r>
      <w:r>
        <w:t xml:space="preserve">Core must provide </w:t>
      </w:r>
      <w:r w:rsidRPr="00FC6707">
        <w:t>a detailed explanation of each step of the call flow</w:t>
      </w:r>
      <w:r w:rsidR="006D02E3">
        <w:t>;</w:t>
      </w:r>
      <w:r w:rsidRPr="00FC6707">
        <w:t xml:space="preserve"> the services and functions that Core provides</w:t>
      </w:r>
      <w:r w:rsidR="006D02E3">
        <w:t>;</w:t>
      </w:r>
      <w:r w:rsidRPr="00FC6707">
        <w:t xml:space="preserve"> </w:t>
      </w:r>
      <w:r>
        <w:t xml:space="preserve">identify </w:t>
      </w:r>
      <w:r w:rsidRPr="00FC6707">
        <w:t xml:space="preserve">any charges that are assessed </w:t>
      </w:r>
      <w:r>
        <w:t xml:space="preserve">for service provided </w:t>
      </w:r>
      <w:r w:rsidRPr="00FC6707">
        <w:t>along the call path</w:t>
      </w:r>
      <w:r w:rsidR="006D02E3">
        <w:t>; and</w:t>
      </w:r>
      <w:r w:rsidRPr="00FC6707">
        <w:t xml:space="preserve"> </w:t>
      </w:r>
      <w:r>
        <w:t>identify the type of</w:t>
      </w:r>
      <w:r w:rsidRPr="00FC6707">
        <w:t xml:space="preserve"> company assess</w:t>
      </w:r>
      <w:r>
        <w:t>ing</w:t>
      </w:r>
      <w:r w:rsidRPr="00FC6707">
        <w:t xml:space="preserve"> each charge and </w:t>
      </w:r>
      <w:r>
        <w:t xml:space="preserve">the type of companies </w:t>
      </w:r>
      <w:r w:rsidRPr="00FC6707">
        <w:t xml:space="preserve">to </w:t>
      </w:r>
      <w:r>
        <w:t xml:space="preserve">which </w:t>
      </w:r>
      <w:r w:rsidRPr="00FC6707">
        <w:t>such charges are assessed.  Core m</w:t>
      </w:r>
      <w:r w:rsidR="004F7E07">
        <w:t>u</w:t>
      </w:r>
      <w:r w:rsidRPr="00FC6707">
        <w:t>st provide information about whether each function or service is governed by tariff or contractual agreement</w:t>
      </w:r>
      <w:r>
        <w:t xml:space="preserve"> or if that varies by customer.  If</w:t>
      </w:r>
      <w:r w:rsidRPr="00FC6707">
        <w:t xml:space="preserve"> there is a tariffed charge,</w:t>
      </w:r>
      <w:r>
        <w:t xml:space="preserve"> Core must describe</w:t>
      </w:r>
      <w:r w:rsidRPr="00FC6707">
        <w:t xml:space="preserve"> what the charge is, and where it is set forth in the tariff (whether Core’s tariff or the tariff of another carrier).  Core must also list </w:t>
      </w:r>
      <w:r>
        <w:t>the</w:t>
      </w:r>
      <w:r w:rsidRPr="00FC6707">
        <w:t xml:space="preserve"> Commission rules that govern the functions and services it provides</w:t>
      </w:r>
      <w:r w:rsidR="003075BA">
        <w:t>, as depicted</w:t>
      </w:r>
      <w:r w:rsidRPr="00FC6707">
        <w:t xml:space="preserve"> in the call diagram.  </w:t>
      </w:r>
    </w:p>
    <w:p w:rsidR="00E4475A" w14:paraId="7659DB0A" w14:textId="75F8C0C9">
      <w:pPr>
        <w:pStyle w:val="Heading2"/>
      </w:pPr>
      <w:r w:rsidRPr="00676AA1">
        <w:t xml:space="preserve">Questions Related to </w:t>
      </w:r>
      <w:r w:rsidRPr="00676AA1" w:rsidR="004C0180">
        <w:t xml:space="preserve">Lawfulness of </w:t>
      </w:r>
      <w:r w:rsidRPr="00676AA1" w:rsidR="002564E5">
        <w:t xml:space="preserve">the </w:t>
      </w:r>
      <w:r w:rsidRPr="008570F4" w:rsidR="004C0180">
        <w:t>Tariff Revisions</w:t>
      </w:r>
      <w:r w:rsidRPr="008570F4" w:rsidR="002564E5">
        <w:t xml:space="preserve"> and New Tariff Language</w:t>
      </w:r>
      <w:r w:rsidRPr="008570F4" w:rsidR="004C0180">
        <w:t xml:space="preserve"> </w:t>
      </w:r>
    </w:p>
    <w:p w:rsidR="00E60BB3" w:rsidRPr="00E60BB3" w:rsidP="00133345" w14:paraId="6308C97E" w14:textId="1C791476">
      <w:pPr>
        <w:pStyle w:val="ParaNum"/>
      </w:pPr>
      <w:r>
        <w:t xml:space="preserve">Below we seek information regarding specific sections of Core’s revised tariffs.  Core should </w:t>
      </w:r>
      <w:r w:rsidR="006D02E3">
        <w:t xml:space="preserve">also </w:t>
      </w:r>
      <w:r>
        <w:t>address whether we should determine the legality of its tariff revisions in isolation</w:t>
      </w:r>
      <w:r w:rsidR="004F7E07">
        <w:t>,</w:t>
      </w:r>
      <w:r>
        <w:t xml:space="preserve"> or whether in our investigation we should consider the effect of the tariff revisions taken as a whole.  </w:t>
      </w:r>
      <w:r w:rsidR="00572EC4">
        <w:t xml:space="preserve">Core should provide support for whichever view it takes on this </w:t>
      </w:r>
      <w:r w:rsidR="0094192F">
        <w:t>question</w:t>
      </w:r>
      <w:r w:rsidR="00572EC4">
        <w:t xml:space="preserve">.  </w:t>
      </w:r>
    </w:p>
    <w:p w:rsidR="004C0180" w:rsidRPr="00FC6707" w14:paraId="6D95AED2" w14:textId="09866AAF">
      <w:pPr>
        <w:pStyle w:val="Heading3"/>
      </w:pPr>
      <w:r w:rsidRPr="00FC6707">
        <w:t>Tariff Section</w:t>
      </w:r>
      <w:r w:rsidRPr="00FC6707" w:rsidR="000C5187">
        <w:t>s</w:t>
      </w:r>
      <w:r w:rsidRPr="00FC6707">
        <w:t xml:space="preserve"> 2.10.4</w:t>
      </w:r>
      <w:r w:rsidRPr="00FC6707" w:rsidR="00A11F42">
        <w:t>.</w:t>
      </w:r>
      <w:r w:rsidRPr="00FC6707">
        <w:t>A</w:t>
      </w:r>
      <w:r w:rsidRPr="00FC6707" w:rsidR="000C5187">
        <w:t xml:space="preserve"> and 2.21</w:t>
      </w:r>
      <w:r w:rsidR="004740B5">
        <w:t>—Dispute Resolution Provisions</w:t>
      </w:r>
    </w:p>
    <w:p w:rsidR="00BA228B" w:rsidRPr="00FC6707" w:rsidP="00133345" w14:paraId="5B72198A" w14:textId="1C5D2B1B">
      <w:pPr>
        <w:pStyle w:val="ParaNum"/>
      </w:pPr>
      <w:bookmarkStart w:id="4" w:name="_Hlk72008899"/>
      <w:r w:rsidRPr="00FC6707">
        <w:t xml:space="preserve">Section 2.10.4.A of Core’s tariff revisions </w:t>
      </w:r>
      <w:r w:rsidR="00572EC4">
        <w:t xml:space="preserve">establishes </w:t>
      </w:r>
      <w:r w:rsidRPr="00FC6707">
        <w:t xml:space="preserve">the procedure a </w:t>
      </w:r>
      <w:r w:rsidR="004F7E07">
        <w:t>c</w:t>
      </w:r>
      <w:r w:rsidRPr="00FC6707">
        <w:t>ustomer must follow to raise a general billing dispute with Core in order for Core “to investigate the merits of the dispute</w:t>
      </w:r>
      <w:r>
        <w:t>.</w:t>
      </w:r>
      <w:r w:rsidR="00D429DB">
        <w:t>”</w:t>
      </w:r>
      <w:r>
        <w:rPr>
          <w:rStyle w:val="FootnoteReference"/>
        </w:rPr>
        <w:footnoteReference w:id="101"/>
      </w:r>
      <w:r>
        <w:t xml:space="preserve"> </w:t>
      </w:r>
      <w:r w:rsidRPr="00FC6707">
        <w:t xml:space="preserve"> </w:t>
      </w:r>
      <w:r w:rsidR="006B555D">
        <w:t>Petitioners argue that section 2.10.4.A “is unlawful because it makes Core the sole judge of whether an IXC’s dispute is in good faith” in contradiction with Commission precedent.</w:t>
      </w:r>
      <w:r>
        <w:rPr>
          <w:rStyle w:val="FootnoteReference"/>
        </w:rPr>
        <w:footnoteReference w:id="102"/>
      </w:r>
      <w:r w:rsidR="006B555D">
        <w:t xml:space="preserve">  Petitioners also argue that section 2.10.4.A is unreasonable, just as the tariff langu</w:t>
      </w:r>
      <w:r w:rsidR="00561E2A">
        <w:t>a</w:t>
      </w:r>
      <w:r w:rsidR="006B555D">
        <w:t xml:space="preserve">ge </w:t>
      </w:r>
      <w:r w:rsidR="00561E2A">
        <w:t>at issue</w:t>
      </w:r>
      <w:r w:rsidR="006B555D">
        <w:t xml:space="preserve"> in the </w:t>
      </w:r>
      <w:r w:rsidR="006B555D">
        <w:rPr>
          <w:i/>
          <w:iCs/>
        </w:rPr>
        <w:t xml:space="preserve">Northern Valley Order </w:t>
      </w:r>
      <w:r w:rsidR="006B555D">
        <w:t>was</w:t>
      </w:r>
      <w:r w:rsidR="00BE4892">
        <w:t xml:space="preserve"> found to be</w:t>
      </w:r>
      <w:r w:rsidR="006B555D">
        <w:t>, “‘because it conflicts with</w:t>
      </w:r>
      <w:r w:rsidR="00BE4892">
        <w:t xml:space="preserve"> </w:t>
      </w:r>
      <w:r w:rsidR="006B555D">
        <w:t>section</w:t>
      </w:r>
      <w:r w:rsidR="00BE4892">
        <w:t>s</w:t>
      </w:r>
      <w:r w:rsidR="006B555D">
        <w:t xml:space="preserve"> 206 and 208 of the Act, which allow a customer to complain to the Commission or bring suit in federal district court for the recovery of damages regarding a carrier’s alleged violation of the Act.’”</w:t>
      </w:r>
      <w:r>
        <w:rPr>
          <w:rStyle w:val="FootnoteReference"/>
        </w:rPr>
        <w:footnoteReference w:id="103"/>
      </w:r>
      <w:r w:rsidR="006B555D">
        <w:t xml:space="preserve">  </w:t>
      </w:r>
      <w:r w:rsidRPr="00FC6707" w:rsidR="00F7645A">
        <w:t xml:space="preserve">Core must explain </w:t>
      </w:r>
      <w:r w:rsidR="00473D5E">
        <w:t>why</w:t>
      </w:r>
      <w:r w:rsidRPr="00FC6707" w:rsidR="007B45D1">
        <w:t xml:space="preserve"> the</w:t>
      </w:r>
      <w:r>
        <w:t xml:space="preserve"> precedent established in the</w:t>
      </w:r>
      <w:r w:rsidRPr="00FC6707" w:rsidR="007B45D1">
        <w:t xml:space="preserve"> </w:t>
      </w:r>
      <w:r>
        <w:rPr>
          <w:i/>
          <w:iCs/>
        </w:rPr>
        <w:t xml:space="preserve">Northern Valley Order </w:t>
      </w:r>
      <w:r w:rsidR="00CE580F">
        <w:t>does not render the challenged language unlawful</w:t>
      </w:r>
      <w:r w:rsidRPr="00FC6707">
        <w:t xml:space="preserve">.  </w:t>
      </w:r>
      <w:r w:rsidR="00D429DB">
        <w:t>In its analysis on this point, Core must cite any precedent supporting the legality of the dispute resolution provision in section 2.10.4.A and explain how such cases support Core’s position</w:t>
      </w:r>
      <w:r w:rsidRPr="00FC6707">
        <w:t>.</w:t>
      </w:r>
    </w:p>
    <w:p w:rsidR="006B39D3" w:rsidRPr="00FC6707" w:rsidP="00133345" w14:paraId="5726510A" w14:textId="38998C97">
      <w:pPr>
        <w:pStyle w:val="ParaNum"/>
      </w:pPr>
      <w:r w:rsidRPr="00FC6707">
        <w:t xml:space="preserve">We next </w:t>
      </w:r>
      <w:r w:rsidRPr="00FC6707" w:rsidR="000138CA">
        <w:t xml:space="preserve">turn </w:t>
      </w:r>
      <w:r w:rsidRPr="00FC6707">
        <w:t xml:space="preserve">to </w:t>
      </w:r>
      <w:r w:rsidRPr="00FC6707" w:rsidR="00907AE1">
        <w:t>Core’s</w:t>
      </w:r>
      <w:r w:rsidRPr="00FC6707" w:rsidR="00E878D7">
        <w:t xml:space="preserve"> dispute resolution language in</w:t>
      </w:r>
      <w:r w:rsidRPr="00FC6707" w:rsidR="00907AE1">
        <w:t xml:space="preserve"> new tariff section 2.21</w:t>
      </w:r>
      <w:r w:rsidRPr="00FC6707">
        <w:t xml:space="preserve">.  </w:t>
      </w:r>
      <w:r w:rsidR="007B3D42">
        <w:t>A</w:t>
      </w:r>
      <w:r w:rsidRPr="00FC6707" w:rsidR="003A4E91">
        <w:t>s a matter of tariff construction,</w:t>
      </w:r>
      <w:r w:rsidRPr="00FC6707">
        <w:t xml:space="preserve"> </w:t>
      </w:r>
      <w:r w:rsidRPr="00FC6707">
        <w:t xml:space="preserve">we </w:t>
      </w:r>
      <w:r w:rsidR="00C314AF">
        <w:t xml:space="preserve">designate for investigation the </w:t>
      </w:r>
      <w:r w:rsidR="007B3D42">
        <w:t>question</w:t>
      </w:r>
      <w:r w:rsidRPr="00FC6707">
        <w:t xml:space="preserve"> </w:t>
      </w:r>
      <w:r w:rsidR="00C314AF">
        <w:t xml:space="preserve">of </w:t>
      </w:r>
      <w:r w:rsidRPr="00FC6707">
        <w:t xml:space="preserve">whether this provision </w:t>
      </w:r>
      <w:r w:rsidR="00C314AF">
        <w:t xml:space="preserve">is ambiguous, in violation of the Commission’s </w:t>
      </w:r>
      <w:r w:rsidRPr="00FC6707" w:rsidR="009212D6">
        <w:t xml:space="preserve">rules requiring </w:t>
      </w:r>
      <w:r w:rsidRPr="00FC6707" w:rsidR="00981D0B">
        <w:t xml:space="preserve">tariff </w:t>
      </w:r>
      <w:r w:rsidRPr="00FC6707" w:rsidR="009212D6">
        <w:t>language t</w:t>
      </w:r>
      <w:r w:rsidRPr="00FC6707" w:rsidR="00981D0B">
        <w:t xml:space="preserve">o be </w:t>
      </w:r>
      <w:r w:rsidRPr="00FC6707" w:rsidR="009212D6">
        <w:t>clear and explicit.</w:t>
      </w:r>
      <w:r>
        <w:rPr>
          <w:rStyle w:val="FootnoteReference"/>
        </w:rPr>
        <w:footnoteReference w:id="104"/>
      </w:r>
      <w:r w:rsidRPr="00FC6707" w:rsidR="009212D6">
        <w:t xml:space="preserve">  </w:t>
      </w:r>
      <w:r w:rsidRPr="00FC6707" w:rsidR="00A51D9E">
        <w:t>T</w:t>
      </w:r>
      <w:r w:rsidRPr="00FC6707" w:rsidR="009212D6">
        <w:t>he second sentence of section 2.21</w:t>
      </w:r>
      <w:r w:rsidR="00C314AF">
        <w:t>,</w:t>
      </w:r>
      <w:r w:rsidRPr="00FC6707" w:rsidR="009212D6">
        <w:t xml:space="preserve"> describ</w:t>
      </w:r>
      <w:r w:rsidR="00C314AF">
        <w:t>ing</w:t>
      </w:r>
      <w:r w:rsidRPr="00FC6707" w:rsidR="009212D6">
        <w:t xml:space="preserve"> how a billing dispute “can be sufficiently supported,” is permissive in nature because it does not set forth a mandatory condition.  The language in the last sentence of the same paragraph, however, </w:t>
      </w:r>
      <w:r w:rsidR="008E2CAF">
        <w:t xml:space="preserve">provides that “[b]illing disputes, and associated </w:t>
      </w:r>
      <w:r w:rsidR="00191DE0">
        <w:t>withholding</w:t>
      </w:r>
      <w:r w:rsidR="008E2CAF">
        <w:t xml:space="preserve"> of disputed amounts, based on allegations that the traffic sent to the Customer is suspect, fraudulent</w:t>
      </w:r>
      <w:r w:rsidR="00525062">
        <w:t>,</w:t>
      </w:r>
      <w:r w:rsidR="008E2CAF">
        <w:t xml:space="preserve"> or otherwise illegal which are not supported as described in this Section will not be considered good faith disputes.”</w:t>
      </w:r>
      <w:r>
        <w:rPr>
          <w:rStyle w:val="FootnoteReference"/>
        </w:rPr>
        <w:footnoteReference w:id="105"/>
      </w:r>
      <w:r w:rsidR="008E2CAF">
        <w:t xml:space="preserve">  </w:t>
      </w:r>
      <w:r w:rsidRPr="00FC6707" w:rsidR="005633EF">
        <w:t xml:space="preserve">Core must explain </w:t>
      </w:r>
      <w:r w:rsidR="008E2CAF">
        <w:t xml:space="preserve">how it reconciles these two parts—the permissive and mandatory language—in the new tariff section.  Core must also explain how section 2.21 of its tariff does not </w:t>
      </w:r>
      <w:r w:rsidR="004F7E07">
        <w:t xml:space="preserve">violate </w:t>
      </w:r>
      <w:r w:rsidR="008E2CAF">
        <w:t xml:space="preserve">the Commission’s rules requiring that tariff </w:t>
      </w:r>
      <w:r w:rsidR="00191DE0">
        <w:t>language</w:t>
      </w:r>
      <w:r w:rsidR="008E2CAF">
        <w:t xml:space="preserve"> be </w:t>
      </w:r>
      <w:r w:rsidRPr="00FC6707" w:rsidR="00A51D9E">
        <w:t xml:space="preserve">clear </w:t>
      </w:r>
      <w:r w:rsidR="008E2CAF">
        <w:t>and un</w:t>
      </w:r>
      <w:r w:rsidRPr="00FC6707" w:rsidR="00FF7C20">
        <w:t>ambiguous</w:t>
      </w:r>
      <w:r w:rsidRPr="00FC6707" w:rsidR="009212D6">
        <w:t>.</w:t>
      </w:r>
    </w:p>
    <w:p w:rsidR="006F0A47" w:rsidRPr="00FC6707" w:rsidP="00133345" w14:paraId="36B99A53" w14:textId="1E09A101">
      <w:pPr>
        <w:pStyle w:val="ParaNum"/>
      </w:pPr>
      <w:r>
        <w:t xml:space="preserve">Beyond the potential ambiguity of the dispute resolution provisions, we also designate for investigation the legality of </w:t>
      </w:r>
      <w:r w:rsidRPr="00FC6707">
        <w:t>Core</w:t>
      </w:r>
      <w:r>
        <w:t>’s presumption</w:t>
      </w:r>
      <w:r w:rsidRPr="00FC6707">
        <w:t xml:space="preserve"> </w:t>
      </w:r>
      <w:r w:rsidR="00521FBF">
        <w:t xml:space="preserve">in section 2.21 </w:t>
      </w:r>
      <w:r w:rsidRPr="00FC6707">
        <w:t>that all 8YY traffic not blocked by an IXC</w:t>
      </w:r>
      <w:r w:rsidR="00521FBF">
        <w:t xml:space="preserve"> </w:t>
      </w:r>
      <w:r w:rsidR="00521FBF">
        <w:t>in real time</w:t>
      </w:r>
      <w:r w:rsidRPr="00FC6707">
        <w:t xml:space="preserve"> is </w:t>
      </w:r>
      <w:r w:rsidR="003C6C04">
        <w:t>legitimate</w:t>
      </w:r>
      <w:r w:rsidR="00295D0A">
        <w:t>.</w:t>
      </w:r>
      <w:r>
        <w:rPr>
          <w:rStyle w:val="FootnoteReference"/>
        </w:rPr>
        <w:footnoteReference w:id="106"/>
      </w:r>
      <w:r w:rsidRPr="00FC6707">
        <w:t xml:space="preserve">  </w:t>
      </w:r>
      <w:r w:rsidR="00895308">
        <w:t>Why does Core</w:t>
      </w:r>
      <w:r w:rsidRPr="00FC6707" w:rsidR="004A1794">
        <w:t xml:space="preserve"> </w:t>
      </w:r>
      <w:r w:rsidR="00473D5E">
        <w:t>think</w:t>
      </w:r>
      <w:r w:rsidRPr="00FC6707" w:rsidR="00D37030">
        <w:t xml:space="preserve"> an IXC has the capability to determine</w:t>
      </w:r>
      <w:r w:rsidRPr="00FC6707" w:rsidR="006D70AA">
        <w:t>,</w:t>
      </w:r>
      <w:r w:rsidRPr="00FC6707" w:rsidR="00D37030">
        <w:t xml:space="preserve"> detect</w:t>
      </w:r>
      <w:r>
        <w:t>,</w:t>
      </w:r>
      <w:r w:rsidRPr="00FC6707" w:rsidR="006D70AA">
        <w:t xml:space="preserve"> and then block</w:t>
      </w:r>
      <w:r>
        <w:t>—</w:t>
      </w:r>
      <w:r w:rsidRPr="00FC6707" w:rsidR="00D37030">
        <w:t>in real time</w:t>
      </w:r>
      <w:r>
        <w:t>—</w:t>
      </w:r>
      <w:r w:rsidRPr="00FC6707" w:rsidR="006D70AA">
        <w:t xml:space="preserve">illegitimate </w:t>
      </w:r>
      <w:r w:rsidRPr="00FC6707" w:rsidR="00D37030">
        <w:t>8YY calls</w:t>
      </w:r>
      <w:r>
        <w:t>?</w:t>
      </w:r>
      <w:r w:rsidRPr="00FC6707" w:rsidR="00EC5A1A">
        <w:t xml:space="preserve">  </w:t>
      </w:r>
      <w:r w:rsidRPr="00FC6707" w:rsidR="00D31BDC">
        <w:t xml:space="preserve">Core </w:t>
      </w:r>
      <w:r w:rsidR="0019061F">
        <w:t>must explain whether it</w:t>
      </w:r>
      <w:r w:rsidR="001A3481">
        <w:t>,</w:t>
      </w:r>
      <w:r w:rsidR="0019061F">
        <w:t xml:space="preserve"> an IXC</w:t>
      </w:r>
      <w:r w:rsidR="001A3481">
        <w:t>, or another carrier in the call path</w:t>
      </w:r>
      <w:r w:rsidR="0019061F">
        <w:t xml:space="preserve"> is in the </w:t>
      </w:r>
      <w:r w:rsidRPr="00FC6707" w:rsidR="00D31BDC">
        <w:t>best</w:t>
      </w:r>
      <w:r w:rsidR="0019061F">
        <w:t xml:space="preserve"> position </w:t>
      </w:r>
      <w:r w:rsidRPr="00FC6707" w:rsidR="00D31BDC">
        <w:t>to determine if an 8YY call is illegitimate</w:t>
      </w:r>
      <w:r w:rsidR="0019061F">
        <w:t xml:space="preserve"> and what factors make that carrier the best</w:t>
      </w:r>
      <w:r w:rsidR="004F7E07">
        <w:t xml:space="preserve"> one</w:t>
      </w:r>
      <w:r w:rsidR="0019061F">
        <w:t xml:space="preserve"> able to determine the legitimacy of </w:t>
      </w:r>
      <w:r w:rsidR="00191DE0">
        <w:t>such</w:t>
      </w:r>
      <w:r w:rsidR="0019061F">
        <w:t xml:space="preserve"> calls.</w:t>
      </w:r>
      <w:r w:rsidRPr="00FC6707" w:rsidR="00D31BDC">
        <w:t xml:space="preserve"> </w:t>
      </w:r>
      <w:r w:rsidR="001A3481">
        <w:t xml:space="preserve"> Is Core, through its tariff revisions, attempting to make IXCs responsible for detecting, blocking</w:t>
      </w:r>
      <w:r w:rsidR="006D02E3">
        <w:t>,</w:t>
      </w:r>
      <w:r w:rsidR="001A3481">
        <w:t xml:space="preserve"> or otherwise preventing illegitimate calls?  Core must cite the legal authority it relies on to do so. </w:t>
      </w:r>
      <w:r w:rsidR="003C6C04">
        <w:t xml:space="preserve"> </w:t>
      </w:r>
      <w:r w:rsidRPr="003C6C04" w:rsidR="003C6C04">
        <w:t>Does Core bear any responsibility for detecting, blocking, or otherwise preventing illegitimate calls here?  If so, how does it discharge its responsibility?</w:t>
      </w:r>
      <w:r w:rsidR="003C6C04">
        <w:rPr>
          <w:b/>
          <w:bCs/>
        </w:rPr>
        <w:t xml:space="preserve">  </w:t>
      </w:r>
      <w:r w:rsidRPr="00FC6707" w:rsidR="003C6C04">
        <w:t xml:space="preserve"> </w:t>
      </w:r>
      <w:r w:rsidRPr="00FC6707" w:rsidR="00D31BDC">
        <w:t xml:space="preserve"> </w:t>
      </w:r>
    </w:p>
    <w:p w:rsidR="006079A4" w:rsidRPr="00FC6707" w:rsidP="00133345" w14:paraId="15845F33" w14:textId="0F0D29DC">
      <w:pPr>
        <w:pStyle w:val="ParaNum"/>
      </w:pPr>
      <w:r w:rsidRPr="00296175">
        <w:t>Do</w:t>
      </w:r>
      <w:r w:rsidRPr="00296175" w:rsidR="00397E0C">
        <w:t xml:space="preserve"> Core</w:t>
      </w:r>
      <w:r w:rsidRPr="00296175" w:rsidR="000A3EE7">
        <w:t xml:space="preserve">’s tariff </w:t>
      </w:r>
      <w:r w:rsidRPr="00296175" w:rsidR="0090793C">
        <w:t>revisions</w:t>
      </w:r>
      <w:r w:rsidRPr="00296175" w:rsidR="000A3EE7">
        <w:t xml:space="preserve"> </w:t>
      </w:r>
      <w:r w:rsidRPr="00296175" w:rsidR="004335B3">
        <w:t xml:space="preserve">give </w:t>
      </w:r>
      <w:r w:rsidRPr="00296175" w:rsidR="000A3EE7">
        <w:t xml:space="preserve">it </w:t>
      </w:r>
      <w:r w:rsidRPr="00296175" w:rsidR="00397E0C">
        <w:t xml:space="preserve">financial incentives to send all calls to IXCs, </w:t>
      </w:r>
      <w:r w:rsidRPr="00296175" w:rsidR="000A3EE7">
        <w:t>regardless of whether they are legitimate</w:t>
      </w:r>
      <w:r w:rsidRPr="00296175">
        <w:t>?</w:t>
      </w:r>
      <w:r>
        <w:rPr>
          <w:rStyle w:val="FootnoteReference"/>
        </w:rPr>
        <w:footnoteReference w:id="107"/>
      </w:r>
      <w:r w:rsidRPr="00296175" w:rsidR="000A3EE7">
        <w:t xml:space="preserve">  Core must </w:t>
      </w:r>
      <w:r w:rsidRPr="00296175" w:rsidR="00AB0A77">
        <w:t>explain</w:t>
      </w:r>
      <w:r w:rsidRPr="00FC6707" w:rsidR="00AB0A77">
        <w:t xml:space="preserve"> any incentive it has to prevent the transmission of illegitimate traffic</w:t>
      </w:r>
      <w:r w:rsidRPr="00FC6707" w:rsidR="000A3EE7">
        <w:t xml:space="preserve">.  </w:t>
      </w:r>
      <w:r w:rsidRPr="00FC6707" w:rsidR="00AB0A77">
        <w:t>Further</w:t>
      </w:r>
      <w:r w:rsidR="006D02E3">
        <w:t>more,</w:t>
      </w:r>
      <w:r w:rsidRPr="00FC6707" w:rsidR="0090793C">
        <w:t xml:space="preserve"> it</w:t>
      </w:r>
      <w:r w:rsidRPr="00FC6707" w:rsidR="00397E0C">
        <w:t xml:space="preserve"> must </w:t>
      </w:r>
      <w:r w:rsidRPr="00FC6707" w:rsidR="0090793C">
        <w:t>provide</w:t>
      </w:r>
      <w:r w:rsidR="004335B3">
        <w:t>:</w:t>
      </w:r>
      <w:r w:rsidRPr="00FC6707" w:rsidR="00AB0A77">
        <w:t xml:space="preserve"> </w:t>
      </w:r>
      <w:r w:rsidR="004335B3">
        <w:t xml:space="preserve"> </w:t>
      </w:r>
      <w:r w:rsidRPr="00FC6707" w:rsidR="00397E0C">
        <w:t xml:space="preserve">the number of illegitimate 8YY calls it </w:t>
      </w:r>
      <w:r w:rsidRPr="00FC6707" w:rsidR="0090793C">
        <w:t>received</w:t>
      </w:r>
      <w:r w:rsidRPr="00FC6707" w:rsidR="00397E0C">
        <w:t xml:space="preserve"> monthly </w:t>
      </w:r>
      <w:r w:rsidRPr="00FC6707" w:rsidR="000A3EE7">
        <w:t>in 2020 and 2021</w:t>
      </w:r>
      <w:r w:rsidR="00FE681A">
        <w:t xml:space="preserve"> and </w:t>
      </w:r>
      <w:r w:rsidR="00863595">
        <w:t>the length of</w:t>
      </w:r>
      <w:r w:rsidR="00FE681A">
        <w:t xml:space="preserve"> each call (or, if Core does not know </w:t>
      </w:r>
      <w:r w:rsidR="00863595">
        <w:t>the</w:t>
      </w:r>
      <w:r w:rsidR="00FE681A">
        <w:t xml:space="preserve"> </w:t>
      </w:r>
      <w:r w:rsidR="00863595">
        <w:t>length of</w:t>
      </w:r>
      <w:r w:rsidR="00FE681A">
        <w:t xml:space="preserve"> each 8YY call it transported</w:t>
      </w:r>
      <w:r w:rsidR="000D6F1C">
        <w:t>,</w:t>
      </w:r>
      <w:r w:rsidR="00FE681A">
        <w:t xml:space="preserve"> then </w:t>
      </w:r>
      <w:r w:rsidR="00E14832">
        <w:t>it</w:t>
      </w:r>
      <w:r w:rsidR="00863595">
        <w:t xml:space="preserve"> must provide </w:t>
      </w:r>
      <w:r w:rsidR="00FE681A">
        <w:t xml:space="preserve">the average length of the 8YY calls that </w:t>
      </w:r>
      <w:r w:rsidR="00863595">
        <w:t>it</w:t>
      </w:r>
      <w:r w:rsidR="00FE681A">
        <w:t xml:space="preserve"> </w:t>
      </w:r>
      <w:r w:rsidR="00863595">
        <w:t>sends to IXCs</w:t>
      </w:r>
      <w:r w:rsidR="00FE681A">
        <w:t>)</w:t>
      </w:r>
      <w:r w:rsidR="004335B3">
        <w:t xml:space="preserve">; the </w:t>
      </w:r>
      <w:r w:rsidRPr="00FC6707" w:rsidR="0019061F">
        <w:t>percentage of these</w:t>
      </w:r>
      <w:r w:rsidR="004335B3">
        <w:t xml:space="preserve"> illegitimate</w:t>
      </w:r>
      <w:r w:rsidRPr="00FC6707" w:rsidR="0019061F">
        <w:t xml:space="preserve"> calls </w:t>
      </w:r>
      <w:r w:rsidR="004335B3">
        <w:t xml:space="preserve">for which </w:t>
      </w:r>
      <w:r w:rsidRPr="00FC6707" w:rsidR="0019061F">
        <w:t xml:space="preserve">Core billed </w:t>
      </w:r>
      <w:r w:rsidR="004335B3">
        <w:t xml:space="preserve">an </w:t>
      </w:r>
      <w:r w:rsidRPr="00FC6707" w:rsidR="0019061F">
        <w:t>IXC or other carrier</w:t>
      </w:r>
      <w:r w:rsidR="004335B3">
        <w:t>;</w:t>
      </w:r>
      <w:r w:rsidR="0019061F">
        <w:t xml:space="preserve"> and </w:t>
      </w:r>
      <w:r w:rsidR="004335B3">
        <w:t xml:space="preserve">the </w:t>
      </w:r>
      <w:r w:rsidR="0019061F">
        <w:t>percentage</w:t>
      </w:r>
      <w:r w:rsidRPr="00FC6707" w:rsidR="00660B22">
        <w:t xml:space="preserve"> </w:t>
      </w:r>
      <w:r w:rsidR="004335B3">
        <w:t xml:space="preserve">of calls </w:t>
      </w:r>
      <w:r w:rsidR="0019061F">
        <w:t>Core</w:t>
      </w:r>
      <w:r w:rsidRPr="00FC6707" w:rsidR="00660B22">
        <w:t xml:space="preserve"> </w:t>
      </w:r>
      <w:r w:rsidR="004F7E07">
        <w:t xml:space="preserve">itself </w:t>
      </w:r>
      <w:r w:rsidRPr="00FC6707" w:rsidR="00660B22">
        <w:t>rejected</w:t>
      </w:r>
      <w:r w:rsidR="0019061F">
        <w:t xml:space="preserve"> or blocked without charging an IXC or other carrier for the call</w:t>
      </w:r>
      <w:r w:rsidRPr="00FC6707" w:rsidR="00397E0C">
        <w:t xml:space="preserve">.  </w:t>
      </w:r>
    </w:p>
    <w:p w:rsidR="00836C35" w:rsidRPr="00FC6707" w:rsidP="00133345" w14:paraId="79F2318B" w14:textId="45CC9FC4">
      <w:pPr>
        <w:pStyle w:val="ParaNum"/>
        <w:widowControl/>
      </w:pPr>
      <w:r w:rsidRPr="00FC6707">
        <w:t>In th</w:t>
      </w:r>
      <w:r w:rsidRPr="00FC6707" w:rsidR="00DA1CDC">
        <w:t xml:space="preserve">e </w:t>
      </w:r>
      <w:r w:rsidRPr="00FC6707" w:rsidR="00DA1CDC">
        <w:rPr>
          <w:i/>
          <w:iCs/>
        </w:rPr>
        <w:t>Northern Valley Order</w:t>
      </w:r>
      <w:r w:rsidRPr="00FC6707" w:rsidR="00DA1CDC">
        <w:t>,</w:t>
      </w:r>
      <w:r w:rsidRPr="00FC6707" w:rsidR="00DA1CDC">
        <w:rPr>
          <w:i/>
          <w:iCs/>
        </w:rPr>
        <w:t xml:space="preserve"> </w:t>
      </w:r>
      <w:r w:rsidRPr="00FC6707">
        <w:t>the Commission found a tariff provision requiring “all disputed charges to be paid ‘in full prior to or at the time of submitting a good faith dispute’” to be unreasonable.</w:t>
      </w:r>
      <w:r>
        <w:rPr>
          <w:sz w:val="20"/>
          <w:vertAlign w:val="superscript"/>
        </w:rPr>
        <w:footnoteReference w:id="108"/>
      </w:r>
      <w:r w:rsidRPr="00FC6707">
        <w:t xml:space="preserve">  Such a provision, the Commission </w:t>
      </w:r>
      <w:r w:rsidR="0019061F">
        <w:t>explained</w:t>
      </w:r>
      <w:r w:rsidRPr="00FC6707">
        <w:t>, would require every customer that receives a bill for access services to pay it, “no matter what the circumstances</w:t>
      </w:r>
      <w:r w:rsidRPr="00FC6707" w:rsidR="0090793C">
        <w:t> . . . </w:t>
      </w:r>
      <w:r w:rsidRPr="00FC6707">
        <w:t>in order to dispute a charge.”</w:t>
      </w:r>
      <w:r>
        <w:rPr>
          <w:sz w:val="20"/>
          <w:vertAlign w:val="superscript"/>
        </w:rPr>
        <w:footnoteReference w:id="109"/>
      </w:r>
      <w:r w:rsidRPr="00FC6707">
        <w:t xml:space="preserve"> </w:t>
      </w:r>
      <w:r w:rsidR="00423B21">
        <w:t xml:space="preserve"> Here, section 2.21 conditions </w:t>
      </w:r>
      <w:r w:rsidR="0051106D">
        <w:t>Core’s</w:t>
      </w:r>
      <w:r w:rsidR="00423B21">
        <w:t xml:space="preserve"> </w:t>
      </w:r>
      <w:r w:rsidR="00E14832">
        <w:t>determination</w:t>
      </w:r>
      <w:r w:rsidR="00423B21">
        <w:t xml:space="preserve"> of whether a dispute is made in good faith on whether an IXC </w:t>
      </w:r>
      <w:r w:rsidR="0051106D">
        <w:t xml:space="preserve">has </w:t>
      </w:r>
      <w:r w:rsidR="003C6C04">
        <w:t xml:space="preserve">either </w:t>
      </w:r>
      <w:r w:rsidR="002529E3">
        <w:t xml:space="preserve">credited or </w:t>
      </w:r>
      <w:r w:rsidR="003C6C04">
        <w:t>not billed its own customers for the traffic in dispute.</w:t>
      </w:r>
      <w:r>
        <w:rPr>
          <w:rStyle w:val="FootnoteReference"/>
        </w:rPr>
        <w:footnoteReference w:id="110"/>
      </w:r>
      <w:r w:rsidR="003C6C04">
        <w:t xml:space="preserve"> </w:t>
      </w:r>
      <w:r w:rsidRPr="00FC6707" w:rsidR="003C6C04">
        <w:t xml:space="preserve"> </w:t>
      </w:r>
      <w:r w:rsidR="003C6C04">
        <w:t>As a result, Petitioners contend that “an IXC must incur a financial penalty just to raise a dispute.”</w:t>
      </w:r>
      <w:r>
        <w:rPr>
          <w:rStyle w:val="FootnoteReference"/>
        </w:rPr>
        <w:footnoteReference w:id="111"/>
      </w:r>
      <w:r w:rsidR="003C6C04">
        <w:t xml:space="preserve">  Petitioners assert that </w:t>
      </w:r>
      <w:r w:rsidRPr="003621C3" w:rsidR="003C6C04">
        <w:t xml:space="preserve">the </w:t>
      </w:r>
      <w:r w:rsidRPr="003621C3" w:rsidR="003C6C04">
        <w:rPr>
          <w:i/>
          <w:iCs/>
        </w:rPr>
        <w:t>Northern Valley Order</w:t>
      </w:r>
      <w:r w:rsidRPr="003621C3" w:rsidR="003C6C04">
        <w:t xml:space="preserve"> </w:t>
      </w:r>
      <w:r w:rsidR="003C6C04">
        <w:t>supports their position that Core’s tariff provision is unreasonable.</w:t>
      </w:r>
      <w:r>
        <w:rPr>
          <w:rStyle w:val="FootnoteReference"/>
        </w:rPr>
        <w:footnoteReference w:id="112"/>
      </w:r>
      <w:r w:rsidR="003C6C04">
        <w:t xml:space="preserve">  </w:t>
      </w:r>
      <w:r w:rsidRPr="00FC6707" w:rsidR="00DA1CDC">
        <w:t xml:space="preserve">Core must explain </w:t>
      </w:r>
      <w:r w:rsidR="004335B3">
        <w:t xml:space="preserve">how its revisions to section 2.21 are consistent with </w:t>
      </w:r>
      <w:r w:rsidRPr="00FC6707" w:rsidR="00DA1CDC">
        <w:t>th</w:t>
      </w:r>
      <w:r w:rsidRPr="00FC6707" w:rsidR="00D31BDC">
        <w:t xml:space="preserve">e </w:t>
      </w:r>
      <w:r w:rsidRPr="00FC6707" w:rsidR="00D31BDC">
        <w:rPr>
          <w:i/>
          <w:iCs/>
        </w:rPr>
        <w:t>Northern Valley Order</w:t>
      </w:r>
      <w:r w:rsidR="004335B3">
        <w:rPr>
          <w:i/>
          <w:iCs/>
        </w:rPr>
        <w:t xml:space="preserve">.  </w:t>
      </w:r>
      <w:r w:rsidR="004335B3">
        <w:t xml:space="preserve">Core should also provide </w:t>
      </w:r>
      <w:r w:rsidRPr="00FC6707" w:rsidR="00B03F7D">
        <w:t xml:space="preserve">any </w:t>
      </w:r>
      <w:r w:rsidRPr="00FC6707" w:rsidR="00D24E3A">
        <w:t xml:space="preserve">applicable </w:t>
      </w:r>
      <w:r w:rsidRPr="00FC6707" w:rsidR="008C04A7">
        <w:t xml:space="preserve">legal </w:t>
      </w:r>
      <w:r w:rsidRPr="00FC6707" w:rsidR="00D24E3A">
        <w:t xml:space="preserve">precedent </w:t>
      </w:r>
      <w:r w:rsidR="004335B3">
        <w:t xml:space="preserve">that </w:t>
      </w:r>
      <w:r w:rsidRPr="00FC6707" w:rsidR="00D24E3A">
        <w:t>support</w:t>
      </w:r>
      <w:r w:rsidRPr="00FC6707" w:rsidR="00C41C40">
        <w:t>s</w:t>
      </w:r>
      <w:r w:rsidRPr="00FC6707" w:rsidR="00D24E3A">
        <w:t xml:space="preserve"> </w:t>
      </w:r>
      <w:r w:rsidR="004335B3">
        <w:t xml:space="preserve">its </w:t>
      </w:r>
      <w:r w:rsidRPr="00FC6707" w:rsidR="00C41C40">
        <w:t>position</w:t>
      </w:r>
      <w:r w:rsidR="004335B3">
        <w:t xml:space="preserve"> that these revisions are reasonable</w:t>
      </w:r>
      <w:r w:rsidRPr="00FC6707" w:rsidR="00C41C40">
        <w:t>.</w:t>
      </w:r>
      <w:r w:rsidRPr="00FC6707" w:rsidR="006D2BBE">
        <w:t xml:space="preserve">  </w:t>
      </w:r>
    </w:p>
    <w:p w:rsidR="00165611" w:rsidRPr="00FC6707" w:rsidP="00133345" w14:paraId="1C2D496C" w14:textId="7CE68DF3">
      <w:pPr>
        <w:pStyle w:val="ParaNum"/>
      </w:pPr>
      <w:r w:rsidRPr="00FC6707">
        <w:t xml:space="preserve">Core </w:t>
      </w:r>
      <w:r w:rsidRPr="00FC6707" w:rsidR="00B25A52">
        <w:t xml:space="preserve">also </w:t>
      </w:r>
      <w:r w:rsidRPr="00FC6707" w:rsidR="0081014C">
        <w:t xml:space="preserve">denies </w:t>
      </w:r>
      <w:r w:rsidRPr="00FC6707" w:rsidR="00C154F7">
        <w:t xml:space="preserve">Petitioners’ </w:t>
      </w:r>
      <w:r w:rsidRPr="00FC6707" w:rsidR="00AA66F5">
        <w:t xml:space="preserve">allegations that section 2.21 impermissibly interferes with IXC customer contracts that contain separate terms and conditions under which </w:t>
      </w:r>
      <w:r w:rsidRPr="00FC6707" w:rsidR="004C0B2B">
        <w:t xml:space="preserve">an </w:t>
      </w:r>
      <w:r w:rsidRPr="00FC6707" w:rsidR="00AA66F5">
        <w:t>IXC</w:t>
      </w:r>
      <w:r w:rsidRPr="00FC6707" w:rsidR="00527A7F">
        <w:t xml:space="preserve"> </w:t>
      </w:r>
      <w:r w:rsidRPr="00FC6707" w:rsidR="00D31BDC">
        <w:t xml:space="preserve">may </w:t>
      </w:r>
      <w:r w:rsidR="000C0C0A">
        <w:t>credit</w:t>
      </w:r>
      <w:r w:rsidR="00895308">
        <w:t xml:space="preserve"> its customers</w:t>
      </w:r>
      <w:r w:rsidRPr="00FC6707" w:rsidR="00AA66F5">
        <w:t>.</w:t>
      </w:r>
      <w:r>
        <w:rPr>
          <w:rStyle w:val="FootnoteReference"/>
        </w:rPr>
        <w:footnoteReference w:id="113"/>
      </w:r>
      <w:r w:rsidRPr="00FC6707" w:rsidR="00AA66F5">
        <w:t xml:space="preserve">  </w:t>
      </w:r>
      <w:r w:rsidRPr="00FC6707" w:rsidR="00D111AF">
        <w:t xml:space="preserve">Core </w:t>
      </w:r>
      <w:r w:rsidR="0019061F">
        <w:t>argues</w:t>
      </w:r>
      <w:r w:rsidRPr="00FC6707" w:rsidR="00D111AF">
        <w:t xml:space="preserve"> </w:t>
      </w:r>
      <w:r w:rsidRPr="00FC6707" w:rsidR="0031296B">
        <w:t xml:space="preserve">that IXCs </w:t>
      </w:r>
      <w:r w:rsidRPr="00FC6707" w:rsidR="00EE2FEC">
        <w:t xml:space="preserve">should not be allowed to </w:t>
      </w:r>
      <w:r w:rsidRPr="00FC6707" w:rsidR="00F07EC5">
        <w:t xml:space="preserve">withhold payment through self-help for </w:t>
      </w:r>
      <w:r w:rsidRPr="00FC6707" w:rsidR="00793310">
        <w:t>8YY traffic that IXCs claim is illegitimate</w:t>
      </w:r>
      <w:r w:rsidRPr="00FC6707" w:rsidR="00B25A52">
        <w:t>,</w:t>
      </w:r>
      <w:r w:rsidRPr="00FC6707" w:rsidR="00793310">
        <w:t xml:space="preserve"> when </w:t>
      </w:r>
      <w:r w:rsidRPr="00FC6707" w:rsidR="002526B6">
        <w:t xml:space="preserve">the </w:t>
      </w:r>
      <w:r w:rsidRPr="00FC6707" w:rsidR="00793310">
        <w:t xml:space="preserve">IXC </w:t>
      </w:r>
      <w:r w:rsidRPr="00FC6707" w:rsidR="002526B6">
        <w:t xml:space="preserve">“collects compensation </w:t>
      </w:r>
      <w:r w:rsidRPr="00FC6707" w:rsidR="003277D7">
        <w:t>from its customers for that same traffic.”</w:t>
      </w:r>
      <w:r>
        <w:rPr>
          <w:rStyle w:val="FootnoteReference"/>
        </w:rPr>
        <w:footnoteReference w:id="114"/>
      </w:r>
      <w:r w:rsidRPr="00FC6707" w:rsidR="003A20F4">
        <w:t xml:space="preserve"> </w:t>
      </w:r>
      <w:r w:rsidRPr="00FC6707" w:rsidR="0090793C">
        <w:t xml:space="preserve"> </w:t>
      </w:r>
      <w:r w:rsidRPr="00FC6707" w:rsidR="00A94F6B">
        <w:t xml:space="preserve">Core </w:t>
      </w:r>
      <w:r w:rsidRPr="00FC6707" w:rsidR="00063FE0">
        <w:t xml:space="preserve">argues that </w:t>
      </w:r>
      <w:r w:rsidRPr="00FC6707" w:rsidR="00E35BAD">
        <w:t xml:space="preserve">its tariff revisions </w:t>
      </w:r>
      <w:r w:rsidRPr="00FC6707" w:rsidR="00B767C5">
        <w:t xml:space="preserve">are “intended to curb” </w:t>
      </w:r>
      <w:r w:rsidRPr="00FC6707" w:rsidR="001A6B67">
        <w:t>this “type of rampant</w:t>
      </w:r>
      <w:r w:rsidRPr="00FC6707" w:rsidR="00EB6709">
        <w:t xml:space="preserve"> self-help and abuse.”</w:t>
      </w:r>
      <w:r>
        <w:rPr>
          <w:rStyle w:val="FootnoteReference"/>
        </w:rPr>
        <w:footnoteReference w:id="115"/>
      </w:r>
      <w:r w:rsidRPr="00FC6707" w:rsidR="00EB6709">
        <w:t xml:space="preserve">  </w:t>
      </w:r>
      <w:r w:rsidRPr="00FC6707" w:rsidR="00740204">
        <w:t xml:space="preserve">Core must </w:t>
      </w:r>
      <w:r w:rsidRPr="00FC6707" w:rsidR="00AA6590">
        <w:t xml:space="preserve">explain </w:t>
      </w:r>
      <w:r w:rsidRPr="00FC6707" w:rsidR="00BA1683">
        <w:t xml:space="preserve">why </w:t>
      </w:r>
      <w:r w:rsidRPr="00FC6707" w:rsidR="00D31BDC">
        <w:t>section 2.21</w:t>
      </w:r>
      <w:r w:rsidRPr="00FC6707" w:rsidR="00BA1683">
        <w:t xml:space="preserve"> is reasonable</w:t>
      </w:r>
      <w:r w:rsidR="00F8452C">
        <w:t>.</w:t>
      </w:r>
      <w:r w:rsidR="00FE59C3">
        <w:t xml:space="preserve">  Core’s filing must </w:t>
      </w:r>
      <w:r w:rsidRPr="00FC6707" w:rsidR="00B37304">
        <w:t>includ</w:t>
      </w:r>
      <w:r w:rsidR="00FE59C3">
        <w:t>e</w:t>
      </w:r>
      <w:r w:rsidRPr="00FC6707" w:rsidR="00B37304">
        <w:t xml:space="preserve"> any </w:t>
      </w:r>
      <w:r w:rsidRPr="00FC6707" w:rsidR="0065054F">
        <w:t xml:space="preserve">arguments </w:t>
      </w:r>
      <w:r w:rsidR="00FE59C3">
        <w:t xml:space="preserve">it has for </w:t>
      </w:r>
      <w:r w:rsidRPr="00FC6707" w:rsidR="0065054F">
        <w:t xml:space="preserve">why </w:t>
      </w:r>
      <w:r w:rsidRPr="00FC6707" w:rsidR="00B37304">
        <w:t xml:space="preserve">requiring </w:t>
      </w:r>
      <w:r w:rsidR="00473D5E">
        <w:t xml:space="preserve">an IXC </w:t>
      </w:r>
      <w:r w:rsidR="00FE59C3">
        <w:t xml:space="preserve">to </w:t>
      </w:r>
      <w:r w:rsidR="00473D5E">
        <w:t xml:space="preserve">provide </w:t>
      </w:r>
      <w:r w:rsidRPr="00FC6707" w:rsidR="00B37304">
        <w:t xml:space="preserve">credits to </w:t>
      </w:r>
      <w:r w:rsidR="00473D5E">
        <w:t>its own</w:t>
      </w:r>
      <w:r w:rsidRPr="00FC6707" w:rsidR="00B37304">
        <w:t xml:space="preserve"> customers</w:t>
      </w:r>
      <w:r w:rsidRPr="00FC6707" w:rsidR="0065054F">
        <w:t xml:space="preserve"> </w:t>
      </w:r>
      <w:r w:rsidR="00473D5E">
        <w:t xml:space="preserve">before it can raise a </w:t>
      </w:r>
      <w:r w:rsidR="00473D5E">
        <w:t xml:space="preserve">dispute with Core </w:t>
      </w:r>
      <w:r w:rsidRPr="00FC6707" w:rsidR="002625DC">
        <w:t xml:space="preserve">would not </w:t>
      </w:r>
      <w:r w:rsidRPr="00FC6707" w:rsidR="0071232E">
        <w:t xml:space="preserve">materially </w:t>
      </w:r>
      <w:r w:rsidRPr="00FC6707" w:rsidR="002625DC">
        <w:t>affect the terms and conditions for</w:t>
      </w:r>
      <w:r w:rsidR="000C0C0A">
        <w:t xml:space="preserve"> refunds or</w:t>
      </w:r>
      <w:r w:rsidRPr="00FC6707" w:rsidR="002625DC">
        <w:t xml:space="preserve"> </w:t>
      </w:r>
      <w:r w:rsidR="000C0C0A">
        <w:t>credits</w:t>
      </w:r>
      <w:r w:rsidRPr="00FC6707" w:rsidR="002625DC">
        <w:t xml:space="preserve"> in </w:t>
      </w:r>
      <w:r w:rsidR="00FE59C3">
        <w:t xml:space="preserve">the </w:t>
      </w:r>
      <w:r w:rsidRPr="00FC6707" w:rsidR="002625DC">
        <w:t xml:space="preserve">IXCs’ contracts with their own customers.  </w:t>
      </w:r>
      <w:r w:rsidRPr="00FC6707" w:rsidR="006D1310">
        <w:t xml:space="preserve">Core </w:t>
      </w:r>
      <w:r w:rsidR="00FE59C3">
        <w:t xml:space="preserve">also </w:t>
      </w:r>
      <w:r w:rsidRPr="00FC6707" w:rsidR="006D1310">
        <w:t xml:space="preserve">must </w:t>
      </w:r>
      <w:r w:rsidRPr="00FC6707" w:rsidR="00694DED">
        <w:t xml:space="preserve">clarify </w:t>
      </w:r>
      <w:r w:rsidRPr="00FC6707" w:rsidR="00A3318E">
        <w:t xml:space="preserve">whether </w:t>
      </w:r>
      <w:r w:rsidR="00E251A5">
        <w:t>section 2.21 is intended</w:t>
      </w:r>
      <w:r w:rsidRPr="00FC6707" w:rsidR="00A3318E">
        <w:t xml:space="preserve"> to </w:t>
      </w:r>
      <w:r w:rsidRPr="00FC6707">
        <w:t>prevent</w:t>
      </w:r>
      <w:r w:rsidR="00FE59C3">
        <w:t xml:space="preserve"> or deter</w:t>
      </w:r>
      <w:r w:rsidRPr="00FC6707">
        <w:t xml:space="preserve"> IXC</w:t>
      </w:r>
      <w:r w:rsidRPr="00FC6707" w:rsidR="00442DA4">
        <w:t>s</w:t>
      </w:r>
      <w:r w:rsidRPr="00FC6707">
        <w:t xml:space="preserve"> </w:t>
      </w:r>
      <w:r w:rsidR="00FE59C3">
        <w:t xml:space="preserve">from </w:t>
      </w:r>
      <w:r w:rsidR="00473D5E">
        <w:t>engag</w:t>
      </w:r>
      <w:r w:rsidR="00FE59C3">
        <w:t>ing</w:t>
      </w:r>
      <w:r w:rsidR="00473D5E">
        <w:t xml:space="preserve"> in </w:t>
      </w:r>
      <w:r w:rsidRPr="00FC6707">
        <w:t>lawful self-help remed</w:t>
      </w:r>
      <w:r w:rsidR="00473D5E">
        <w:t>ies</w:t>
      </w:r>
      <w:r w:rsidRPr="00FC6707" w:rsidR="00A279EA">
        <w:t>.  Core must</w:t>
      </w:r>
      <w:r w:rsidRPr="00FC6707" w:rsidR="00FB3376">
        <w:t xml:space="preserve"> </w:t>
      </w:r>
      <w:r w:rsidRPr="00FC6707" w:rsidR="009D3BE7">
        <w:t xml:space="preserve">cite Commission and other </w:t>
      </w:r>
      <w:r w:rsidRPr="00FC6707" w:rsidR="00F5778B">
        <w:t xml:space="preserve">legal precedent </w:t>
      </w:r>
      <w:r w:rsidRPr="00FC6707" w:rsidR="000E5727">
        <w:t xml:space="preserve">on </w:t>
      </w:r>
      <w:r w:rsidR="00FE59C3">
        <w:t xml:space="preserve">whether the IXC’s actions that Core complains about constitute unlawful </w:t>
      </w:r>
      <w:r w:rsidRPr="00FC6707" w:rsidR="009C4F39">
        <w:t>self-help</w:t>
      </w:r>
      <w:r w:rsidRPr="00FC6707" w:rsidR="00653148">
        <w:t>.</w:t>
      </w:r>
      <w:r w:rsidRPr="00FC6707">
        <w:t xml:space="preserve">  </w:t>
      </w:r>
    </w:p>
    <w:p w:rsidR="007C3489" w:rsidRPr="00FC6707" w:rsidP="00133345" w14:paraId="3B5ECC87" w14:textId="5C52E007">
      <w:pPr>
        <w:pStyle w:val="ParaNum"/>
      </w:pPr>
      <w:r w:rsidRPr="00FC6707">
        <w:t xml:space="preserve">Core must also </w:t>
      </w:r>
      <w:r w:rsidR="00473D5E">
        <w:t>explain whether an</w:t>
      </w:r>
      <w:r w:rsidRPr="00FC6707" w:rsidR="00045300">
        <w:t xml:space="preserve"> IXC</w:t>
      </w:r>
      <w:r w:rsidR="00473D5E">
        <w:t>’s decision to</w:t>
      </w:r>
      <w:r w:rsidRPr="00FC6707" w:rsidR="006079A4">
        <w:t xml:space="preserve"> </w:t>
      </w:r>
      <w:r w:rsidRPr="00FC6707" w:rsidR="00045300">
        <w:t>provide bundled or flat-rate</w:t>
      </w:r>
      <w:r w:rsidR="00473D5E">
        <w:t>d</w:t>
      </w:r>
      <w:r w:rsidRPr="00FC6707" w:rsidR="00045300">
        <w:t xml:space="preserve"> service</w:t>
      </w:r>
      <w:r w:rsidRPr="00FC6707" w:rsidR="006079A4">
        <w:t xml:space="preserve"> to </w:t>
      </w:r>
      <w:r w:rsidR="00473D5E">
        <w:t>its</w:t>
      </w:r>
      <w:r w:rsidRPr="00FC6707" w:rsidR="006079A4">
        <w:t xml:space="preserve"> own customers</w:t>
      </w:r>
      <w:r w:rsidR="00473D5E">
        <w:t xml:space="preserve"> would</w:t>
      </w:r>
      <w:r w:rsidRPr="00FC6707" w:rsidR="006079A4">
        <w:t xml:space="preserve"> diminish th</w:t>
      </w:r>
      <w:r w:rsidR="00473D5E">
        <w:t>at</w:t>
      </w:r>
      <w:r w:rsidRPr="00FC6707" w:rsidR="006079A4">
        <w:t xml:space="preserve"> IXC</w:t>
      </w:r>
      <w:r w:rsidR="00473D5E">
        <w:t>’</w:t>
      </w:r>
      <w:r w:rsidRPr="00FC6707" w:rsidR="006079A4">
        <w:t>s</w:t>
      </w:r>
      <w:r w:rsidR="00473D5E">
        <w:t xml:space="preserve"> ability</w:t>
      </w:r>
      <w:r w:rsidRPr="00FC6707" w:rsidR="006079A4">
        <w:t xml:space="preserve"> to </w:t>
      </w:r>
      <w:r w:rsidRPr="00FC6707" w:rsidR="00660B22">
        <w:t>provide the information required pursuant to Core’s tariff provision for a good faith dispute</w:t>
      </w:r>
      <w:r w:rsidRPr="00FC6707" w:rsidR="006079A4">
        <w:t>—</w:t>
      </w:r>
      <w:r w:rsidR="00473D5E">
        <w:t xml:space="preserve">namely, </w:t>
      </w:r>
      <w:r w:rsidRPr="00FC6707" w:rsidR="006079A4">
        <w:t xml:space="preserve">“documentation demonstrating that, because such traffic was fraudulent or otherwise illegal, the </w:t>
      </w:r>
      <w:r w:rsidRPr="00FC6707" w:rsidR="00450A82">
        <w:t>[IXC’s]</w:t>
      </w:r>
      <w:r w:rsidRPr="00FC6707" w:rsidR="006079A4">
        <w:t xml:space="preserve"> customer either (1) was not assessed otherwise applicable usage-based charges, or (2) the otherwise applicable usage charges were credited</w:t>
      </w:r>
      <w:r w:rsidR="004F7E07">
        <w:t>.</w:t>
      </w:r>
      <w:r w:rsidRPr="00FC6707" w:rsidR="006079A4">
        <w:t>”</w:t>
      </w:r>
      <w:r>
        <w:rPr>
          <w:rStyle w:val="FootnoteReference"/>
        </w:rPr>
        <w:footnoteReference w:id="116"/>
      </w:r>
      <w:r w:rsidRPr="00FC6707" w:rsidR="006079A4">
        <w:t xml:space="preserve"> </w:t>
      </w:r>
      <w:r w:rsidRPr="00FC6707" w:rsidR="003F7386">
        <w:t xml:space="preserve"> </w:t>
      </w:r>
      <w:r w:rsidR="00473D5E">
        <w:t>How would Core propose an IXC demonstrate that it did not assess usage-based charges on, or credited such charges back to, a customer that receives bundled or flat-rated services from the IXC?</w:t>
      </w:r>
    </w:p>
    <w:bookmarkEnd w:id="4"/>
    <w:p w:rsidR="00680F19" w:rsidRPr="00FC6707" w14:paraId="397754CC" w14:textId="0B13F8C6">
      <w:pPr>
        <w:pStyle w:val="Heading3"/>
      </w:pPr>
      <w:r w:rsidRPr="00FC6707">
        <w:t>Tariff Section 2.10.5</w:t>
      </w:r>
      <w:r w:rsidR="004740B5">
        <w:t>—Late Payment Fees</w:t>
      </w:r>
      <w:r w:rsidRPr="00FC6707">
        <w:t xml:space="preserve"> </w:t>
      </w:r>
    </w:p>
    <w:p w:rsidR="00FE5A8B" w:rsidRPr="00FC6707" w:rsidP="00133345" w14:paraId="0A77D191" w14:textId="3D2AC7CA">
      <w:pPr>
        <w:pStyle w:val="ParaNum"/>
        <w:rPr>
          <w:szCs w:val="22"/>
        </w:rPr>
      </w:pPr>
      <w:r w:rsidRPr="00FC6707">
        <w:t xml:space="preserve">Core must </w:t>
      </w:r>
      <w:r w:rsidR="002338B4">
        <w:t>provide any evidence supporting</w:t>
      </w:r>
      <w:r w:rsidRPr="00FC6707">
        <w:t xml:space="preserve"> a </w:t>
      </w:r>
      <w:r w:rsidR="00FE59C3">
        <w:t xml:space="preserve">finding that a </w:t>
      </w:r>
      <w:r w:rsidRPr="00FC6707">
        <w:t xml:space="preserve">3% </w:t>
      </w:r>
      <w:r w:rsidR="002338B4">
        <w:t xml:space="preserve">per month </w:t>
      </w:r>
      <w:r w:rsidRPr="00FC6707" w:rsidR="002338B4">
        <w:t xml:space="preserve">late fee </w:t>
      </w:r>
      <w:r w:rsidR="00FE59C3">
        <w:t>i</w:t>
      </w:r>
      <w:r w:rsidRPr="00FC6707">
        <w:t>s just and reasonable</w:t>
      </w:r>
      <w:r w:rsidR="00FE59C3">
        <w:t>, as required by</w:t>
      </w:r>
      <w:r w:rsidRPr="00FC6707">
        <w:t xml:space="preserve"> section 201(b) of the Act.  </w:t>
      </w:r>
      <w:r w:rsidR="002338B4">
        <w:t xml:space="preserve">As part of its response, Core must provide examples of </w:t>
      </w:r>
      <w:r w:rsidRPr="006F355B" w:rsidR="002338B4">
        <w:t>late</w:t>
      </w:r>
      <w:r w:rsidR="002338B4">
        <w:t>-</w:t>
      </w:r>
      <w:r w:rsidRPr="006F355B" w:rsidR="002338B4">
        <w:t>payment fee</w:t>
      </w:r>
      <w:r w:rsidR="002338B4">
        <w:t>s</w:t>
      </w:r>
      <w:r w:rsidRPr="006F355B" w:rsidR="002338B4">
        <w:t xml:space="preserve"> </w:t>
      </w:r>
      <w:r w:rsidR="002338B4">
        <w:t xml:space="preserve">other </w:t>
      </w:r>
      <w:r w:rsidRPr="006F355B" w:rsidR="002338B4">
        <w:t>LECs</w:t>
      </w:r>
      <w:r w:rsidR="002338B4">
        <w:t xml:space="preserve"> charge their customers</w:t>
      </w:r>
      <w:r w:rsidR="001711C3">
        <w:t xml:space="preserve"> and explain the basis for charging any higher late fees</w:t>
      </w:r>
      <w:r w:rsidRPr="00FC6707" w:rsidR="00660B22">
        <w:t>.</w:t>
      </w:r>
      <w:r w:rsidRPr="00FC6707">
        <w:t xml:space="preserve">  </w:t>
      </w:r>
      <w:r w:rsidR="00500720">
        <w:t>Core must also explain h</w:t>
      </w:r>
      <w:r w:rsidRPr="00FC6707" w:rsidR="008307BB">
        <w:t xml:space="preserve">ow </w:t>
      </w:r>
      <w:r w:rsidR="00500720">
        <w:t xml:space="preserve">this </w:t>
      </w:r>
      <w:r w:rsidRPr="00FC6707" w:rsidR="00FD7E7E">
        <w:t>tariff provision</w:t>
      </w:r>
      <w:r w:rsidR="00500720">
        <w:t>, which purports to charge customers the lesser of a listed rate or another rate that is not listed in its tariff—“the highest rate permitted by applicable law”—is consistent with the requirement that all tariffs</w:t>
      </w:r>
      <w:r w:rsidRPr="00FC6707">
        <w:t xml:space="preserve"> must contain “clear and explicit explanatory statements regarding the rates and regulations” to “remove all doubt as to their proper application</w:t>
      </w:r>
      <w:r w:rsidR="00E14832">
        <w:t>.</w:t>
      </w:r>
      <w:r w:rsidRPr="00FC6707">
        <w:t>”</w:t>
      </w:r>
      <w:r>
        <w:rPr>
          <w:rStyle w:val="FootnoteReference"/>
        </w:rPr>
        <w:footnoteReference w:id="117"/>
      </w:r>
      <w:r w:rsidRPr="00FC6707">
        <w:t xml:space="preserve">  </w:t>
      </w:r>
    </w:p>
    <w:p w:rsidR="004E2289" w:rsidRPr="00FC6707" w:rsidP="00A12980" w14:paraId="0225CE66" w14:textId="6521CC9F">
      <w:pPr>
        <w:pStyle w:val="Heading3"/>
      </w:pPr>
      <w:bookmarkStart w:id="6" w:name="_Hlk72022379"/>
      <w:bookmarkStart w:id="7" w:name="_Hlk72022258"/>
      <w:r w:rsidRPr="00FC6707">
        <w:t xml:space="preserve">Tariff Section </w:t>
      </w:r>
      <w:r w:rsidRPr="00FC6707" w:rsidR="00680F19">
        <w:t>2.13.3.H</w:t>
      </w:r>
      <w:r w:rsidR="004740B5">
        <w:t>—Cancellation by Company</w:t>
      </w:r>
      <w:r w:rsidRPr="00FC6707" w:rsidR="00680F19">
        <w:t xml:space="preserve"> </w:t>
      </w:r>
    </w:p>
    <w:p w:rsidR="00A87945" w:rsidRPr="00FC6707" w:rsidP="00133345" w14:paraId="55DE02AD" w14:textId="2066E841">
      <w:pPr>
        <w:pStyle w:val="ParaNum"/>
      </w:pPr>
      <w:r>
        <w:t>The revisions to section 2.13.3.H apply to customer</w:t>
      </w:r>
      <w:r w:rsidR="0094192F">
        <w:t>s</w:t>
      </w:r>
      <w:r>
        <w:t xml:space="preserve"> </w:t>
      </w:r>
      <w:r w:rsidR="004B3287">
        <w:t xml:space="preserve">to which </w:t>
      </w:r>
      <w:r>
        <w:t>Core has discontinued service.</w:t>
      </w:r>
      <w:r>
        <w:rPr>
          <w:rStyle w:val="FootnoteReference"/>
        </w:rPr>
        <w:footnoteReference w:id="118"/>
      </w:r>
      <w:r>
        <w:t xml:space="preserve">  </w:t>
      </w:r>
      <w:r w:rsidR="00AA0BF6">
        <w:t xml:space="preserve">As a threshold issue, Core must provide justification for its attempt to impose tariffed charges on </w:t>
      </w:r>
      <w:r w:rsidR="004B3287">
        <w:t>carrier</w:t>
      </w:r>
      <w:r w:rsidR="00063003">
        <w:t xml:space="preserve"> customer</w:t>
      </w:r>
      <w:r w:rsidR="004B3287">
        <w:t xml:space="preserve">s </w:t>
      </w:r>
      <w:r w:rsidR="00AA0BF6">
        <w:t>to wh</w:t>
      </w:r>
      <w:r w:rsidR="004B3287">
        <w:t>ich</w:t>
      </w:r>
      <w:r w:rsidR="00AA0BF6">
        <w:t xml:space="preserve"> it has discontinued service</w:t>
      </w:r>
      <w:r w:rsidR="00853A1E">
        <w:t>,</w:t>
      </w:r>
      <w:r w:rsidR="00AA0BF6">
        <w:t xml:space="preserve"> includ</w:t>
      </w:r>
      <w:r w:rsidR="00E14832">
        <w:t>ing</w:t>
      </w:r>
      <w:r w:rsidR="00AA0BF6">
        <w:t xml:space="preserve"> any legal authority.  </w:t>
      </w:r>
      <w:r w:rsidR="00A122A3">
        <w:t>I</w:t>
      </w:r>
      <w:r w:rsidR="00D9484B">
        <w:t xml:space="preserve">s Core providing a </w:t>
      </w:r>
      <w:r w:rsidRPr="00A122A3" w:rsidR="00D9484B">
        <w:t>service</w:t>
      </w:r>
      <w:r w:rsidR="00D9484B">
        <w:t xml:space="preserve"> to an IXC if it conducts a database query that allows Core to determine that it will not deliver traffic to that IXC?  </w:t>
      </w:r>
      <w:r w:rsidRPr="00FC6707" w:rsidR="001768FE">
        <w:t xml:space="preserve">Core is also directed to </w:t>
      </w:r>
      <w:r w:rsidR="00AA0BF6">
        <w:t xml:space="preserve">list any </w:t>
      </w:r>
      <w:r w:rsidRPr="00FC6707" w:rsidR="001768FE">
        <w:t>services</w:t>
      </w:r>
      <w:r w:rsidR="00AA0BF6">
        <w:t>, other than 8YY database queries, that i</w:t>
      </w:r>
      <w:r w:rsidR="00D9484B">
        <w:t xml:space="preserve">t </w:t>
      </w:r>
      <w:r w:rsidR="00AA0BF6">
        <w:t>purports to continue</w:t>
      </w:r>
      <w:r w:rsidR="00D9484B">
        <w:t xml:space="preserve"> to provide to </w:t>
      </w:r>
      <w:r w:rsidR="004F7E07">
        <w:t xml:space="preserve">a </w:t>
      </w:r>
      <w:r w:rsidR="00D9484B">
        <w:t xml:space="preserve">discontinued customer.  </w:t>
      </w:r>
      <w:r w:rsidRPr="00FC6707" w:rsidR="001768FE">
        <w:t xml:space="preserve">How and when does Core determine that service to a customer is or will be discontinued?  </w:t>
      </w:r>
      <w:r w:rsidR="00AA0BF6">
        <w:t xml:space="preserve">Core must also explain how its use of the undefined term “minimal functions” </w:t>
      </w:r>
      <w:r w:rsidR="004F7E07">
        <w:t>is</w:t>
      </w:r>
      <w:r w:rsidR="00AA0BF6">
        <w:t xml:space="preserve"> clear and unambiguous, as required by the Commission’s rules</w:t>
      </w:r>
      <w:r w:rsidRPr="00FC6707" w:rsidR="005F470D">
        <w:t>.</w:t>
      </w:r>
      <w:r>
        <w:rPr>
          <w:rStyle w:val="FootnoteReference"/>
        </w:rPr>
        <w:footnoteReference w:id="119"/>
      </w:r>
      <w:r w:rsidRPr="00FC6707">
        <w:t xml:space="preserve">  </w:t>
      </w:r>
      <w:r w:rsidR="00421D8A">
        <w:t>What is Core’s definition of “minimal functions” as used in section 2.13.3.H of its tariff?  Should Core include a definition of “minimal functions” in its tariff?</w:t>
      </w:r>
    </w:p>
    <w:p w:rsidR="00E930DB" w:rsidRPr="00FC6707" w:rsidP="00133345" w14:paraId="75F14C97" w14:textId="4F488279">
      <w:pPr>
        <w:pStyle w:val="ParaNum"/>
      </w:pPr>
      <w:r>
        <w:t xml:space="preserve">In addition, </w:t>
      </w:r>
      <w:r w:rsidRPr="00084D19" w:rsidR="00FC6707">
        <w:t xml:space="preserve">Core must explain how </w:t>
      </w:r>
      <w:r w:rsidR="00FC6707">
        <w:t>its</w:t>
      </w:r>
      <w:r w:rsidRPr="00FB410A" w:rsidR="00FC6707">
        <w:t xml:space="preserve"> </w:t>
      </w:r>
      <w:r w:rsidRPr="00084D19" w:rsidR="00FC6707">
        <w:t xml:space="preserve">tariff changes </w:t>
      </w:r>
      <w:r w:rsidR="00316157">
        <w:t xml:space="preserve">will </w:t>
      </w:r>
      <w:r w:rsidR="00FC6707">
        <w:t>conform to the</w:t>
      </w:r>
      <w:r w:rsidRPr="00084D19" w:rsidR="00FC6707">
        <w:t xml:space="preserve"> </w:t>
      </w:r>
      <w:r w:rsidR="00FC6707">
        <w:t xml:space="preserve">database query limitations adopted in the </w:t>
      </w:r>
      <w:r w:rsidRPr="00A87945" w:rsidR="00FC6707">
        <w:rPr>
          <w:i/>
          <w:iCs/>
        </w:rPr>
        <w:t>8YY Access Charge Reform Order</w:t>
      </w:r>
      <w:r w:rsidR="004A598E">
        <w:rPr>
          <w:i/>
          <w:iCs/>
        </w:rPr>
        <w:t xml:space="preserve"> </w:t>
      </w:r>
      <w:r w:rsidR="004A598E">
        <w:t>and the accompanying rules</w:t>
      </w:r>
      <w:r w:rsidRPr="00FC6707">
        <w:t xml:space="preserve">.  </w:t>
      </w:r>
      <w:r w:rsidR="004A598E">
        <w:t xml:space="preserve">How does Core ensure that </w:t>
      </w:r>
      <w:r w:rsidRPr="00084D19" w:rsidR="004A598E">
        <w:t>th</w:t>
      </w:r>
      <w:r w:rsidR="004A598E">
        <w:t xml:space="preserve">e revised tariff </w:t>
      </w:r>
      <w:r w:rsidR="00316157">
        <w:t>will</w:t>
      </w:r>
      <w:r w:rsidR="004A598E">
        <w:t xml:space="preserve"> not lead to duplicative database queries (impermissible “double dipping”) in contravention of the </w:t>
      </w:r>
      <w:r w:rsidR="004A598E">
        <w:rPr>
          <w:i/>
          <w:iCs/>
        </w:rPr>
        <w:t>8YY Access Charge Reform Order</w:t>
      </w:r>
      <w:r w:rsidRPr="00084D19" w:rsidR="004A598E">
        <w:t>?</w:t>
      </w:r>
      <w:r>
        <w:rPr>
          <w:rStyle w:val="FootnoteReference"/>
        </w:rPr>
        <w:footnoteReference w:id="120"/>
      </w:r>
      <w:r w:rsidRPr="00084D19" w:rsidR="004A598E">
        <w:t xml:space="preserve">  </w:t>
      </w:r>
      <w:r w:rsidR="004A598E">
        <w:t xml:space="preserve">To the extent that Core is trying </w:t>
      </w:r>
      <w:r w:rsidR="004A598E">
        <w:t>to tariff charges that will be prohibited once the new 8YY rules take effect in July,</w:t>
      </w:r>
      <w:r>
        <w:rPr>
          <w:rStyle w:val="FootnoteReference"/>
        </w:rPr>
        <w:footnoteReference w:id="121"/>
      </w:r>
      <w:r w:rsidR="004A598E">
        <w:t xml:space="preserve"> it must explain why it is just and reasonable for it to adopt new tariff provisions that contravene the </w:t>
      </w:r>
      <w:r w:rsidR="00296175">
        <w:t>requirements</w:t>
      </w:r>
      <w:r w:rsidR="005B76DA">
        <w:t xml:space="preserve"> </w:t>
      </w:r>
      <w:r w:rsidR="004A598E">
        <w:t xml:space="preserve">the Commission explicitly </w:t>
      </w:r>
      <w:r w:rsidR="005B76DA">
        <w:t xml:space="preserve">adopted </w:t>
      </w:r>
      <w:r w:rsidR="004A598E">
        <w:t xml:space="preserve">in the </w:t>
      </w:r>
      <w:r w:rsidRPr="00A87945" w:rsidR="004A598E">
        <w:rPr>
          <w:i/>
          <w:iCs/>
        </w:rPr>
        <w:t>8YY Access Charge Reform Order</w:t>
      </w:r>
      <w:r w:rsidRPr="004A598E" w:rsidR="004A598E">
        <w:t>.</w:t>
      </w:r>
      <w:r>
        <w:rPr>
          <w:rStyle w:val="FootnoteReference"/>
        </w:rPr>
        <w:footnoteReference w:id="122"/>
      </w:r>
      <w:r w:rsidRPr="004A598E" w:rsidR="004A598E">
        <w:t xml:space="preserve"> </w:t>
      </w:r>
      <w:r w:rsidR="004A598E">
        <w:t xml:space="preserve"> Core must </w:t>
      </w:r>
      <w:r w:rsidR="00444222">
        <w:t xml:space="preserve">provide any justification it has </w:t>
      </w:r>
      <w:r w:rsidRPr="006F355B" w:rsidR="004A598E">
        <w:t xml:space="preserve">for </w:t>
      </w:r>
      <w:r w:rsidR="00444222">
        <w:t xml:space="preserve">imposing </w:t>
      </w:r>
      <w:r w:rsidR="004A598E">
        <w:t>database query charges</w:t>
      </w:r>
      <w:r w:rsidR="00444222">
        <w:t>,</w:t>
      </w:r>
      <w:r w:rsidR="004A598E">
        <w:t xml:space="preserve"> as provided in its revised</w:t>
      </w:r>
      <w:r w:rsidR="00444222">
        <w:t xml:space="preserve"> tariff, even though it is not the originating carrier</w:t>
      </w:r>
      <w:r w:rsidR="004A598E">
        <w:t>.</w:t>
      </w:r>
      <w:r w:rsidRPr="00FC6707" w:rsidR="00A87945">
        <w:t xml:space="preserve">  </w:t>
      </w:r>
      <w:r w:rsidR="00421D8A">
        <w:t xml:space="preserve">At the conclusion of this tariff investigation, </w:t>
      </w:r>
      <w:r w:rsidR="005861FF">
        <w:t>how will Core</w:t>
      </w:r>
      <w:r w:rsidR="00A122A3">
        <w:t xml:space="preserve"> ensure </w:t>
      </w:r>
      <w:r w:rsidR="004A598E">
        <w:t xml:space="preserve">future </w:t>
      </w:r>
      <w:r w:rsidR="00A122A3">
        <w:t>compliance with rule</w:t>
      </w:r>
      <w:r w:rsidR="00C26A98">
        <w:t xml:space="preserve"> 51.905(d)</w:t>
      </w:r>
      <w:r w:rsidR="00C52484">
        <w:t>,</w:t>
      </w:r>
      <w:r w:rsidR="00853A1E">
        <w:t xml:space="preserve"> which limits the imposition of </w:t>
      </w:r>
      <w:r w:rsidR="008A4FD2">
        <w:t>database query charge</w:t>
      </w:r>
      <w:r w:rsidR="00C52484">
        <w:t>s</w:t>
      </w:r>
      <w:r w:rsidR="00C26A98">
        <w:t>?</w:t>
      </w:r>
      <w:r>
        <w:rPr>
          <w:rStyle w:val="FootnoteReference"/>
        </w:rPr>
        <w:footnoteReference w:id="123"/>
      </w:r>
      <w:r w:rsidR="00A122A3">
        <w:t xml:space="preserve"> </w:t>
      </w:r>
      <w:r w:rsidR="004F7E07">
        <w:t xml:space="preserve">  </w:t>
      </w:r>
    </w:p>
    <w:bookmarkEnd w:id="6"/>
    <w:p w:rsidR="00680F19" w:rsidRPr="00FC6707" w14:paraId="3A210AAF" w14:textId="60224219">
      <w:pPr>
        <w:pStyle w:val="Heading3"/>
      </w:pPr>
      <w:r w:rsidRPr="00FC6707">
        <w:t>Tariff Section 3.3.5</w:t>
      </w:r>
      <w:r w:rsidR="00D472B9">
        <w:t>—Toll Free Interexchange Delivery Service</w:t>
      </w:r>
    </w:p>
    <w:bookmarkEnd w:id="7"/>
    <w:p w:rsidR="007D2BD6" w:rsidRPr="00FC6707" w:rsidP="00133345" w14:paraId="34C97C96" w14:textId="3C3B4ECB">
      <w:pPr>
        <w:pStyle w:val="ParaNum"/>
      </w:pPr>
      <w:r w:rsidRPr="00FC6707">
        <w:t>The revisions to s</w:t>
      </w:r>
      <w:r w:rsidRPr="00FC6707" w:rsidR="00B92E87">
        <w:t xml:space="preserve">ection 3.3.5 </w:t>
      </w:r>
      <w:r w:rsidRPr="00FC6707" w:rsidR="00BF498F">
        <w:t xml:space="preserve">of </w:t>
      </w:r>
      <w:r w:rsidRPr="00FC6707" w:rsidR="00FC6707">
        <w:t>Core</w:t>
      </w:r>
      <w:r w:rsidR="00FC6707">
        <w:t>’s</w:t>
      </w:r>
      <w:r w:rsidRPr="00FC6707" w:rsidR="00FC6707">
        <w:t xml:space="preserve"> </w:t>
      </w:r>
      <w:r w:rsidRPr="00FC6707" w:rsidR="00BF498F">
        <w:t xml:space="preserve">tariff </w:t>
      </w:r>
      <w:r w:rsidRPr="00FC6707" w:rsidR="00B92E87">
        <w:t>provide</w:t>
      </w:r>
      <w:r w:rsidR="00FC6707">
        <w:t xml:space="preserve"> it</w:t>
      </w:r>
      <w:r w:rsidRPr="00FC6707" w:rsidR="00B92E87">
        <w:t xml:space="preserve"> </w:t>
      </w:r>
      <w:r w:rsidRPr="00FC6707" w:rsidR="008631B6">
        <w:t xml:space="preserve">with </w:t>
      </w:r>
      <w:r w:rsidRPr="00FC6707" w:rsidR="00B92E87">
        <w:t>the right to charge an IXC</w:t>
      </w:r>
      <w:r w:rsidRPr="00FC6707" w:rsidR="008631B6">
        <w:t xml:space="preserve"> for 8YY database queries “even if the underlying call is not completed.”</w:t>
      </w:r>
      <w:r>
        <w:rPr>
          <w:sz w:val="20"/>
          <w:vertAlign w:val="superscript"/>
        </w:rPr>
        <w:footnoteReference w:id="124"/>
      </w:r>
      <w:r w:rsidRPr="00FC6707" w:rsidR="008631B6">
        <w:t xml:space="preserve">  </w:t>
      </w:r>
      <w:r w:rsidRPr="00FC6707" w:rsidR="00BF498F">
        <w:t>Core must explain the rationale for this provision</w:t>
      </w:r>
      <w:r w:rsidRPr="00FC6707" w:rsidR="00665B48">
        <w:t xml:space="preserve"> and why it is just and reasonable</w:t>
      </w:r>
      <w:r w:rsidRPr="00FC6707" w:rsidR="00BF498F">
        <w:t>.</w:t>
      </w:r>
      <w:r>
        <w:rPr>
          <w:rStyle w:val="FootnoteReference"/>
        </w:rPr>
        <w:footnoteReference w:id="125"/>
      </w:r>
      <w:r w:rsidRPr="00FC6707" w:rsidR="00BF498F">
        <w:t xml:space="preserve">  </w:t>
      </w:r>
      <w:r w:rsidRPr="00FC6707">
        <w:t>What legal authority</w:t>
      </w:r>
      <w:r w:rsidRPr="00FC6707" w:rsidR="00A87945">
        <w:t xml:space="preserve"> does</w:t>
      </w:r>
      <w:r w:rsidRPr="00FC6707">
        <w:t xml:space="preserve"> Core rel</w:t>
      </w:r>
      <w:r w:rsidRPr="00FC6707" w:rsidR="00A87945">
        <w:t>y</w:t>
      </w:r>
      <w:r w:rsidRPr="00FC6707">
        <w:t xml:space="preserve"> on for charging </w:t>
      </w:r>
      <w:r w:rsidR="00D9484B">
        <w:t xml:space="preserve">an IXC a </w:t>
      </w:r>
      <w:r w:rsidRPr="00FC6707" w:rsidR="00E930DB">
        <w:t>database quer</w:t>
      </w:r>
      <w:r w:rsidR="00D9484B">
        <w:t>y</w:t>
      </w:r>
      <w:r w:rsidRPr="00FC6707" w:rsidR="00E930DB">
        <w:t xml:space="preserve"> even if the call is not completed</w:t>
      </w:r>
      <w:r w:rsidRPr="00FC6707">
        <w:t xml:space="preserve">?  Core is directed to explain how </w:t>
      </w:r>
      <w:r w:rsidR="00E251A5">
        <w:t>section 3.3.5</w:t>
      </w:r>
      <w:r w:rsidRPr="00FC6707">
        <w:t xml:space="preserve"> is consistent with the Commission’s </w:t>
      </w:r>
      <w:r w:rsidR="004A598E">
        <w:t xml:space="preserve">express </w:t>
      </w:r>
      <w:r w:rsidRPr="00FC6707">
        <w:t>policy and goal</w:t>
      </w:r>
      <w:r w:rsidRPr="00FC6707" w:rsidR="00A87945">
        <w:t>s</w:t>
      </w:r>
      <w:r w:rsidRPr="00FC6707">
        <w:t xml:space="preserve"> </w:t>
      </w:r>
      <w:r w:rsidRPr="00FC6707" w:rsidR="00A87945">
        <w:t>of</w:t>
      </w:r>
      <w:r w:rsidRPr="00FC6707">
        <w:t xml:space="preserve"> decreas</w:t>
      </w:r>
      <w:r w:rsidR="004A598E">
        <w:t>ing</w:t>
      </w:r>
      <w:r w:rsidRPr="00FC6707">
        <w:t xml:space="preserve"> inefficiencies in 8YY call routing and compensation and reduc</w:t>
      </w:r>
      <w:r w:rsidR="004A598E">
        <w:t>ing</w:t>
      </w:r>
      <w:r w:rsidRPr="00FC6707">
        <w:t xml:space="preserve"> or eliminat</w:t>
      </w:r>
      <w:r w:rsidR="004A598E">
        <w:t>ing</w:t>
      </w:r>
      <w:r w:rsidRPr="00FC6707">
        <w:t xml:space="preserve"> carriers’ incentives to engage in </w:t>
      </w:r>
      <w:r w:rsidR="00C52484">
        <w:t xml:space="preserve">8YY </w:t>
      </w:r>
      <w:r w:rsidRPr="00FC6707">
        <w:t>arbitrage.</w:t>
      </w:r>
      <w:r>
        <w:rPr>
          <w:rStyle w:val="FootnoteReference"/>
        </w:rPr>
        <w:footnoteReference w:id="126"/>
      </w:r>
      <w:r w:rsidR="008307BB">
        <w:t xml:space="preserve">  </w:t>
      </w:r>
    </w:p>
    <w:p w:rsidR="00C23862" w:rsidRPr="00FC6707" w14:paraId="2F960626" w14:textId="77777777">
      <w:pPr>
        <w:pStyle w:val="Heading3"/>
      </w:pPr>
      <w:r w:rsidRPr="00FC6707">
        <w:t xml:space="preserve">Comparison to Incumbent Local Exchange Carrier Tariffs </w:t>
      </w:r>
    </w:p>
    <w:p w:rsidR="003E2307" w:rsidRPr="00FC6707" w:rsidP="00133345" w14:paraId="4C1721AA" w14:textId="0003F190">
      <w:pPr>
        <w:pStyle w:val="ParaNum"/>
      </w:pPr>
      <w:r w:rsidRPr="00FC6707">
        <w:t xml:space="preserve">Core must provide the language </w:t>
      </w:r>
      <w:r w:rsidRPr="00FC6707" w:rsidR="006D5E74">
        <w:t>it claims it duplicated from</w:t>
      </w:r>
      <w:r w:rsidRPr="00FC6707">
        <w:t xml:space="preserve"> other carriers’ tariffs</w:t>
      </w:r>
      <w:r w:rsidR="007D2066">
        <w:t xml:space="preserve"> and include </w:t>
      </w:r>
      <w:r w:rsidR="00E251A5">
        <w:t>c</w:t>
      </w:r>
      <w:r w:rsidR="007D2066">
        <w:t>itations to the language in those carriers’ tariffs</w:t>
      </w:r>
      <w:r w:rsidRPr="00FC6707">
        <w:t xml:space="preserve">.  </w:t>
      </w:r>
      <w:r w:rsidR="007D2066">
        <w:t>According to Core, th</w:t>
      </w:r>
      <w:r w:rsidR="00E251A5">
        <w:t>e</w:t>
      </w:r>
      <w:r w:rsidR="007D2066">
        <w:t xml:space="preserve"> </w:t>
      </w:r>
      <w:r w:rsidR="00E251A5">
        <w:t>duplication of tariffed language</w:t>
      </w:r>
      <w:r w:rsidR="007D2066">
        <w:t xml:space="preserve"> renders “any allegations by Petitioners against these provisions</w:t>
      </w:r>
      <w:r w:rsidR="00525062">
        <w:t> </w:t>
      </w:r>
      <w:r w:rsidR="007D2066">
        <w:t>.</w:t>
      </w:r>
      <w:r w:rsidR="00525062">
        <w:t> </w:t>
      </w:r>
      <w:r w:rsidR="007D2066">
        <w:t>.</w:t>
      </w:r>
      <w:r w:rsidR="00525062">
        <w:t> </w:t>
      </w:r>
      <w:r w:rsidR="007D2066">
        <w:t>.</w:t>
      </w:r>
      <w:r w:rsidR="00525062">
        <w:t> </w:t>
      </w:r>
      <w:r w:rsidR="007D2066">
        <w:t>meaningless.”</w:t>
      </w:r>
      <w:r>
        <w:rPr>
          <w:sz w:val="20"/>
          <w:vertAlign w:val="superscript"/>
        </w:rPr>
        <w:footnoteReference w:id="127"/>
      </w:r>
      <w:r w:rsidRPr="006420EC" w:rsidR="007D2066">
        <w:t xml:space="preserve"> </w:t>
      </w:r>
      <w:r w:rsidR="007D2066">
        <w:t xml:space="preserve"> </w:t>
      </w:r>
      <w:r w:rsidRPr="00FC6707">
        <w:t xml:space="preserve">Core must explain </w:t>
      </w:r>
      <w:r w:rsidR="007D2066">
        <w:t xml:space="preserve">the legal basis for its claim that any </w:t>
      </w:r>
      <w:r w:rsidRPr="00FC6707">
        <w:t xml:space="preserve">duplication of language used in other tariffs provides </w:t>
      </w:r>
      <w:r w:rsidR="00473D5E">
        <w:t>it</w:t>
      </w:r>
      <w:r w:rsidRPr="00FC6707">
        <w:t xml:space="preserve"> with a defense to challenges to its </w:t>
      </w:r>
      <w:r w:rsidRPr="00FC6707" w:rsidR="001B151D">
        <w:t xml:space="preserve">own </w:t>
      </w:r>
      <w:r w:rsidRPr="00FC6707">
        <w:t xml:space="preserve">tariff </w:t>
      </w:r>
      <w:r w:rsidRPr="00FC6707" w:rsidR="006D5E74">
        <w:t>revisions</w:t>
      </w:r>
      <w:r w:rsidRPr="00FC6707">
        <w:t xml:space="preserve">.  </w:t>
      </w:r>
      <w:r w:rsidRPr="00FC6707" w:rsidR="00014CDC">
        <w:t>I</w:t>
      </w:r>
      <w:r w:rsidRPr="00FC6707" w:rsidR="000951C2">
        <w:t xml:space="preserve">n evaluating </w:t>
      </w:r>
      <w:r w:rsidRPr="00FC6707" w:rsidR="001B151D">
        <w:t xml:space="preserve">Core’s reliance on language from other </w:t>
      </w:r>
      <w:r w:rsidR="007D2066">
        <w:t xml:space="preserve">carriers’ </w:t>
      </w:r>
      <w:r w:rsidRPr="00FC6707" w:rsidR="001B151D">
        <w:t>tariffs</w:t>
      </w:r>
      <w:r w:rsidRPr="00FC6707" w:rsidR="0049771B">
        <w:t>,</w:t>
      </w:r>
      <w:r w:rsidRPr="00FC6707" w:rsidR="000951C2">
        <w:t xml:space="preserve"> should the Commission </w:t>
      </w:r>
      <w:r w:rsidRPr="00FC6707" w:rsidR="007E3F81">
        <w:t>take into consideration</w:t>
      </w:r>
      <w:r w:rsidRPr="00FC6707" w:rsidR="000951C2">
        <w:t xml:space="preserve"> the totality of the</w:t>
      </w:r>
      <w:r w:rsidRPr="00FC6707" w:rsidR="007E3F81">
        <w:t xml:space="preserve"> language</w:t>
      </w:r>
      <w:r w:rsidR="00444222">
        <w:t xml:space="preserve"> in Core’s tariff</w:t>
      </w:r>
      <w:r w:rsidR="007D2066">
        <w:t xml:space="preserve">—and not just the </w:t>
      </w:r>
      <w:r w:rsidRPr="00FC6707" w:rsidR="007E3F81">
        <w:t>revis</w:t>
      </w:r>
      <w:r w:rsidR="007D2066">
        <w:t>ions—</w:t>
      </w:r>
      <w:r w:rsidRPr="00FC6707" w:rsidR="007E3F81">
        <w:t>t</w:t>
      </w:r>
      <w:r w:rsidRPr="00FC6707" w:rsidR="001B151D">
        <w:t>o</w:t>
      </w:r>
      <w:r w:rsidRPr="00FC6707" w:rsidR="000951C2">
        <w:t xml:space="preserve"> </w:t>
      </w:r>
      <w:r w:rsidR="007D2066">
        <w:t>determine</w:t>
      </w:r>
      <w:r w:rsidRPr="00FC6707" w:rsidR="000951C2">
        <w:t xml:space="preserve"> </w:t>
      </w:r>
      <w:r w:rsidRPr="00FC6707" w:rsidR="007E3F81">
        <w:t xml:space="preserve">the lawfulness of </w:t>
      </w:r>
      <w:r w:rsidRPr="00FC6707" w:rsidR="00E53E5F">
        <w:t>Core’s</w:t>
      </w:r>
      <w:r w:rsidRPr="00FC6707" w:rsidR="007E3F81">
        <w:t xml:space="preserve"> tariff revisions</w:t>
      </w:r>
      <w:r w:rsidRPr="00FC6707" w:rsidR="000951C2">
        <w:t>?</w:t>
      </w:r>
      <w:r w:rsidRPr="00FC6707" w:rsidR="00E67C70">
        <w:t xml:space="preserve"> </w:t>
      </w:r>
      <w:r w:rsidRPr="00FC6707" w:rsidR="007E3F81">
        <w:t xml:space="preserve"> </w:t>
      </w:r>
      <w:r w:rsidRPr="00FC6707" w:rsidR="00FC6707">
        <w:t>Core must</w:t>
      </w:r>
      <w:r w:rsidR="00546783">
        <w:t xml:space="preserve"> </w:t>
      </w:r>
      <w:r w:rsidRPr="00FC6707" w:rsidR="00FC6707">
        <w:t xml:space="preserve">provide any relevant Commission precedent </w:t>
      </w:r>
      <w:r w:rsidR="008E7537">
        <w:t>addressing</w:t>
      </w:r>
      <w:r w:rsidRPr="00FC6707" w:rsidR="00FC6707">
        <w:t xml:space="preserve"> </w:t>
      </w:r>
      <w:r w:rsidR="00FC6707">
        <w:t>these</w:t>
      </w:r>
      <w:r w:rsidRPr="00FC6707" w:rsidR="00FC6707">
        <w:t xml:space="preserve"> </w:t>
      </w:r>
      <w:r w:rsidR="00FC6707">
        <w:t>issues</w:t>
      </w:r>
      <w:r w:rsidRPr="00FC6707" w:rsidR="00FC6707">
        <w:t>.</w:t>
      </w:r>
    </w:p>
    <w:p w:rsidR="004A1AB3" w:rsidRPr="00FC6707" w14:paraId="34FE7597" w14:textId="77777777">
      <w:pPr>
        <w:pStyle w:val="Heading1"/>
        <w:spacing w:before="120"/>
        <w:rPr>
          <w:szCs w:val="22"/>
        </w:rPr>
      </w:pPr>
      <w:r w:rsidRPr="00FC6707">
        <w:t>procedural matters</w:t>
      </w:r>
    </w:p>
    <w:p w:rsidR="004A1AB3" w:rsidRPr="00FC6707" w:rsidP="00133345" w14:paraId="20F1EF2F" w14:textId="7A0947FD">
      <w:pPr>
        <w:pStyle w:val="ParaNum"/>
      </w:pPr>
      <w:r w:rsidRPr="00FC6707">
        <w:rPr>
          <w:i/>
        </w:rPr>
        <w:t>Filing Schedule</w:t>
      </w:r>
      <w:r w:rsidRPr="00FC6707">
        <w:t xml:space="preserve">. </w:t>
      </w:r>
      <w:r w:rsidRPr="00FC6707">
        <w:rPr>
          <w:i/>
        </w:rPr>
        <w:t xml:space="preserve"> </w:t>
      </w:r>
      <w:r w:rsidRPr="00FC6707">
        <w:t>This investigation is designated WC Docket No. 2</w:t>
      </w:r>
      <w:r w:rsidRPr="00FC6707" w:rsidR="00E350E5">
        <w:t>1-19</w:t>
      </w:r>
      <w:r w:rsidRPr="00FC6707">
        <w:t xml:space="preserve">1.  </w:t>
      </w:r>
      <w:r w:rsidRPr="00FC6707" w:rsidR="00E350E5">
        <w:t>Core</w:t>
      </w:r>
      <w:r w:rsidRPr="00FC6707">
        <w:t xml:space="preserve"> Communications, </w:t>
      </w:r>
      <w:r w:rsidRPr="00FC6707" w:rsidR="00E350E5">
        <w:t>Inc. et al.</w:t>
      </w:r>
      <w:r w:rsidRPr="00FC6707">
        <w:t xml:space="preserve"> (</w:t>
      </w:r>
      <w:r w:rsidRPr="00FC6707" w:rsidR="00E350E5">
        <w:t>Core</w:t>
      </w:r>
      <w:r w:rsidRPr="00FC6707">
        <w:t>) is designated as a party to this investigation of the listed tariff filing.</w:t>
      </w:r>
    </w:p>
    <w:p w:rsidR="004A1AB3" w:rsidRPr="00FC6707" w:rsidP="00133345" w14:paraId="7C71A2EE" w14:textId="6EE6E867">
      <w:pPr>
        <w:pStyle w:val="ParaNum"/>
      </w:pPr>
      <w:r w:rsidRPr="00FC6707">
        <w:t>Core</w:t>
      </w:r>
      <w:r w:rsidRPr="00FC6707" w:rsidR="00626888">
        <w:t xml:space="preserve"> shall file its Direct Case no later than</w:t>
      </w:r>
      <w:r w:rsidR="00252566">
        <w:t xml:space="preserve"> July 14, 2021.</w:t>
      </w:r>
      <w:r w:rsidRPr="00FC6707" w:rsidR="00626888">
        <w:t xml:space="preserve">  The Direct Case must present </w:t>
      </w:r>
      <w:r w:rsidRPr="00FC6707">
        <w:t>Core’s</w:t>
      </w:r>
      <w:r w:rsidRPr="00FC6707" w:rsidR="00626888">
        <w:t xml:space="preserve"> </w:t>
      </w:r>
      <w:r w:rsidR="007B1B18">
        <w:t>answers to the questions posed</w:t>
      </w:r>
      <w:r w:rsidRPr="00FC6707" w:rsidR="00626888">
        <w:t xml:space="preserve"> in this Order</w:t>
      </w:r>
      <w:r w:rsidR="00F8452C">
        <w:t xml:space="preserve"> and be organized</w:t>
      </w:r>
      <w:r w:rsidRPr="00F8452C" w:rsidR="00F8452C">
        <w:t xml:space="preserve"> </w:t>
      </w:r>
      <w:r w:rsidR="00F8452C">
        <w:t xml:space="preserve">in a manner that follows the </w:t>
      </w:r>
      <w:r w:rsidR="000B2CC9">
        <w:t>sequence</w:t>
      </w:r>
      <w:r w:rsidR="00F8452C">
        <w:t xml:space="preserve"> of the questions and requests for information contained in each paragraph of </w:t>
      </w:r>
      <w:r w:rsidR="000B2CC9">
        <w:t>this</w:t>
      </w:r>
      <w:r w:rsidRPr="000B2CC9" w:rsidR="00F8452C">
        <w:t xml:space="preserve"> Order</w:t>
      </w:r>
      <w:r w:rsidR="00F8452C">
        <w:rPr>
          <w:i/>
          <w:iCs/>
        </w:rPr>
        <w:t xml:space="preserve">.  </w:t>
      </w:r>
      <w:r w:rsidR="00F8452C">
        <w:t>For instance, in providing answers to questions in each paragraph, Core should identify the para</w:t>
      </w:r>
      <w:r w:rsidR="00916DF4">
        <w:t>graph</w:t>
      </w:r>
      <w:r w:rsidR="00F8452C">
        <w:t xml:space="preserve"> the question is in, restate the question or questions, and state the response.  Core should follow this procedure for its responses throughout its Direct Case</w:t>
      </w:r>
      <w:r w:rsidRPr="00FC6707" w:rsidR="00626888">
        <w:t xml:space="preserve">.  Pleadings responding to the Direct Case may be filed no later than </w:t>
      </w:r>
      <w:r w:rsidR="00252566">
        <w:t>July 28, 2021</w:t>
      </w:r>
      <w:r w:rsidRPr="00FC6707" w:rsidR="00626888">
        <w:t xml:space="preserve">, and must be captioned “Oppositions to Direct Case” or “Comments on Direct Case.”  </w:t>
      </w:r>
      <w:r w:rsidR="003D0A0E">
        <w:t xml:space="preserve">Oppositions must also be organized in a manner that follows the order of the </w:t>
      </w:r>
      <w:r w:rsidR="00C85A58">
        <w:t>questions</w:t>
      </w:r>
      <w:r w:rsidR="003D0A0E">
        <w:t xml:space="preserve"> and requests for information contained in each paragraph of this </w:t>
      </w:r>
      <w:r w:rsidRPr="00A42E16" w:rsidR="003D0A0E">
        <w:t>Order</w:t>
      </w:r>
      <w:r w:rsidR="003D0A0E">
        <w:t xml:space="preserve">.  </w:t>
      </w:r>
      <w:r w:rsidRPr="00FC6707" w:rsidR="00626888">
        <w:t xml:space="preserve">Additional pleadings will not be </w:t>
      </w:r>
      <w:r w:rsidRPr="00FC6707" w:rsidR="00626888">
        <w:t>permitted or considered,</w:t>
      </w:r>
      <w:r>
        <w:rPr>
          <w:rStyle w:val="FootnoteReference"/>
        </w:rPr>
        <w:footnoteReference w:id="128"/>
      </w:r>
      <w:r w:rsidRPr="00FC6707" w:rsidR="00626888">
        <w:t xml:space="preserve"> but </w:t>
      </w:r>
      <w:r w:rsidRPr="00FC6707" w:rsidR="00626888">
        <w:rPr>
          <w:i/>
        </w:rPr>
        <w:t>ex parte</w:t>
      </w:r>
      <w:r w:rsidRPr="00FC6707" w:rsidR="00626888">
        <w:t xml:space="preserve"> presentations will be accepted until </w:t>
      </w:r>
      <w:r w:rsidRPr="00735B5D" w:rsidR="004041A1">
        <w:rPr>
          <w:bCs/>
        </w:rPr>
        <w:t xml:space="preserve">September </w:t>
      </w:r>
      <w:r w:rsidRPr="00735B5D" w:rsidR="006B46A4">
        <w:rPr>
          <w:bCs/>
        </w:rPr>
        <w:t>7</w:t>
      </w:r>
      <w:r w:rsidRPr="00735B5D" w:rsidR="00626888">
        <w:rPr>
          <w:bCs/>
        </w:rPr>
        <w:t>, 202</w:t>
      </w:r>
      <w:r w:rsidRPr="00735B5D" w:rsidR="004041A1">
        <w:rPr>
          <w:bCs/>
        </w:rPr>
        <w:t>1</w:t>
      </w:r>
      <w:r w:rsidRPr="00FC6707" w:rsidR="00626888">
        <w:t>.</w:t>
      </w:r>
      <w:r>
        <w:rPr>
          <w:rStyle w:val="FootnoteReference"/>
        </w:rPr>
        <w:footnoteReference w:id="129"/>
      </w:r>
      <w:r w:rsidRPr="00FC6707" w:rsidR="00626888">
        <w:t xml:space="preserve">  </w:t>
      </w:r>
      <w:r w:rsidR="000E64B6">
        <w:t>Filing parties must number each page of their submissions.</w:t>
      </w:r>
      <w:r w:rsidR="00F8452C">
        <w:t xml:space="preserve">  </w:t>
      </w:r>
    </w:p>
    <w:p w:rsidR="0007722D" w:rsidRPr="0007722D" w14:paraId="0E7EE7BC" w14:textId="25A9F53F">
      <w:pPr>
        <w:numPr>
          <w:ilvl w:val="0"/>
          <w:numId w:val="23"/>
        </w:numPr>
        <w:spacing w:before="120" w:after="120"/>
        <w:rPr>
          <w:szCs w:val="22"/>
        </w:rPr>
      </w:pPr>
      <w:r w:rsidRPr="00FC6707">
        <w:rPr>
          <w:szCs w:val="22"/>
        </w:rPr>
        <w:t xml:space="preserve">Electronic Filers:  Comments may be filed electronically using the Commission’s online Electronic Comment Filing System (ECFS):  </w:t>
      </w:r>
      <w:hyperlink r:id="rId8" w:history="1">
        <w:r w:rsidRPr="004F5498">
          <w:rPr>
            <w:rStyle w:val="Hyperlink"/>
          </w:rPr>
          <w:t>https://www.fcc.gov/ecfs/</w:t>
        </w:r>
      </w:hyperlink>
      <w:r>
        <w:t>.</w:t>
      </w:r>
    </w:p>
    <w:p w:rsidR="004041A1" w:rsidRPr="00FC6707" w14:paraId="0DB599DC" w14:textId="3C246FBF">
      <w:pPr>
        <w:numPr>
          <w:ilvl w:val="0"/>
          <w:numId w:val="23"/>
        </w:numPr>
        <w:spacing w:before="120" w:after="120"/>
        <w:rPr>
          <w:szCs w:val="22"/>
        </w:rPr>
      </w:pPr>
      <w:r w:rsidRPr="00FC6707">
        <w:rPr>
          <w:szCs w:val="22"/>
        </w:rPr>
        <w:t xml:space="preserve">Paper Filers:  Parties who choose to file by paper must file an original and one copy of each filing.  </w:t>
      </w:r>
    </w:p>
    <w:p w:rsidR="004041A1" w:rsidRPr="00FC6707" w14:paraId="3F34D401" w14:textId="61CFF1F4">
      <w:pPr>
        <w:numPr>
          <w:ilvl w:val="0"/>
          <w:numId w:val="23"/>
        </w:numPr>
        <w:spacing w:before="120" w:after="120"/>
        <w:rPr>
          <w:szCs w:val="22"/>
        </w:rPr>
      </w:pPr>
      <w:r w:rsidRPr="00FC6707">
        <w:rPr>
          <w:szCs w:val="22"/>
        </w:rPr>
        <w:t>Filings can be sent by commercial overnight courier, or by first class or overnight U.S. Postal Service mail.  All filings must be addressed to the Commission’s Secretary, Office of the Secretary, Federal Communications Commission.</w:t>
      </w:r>
    </w:p>
    <w:p w:rsidR="004041A1" w:rsidRPr="00FC6707" w14:paraId="6CDD3A3C" w14:textId="6BE162E5">
      <w:pPr>
        <w:numPr>
          <w:ilvl w:val="0"/>
          <w:numId w:val="24"/>
        </w:numPr>
        <w:spacing w:before="120" w:after="120"/>
        <w:rPr>
          <w:szCs w:val="22"/>
        </w:rPr>
      </w:pPr>
      <w:r w:rsidRPr="00FC6707">
        <w:rPr>
          <w:szCs w:val="22"/>
        </w:rPr>
        <w:t>Commercial overnight mail (other than U.S. Postal Service Express Mail and Priority) must be sent to 9050 Junction Drive, Annapolis MD 20701.  U.S. Postal Service first-class, Express, and Priority mail must be addressed to 45 L Street, NE, Washington DC 20554.</w:t>
      </w:r>
    </w:p>
    <w:p w:rsidR="004041A1" w:rsidRPr="00FC6707" w14:paraId="7E100FC5" w14:textId="1B7AF85C">
      <w:pPr>
        <w:numPr>
          <w:ilvl w:val="0"/>
          <w:numId w:val="24"/>
        </w:numPr>
        <w:spacing w:before="120" w:after="120"/>
        <w:rPr>
          <w:szCs w:val="22"/>
        </w:rPr>
      </w:pPr>
      <w:r w:rsidRPr="00FC6707">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FC6707">
        <w:rPr>
          <w:i/>
          <w:iCs/>
          <w:szCs w:val="22"/>
        </w:rPr>
        <w:t>See</w:t>
      </w:r>
      <w:r w:rsidRPr="00FC6707">
        <w:rPr>
          <w:szCs w:val="22"/>
        </w:rPr>
        <w:t xml:space="preserve"> FCC Announces Closure of FCC Headquarters Open Window and Change in Hand-Delivery Policy, Public Notice, DA 20-304 (March 19, 2020). </w:t>
      </w:r>
      <w:hyperlink r:id="rId9" w:history="1">
        <w:r w:rsidRPr="004F5498" w:rsidR="0007722D">
          <w:rPr>
            <w:rStyle w:val="Hyperlink"/>
          </w:rPr>
          <w:t>https://www.fcc.gov/document/fcc-closes-headquarters-open-window-and-changes-hand-delivery-policy</w:t>
        </w:r>
      </w:hyperlink>
      <w:r w:rsidR="0007722D">
        <w:t xml:space="preserve">. </w:t>
      </w:r>
    </w:p>
    <w:p w:rsidR="004A1AB3" w:rsidRPr="0007722D" w14:paraId="2B7DA197" w14:textId="30B6907C">
      <w:pPr>
        <w:widowControl/>
        <w:numPr>
          <w:ilvl w:val="0"/>
          <w:numId w:val="3"/>
        </w:numPr>
        <w:spacing w:before="120" w:after="120"/>
        <w:rPr>
          <w:szCs w:val="22"/>
        </w:rPr>
      </w:pPr>
      <w:r w:rsidRPr="0007722D">
        <w:rPr>
          <w:szCs w:val="22"/>
        </w:rPr>
        <w:t xml:space="preserve">People with Disabilities:  To request materials in accessible formats for people with disabilities (braille, large print, electronic files, audio format), send an e-mail to </w:t>
      </w:r>
      <w:hyperlink r:id="rId10" w:history="1">
        <w:r w:rsidRPr="004F5498" w:rsidR="0007722D">
          <w:rPr>
            <w:rStyle w:val="Hyperlink"/>
          </w:rPr>
          <w:t>fcc504@fcc.gov</w:t>
        </w:r>
      </w:hyperlink>
      <w:r w:rsidR="0007722D">
        <w:t xml:space="preserve"> </w:t>
      </w:r>
      <w:r w:rsidRPr="0007722D">
        <w:rPr>
          <w:szCs w:val="22"/>
        </w:rPr>
        <w:t>or call the Consumer &amp; Governmental Affairs Bureau at (202) 418-0530 (voice), (202) 418-0432 (tty).</w:t>
      </w:r>
    </w:p>
    <w:p w:rsidR="004A1AB3" w:rsidRPr="00FC6707" w:rsidP="00133345" w14:paraId="0DACDCF3" w14:textId="0FB0843A">
      <w:pPr>
        <w:pStyle w:val="ParaNum"/>
      </w:pPr>
      <w:r w:rsidRPr="00FC6707">
        <w:rPr>
          <w:i/>
        </w:rPr>
        <w:t>Requirements for Filing of Spreadsheets</w:t>
      </w:r>
      <w:r w:rsidRPr="00FC6707">
        <w:t xml:space="preserve">. </w:t>
      </w:r>
      <w:r w:rsidRPr="00FC6707">
        <w:rPr>
          <w:i/>
        </w:rPr>
        <w:t xml:space="preserve"> </w:t>
      </w:r>
      <w:r w:rsidRPr="00FC6707">
        <w:t>All spreadsheets filed in this proceeding must be fully</w:t>
      </w:r>
      <w:r w:rsidRPr="00FC6707" w:rsidR="00E7646A">
        <w:t xml:space="preserve"> </w:t>
      </w:r>
      <w:r w:rsidRPr="00FC6707">
        <w:t xml:space="preserve">operational </w:t>
      </w:r>
      <w:r w:rsidRPr="00FC6707" w:rsidR="00672E07">
        <w:t xml:space="preserve">and manipulatable and must be submitted </w:t>
      </w:r>
      <w:r w:rsidRPr="00FC6707">
        <w:t>in native Microsoft Excel electronic format.  All spreadsheet cells that contain entries that are references to or calculations based on other spreadsheet cells must include the formula for such reference or calculation.  This includes references and calculations based on entries in different worksheets within the same workbook file.</w:t>
      </w:r>
    </w:p>
    <w:p w:rsidR="004A1AB3" w:rsidRPr="00FC6707" w:rsidP="00133345" w14:paraId="3BA50781" w14:textId="5C33DE52">
      <w:pPr>
        <w:pStyle w:val="ParaNum"/>
      </w:pPr>
      <w:r w:rsidRPr="00FC6707">
        <w:rPr>
          <w:i/>
        </w:rPr>
        <w:t>Ex Parte Requirements</w:t>
      </w:r>
      <w:r w:rsidRPr="00FC6707">
        <w:t xml:space="preserve">. </w:t>
      </w:r>
      <w:r w:rsidRPr="00FC6707">
        <w:rPr>
          <w:i/>
        </w:rPr>
        <w:t xml:space="preserve"> </w:t>
      </w:r>
      <w:r w:rsidRPr="00FC6707">
        <w:t xml:space="preserve">This proceeding shall be treated as a “permit-but-disclose” proceeding in accordance with the Commission’s </w:t>
      </w:r>
      <w:r w:rsidRPr="00FC6707">
        <w:rPr>
          <w:i/>
          <w:iCs/>
        </w:rPr>
        <w:t xml:space="preserve">ex parte </w:t>
      </w:r>
      <w:r w:rsidRPr="00FC6707">
        <w:t>rules.</w:t>
      </w:r>
      <w:r>
        <w:rPr>
          <w:rStyle w:val="FootnoteReference"/>
        </w:rPr>
        <w:footnoteReference w:id="130"/>
      </w:r>
      <w:r w:rsidRPr="00FC6707">
        <w:t xml:space="preserve">  Persons making </w:t>
      </w:r>
      <w:r w:rsidRPr="00FC6707">
        <w:rPr>
          <w:i/>
        </w:rPr>
        <w:t xml:space="preserve">ex parte </w:t>
      </w:r>
      <w:r w:rsidRPr="00FC6707">
        <w:t>presentations must file</w:t>
      </w:r>
      <w:r w:rsidRPr="00FC6707" w:rsidR="004041A1">
        <w:t>,</w:t>
      </w:r>
      <w:r w:rsidRPr="00FC6707">
        <w:t xml:space="preserve"> </w:t>
      </w:r>
      <w:r w:rsidRPr="00FC6707" w:rsidR="004041A1">
        <w:t xml:space="preserve">in WC Docket No. 21-191, </w:t>
      </w:r>
      <w:r w:rsidRPr="00FC6707">
        <w:t xml:space="preserve">a copy of any written presentation or a memorandum summarizing any oral presentation within two business days after the presentation (unless a different deadline applicable to the Sunshine period applies).  Persons making oral </w:t>
      </w:r>
      <w:r w:rsidRPr="00FC6707">
        <w:rPr>
          <w:i/>
          <w:iCs/>
        </w:rPr>
        <w:t xml:space="preserve">ex parte </w:t>
      </w:r>
      <w:r w:rsidRPr="00FC6707">
        <w:t xml:space="preserve">presentations are reminded that memoranda summarizing the presentation must (1) list all persons attending or otherwise participating in the meeting at which the </w:t>
      </w:r>
      <w:r w:rsidRPr="00FC6707">
        <w:rPr>
          <w:i/>
          <w:iCs/>
        </w:rPr>
        <w:t xml:space="preserve">ex parte </w:t>
      </w:r>
      <w:r w:rsidRPr="00FC670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Pr="00FC6707">
        <w:t xml:space="preserve">Documents shown or given to Commission staff during </w:t>
      </w:r>
      <w:r w:rsidRPr="00FC6707">
        <w:rPr>
          <w:i/>
          <w:iCs/>
        </w:rPr>
        <w:t xml:space="preserve">ex parte </w:t>
      </w:r>
      <w:r w:rsidRPr="00FC6707">
        <w:t xml:space="preserve">meetings are deemed to be written </w:t>
      </w:r>
      <w:r w:rsidRPr="00FC6707">
        <w:rPr>
          <w:i/>
          <w:iCs/>
        </w:rPr>
        <w:t>ex parte</w:t>
      </w:r>
      <w:r w:rsidRPr="00FC6707">
        <w:t xml:space="preserve"> presentations and must be filed consistent with rule 1.1206(b).  In proceedings governed by rule 1.49(f) or for which the Commission has made available a method of electronic filing, written </w:t>
      </w:r>
      <w:r w:rsidRPr="00FC6707">
        <w:rPr>
          <w:i/>
          <w:iCs/>
        </w:rPr>
        <w:t xml:space="preserve">ex parte </w:t>
      </w:r>
      <w:r w:rsidRPr="00FC6707">
        <w:t xml:space="preserve">presentations and memoranda summarizing oral </w:t>
      </w:r>
      <w:r w:rsidRPr="00FC6707">
        <w:rPr>
          <w:i/>
          <w:iCs/>
        </w:rPr>
        <w:t xml:space="preserve">ex parte </w:t>
      </w:r>
      <w:r w:rsidRPr="00FC6707">
        <w:t>presentations, and all attachments thereto, must be filed through the electronic comment filing system available for that proceeding, and must be filed in their native format (</w:t>
      </w:r>
      <w:r w:rsidRPr="00FC6707">
        <w:rPr>
          <w:i/>
          <w:iCs/>
        </w:rPr>
        <w:t>e.g.</w:t>
      </w:r>
      <w:r w:rsidRPr="00FC6707">
        <w:t xml:space="preserve">, .doc, .xml, .ppt, searchable .pdf).  Participants in this proceeding should familiarize themselves with the Commission’s </w:t>
      </w:r>
      <w:r w:rsidRPr="00FC6707">
        <w:rPr>
          <w:i/>
          <w:iCs/>
        </w:rPr>
        <w:t xml:space="preserve">ex </w:t>
      </w:r>
      <w:r w:rsidRPr="00FC6707">
        <w:t>parte rules.</w:t>
      </w:r>
    </w:p>
    <w:p w:rsidR="004A1AB3" w:rsidRPr="00FC6707" w:rsidP="00133345" w14:paraId="451DC6AA" w14:textId="2AEFBF2D">
      <w:pPr>
        <w:pStyle w:val="ParaNum"/>
      </w:pPr>
      <w:r w:rsidRPr="00FC6707">
        <w:rPr>
          <w:i/>
        </w:rPr>
        <w:t>Paperwork Reduction Act</w:t>
      </w:r>
      <w:r w:rsidRPr="00FC6707">
        <w:t xml:space="preserve">.  This Order designating issues for investigation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FC6707">
        <w:rPr>
          <w:i/>
        </w:rPr>
        <w:t xml:space="preserve">see </w:t>
      </w:r>
      <w:r w:rsidRPr="00FC6707">
        <w:t>4</w:t>
      </w:r>
      <w:r w:rsidR="00837701">
        <w:t>4</w:t>
      </w:r>
      <w:r w:rsidRPr="00FC6707">
        <w:t xml:space="preserve"> U.S.C. § 3506(c)(4).</w:t>
      </w:r>
    </w:p>
    <w:p w:rsidR="004A1AB3" w:rsidRPr="00FC6707" w:rsidP="00133345" w14:paraId="225B49B1" w14:textId="16271DC9">
      <w:pPr>
        <w:pStyle w:val="ParaNum"/>
      </w:pPr>
      <w:r w:rsidRPr="00FC6707">
        <w:rPr>
          <w:i/>
        </w:rPr>
        <w:t>Contact Person</w:t>
      </w:r>
      <w:r w:rsidRPr="00FC6707">
        <w:t xml:space="preserve">. </w:t>
      </w:r>
      <w:r w:rsidRPr="00FC6707">
        <w:rPr>
          <w:i/>
        </w:rPr>
        <w:t xml:space="preserve"> </w:t>
      </w:r>
      <w:r w:rsidRPr="00FC6707">
        <w:t xml:space="preserve">For further information about this proceeding, please contact </w:t>
      </w:r>
      <w:r w:rsidRPr="00FC6707" w:rsidR="00BB6720">
        <w:t>Lynne Engledow</w:t>
      </w:r>
      <w:r w:rsidRPr="00FC6707">
        <w:t xml:space="preserve">, Wireline Competition Bureau, Pricing Policy Division, 45 </w:t>
      </w:r>
      <w:r w:rsidRPr="00FC6707" w:rsidR="004041A1">
        <w:t>L</w:t>
      </w:r>
      <w:r w:rsidRPr="00FC6707">
        <w:t xml:space="preserve"> Street, </w:t>
      </w:r>
      <w:r w:rsidRPr="00FC6707" w:rsidR="004041A1">
        <w:t>NE</w:t>
      </w:r>
      <w:r w:rsidRPr="00FC6707">
        <w:t>, Washington, D.C. 20554, (202) 418-</w:t>
      </w:r>
      <w:r w:rsidRPr="00FC6707" w:rsidR="00674C31">
        <w:t>2350</w:t>
      </w:r>
      <w:r w:rsidRPr="00FC6707">
        <w:t xml:space="preserve">, </w:t>
      </w:r>
      <w:hyperlink r:id="rId11" w:history="1">
        <w:r w:rsidRPr="004F5498" w:rsidR="0007722D">
          <w:rPr>
            <w:rStyle w:val="Hyperlink"/>
            <w:szCs w:val="22"/>
          </w:rPr>
          <w:t>lynne.engledow@fcc.gov</w:t>
        </w:r>
      </w:hyperlink>
      <w:r w:rsidR="0007722D">
        <w:t>.</w:t>
      </w:r>
    </w:p>
    <w:p w:rsidR="004A1AB3" w:rsidRPr="00FC6707" w14:paraId="2326CE4A" w14:textId="77777777">
      <w:pPr>
        <w:pStyle w:val="Heading1"/>
        <w:spacing w:before="120"/>
        <w:rPr>
          <w:szCs w:val="22"/>
        </w:rPr>
      </w:pPr>
      <w:r w:rsidRPr="00FC6707">
        <w:rPr>
          <w:szCs w:val="22"/>
        </w:rPr>
        <w:t>ordering clauses</w:t>
      </w:r>
    </w:p>
    <w:p w:rsidR="004A1AB3" w:rsidRPr="00FC6707" w:rsidP="00133345" w14:paraId="22C4AF32" w14:textId="2B20C01D">
      <w:pPr>
        <w:pStyle w:val="ParaNum"/>
      </w:pPr>
      <w:r w:rsidRPr="00FC6707">
        <w:t>ACCORDINGLY, IT IS ORDERED that, pursuant to sections 4(i), 4(j), 201(b)</w:t>
      </w:r>
      <w:r w:rsidRPr="00FC6707" w:rsidR="000B5BD6">
        <w:t xml:space="preserve">, </w:t>
      </w:r>
      <w:r w:rsidRPr="00FC6707">
        <w:t>203(c), 204(a), 205</w:t>
      </w:r>
      <w:r w:rsidR="003D0A0E">
        <w:t>,</w:t>
      </w:r>
      <w:r w:rsidRPr="00FC6707">
        <w:t xml:space="preserve"> and 403 of the Communications Act, 47 U.S.C. §</w:t>
      </w:r>
      <w:r w:rsidRPr="00FC6707" w:rsidR="000B5BD6">
        <w:t>§ </w:t>
      </w:r>
      <w:r w:rsidRPr="00FC6707">
        <w:t>154(i), 154(j), 201(b)</w:t>
      </w:r>
      <w:r w:rsidRPr="00FC6707" w:rsidR="000B5BD6">
        <w:t xml:space="preserve">, </w:t>
      </w:r>
      <w:r w:rsidRPr="00FC6707">
        <w:t>203(c), 204(a), 205, and 403, and sections 0.91</w:t>
      </w:r>
      <w:r w:rsidR="003D0A0E">
        <w:t xml:space="preserve"> and</w:t>
      </w:r>
      <w:r w:rsidRPr="00FC6707">
        <w:t xml:space="preserve"> 0.291</w:t>
      </w:r>
      <w:r w:rsidRPr="00FC6707" w:rsidR="003D0A0E">
        <w:t xml:space="preserve"> </w:t>
      </w:r>
      <w:r w:rsidRPr="00FC6707">
        <w:t>of the Commission’s rules, 47 CFR §</w:t>
      </w:r>
      <w:r w:rsidRPr="00FC6707" w:rsidR="000B5BD6">
        <w:t>§ </w:t>
      </w:r>
      <w:r w:rsidRPr="00FC6707">
        <w:t>0.91</w:t>
      </w:r>
      <w:r w:rsidR="003D0A0E">
        <w:t xml:space="preserve"> and</w:t>
      </w:r>
      <w:r w:rsidRPr="00FC6707">
        <w:t xml:space="preserve"> 0.291</w:t>
      </w:r>
      <w:r w:rsidR="003D0A0E">
        <w:t>,</w:t>
      </w:r>
      <w:r w:rsidRPr="00FC6707" w:rsidR="00D461AF">
        <w:t xml:space="preserve"> </w:t>
      </w:r>
      <w:r w:rsidRPr="00FC6707">
        <w:t>the issue</w:t>
      </w:r>
      <w:r w:rsidRPr="00FC6707" w:rsidR="00C044CD">
        <w:t>s</w:t>
      </w:r>
      <w:r w:rsidRPr="00FC6707">
        <w:t xml:space="preserve"> set forth in this Order </w:t>
      </w:r>
      <w:r w:rsidRPr="00FC6707" w:rsidR="00C044CD">
        <w:t xml:space="preserve">ARE </w:t>
      </w:r>
      <w:r w:rsidRPr="00FC6707">
        <w:t>DESIGNATED FOR INVESTIGATION.</w:t>
      </w:r>
    </w:p>
    <w:p w:rsidR="004A1AB3" w:rsidRPr="00FC6707" w:rsidP="00133345" w14:paraId="6E81E17C" w14:textId="1A589E03">
      <w:pPr>
        <w:pStyle w:val="ParaNum"/>
      </w:pPr>
      <w:r w:rsidRPr="00FC6707">
        <w:t xml:space="preserve">IT IS FURTHER ORDERED that </w:t>
      </w:r>
      <w:r w:rsidRPr="00FC6707" w:rsidR="004041A1">
        <w:t>Core</w:t>
      </w:r>
      <w:r w:rsidRPr="00FC6707">
        <w:t xml:space="preserve"> Communications</w:t>
      </w:r>
      <w:r w:rsidRPr="00FC6707" w:rsidR="005B53BF">
        <w:t>,</w:t>
      </w:r>
      <w:r w:rsidRPr="00FC6707">
        <w:t xml:space="preserve"> </w:t>
      </w:r>
      <w:r w:rsidRPr="00FC6707" w:rsidR="004041A1">
        <w:t>Inc., et al.</w:t>
      </w:r>
      <w:r w:rsidRPr="00FC6707">
        <w:t xml:space="preserve"> IS a party to this proceeding.</w:t>
      </w:r>
      <w:r w:rsidRPr="00FC6707" w:rsidR="00C044CD">
        <w:t xml:space="preserve">  </w:t>
      </w:r>
    </w:p>
    <w:p w:rsidR="004A1AB3" w:rsidRPr="00FC6707" w:rsidP="00133345" w14:paraId="2A26459F" w14:textId="58FEAC5A">
      <w:pPr>
        <w:pStyle w:val="ParaNum"/>
      </w:pPr>
      <w:r w:rsidRPr="00FC6707">
        <w:t xml:space="preserve">IT IS FURTHER ORDERED that </w:t>
      </w:r>
      <w:r w:rsidRPr="00FC6707" w:rsidR="004041A1">
        <w:t>Core</w:t>
      </w:r>
      <w:r w:rsidRPr="00FC6707">
        <w:t xml:space="preserve"> Communications, </w:t>
      </w:r>
      <w:r w:rsidRPr="00FC6707" w:rsidR="004041A1">
        <w:t>Inc., et al.</w:t>
      </w:r>
      <w:r w:rsidRPr="00FC6707">
        <w:t xml:space="preserve"> SHALL INCLUDE, in its Direct Case, a response to each request for information that it is required to answer by this Order.  </w:t>
      </w:r>
    </w:p>
    <w:p w:rsidR="009172D9" w:rsidRPr="00FC6707" w:rsidP="00133345" w14:paraId="1949B0BE" w14:textId="77777777">
      <w:pPr>
        <w:pStyle w:val="ParaNum"/>
        <w:numPr>
          <w:ilvl w:val="0"/>
          <w:numId w:val="0"/>
        </w:numPr>
      </w:pPr>
    </w:p>
    <w:p w:rsidR="004A1AB3" w:rsidRPr="00FC6707" w:rsidP="006E4DBA" w14:paraId="3B0E238B" w14:textId="77777777">
      <w:pPr>
        <w:pStyle w:val="ParaNum"/>
        <w:numPr>
          <w:ilvl w:val="0"/>
          <w:numId w:val="0"/>
        </w:numPr>
        <w:ind w:left="4320"/>
      </w:pPr>
      <w:r w:rsidRPr="00FC6707">
        <w:t>FEDERAL COMMUNICATIONS COMMISSION</w:t>
      </w:r>
    </w:p>
    <w:p w:rsidR="00E67C70" w:rsidRPr="00FC6707" w:rsidP="00133345" w14:paraId="08800A61" w14:textId="77777777">
      <w:pPr>
        <w:pStyle w:val="ParaNum"/>
        <w:numPr>
          <w:ilvl w:val="0"/>
          <w:numId w:val="0"/>
        </w:numPr>
      </w:pPr>
    </w:p>
    <w:p w:rsidR="00E67C70" w:rsidRPr="00FC6707" w:rsidP="00133345" w14:paraId="0CD09619" w14:textId="391AE4B8">
      <w:pPr>
        <w:pStyle w:val="ParaNum"/>
        <w:numPr>
          <w:ilvl w:val="0"/>
          <w:numId w:val="0"/>
        </w:numPr>
      </w:pPr>
    </w:p>
    <w:p w:rsidR="00E67C70" w:rsidRPr="00FC6707" w:rsidP="00CA2D6E" w14:paraId="57C5440E" w14:textId="77777777">
      <w:pPr>
        <w:pStyle w:val="ParaNum"/>
        <w:numPr>
          <w:ilvl w:val="0"/>
          <w:numId w:val="0"/>
        </w:numPr>
        <w:spacing w:after="0"/>
      </w:pPr>
    </w:p>
    <w:p w:rsidR="004A1AB3" w:rsidRPr="00FC6707" w:rsidP="006E4DBA" w14:paraId="5AE6E8B5" w14:textId="1A67FDAE">
      <w:pPr>
        <w:pStyle w:val="ParaNum"/>
        <w:numPr>
          <w:ilvl w:val="0"/>
          <w:numId w:val="0"/>
        </w:numPr>
        <w:spacing w:after="0"/>
        <w:ind w:left="4320"/>
      </w:pPr>
      <w:r w:rsidRPr="00FC6707">
        <w:t xml:space="preserve">Gil M. Strobel </w:t>
      </w:r>
    </w:p>
    <w:p w:rsidR="004A1AB3" w:rsidRPr="00FC6707" w:rsidP="006E4DBA" w14:paraId="677A5F43" w14:textId="0F5A3850">
      <w:pPr>
        <w:pStyle w:val="ParaNum"/>
        <w:numPr>
          <w:ilvl w:val="0"/>
          <w:numId w:val="0"/>
        </w:numPr>
        <w:spacing w:after="0"/>
        <w:ind w:left="4320"/>
      </w:pPr>
      <w:r w:rsidRPr="00FC6707">
        <w:t>Chief, Pricing Policy Division</w:t>
      </w:r>
    </w:p>
    <w:p w:rsidR="00B314A4" w:rsidP="006E4DBA" w14:paraId="76875535" w14:textId="2348DEF4">
      <w:pPr>
        <w:pStyle w:val="ParaNum"/>
        <w:numPr>
          <w:ilvl w:val="0"/>
          <w:numId w:val="0"/>
        </w:numPr>
        <w:spacing w:after="0"/>
        <w:ind w:left="4320"/>
      </w:pPr>
      <w:r w:rsidRPr="00FC6707">
        <w:t>Wireline Competition Bureau</w:t>
      </w:r>
      <w:bookmarkEnd w:id="0"/>
    </w:p>
    <w:p w:rsidR="008307BB" w:rsidP="006E4DBA" w14:paraId="7621A872" w14:textId="62A683FF">
      <w:pPr>
        <w:pStyle w:val="ParaNum"/>
        <w:numPr>
          <w:ilvl w:val="0"/>
          <w:numId w:val="0"/>
        </w:numPr>
        <w:ind w:left="4320"/>
      </w:pPr>
    </w:p>
    <w:p w:rsidR="008307BB" w14:paraId="4C22ABB1" w14:textId="5E09B16D">
      <w:pPr>
        <w:widowControl/>
        <w:rPr>
          <w:szCs w:val="22"/>
        </w:rPr>
      </w:pPr>
      <w:r>
        <w:rPr>
          <w:szCs w:val="22"/>
        </w:rPr>
        <w:br w:type="page"/>
      </w:r>
    </w:p>
    <w:p w:rsidR="00D43388" w:rsidP="00D43388" w14:paraId="4FE27556" w14:textId="77777777">
      <w:pPr>
        <w:pStyle w:val="ParaNum"/>
        <w:numPr>
          <w:ilvl w:val="0"/>
          <w:numId w:val="0"/>
        </w:numPr>
        <w:tabs>
          <w:tab w:val="left" w:pos="720"/>
        </w:tabs>
        <w:spacing w:after="0"/>
        <w:jc w:val="center"/>
        <w:rPr>
          <w:b/>
          <w:bCs/>
          <w:snapToGrid/>
          <w:szCs w:val="22"/>
        </w:rPr>
      </w:pPr>
      <w:r>
        <w:rPr>
          <w:b/>
          <w:bCs/>
          <w:szCs w:val="22"/>
        </w:rPr>
        <w:t>APPENDIX</w:t>
      </w:r>
    </w:p>
    <w:p w:rsidR="00D43388" w:rsidP="00D43388" w14:paraId="3DBC48DF" w14:textId="77777777">
      <w:pPr>
        <w:pStyle w:val="ParaNum"/>
        <w:numPr>
          <w:ilvl w:val="0"/>
          <w:numId w:val="0"/>
        </w:numPr>
        <w:tabs>
          <w:tab w:val="left" w:pos="720"/>
        </w:tabs>
        <w:spacing w:after="0"/>
        <w:jc w:val="center"/>
        <w:rPr>
          <w:b/>
          <w:bCs/>
          <w:szCs w:val="22"/>
        </w:rPr>
      </w:pPr>
    </w:p>
    <w:p w:rsidR="00D43388" w:rsidP="00D43388" w14:paraId="7B446AAD" w14:textId="77777777">
      <w:pPr>
        <w:pStyle w:val="ParaNum"/>
        <w:numPr>
          <w:ilvl w:val="0"/>
          <w:numId w:val="0"/>
        </w:numPr>
        <w:tabs>
          <w:tab w:val="left" w:pos="720"/>
        </w:tabs>
        <w:spacing w:after="0"/>
        <w:jc w:val="center"/>
        <w:rPr>
          <w:b/>
          <w:bCs/>
          <w:szCs w:val="22"/>
        </w:rPr>
      </w:pPr>
      <w:r>
        <w:rPr>
          <w:b/>
          <w:bCs/>
          <w:szCs w:val="22"/>
        </w:rPr>
        <w:t>Revised Tariff Language Reproduced from Core Transmittal No. 17</w:t>
      </w:r>
    </w:p>
    <w:p w:rsidR="00D43388" w:rsidP="00D43388" w14:paraId="0ABD5C9F" w14:textId="77777777">
      <w:pPr>
        <w:pStyle w:val="ParaNum"/>
        <w:numPr>
          <w:ilvl w:val="0"/>
          <w:numId w:val="0"/>
        </w:numPr>
        <w:tabs>
          <w:tab w:val="left" w:pos="720"/>
        </w:tabs>
        <w:spacing w:after="0"/>
        <w:jc w:val="center"/>
        <w:rPr>
          <w:b/>
          <w:bCs/>
          <w:szCs w:val="22"/>
        </w:rPr>
      </w:pPr>
      <w:r>
        <w:rPr>
          <w:b/>
          <w:bCs/>
          <w:szCs w:val="22"/>
        </w:rPr>
        <w:t>(revised language in bold typeface)</w:t>
      </w:r>
    </w:p>
    <w:p w:rsidR="00D43388" w:rsidP="00D43388" w14:paraId="1D96F749" w14:textId="77777777">
      <w:pPr>
        <w:pStyle w:val="ParaNum"/>
        <w:numPr>
          <w:ilvl w:val="0"/>
          <w:numId w:val="0"/>
        </w:numPr>
        <w:tabs>
          <w:tab w:val="left" w:pos="720"/>
        </w:tabs>
        <w:spacing w:after="0"/>
        <w:jc w:val="center"/>
        <w:rPr>
          <w:szCs w:val="22"/>
        </w:rPr>
      </w:pPr>
    </w:p>
    <w:p w:rsidR="00D43388" w:rsidP="00D43388" w14:paraId="439975D9" w14:textId="77777777">
      <w:pPr>
        <w:pStyle w:val="ParaNum"/>
        <w:numPr>
          <w:ilvl w:val="0"/>
          <w:numId w:val="0"/>
        </w:numPr>
        <w:tabs>
          <w:tab w:val="left" w:pos="720"/>
        </w:tabs>
        <w:spacing w:after="0"/>
        <w:jc w:val="center"/>
        <w:rPr>
          <w:szCs w:val="22"/>
        </w:rPr>
      </w:pPr>
    </w:p>
    <w:p w:rsidR="00D43388" w:rsidRPr="00CA2D6E" w:rsidP="00D43388" w14:paraId="714AE6DD" w14:textId="77777777">
      <w:pPr>
        <w:widowControl/>
        <w:spacing w:after="160" w:line="256" w:lineRule="auto"/>
        <w:rPr>
          <w:rFonts w:eastAsiaTheme="minorHAnsi"/>
          <w:b/>
          <w:bCs/>
          <w:kern w:val="0"/>
          <w:szCs w:val="22"/>
        </w:rPr>
      </w:pPr>
      <w:r w:rsidRPr="00CA2D6E">
        <w:rPr>
          <w:rFonts w:eastAsiaTheme="minorHAnsi"/>
          <w:kern w:val="0"/>
          <w:szCs w:val="22"/>
        </w:rPr>
        <w:t>2.10   Billing and Payment For Service</w:t>
      </w:r>
    </w:p>
    <w:p w:rsidR="00D43388" w:rsidRPr="00CA2D6E" w:rsidP="00D43388" w14:paraId="61878EBD" w14:textId="77777777">
      <w:pPr>
        <w:widowControl/>
        <w:spacing w:after="160" w:line="256" w:lineRule="auto"/>
        <w:ind w:left="360"/>
        <w:rPr>
          <w:rFonts w:eastAsiaTheme="minorHAnsi"/>
          <w:kern w:val="0"/>
          <w:szCs w:val="22"/>
        </w:rPr>
      </w:pPr>
      <w:r w:rsidRPr="00CA2D6E">
        <w:rPr>
          <w:rFonts w:eastAsiaTheme="minorHAnsi"/>
          <w:kern w:val="0"/>
          <w:szCs w:val="22"/>
        </w:rPr>
        <w:t>2.10.4   Disputed Charges</w:t>
      </w:r>
    </w:p>
    <w:p w:rsidR="00D43388" w:rsidP="001914CF" w14:paraId="287BDC93" w14:textId="77777777">
      <w:pPr>
        <w:widowControl/>
        <w:numPr>
          <w:ilvl w:val="0"/>
          <w:numId w:val="49"/>
        </w:numPr>
        <w:snapToGrid w:val="0"/>
        <w:spacing w:after="120"/>
        <w:ind w:left="1440"/>
        <w:rPr>
          <w:b/>
          <w:bCs/>
          <w:kern w:val="0"/>
          <w:szCs w:val="22"/>
        </w:rPr>
      </w:pPr>
      <w:r>
        <w:rPr>
          <w:kern w:val="0"/>
          <w:szCs w:val="22"/>
        </w:rPr>
        <w:t xml:space="preserve">In the event that a billing dispute occurs concerning any charges billed to the Customer by the Company, the Customer must submit a documented claim for the disputed amount. </w:t>
      </w:r>
      <w:r>
        <w:rPr>
          <w:b/>
          <w:bCs/>
          <w:kern w:val="0"/>
          <w:szCs w:val="22"/>
        </w:rPr>
        <w:t xml:space="preserve">A good faith dispute requires the Customer to provide a written claim to the Company.  Instructions for submitting a dispute can be obtained by calling the billing inquiry number shown on the Customer’s bill. Such claim must identify in detail the basis for the dispute, the account number under which the bill has been rendered, the date of the bill and the specific items on the bill being disputed, to permit the Company to investigate the merits of the dispute (alternative requirements apply for disputes based on allegations of fraudulent or otherwise illegal traffic to be considered good faith disputes, as set forth in Section 2.21 herein). </w:t>
      </w:r>
    </w:p>
    <w:p w:rsidR="00D43388" w:rsidP="001914CF" w14:paraId="32C9CD2B" w14:textId="77777777">
      <w:pPr>
        <w:widowControl/>
        <w:spacing w:after="120"/>
        <w:ind w:left="1440"/>
        <w:rPr>
          <w:b/>
          <w:bCs/>
          <w:kern w:val="0"/>
          <w:szCs w:val="22"/>
        </w:rPr>
      </w:pPr>
      <w:r>
        <w:rPr>
          <w:b/>
          <w:bCs/>
          <w:kern w:val="0"/>
          <w:szCs w:val="22"/>
        </w:rPr>
        <w:t xml:space="preserve">The date of the dispute shall be the date on which the Customer furnishes the Company the information required by this Section.  </w:t>
      </w:r>
    </w:p>
    <w:p w:rsidR="00D43388" w:rsidP="001914CF" w14:paraId="02D0B554" w14:textId="77777777">
      <w:pPr>
        <w:widowControl/>
        <w:spacing w:after="120"/>
        <w:ind w:left="1440"/>
        <w:rPr>
          <w:b/>
          <w:bCs/>
          <w:kern w:val="0"/>
          <w:szCs w:val="22"/>
        </w:rPr>
      </w:pPr>
      <w:r>
        <w:rPr>
          <w:b/>
          <w:bCs/>
          <w:kern w:val="0"/>
          <w:szCs w:val="22"/>
        </w:rPr>
        <w:t>The date of resolution shall be the date on which the Company completes its investigation of the dispute, notifies the Customer in writing of the disposition and, if the billing dispute is resolved in favor of the Customer, applies the credit for the amount of the dispute resolved in the Customer’s favor to the Customer’s bill.</w:t>
      </w:r>
    </w:p>
    <w:p w:rsidR="00D43388" w:rsidP="001914CF" w14:paraId="1BC90EAA" w14:textId="77777777">
      <w:pPr>
        <w:widowControl/>
        <w:spacing w:after="120"/>
        <w:ind w:left="1080"/>
        <w:rPr>
          <w:kern w:val="0"/>
          <w:sz w:val="20"/>
        </w:rPr>
      </w:pPr>
    </w:p>
    <w:p w:rsidR="00D43388" w:rsidP="001914CF" w14:paraId="0B445D9D" w14:textId="77777777">
      <w:pPr>
        <w:widowControl/>
        <w:rPr>
          <w:kern w:val="0"/>
          <w:sz w:val="20"/>
        </w:rPr>
      </w:pPr>
      <w:r>
        <w:rPr>
          <w:kern w:val="0"/>
          <w:sz w:val="20"/>
        </w:rPr>
        <w:br w:type="page"/>
      </w:r>
    </w:p>
    <w:p w:rsidR="00D43388" w:rsidRPr="00CA2D6E" w:rsidP="00D43388" w14:paraId="58C80FF3" w14:textId="77777777">
      <w:pPr>
        <w:widowControl/>
        <w:spacing w:after="120"/>
        <w:ind w:left="1080"/>
        <w:rPr>
          <w:kern w:val="0"/>
          <w:szCs w:val="22"/>
        </w:rPr>
      </w:pPr>
    </w:p>
    <w:p w:rsidR="00D43388" w:rsidRPr="00CA2D6E" w:rsidP="00D43388" w14:paraId="0E18B4CC" w14:textId="77777777">
      <w:pPr>
        <w:widowControl/>
        <w:spacing w:after="120"/>
        <w:rPr>
          <w:kern w:val="0"/>
          <w:szCs w:val="22"/>
        </w:rPr>
      </w:pPr>
      <w:r w:rsidRPr="00CA2D6E">
        <w:rPr>
          <w:kern w:val="0"/>
          <w:szCs w:val="22"/>
        </w:rPr>
        <w:t>2.10   Billing and Payment For Service</w:t>
      </w:r>
    </w:p>
    <w:p w:rsidR="00D43388" w:rsidRPr="00CA2D6E" w:rsidP="00D43388" w14:paraId="64DCAF94" w14:textId="77777777">
      <w:pPr>
        <w:widowControl/>
        <w:spacing w:after="120"/>
        <w:ind w:left="360"/>
        <w:rPr>
          <w:kern w:val="0"/>
          <w:szCs w:val="22"/>
        </w:rPr>
      </w:pPr>
      <w:r w:rsidRPr="00CA2D6E">
        <w:rPr>
          <w:kern w:val="0"/>
          <w:szCs w:val="22"/>
        </w:rPr>
        <w:t>2.10.5   Late Payment Fees</w:t>
      </w:r>
    </w:p>
    <w:p w:rsidR="00D43388" w:rsidP="001914CF" w14:paraId="0148A6D2" w14:textId="77777777">
      <w:pPr>
        <w:widowControl/>
        <w:ind w:left="720"/>
        <w:rPr>
          <w:kern w:val="0"/>
          <w:szCs w:val="22"/>
        </w:rPr>
      </w:pPr>
      <w:r>
        <w:rPr>
          <w:kern w:val="0"/>
          <w:szCs w:val="22"/>
        </w:rPr>
        <w:t xml:space="preserve">A late payment charge of 1.5% per month, or the highest rate permitted by applicable law, whichever is less, shall be due to the Company for any billed amount for which payment has not been received by the Company within thirty (30) days of the invoice date of the Company’s invoice for service, or if any portion of the payment is received by the Company in funds which are not immediately available upon presentment, </w:t>
      </w:r>
      <w:r>
        <w:rPr>
          <w:b/>
          <w:bCs/>
          <w:kern w:val="0"/>
          <w:szCs w:val="22"/>
        </w:rPr>
        <w:t>if such unpaid amount is part of a good faith dispute.  If an unpaid amount is not part of a good faith dispute as described in this tariff, a late payment charge of 3.0% (rather than 1.5%) per month, or the highest rate permitted by applicable law, whichever is less, will apply.</w:t>
      </w:r>
      <w:r>
        <w:rPr>
          <w:kern w:val="0"/>
          <w:szCs w:val="22"/>
        </w:rPr>
        <w:t xml:space="preserve"> If the payment due date falls on a Saturday, Sunday, legal holiday or other day when the offices of the Company are closed, the date for acceptance of payments prior to assessment of any late payment fees shall be extended through to the next business day.</w:t>
      </w:r>
    </w:p>
    <w:p w:rsidR="00D43388" w:rsidP="00D43388" w14:paraId="5B3488E6" w14:textId="77777777">
      <w:pPr>
        <w:widowControl/>
        <w:spacing w:after="120"/>
        <w:ind w:left="1080"/>
        <w:rPr>
          <w:kern w:val="0"/>
          <w:sz w:val="20"/>
        </w:rPr>
      </w:pPr>
    </w:p>
    <w:p w:rsidR="00D43388" w:rsidP="00D43388" w14:paraId="0974CBC2" w14:textId="77777777">
      <w:pPr>
        <w:widowControl/>
        <w:spacing w:after="160" w:line="256" w:lineRule="auto"/>
        <w:rPr>
          <w:rFonts w:eastAsiaTheme="minorHAnsi"/>
          <w:kern w:val="0"/>
          <w:szCs w:val="22"/>
        </w:rPr>
      </w:pPr>
      <w:r>
        <w:rPr>
          <w:rFonts w:eastAsiaTheme="minorHAnsi"/>
          <w:kern w:val="0"/>
          <w:szCs w:val="22"/>
        </w:rPr>
        <w:br w:type="page"/>
      </w:r>
    </w:p>
    <w:p w:rsidR="00D43388" w:rsidRPr="00CA2D6E" w:rsidP="00D43388" w14:paraId="60B97524" w14:textId="77777777">
      <w:pPr>
        <w:widowControl/>
        <w:spacing w:after="160" w:line="256" w:lineRule="auto"/>
        <w:rPr>
          <w:rFonts w:eastAsiaTheme="minorHAnsi"/>
          <w:kern w:val="0"/>
          <w:szCs w:val="22"/>
        </w:rPr>
      </w:pPr>
      <w:r w:rsidRPr="00CA2D6E">
        <w:rPr>
          <w:rFonts w:eastAsiaTheme="minorHAnsi"/>
          <w:kern w:val="0"/>
          <w:szCs w:val="22"/>
        </w:rPr>
        <w:t>2.13 Cancellation by Company</w:t>
      </w:r>
    </w:p>
    <w:p w:rsidR="00D43388" w:rsidRPr="00CA2D6E" w:rsidP="001914CF" w14:paraId="45CFD19A" w14:textId="77777777">
      <w:pPr>
        <w:widowControl/>
        <w:autoSpaceDE w:val="0"/>
        <w:autoSpaceDN w:val="0"/>
        <w:adjustRightInd w:val="0"/>
        <w:ind w:left="360"/>
        <w:rPr>
          <w:rFonts w:eastAsiaTheme="minorHAnsi"/>
          <w:kern w:val="0"/>
          <w:szCs w:val="22"/>
        </w:rPr>
      </w:pPr>
      <w:r w:rsidRPr="00CA2D6E">
        <w:rPr>
          <w:rFonts w:eastAsiaTheme="minorHAnsi"/>
          <w:kern w:val="0"/>
          <w:szCs w:val="22"/>
        </w:rPr>
        <w:t>2.13.3 The Company may refuse or discontinue service to Customer upon five (5) days written</w:t>
      </w:r>
    </w:p>
    <w:p w:rsidR="00D43388" w:rsidP="001914CF" w14:paraId="50A8CD85" w14:textId="2010FF74">
      <w:pPr>
        <w:widowControl/>
        <w:ind w:left="360"/>
        <w:rPr>
          <w:rFonts w:eastAsiaTheme="minorHAnsi"/>
          <w:kern w:val="0"/>
          <w:szCs w:val="22"/>
        </w:rPr>
      </w:pPr>
      <w:r w:rsidRPr="00CA2D6E">
        <w:rPr>
          <w:rFonts w:eastAsiaTheme="minorHAnsi"/>
          <w:kern w:val="0"/>
          <w:szCs w:val="22"/>
        </w:rPr>
        <w:t>notice to comply with any of the following:</w:t>
      </w:r>
    </w:p>
    <w:p w:rsidR="001914CF" w:rsidRPr="00CA2D6E" w:rsidP="001914CF" w14:paraId="4724C834" w14:textId="77777777">
      <w:pPr>
        <w:widowControl/>
        <w:ind w:left="360"/>
        <w:rPr>
          <w:rFonts w:eastAsiaTheme="minorHAnsi"/>
          <w:kern w:val="0"/>
          <w:szCs w:val="22"/>
        </w:rPr>
      </w:pPr>
    </w:p>
    <w:p w:rsidR="00D43388" w:rsidRPr="00352F4C" w:rsidP="001914CF" w14:paraId="76E15994" w14:textId="77777777">
      <w:pPr>
        <w:widowControl/>
        <w:autoSpaceDE w:val="0"/>
        <w:autoSpaceDN w:val="0"/>
        <w:adjustRightInd w:val="0"/>
        <w:ind w:left="1008"/>
        <w:rPr>
          <w:b/>
          <w:bCs/>
          <w:kern w:val="0"/>
          <w:szCs w:val="22"/>
        </w:rPr>
      </w:pPr>
      <w:r w:rsidRPr="00352F4C">
        <w:rPr>
          <w:b/>
          <w:bCs/>
          <w:kern w:val="0"/>
          <w:szCs w:val="22"/>
        </w:rPr>
        <w:t>If the Company discontinues service, it will provide, in connection with access traffic associated with the discontinued Customer, only those minimal functions necessary to identify the Customer as being the relevant carrier (i.e., 8YY database queries). The Company will no longer route any traffic that uses the Customer’s Carrier Identification Code (CIC), Local Routing Number (LRN), carrier owned NPA-NXX or any other element used to route traffic. In the case of such discontinuance, all applicable charges, including termination charges, if any, shall become due.  If the Company does not discontinue the provision of the services involved on the date specified in the five (5) days’ notice, and the Customer's noncompliance continues, nothing contained herein shall preclude the Company's right to discontinue the provision of the services to the non-complying Customer without further notice.</w:t>
      </w:r>
    </w:p>
    <w:p w:rsidR="00D43388" w:rsidP="00D43388" w14:paraId="3E36830B" w14:textId="77777777">
      <w:pPr>
        <w:widowControl/>
        <w:numPr>
          <w:ilvl w:val="0"/>
          <w:numId w:val="50"/>
        </w:numPr>
        <w:autoSpaceDE w:val="0"/>
        <w:autoSpaceDN w:val="0"/>
        <w:adjustRightInd w:val="0"/>
        <w:snapToGrid w:val="0"/>
        <w:spacing w:line="256" w:lineRule="auto"/>
        <w:ind w:left="1440"/>
        <w:contextualSpacing/>
        <w:rPr>
          <w:rFonts w:ascii="TimesNewRoman" w:hAnsi="TimesNewRoman" w:eastAsiaTheme="minorHAnsi" w:cs="TimesNewRoman"/>
          <w:kern w:val="0"/>
          <w:szCs w:val="22"/>
        </w:rPr>
      </w:pPr>
      <w:r>
        <w:rPr>
          <w:rFonts w:eastAsiaTheme="minorHAnsi"/>
          <w:kern w:val="0"/>
          <w:szCs w:val="22"/>
        </w:rPr>
        <w:br w:type="page"/>
      </w:r>
    </w:p>
    <w:p w:rsidR="00D43388" w:rsidP="00D43388" w14:paraId="4C4E15A3" w14:textId="77777777">
      <w:pPr>
        <w:widowControl/>
        <w:autoSpaceDE w:val="0"/>
        <w:autoSpaceDN w:val="0"/>
        <w:adjustRightInd w:val="0"/>
        <w:rPr>
          <w:rFonts w:ascii="TimesNewRoman" w:hAnsi="TimesNewRoman" w:eastAsiaTheme="minorHAnsi" w:cs="TimesNewRoman"/>
          <w:kern w:val="0"/>
          <w:szCs w:val="22"/>
        </w:rPr>
      </w:pPr>
    </w:p>
    <w:p w:rsidR="00D43388" w:rsidRPr="00352F4C" w:rsidP="00941E2D" w14:paraId="6AA0E37B" w14:textId="77777777">
      <w:pPr>
        <w:widowControl/>
        <w:spacing w:after="160" w:line="256" w:lineRule="auto"/>
        <w:rPr>
          <w:b/>
          <w:bCs/>
          <w:kern w:val="0"/>
          <w:szCs w:val="22"/>
        </w:rPr>
      </w:pPr>
      <w:r w:rsidRPr="00352F4C">
        <w:rPr>
          <w:b/>
          <w:bCs/>
          <w:kern w:val="0"/>
          <w:szCs w:val="22"/>
        </w:rPr>
        <w:t>2.21   Fraudulent or Otherwise Illegal Traffic (“Financial Traceback”)</w:t>
      </w:r>
    </w:p>
    <w:p w:rsidR="00D43388" w:rsidRPr="00352F4C" w:rsidP="00352F4C" w14:paraId="3943DAA6" w14:textId="77777777">
      <w:pPr>
        <w:widowControl/>
        <w:autoSpaceDE w:val="0"/>
        <w:autoSpaceDN w:val="0"/>
        <w:adjustRightInd w:val="0"/>
        <w:ind w:left="1008"/>
        <w:rPr>
          <w:b/>
          <w:bCs/>
          <w:kern w:val="0"/>
          <w:szCs w:val="22"/>
        </w:rPr>
      </w:pPr>
    </w:p>
    <w:p w:rsidR="00D43388" w:rsidRPr="00352F4C" w:rsidP="00352F4C" w14:paraId="7B27DA88" w14:textId="77777777">
      <w:pPr>
        <w:widowControl/>
        <w:autoSpaceDE w:val="0"/>
        <w:autoSpaceDN w:val="0"/>
        <w:adjustRightInd w:val="0"/>
        <w:ind w:left="1008"/>
        <w:rPr>
          <w:b/>
          <w:bCs/>
          <w:kern w:val="0"/>
          <w:szCs w:val="22"/>
        </w:rPr>
      </w:pPr>
      <w:r w:rsidRPr="00352F4C">
        <w:rPr>
          <w:b/>
          <w:bCs/>
          <w:kern w:val="0"/>
          <w:szCs w:val="22"/>
        </w:rPr>
        <w:t>The Company and the Customer will work together to identify and mitigate fraudulent or otherwise illegal traffic.</w:t>
      </w:r>
    </w:p>
    <w:p w:rsidR="00D43388" w:rsidRPr="00352F4C" w:rsidP="00352F4C" w14:paraId="42F79781" w14:textId="77777777">
      <w:pPr>
        <w:widowControl/>
        <w:autoSpaceDE w:val="0"/>
        <w:autoSpaceDN w:val="0"/>
        <w:adjustRightInd w:val="0"/>
        <w:ind w:left="1008"/>
        <w:rPr>
          <w:b/>
          <w:bCs/>
          <w:kern w:val="0"/>
          <w:szCs w:val="22"/>
        </w:rPr>
      </w:pPr>
    </w:p>
    <w:p w:rsidR="00D43388" w:rsidRPr="00352F4C" w:rsidP="00352F4C" w14:paraId="2F7C12B2" w14:textId="77777777">
      <w:pPr>
        <w:widowControl/>
        <w:autoSpaceDE w:val="0"/>
        <w:autoSpaceDN w:val="0"/>
        <w:adjustRightInd w:val="0"/>
        <w:ind w:left="1008"/>
        <w:rPr>
          <w:b/>
          <w:bCs/>
          <w:kern w:val="0"/>
          <w:szCs w:val="22"/>
        </w:rPr>
      </w:pPr>
      <w:r w:rsidRPr="00352F4C">
        <w:rPr>
          <w:b/>
          <w:bCs/>
          <w:kern w:val="0"/>
          <w:szCs w:val="22"/>
        </w:rPr>
        <w:t>The Company or the Customer may block fraudulent or otherwise illegal traffic to the full extent permitted by law. Any traffic delivered by the Company to the Customer that is not blocked by the Customer will be presumed to be legal traffic unless the Customer submits a good faith dispute as described in this Section 2.21.</w:t>
      </w:r>
    </w:p>
    <w:p w:rsidR="00D43388" w:rsidRPr="00352F4C" w:rsidP="00352F4C" w14:paraId="45E6008B" w14:textId="77777777">
      <w:pPr>
        <w:widowControl/>
        <w:autoSpaceDE w:val="0"/>
        <w:autoSpaceDN w:val="0"/>
        <w:adjustRightInd w:val="0"/>
        <w:ind w:left="1008"/>
        <w:rPr>
          <w:b/>
          <w:bCs/>
          <w:kern w:val="0"/>
          <w:szCs w:val="22"/>
        </w:rPr>
      </w:pPr>
    </w:p>
    <w:p w:rsidR="00D43388" w:rsidRPr="00352F4C" w:rsidP="00352F4C" w14:paraId="23AFB215" w14:textId="77777777">
      <w:pPr>
        <w:widowControl/>
        <w:autoSpaceDE w:val="0"/>
        <w:autoSpaceDN w:val="0"/>
        <w:adjustRightInd w:val="0"/>
        <w:ind w:left="1008"/>
        <w:rPr>
          <w:b/>
          <w:bCs/>
          <w:kern w:val="0"/>
          <w:szCs w:val="22"/>
        </w:rPr>
      </w:pPr>
      <w:r w:rsidRPr="00352F4C">
        <w:rPr>
          <w:b/>
          <w:bCs/>
          <w:kern w:val="0"/>
          <w:szCs w:val="22"/>
        </w:rPr>
        <w:t>Customers may dispute, and seek credits or refunds for, billing in connection with unblocked traffic, based on a good faith dispute that the identified traffic is fraudulent or otherwise illegal. To qualify as good faith, disputes alleging fraudulent or otherwise illegal traffic can be sufficiently supported with documentation demonstrating that, because such traffic was fraudulent or otherwise illegal, the Customer’s customer either (1) was not assessed otherwise applicable usage-based charges, or (2) the otherwise applicable usage charges were credited. Billing disputes, and associated withholding of disputed amounts, based on allegations that the traffic sent to the Customer is suspect, fraudulent, or otherwise illegal which are not supported as described in this Section will not be considered good faith disputes.</w:t>
      </w:r>
    </w:p>
    <w:p w:rsidR="00D43388" w:rsidP="00D43388" w14:paraId="264FA473" w14:textId="77777777">
      <w:pPr>
        <w:widowControl/>
        <w:spacing w:after="160" w:line="256" w:lineRule="auto"/>
        <w:ind w:left="504"/>
        <w:rPr>
          <w:rFonts w:ascii="TimesNewRoman" w:hAnsi="TimesNewRoman" w:eastAsiaTheme="minorHAnsi" w:cs="TimesNewRoman"/>
          <w:kern w:val="0"/>
          <w:szCs w:val="22"/>
        </w:rPr>
      </w:pPr>
      <w:r>
        <w:rPr>
          <w:rFonts w:ascii="TimesNewRoman" w:hAnsi="TimesNewRoman" w:eastAsiaTheme="minorHAnsi" w:cs="TimesNewRoman"/>
          <w:kern w:val="0"/>
          <w:szCs w:val="22"/>
        </w:rPr>
        <w:br w:type="page"/>
      </w:r>
    </w:p>
    <w:p w:rsidR="00D43388" w:rsidRPr="006D68A7" w:rsidP="001914CF" w14:paraId="58649AEE" w14:textId="77777777">
      <w:pPr>
        <w:widowControl/>
        <w:rPr>
          <w:rFonts w:eastAsiaTheme="minorHAnsi"/>
          <w:kern w:val="0"/>
          <w:szCs w:val="22"/>
        </w:rPr>
      </w:pPr>
      <w:r w:rsidRPr="006D68A7">
        <w:rPr>
          <w:rFonts w:eastAsiaTheme="minorHAnsi"/>
          <w:kern w:val="0"/>
          <w:szCs w:val="22"/>
        </w:rPr>
        <w:t>3.3   Switched Access Service</w:t>
      </w:r>
    </w:p>
    <w:p w:rsidR="00D43388" w:rsidRPr="006D68A7" w:rsidP="001914CF" w14:paraId="26987D6C" w14:textId="77777777">
      <w:pPr>
        <w:widowControl/>
        <w:autoSpaceDE w:val="0"/>
        <w:autoSpaceDN w:val="0"/>
        <w:adjustRightInd w:val="0"/>
        <w:ind w:left="360"/>
        <w:rPr>
          <w:rFonts w:eastAsiaTheme="minorHAnsi"/>
          <w:kern w:val="0"/>
          <w:szCs w:val="22"/>
        </w:rPr>
      </w:pPr>
      <w:r w:rsidRPr="006D68A7">
        <w:rPr>
          <w:rFonts w:eastAsiaTheme="minorHAnsi"/>
          <w:kern w:val="0"/>
          <w:szCs w:val="22"/>
        </w:rPr>
        <w:t>3.3.5    Toll Free Interexchange Delivery Service</w:t>
      </w:r>
    </w:p>
    <w:p w:rsidR="00D43388" w:rsidRPr="006D68A7" w:rsidP="001914CF" w14:paraId="43104D5C" w14:textId="77777777">
      <w:pPr>
        <w:widowControl/>
        <w:autoSpaceDE w:val="0"/>
        <w:autoSpaceDN w:val="0"/>
        <w:adjustRightInd w:val="0"/>
        <w:ind w:left="360"/>
        <w:rPr>
          <w:rFonts w:eastAsiaTheme="minorHAnsi"/>
          <w:kern w:val="0"/>
          <w:szCs w:val="22"/>
        </w:rPr>
      </w:pPr>
    </w:p>
    <w:p w:rsidR="00D43388" w:rsidRPr="006D68A7" w:rsidP="001914CF" w14:paraId="637493F1" w14:textId="77777777">
      <w:pPr>
        <w:widowControl/>
        <w:autoSpaceDE w:val="0"/>
        <w:autoSpaceDN w:val="0"/>
        <w:adjustRightInd w:val="0"/>
        <w:ind w:left="1008"/>
        <w:rPr>
          <w:rFonts w:eastAsiaTheme="minorHAnsi"/>
          <w:kern w:val="0"/>
          <w:szCs w:val="22"/>
        </w:rPr>
      </w:pPr>
      <w:r w:rsidRPr="006D68A7">
        <w:rPr>
          <w:rFonts w:eastAsiaTheme="minorHAnsi"/>
          <w:kern w:val="0"/>
          <w:szCs w:val="22"/>
        </w:rPr>
        <w:t>Toll Free Interexchange Delivery Service is a switched access service in which the Company</w:t>
      </w:r>
    </w:p>
    <w:p w:rsidR="00D43388" w:rsidRPr="006D68A7" w:rsidP="001914CF" w14:paraId="0A5C765F" w14:textId="77777777">
      <w:pPr>
        <w:widowControl/>
        <w:autoSpaceDE w:val="0"/>
        <w:autoSpaceDN w:val="0"/>
        <w:adjustRightInd w:val="0"/>
        <w:ind w:left="1008"/>
        <w:rPr>
          <w:rFonts w:eastAsiaTheme="minorHAnsi"/>
          <w:kern w:val="0"/>
          <w:szCs w:val="22"/>
        </w:rPr>
      </w:pPr>
      <w:r w:rsidRPr="006D68A7">
        <w:rPr>
          <w:rFonts w:eastAsiaTheme="minorHAnsi"/>
          <w:kern w:val="0"/>
          <w:szCs w:val="22"/>
        </w:rPr>
        <w:t>switches toll-free traffic originated by any third party, including CLECs, ILECs, CMRS</w:t>
      </w:r>
    </w:p>
    <w:p w:rsidR="00D43388" w:rsidRPr="006D68A7" w:rsidP="001914CF" w14:paraId="1835CA9E" w14:textId="77777777">
      <w:pPr>
        <w:widowControl/>
        <w:autoSpaceDE w:val="0"/>
        <w:autoSpaceDN w:val="0"/>
        <w:adjustRightInd w:val="0"/>
        <w:ind w:left="1008"/>
        <w:rPr>
          <w:rFonts w:eastAsiaTheme="minorHAnsi"/>
          <w:kern w:val="0"/>
          <w:szCs w:val="22"/>
        </w:rPr>
      </w:pPr>
      <w:r w:rsidRPr="006D68A7">
        <w:rPr>
          <w:rFonts w:eastAsiaTheme="minorHAnsi"/>
          <w:kern w:val="0"/>
          <w:szCs w:val="22"/>
        </w:rPr>
        <w:t>providers, and VoIP providers</w:t>
      </w:r>
      <w:r w:rsidRPr="006D68A7">
        <w:rPr>
          <w:rFonts w:eastAsiaTheme="minorHAnsi"/>
          <w:b/>
          <w:bCs/>
          <w:i/>
          <w:iCs/>
          <w:kern w:val="0"/>
          <w:szCs w:val="22"/>
        </w:rPr>
        <w:t xml:space="preserve">. </w:t>
      </w:r>
      <w:r w:rsidRPr="006D68A7">
        <w:rPr>
          <w:rFonts w:eastAsiaTheme="minorHAnsi"/>
          <w:kern w:val="0"/>
          <w:szCs w:val="22"/>
        </w:rPr>
        <w:t>Switched Transport, End Office, and Query elements shall</w:t>
      </w:r>
    </w:p>
    <w:p w:rsidR="00D43388" w:rsidRPr="006D68A7" w:rsidP="001914CF" w14:paraId="62AADA66" w14:textId="77777777">
      <w:pPr>
        <w:widowControl/>
        <w:autoSpaceDE w:val="0"/>
        <w:autoSpaceDN w:val="0"/>
        <w:adjustRightInd w:val="0"/>
        <w:ind w:left="1008"/>
        <w:rPr>
          <w:rFonts w:eastAsiaTheme="minorHAnsi"/>
          <w:kern w:val="0"/>
          <w:szCs w:val="22"/>
        </w:rPr>
      </w:pPr>
      <w:r w:rsidRPr="006D68A7">
        <w:rPr>
          <w:rFonts w:eastAsiaTheme="minorHAnsi"/>
          <w:kern w:val="0"/>
          <w:szCs w:val="22"/>
        </w:rPr>
        <w:t>apply based on the elements, or functional equivalents thereof, provided.</w:t>
      </w:r>
    </w:p>
    <w:p w:rsidR="00D43388" w:rsidP="001914CF" w14:paraId="4F897470" w14:textId="77777777">
      <w:pPr>
        <w:widowControl/>
        <w:autoSpaceDE w:val="0"/>
        <w:autoSpaceDN w:val="0"/>
        <w:adjustRightInd w:val="0"/>
        <w:ind w:left="1008"/>
        <w:rPr>
          <w:rFonts w:ascii="TimesNewRoman" w:hAnsi="TimesNewRoman" w:eastAsiaTheme="minorHAnsi" w:cs="TimesNewRoman"/>
          <w:kern w:val="0"/>
          <w:szCs w:val="22"/>
        </w:rPr>
      </w:pPr>
    </w:p>
    <w:p w:rsidR="00D43388" w:rsidRPr="00352F4C" w:rsidP="001914CF" w14:paraId="6744D06A" w14:textId="77777777">
      <w:pPr>
        <w:widowControl/>
        <w:autoSpaceDE w:val="0"/>
        <w:autoSpaceDN w:val="0"/>
        <w:adjustRightInd w:val="0"/>
        <w:ind w:left="1008"/>
        <w:rPr>
          <w:b/>
          <w:bCs/>
          <w:kern w:val="0"/>
          <w:szCs w:val="22"/>
        </w:rPr>
      </w:pPr>
      <w:r w:rsidRPr="00352F4C">
        <w:rPr>
          <w:b/>
          <w:bCs/>
          <w:kern w:val="0"/>
          <w:szCs w:val="22"/>
        </w:rPr>
        <w:t>The IXC will be assessed a charge only for a completed data base query. A data base query consists of a signaling query and answer. The call is held at the SSP while the data base query is performed. When the database returns the signaling information to the SSP, enabling the call to be directed to the appropriate carrier, the 8YY data base query is deemed completed. Billing for the signaling will commence at the time the data base query is completed. The IXC will be assessed a charge for a completed data base query even if the underlying call is not completed (i.e., the call for which the data base query was made).</w:t>
      </w:r>
    </w:p>
    <w:p w:rsidR="00D43388" w:rsidP="00D43388" w14:paraId="55FC69A5" w14:textId="77777777">
      <w:pPr>
        <w:pStyle w:val="ParaNum"/>
        <w:numPr>
          <w:ilvl w:val="0"/>
          <w:numId w:val="0"/>
        </w:numPr>
        <w:tabs>
          <w:tab w:val="left" w:pos="720"/>
        </w:tabs>
        <w:spacing w:after="0"/>
        <w:rPr>
          <w:szCs w:val="22"/>
        </w:rPr>
      </w:pPr>
    </w:p>
    <w:p w:rsidR="00D43388" w:rsidP="00D43388" w14:paraId="4F6DB170" w14:textId="77777777">
      <w:pPr>
        <w:pStyle w:val="ParaNum"/>
        <w:numPr>
          <w:ilvl w:val="0"/>
          <w:numId w:val="0"/>
        </w:numPr>
        <w:tabs>
          <w:tab w:val="left" w:pos="720"/>
        </w:tabs>
        <w:spacing w:after="0"/>
        <w:rPr>
          <w:szCs w:val="22"/>
        </w:rPr>
      </w:pPr>
    </w:p>
    <w:p w:rsidR="00D43388" w:rsidP="00D43388" w14:paraId="3E3CEF01" w14:textId="77777777">
      <w:pPr>
        <w:pStyle w:val="ParaNum"/>
        <w:numPr>
          <w:ilvl w:val="0"/>
          <w:numId w:val="0"/>
        </w:numPr>
        <w:tabs>
          <w:tab w:val="left" w:pos="720"/>
        </w:tabs>
        <w:spacing w:after="0"/>
        <w:rPr>
          <w:szCs w:val="22"/>
        </w:rPr>
      </w:pPr>
    </w:p>
    <w:p w:rsidR="008307BB" w:rsidRPr="00FC6707" w:rsidP="00D43388" w14:paraId="34AC678C" w14:textId="77777777">
      <w:pPr>
        <w:pStyle w:val="ParaNum"/>
        <w:numPr>
          <w:ilvl w:val="0"/>
          <w:numId w:val="0"/>
        </w:numPr>
      </w:pPr>
    </w:p>
    <w:sectPr w:rsidSect="0095764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2E3" w:rsidP="0095764F" w14:paraId="4F7CD2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D02E3" w14:paraId="02A2BD82" w14:textId="77777777">
    <w:pPr>
      <w:pStyle w:val="Footer"/>
    </w:pPr>
  </w:p>
  <w:p w:rsidR="00B24D94" w14:paraId="58DDA277" w14:textId="77777777"/>
  <w:p w:rsidR="00B24D94" w14:paraId="1F2D25C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2E3" w:rsidP="009172D9" w14:paraId="76E2073A" w14:textId="77777777">
    <w:pPr>
      <w:pStyle w:val="Footer"/>
      <w:jc w:val="center"/>
    </w:pPr>
    <w:r>
      <w:fldChar w:fldCharType="begin"/>
    </w:r>
    <w:r>
      <w:instrText xml:space="preserve"> PAGE   \* MERGEFORMAT </w:instrText>
    </w:r>
    <w:r>
      <w:fldChar w:fldCharType="separate"/>
    </w:r>
    <w:r>
      <w:rPr>
        <w:noProof/>
      </w:rPr>
      <w:t>2</w:t>
    </w:r>
    <w:r>
      <w:fldChar w:fldCharType="end"/>
    </w:r>
  </w:p>
  <w:p w:rsidR="00B24D94" w14:paraId="047B7BDB" w14:textId="77777777"/>
  <w:p w:rsidR="00B24D94" w14:paraId="135085E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2E3" w14:paraId="127214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2D92" w14:paraId="01EADCA6" w14:textId="77777777">
      <w:r>
        <w:separator/>
      </w:r>
    </w:p>
  </w:footnote>
  <w:footnote w:type="continuationSeparator" w:id="1">
    <w:p w:rsidR="007A2D92" w:rsidP="0095764F" w14:paraId="13BB4140" w14:textId="77777777">
      <w:pPr>
        <w:spacing w:before="120"/>
        <w:rPr>
          <w:sz w:val="20"/>
        </w:rPr>
      </w:pPr>
      <w:r>
        <w:rPr>
          <w:sz w:val="20"/>
        </w:rPr>
        <w:t xml:space="preserve">(Continued from previous page)  </w:t>
      </w:r>
      <w:r>
        <w:rPr>
          <w:sz w:val="20"/>
        </w:rPr>
        <w:separator/>
      </w:r>
    </w:p>
    <w:p w:rsidR="007A2D92" w14:paraId="11C2ECC0" w14:textId="77777777"/>
    <w:p w:rsidR="007A2D92" w14:paraId="7E013393" w14:textId="77777777"/>
  </w:footnote>
  <w:footnote w:type="continuationNotice" w:id="2">
    <w:p w:rsidR="007A2D92" w:rsidP="0095764F" w14:paraId="074C0FD2" w14:textId="77777777">
      <w:pPr>
        <w:jc w:val="right"/>
        <w:rPr>
          <w:sz w:val="20"/>
        </w:rPr>
      </w:pPr>
    </w:p>
    <w:p w:rsidR="007A2D92" w14:paraId="0C07B147" w14:textId="77777777"/>
    <w:p w:rsidR="007A2D92" w14:paraId="1E2896EF" w14:textId="77777777"/>
  </w:footnote>
  <w:footnote w:id="3">
    <w:p w:rsidR="006D02E3" w:rsidRPr="00660B22" w:rsidP="001768FE" w14:paraId="3BD72AB0" w14:textId="77777777">
      <w:pPr>
        <w:pStyle w:val="FootnoteText"/>
      </w:pPr>
      <w:r w:rsidRPr="00660B22">
        <w:rPr>
          <w:rStyle w:val="FootnoteReference"/>
        </w:rPr>
        <w:footnoteRef/>
      </w:r>
      <w:r w:rsidRPr="00660B22">
        <w:t xml:space="preserve"> 47 U.S.C. §§ 204, 205.</w:t>
      </w:r>
    </w:p>
  </w:footnote>
  <w:footnote w:id="4">
    <w:p w:rsidR="006D02E3" w:rsidRPr="00660B22" w:rsidP="001768FE" w14:paraId="488D6B11" w14:textId="2290C449">
      <w:pPr>
        <w:pStyle w:val="FootnoteText"/>
      </w:pPr>
      <w:r w:rsidRPr="00660B22">
        <w:rPr>
          <w:rStyle w:val="FootnoteReference"/>
        </w:rPr>
        <w:footnoteRef/>
      </w:r>
      <w:r w:rsidRPr="00660B22">
        <w:t xml:space="preserve"> Letter from Carey Roesel, Inteserra Consulting Group, to Secretary, FCC, Transmittal No. 17 (Apr. 22, 2021)</w:t>
      </w:r>
      <w:r>
        <w:t xml:space="preserve"> (</w:t>
      </w:r>
      <w:r w:rsidRPr="005349CC">
        <w:t>available via the Commission’s Electronic Tariff Filing System or in WC Docket No. 21-191</w:t>
      </w:r>
      <w:r>
        <w:t>) (Core Transmittal Letter)</w:t>
      </w:r>
      <w:r w:rsidRPr="00660B22">
        <w:t>; Core Communications, Inc., et al., Transmittal No. 17, Tariff F.C.C. No. 3, 10th Rev. Page No. 28, § 2.10.4.A; 3rd Rev. Page No. 29, § 2.10.5; 3rd Rev. Page. No. 33, § 2.13.3.H; 3d Rev. Page. No. 40, § 2.21; 1st Rev. Page No. 43.1, § 3.3.5 (Apr. 22, 2021)</w:t>
      </w:r>
      <w:r>
        <w:t xml:space="preserve"> (</w:t>
      </w:r>
      <w:r w:rsidRPr="005349CC">
        <w:t>available via the Commission’s Electronic Tariff Filing System or in WC Docket No. 21-191</w:t>
      </w:r>
      <w:r>
        <w:t>)</w:t>
      </w:r>
      <w:r w:rsidRPr="00660B22">
        <w:t xml:space="preserve"> (Transmittal No. 17).</w:t>
      </w:r>
    </w:p>
  </w:footnote>
  <w:footnote w:id="5">
    <w:p w:rsidR="006D02E3" w:rsidRPr="00660B22" w:rsidP="001768FE" w14:paraId="74514FCD" w14:textId="45B9C4AD">
      <w:pPr>
        <w:pStyle w:val="FootnoteText"/>
      </w:pPr>
      <w:r w:rsidRPr="00660B22">
        <w:rPr>
          <w:rStyle w:val="FootnoteReference"/>
        </w:rPr>
        <w:footnoteRef/>
      </w:r>
      <w:r w:rsidRPr="00660B22">
        <w:t xml:space="preserve"> </w:t>
      </w:r>
      <w:r w:rsidRPr="00660B22">
        <w:rPr>
          <w:i/>
          <w:iCs/>
        </w:rPr>
        <w:t>8YY Access Charge Reform</w:t>
      </w:r>
      <w:r w:rsidRPr="00660B22">
        <w:t xml:space="preserve">, WC Docket No. 18-156, Report and Order, 35 FCC Rcd </w:t>
      </w:r>
      <w:r>
        <w:t>11594</w:t>
      </w:r>
      <w:r w:rsidRPr="00660B22">
        <w:t xml:space="preserve"> (2020) (</w:t>
      </w:r>
      <w:r w:rsidRPr="00660B22">
        <w:rPr>
          <w:i/>
          <w:iCs/>
        </w:rPr>
        <w:t>8YY Access Charge Reform Order</w:t>
      </w:r>
      <w:r w:rsidRPr="00660B22">
        <w:t>).</w:t>
      </w:r>
    </w:p>
  </w:footnote>
  <w:footnote w:id="6">
    <w:p w:rsidR="006D02E3" w14:paraId="1204D050" w14:textId="7F85A938">
      <w:pPr>
        <w:pStyle w:val="FootnoteText"/>
      </w:pPr>
      <w:r>
        <w:rPr>
          <w:rStyle w:val="FootnoteReference"/>
        </w:rPr>
        <w:footnoteRef/>
      </w:r>
      <w:r>
        <w:t xml:space="preserve"> </w:t>
      </w:r>
      <w:r w:rsidRPr="00660B22">
        <w:t>Petition of Verizon and AT&amp;T to Suspend or Reject Core’s Revised Tariff, WC Docket No. 21-191</w:t>
      </w:r>
      <w:r>
        <w:t xml:space="preserve"> at 3</w:t>
      </w:r>
      <w:r w:rsidRPr="00660B22">
        <w:t xml:space="preserve"> (filed Apr. 28, 2021) (Petition).  </w:t>
      </w:r>
    </w:p>
  </w:footnote>
  <w:footnote w:id="7">
    <w:p w:rsidR="006D02E3" w:rsidRPr="00660B22" w:rsidP="001768FE" w14:paraId="72277650" w14:textId="6C352104">
      <w:pPr>
        <w:widowControl/>
        <w:autoSpaceDE w:val="0"/>
        <w:autoSpaceDN w:val="0"/>
        <w:adjustRightInd w:val="0"/>
        <w:spacing w:after="120"/>
      </w:pPr>
      <w:r w:rsidRPr="00660B22">
        <w:rPr>
          <w:rStyle w:val="FootnoteReference"/>
        </w:rPr>
        <w:footnoteRef/>
      </w:r>
      <w:r w:rsidRPr="00660B22">
        <w:t xml:space="preserve"> </w:t>
      </w:r>
      <w:r w:rsidRPr="00660B22">
        <w:rPr>
          <w:i/>
          <w:iCs/>
          <w:snapToGrid/>
          <w:kern w:val="0"/>
          <w:sz w:val="20"/>
        </w:rPr>
        <w:t>Connect America Fund et al</w:t>
      </w:r>
      <w:r w:rsidRPr="00660B22">
        <w:rPr>
          <w:snapToGrid/>
          <w:kern w:val="0"/>
          <w:sz w:val="20"/>
        </w:rPr>
        <w:t>., WC Docket No. 10-90 et al., Report and Order and Further Notice of Proposed Rulemaking, 26 FCC Rcd 17663, 17904, para</w:t>
      </w:r>
      <w:r>
        <w:rPr>
          <w:snapToGrid/>
          <w:kern w:val="0"/>
          <w:sz w:val="20"/>
        </w:rPr>
        <w:t>s</w:t>
      </w:r>
      <w:r w:rsidRPr="00660B22">
        <w:rPr>
          <w:snapToGrid/>
          <w:kern w:val="0"/>
          <w:sz w:val="20"/>
        </w:rPr>
        <w:t>. 737</w:t>
      </w:r>
      <w:r>
        <w:rPr>
          <w:snapToGrid/>
          <w:kern w:val="0"/>
          <w:sz w:val="20"/>
        </w:rPr>
        <w:t>-39</w:t>
      </w:r>
      <w:r w:rsidRPr="00660B22">
        <w:rPr>
          <w:snapToGrid/>
          <w:kern w:val="0"/>
          <w:sz w:val="20"/>
        </w:rPr>
        <w:t xml:space="preserve"> (2011) (</w:t>
      </w:r>
      <w:r w:rsidRPr="00660B22">
        <w:rPr>
          <w:i/>
          <w:iCs/>
          <w:snapToGrid/>
          <w:kern w:val="0"/>
          <w:sz w:val="20"/>
        </w:rPr>
        <w:t>USF/ICC Transformation Order</w:t>
      </w:r>
      <w:r w:rsidRPr="00660B22">
        <w:rPr>
          <w:snapToGrid/>
          <w:kern w:val="0"/>
          <w:sz w:val="20"/>
        </w:rPr>
        <w:t xml:space="preserve"> or </w:t>
      </w:r>
      <w:r w:rsidRPr="00660B22">
        <w:rPr>
          <w:i/>
          <w:iCs/>
          <w:snapToGrid/>
          <w:kern w:val="0"/>
          <w:sz w:val="20"/>
        </w:rPr>
        <w:t>USF/ICC Transformation F</w:t>
      </w:r>
      <w:r>
        <w:rPr>
          <w:i/>
          <w:iCs/>
          <w:snapToGrid/>
          <w:kern w:val="0"/>
          <w:sz w:val="20"/>
        </w:rPr>
        <w:t>urther Notice</w:t>
      </w:r>
      <w:r w:rsidRPr="00660B22">
        <w:rPr>
          <w:snapToGrid/>
          <w:kern w:val="0"/>
          <w:sz w:val="20"/>
        </w:rPr>
        <w:t xml:space="preserve">), </w:t>
      </w:r>
      <w:r w:rsidRPr="0070080F">
        <w:rPr>
          <w:i/>
          <w:iCs/>
          <w:snapToGrid/>
          <w:kern w:val="0"/>
          <w:sz w:val="20"/>
        </w:rPr>
        <w:t>aff’d</w:t>
      </w:r>
      <w:r>
        <w:rPr>
          <w:snapToGrid/>
          <w:kern w:val="0"/>
          <w:sz w:val="20"/>
        </w:rPr>
        <w:t>,</w:t>
      </w:r>
      <w:r w:rsidRPr="004726BC">
        <w:rPr>
          <w:i/>
          <w:iCs/>
          <w:snapToGrid/>
          <w:kern w:val="0"/>
          <w:sz w:val="20"/>
        </w:rPr>
        <w:t xml:space="preserve"> In re FCC 11-161</w:t>
      </w:r>
      <w:r w:rsidRPr="00660B22">
        <w:rPr>
          <w:snapToGrid/>
          <w:kern w:val="0"/>
          <w:sz w:val="20"/>
        </w:rPr>
        <w:t>, 753 F.3d 1015 (10th Cir. 2014)</w:t>
      </w:r>
      <w:r>
        <w:rPr>
          <w:snapToGrid/>
          <w:kern w:val="0"/>
          <w:sz w:val="20"/>
        </w:rPr>
        <w:t xml:space="preserve">, </w:t>
      </w:r>
      <w:r>
        <w:rPr>
          <w:i/>
          <w:iCs/>
          <w:snapToGrid/>
          <w:kern w:val="0"/>
          <w:sz w:val="20"/>
        </w:rPr>
        <w:t>cert. denied</w:t>
      </w:r>
      <w:r>
        <w:rPr>
          <w:snapToGrid/>
          <w:kern w:val="0"/>
          <w:sz w:val="20"/>
        </w:rPr>
        <w:t>, 135 S. Ct.</w:t>
      </w:r>
      <w:r>
        <w:rPr>
          <w:i/>
          <w:iCs/>
          <w:snapToGrid/>
          <w:kern w:val="0"/>
          <w:sz w:val="20"/>
        </w:rPr>
        <w:t xml:space="preserve"> </w:t>
      </w:r>
      <w:r>
        <w:rPr>
          <w:snapToGrid/>
          <w:kern w:val="0"/>
          <w:sz w:val="20"/>
        </w:rPr>
        <w:t>2050 and 135 S. Ct. 2072 (2015)</w:t>
      </w:r>
      <w:r w:rsidRPr="00660B22">
        <w:rPr>
          <w:snapToGrid/>
          <w:kern w:val="0"/>
          <w:sz w:val="20"/>
        </w:rPr>
        <w:t>.</w:t>
      </w:r>
    </w:p>
  </w:footnote>
  <w:footnote w:id="8">
    <w:p w:rsidR="006D02E3" w:rsidRPr="007F6C74" w:rsidP="001768FE" w14:paraId="6EF2C23D" w14:textId="1B76E9E6">
      <w:pPr>
        <w:pStyle w:val="FootnoteText"/>
      </w:pPr>
      <w:r w:rsidRPr="00660B22">
        <w:rPr>
          <w:rStyle w:val="FootnoteReference"/>
        </w:rPr>
        <w:footnoteRef/>
      </w:r>
      <w:r w:rsidRPr="00660B22">
        <w:t xml:space="preserve"> </w:t>
      </w:r>
      <w:r w:rsidRPr="00660B22">
        <w:rPr>
          <w:i/>
          <w:iCs/>
        </w:rPr>
        <w:t>See</w:t>
      </w:r>
      <w:r w:rsidRPr="00660B22">
        <w:t xml:space="preserve"> 47 CFR §§ 51.907, 51.909</w:t>
      </w:r>
      <w:r>
        <w:t xml:space="preserve">; </w:t>
      </w:r>
      <w:r>
        <w:rPr>
          <w:i/>
          <w:iCs/>
        </w:rPr>
        <w:t>s</w:t>
      </w:r>
      <w:r w:rsidRPr="00660B22">
        <w:rPr>
          <w:i/>
          <w:iCs/>
        </w:rPr>
        <w:t>ee USF/ICC Transformation Order</w:t>
      </w:r>
      <w:r w:rsidRPr="00660B22">
        <w:t>, 26 FCC Rcd at 17942, para. 817</w:t>
      </w:r>
      <w:r>
        <w:t xml:space="preserve"> (</w:t>
      </w:r>
      <w:r w:rsidRPr="00FC6707">
        <w:t>f</w:t>
      </w:r>
      <w:r>
        <w:t xml:space="preserve">inding </w:t>
      </w:r>
      <w:r w:rsidRPr="00FC6707">
        <w:t xml:space="preserve">that “originating charges for all telecommunications traffic subject to </w:t>
      </w:r>
      <w:r>
        <w:t>our</w:t>
      </w:r>
      <w:r w:rsidRPr="00FC6707">
        <w:t xml:space="preserve"> comprehensive intercarrier compensation framework should ultimately move to bill-and-keep” but</w:t>
      </w:r>
      <w:r>
        <w:t xml:space="preserve"> the Commission</w:t>
      </w:r>
      <w:r w:rsidRPr="00FC6707">
        <w:t xml:space="preserve"> declined to move originating charges to bill-and-keep at that time</w:t>
      </w:r>
      <w:r>
        <w:t>)</w:t>
      </w:r>
      <w:r w:rsidRPr="00FC6707">
        <w:t>.</w:t>
      </w:r>
      <w:r>
        <w:t xml:space="preserve">  “Under bill-and-keep, carriers look first to their subscribers to cover the costs of the network, then to explicit universal service support where necessary.”  </w:t>
      </w:r>
      <w:r w:rsidRPr="00660B22" w:rsidR="00D45A1F">
        <w:rPr>
          <w:i/>
          <w:iCs/>
        </w:rPr>
        <w:t>USF/ICC Transformation Order</w:t>
      </w:r>
      <w:r w:rsidRPr="00660B22" w:rsidR="00D45A1F">
        <w:t xml:space="preserve">, 26 FCC Rcd </w:t>
      </w:r>
      <w:r>
        <w:t>at 17676, para. 34.</w:t>
      </w:r>
    </w:p>
  </w:footnote>
  <w:footnote w:id="9">
    <w:p w:rsidR="006D02E3" w:rsidRPr="00660B22" w:rsidP="0057290C" w14:paraId="0F44145C" w14:textId="77777777">
      <w:pPr>
        <w:pStyle w:val="FootnoteText"/>
      </w:pPr>
      <w:r w:rsidRPr="00660B22">
        <w:rPr>
          <w:rStyle w:val="FootnoteReference"/>
        </w:rPr>
        <w:footnoteRef/>
      </w:r>
      <w:r w:rsidRPr="00660B22">
        <w:t xml:space="preserve"> </w:t>
      </w:r>
      <w:r w:rsidRPr="00660B22">
        <w:rPr>
          <w:i/>
          <w:iCs/>
        </w:rPr>
        <w:t>8YY Access Charge Reform Order</w:t>
      </w:r>
      <w:r w:rsidRPr="00660B22">
        <w:t>, 35 FCC Rcd at 11600-01, para. 16.</w:t>
      </w:r>
    </w:p>
  </w:footnote>
  <w:footnote w:id="10">
    <w:p w:rsidR="006D02E3" w:rsidRPr="00660B22" w:rsidP="00F80884" w14:paraId="63C9E10C" w14:textId="7C52B040">
      <w:pPr>
        <w:pStyle w:val="FootnoteText"/>
      </w:pPr>
      <w:r w:rsidRPr="00660B22">
        <w:rPr>
          <w:rStyle w:val="FootnoteReference"/>
        </w:rPr>
        <w:footnoteRef/>
      </w:r>
      <w:r w:rsidRPr="00660B22">
        <w:t xml:space="preserve"> </w:t>
      </w:r>
      <w:r w:rsidRPr="00735B5D" w:rsidR="00735B5D">
        <w:rPr>
          <w:i/>
          <w:iCs/>
        </w:rPr>
        <w:t>Id</w:t>
      </w:r>
      <w:r w:rsidRPr="00CB04A1" w:rsidR="00735B5D">
        <w:rPr>
          <w:i/>
          <w:iCs/>
        </w:rPr>
        <w:t>.</w:t>
      </w:r>
      <w:r w:rsidR="00735B5D">
        <w:t xml:space="preserve"> </w:t>
      </w:r>
      <w:r w:rsidRPr="00660B22">
        <w:t>at 11595-96, para. 5.</w:t>
      </w:r>
    </w:p>
  </w:footnote>
  <w:footnote w:id="11">
    <w:p w:rsidR="006D02E3" w:rsidRPr="00660B22" w:rsidP="00F80884" w14:paraId="52CB6A51" w14:textId="464896EC">
      <w:pPr>
        <w:pStyle w:val="FootnoteText"/>
      </w:pPr>
      <w:r w:rsidRPr="00660B22">
        <w:rPr>
          <w:rStyle w:val="FootnoteReference"/>
        </w:rPr>
        <w:footnoteRef/>
      </w:r>
      <w:r w:rsidRPr="00660B22">
        <w:t xml:space="preserve"> </w:t>
      </w:r>
      <w:r w:rsidRPr="00735B5D" w:rsidR="00AC4674">
        <w:rPr>
          <w:i/>
          <w:iCs/>
        </w:rPr>
        <w:t>Id</w:t>
      </w:r>
      <w:r w:rsidRPr="00CB04A1" w:rsidR="00AC4674">
        <w:rPr>
          <w:i/>
          <w:iCs/>
        </w:rPr>
        <w:t>.</w:t>
      </w:r>
      <w:r w:rsidRPr="00660B22">
        <w:t xml:space="preserve"> at 11596-97, para. 7.</w:t>
      </w:r>
    </w:p>
  </w:footnote>
  <w:footnote w:id="12">
    <w:p w:rsidR="006D02E3" w:rsidRPr="00660B22" w:rsidP="00F80884" w14:paraId="60BA80E9" w14:textId="560D9D3C">
      <w:pPr>
        <w:pStyle w:val="FootnoteText"/>
      </w:pPr>
      <w:r w:rsidRPr="00660B22">
        <w:rPr>
          <w:rStyle w:val="FootnoteReference"/>
        </w:rPr>
        <w:footnoteRef/>
      </w:r>
      <w:r w:rsidRPr="00660B22">
        <w:t xml:space="preserve"> </w:t>
      </w:r>
      <w:r w:rsidRPr="00735B5D" w:rsidR="00CB04A1">
        <w:rPr>
          <w:i/>
          <w:iCs/>
        </w:rPr>
        <w:t>Id</w:t>
      </w:r>
      <w:r w:rsidRPr="00CB04A1" w:rsidR="00CB04A1">
        <w:rPr>
          <w:i/>
          <w:iCs/>
        </w:rPr>
        <w:t>.</w:t>
      </w:r>
      <w:r w:rsidRPr="00660B22" w:rsidR="00CB04A1">
        <w:t xml:space="preserve"> </w:t>
      </w:r>
    </w:p>
  </w:footnote>
  <w:footnote w:id="13">
    <w:p w:rsidR="006D02E3" w:rsidRPr="00660B22" w:rsidP="00F80884" w14:paraId="4AD9BC77" w14:textId="70C87CAF">
      <w:pPr>
        <w:pStyle w:val="FootnoteText"/>
      </w:pPr>
      <w:r w:rsidRPr="00660B22">
        <w:rPr>
          <w:rStyle w:val="FootnoteReference"/>
        </w:rPr>
        <w:footnoteRef/>
      </w:r>
      <w:r w:rsidRPr="00660B22">
        <w:t xml:space="preserve"> </w:t>
      </w:r>
      <w:r w:rsidRPr="00735B5D" w:rsidR="00CB04A1">
        <w:rPr>
          <w:i/>
          <w:iCs/>
        </w:rPr>
        <w:t>Id</w:t>
      </w:r>
      <w:r w:rsidRPr="00CB04A1" w:rsidR="00CB04A1">
        <w:rPr>
          <w:i/>
          <w:iCs/>
        </w:rPr>
        <w:t>.</w:t>
      </w:r>
      <w:r w:rsidRPr="00660B22" w:rsidR="00CB04A1">
        <w:t xml:space="preserve"> </w:t>
      </w:r>
      <w:r w:rsidRPr="00660B22">
        <w:t>at 11597, para. 10.</w:t>
      </w:r>
    </w:p>
  </w:footnote>
  <w:footnote w:id="14">
    <w:p w:rsidR="006D02E3" w:rsidRPr="00660B22" w:rsidP="00F80884" w14:paraId="1E1FF334" w14:textId="21F5E51A">
      <w:pPr>
        <w:pStyle w:val="FootnoteText"/>
      </w:pPr>
      <w:r w:rsidRPr="00660B22">
        <w:rPr>
          <w:rStyle w:val="FootnoteReference"/>
        </w:rPr>
        <w:footnoteRef/>
      </w:r>
      <w:r w:rsidRPr="00660B22">
        <w:t xml:space="preserve"> </w:t>
      </w:r>
      <w:r w:rsidRPr="00735B5D" w:rsidR="00CB04A1">
        <w:rPr>
          <w:i/>
          <w:iCs/>
        </w:rPr>
        <w:t>Id</w:t>
      </w:r>
      <w:r w:rsidRPr="00CB04A1" w:rsidR="00CB04A1">
        <w:rPr>
          <w:i/>
          <w:iCs/>
        </w:rPr>
        <w:t>.</w:t>
      </w:r>
      <w:r w:rsidRPr="00660B22" w:rsidR="00CB04A1">
        <w:t xml:space="preserve"> </w:t>
      </w:r>
    </w:p>
  </w:footnote>
  <w:footnote w:id="15">
    <w:p w:rsidR="006D02E3" w:rsidRPr="00660B22" w:rsidP="0057290C" w14:paraId="23E40FA7" w14:textId="71053A0D">
      <w:pPr>
        <w:pStyle w:val="FootnoteText"/>
      </w:pPr>
      <w:r w:rsidRPr="00660B22">
        <w:rPr>
          <w:rStyle w:val="FootnoteReference"/>
        </w:rPr>
        <w:footnoteRef/>
      </w:r>
      <w:r w:rsidRPr="00660B22">
        <w:t xml:space="preserve"> </w:t>
      </w:r>
      <w:r w:rsidRPr="00735B5D" w:rsidR="00CB04A1">
        <w:rPr>
          <w:i/>
          <w:iCs/>
        </w:rPr>
        <w:t>Id</w:t>
      </w:r>
      <w:r w:rsidRPr="00CB04A1" w:rsidR="00CB04A1">
        <w:rPr>
          <w:i/>
          <w:iCs/>
        </w:rPr>
        <w:t>.</w:t>
      </w:r>
      <w:r w:rsidRPr="00660B22" w:rsidR="00CB04A1">
        <w:t xml:space="preserve"> </w:t>
      </w:r>
      <w:r w:rsidRPr="00660B22">
        <w:t xml:space="preserve">at 11600-01, para. 16 (“Moreover, as the Commission observed in the </w:t>
      </w:r>
      <w:r w:rsidRPr="00660B22">
        <w:rPr>
          <w:i/>
          <w:iCs/>
        </w:rPr>
        <w:t>USF/ICC Transformation Further Notice</w:t>
      </w:r>
      <w:r w:rsidRPr="00660B22">
        <w:t xml:space="preserve"> ‘because the calling party chooses the access provider but does not pay for the toll call, it has no incentive to select a provider with lower originating access rates.’”) (quoting </w:t>
      </w:r>
      <w:r w:rsidRPr="00660B22">
        <w:rPr>
          <w:i/>
          <w:iCs/>
        </w:rPr>
        <w:t>USF/ICC Transformation Further Notice</w:t>
      </w:r>
      <w:r w:rsidRPr="00660B22">
        <w:t>, 26 FCC Rcd at 18111, para. 1303).</w:t>
      </w:r>
    </w:p>
  </w:footnote>
  <w:footnote w:id="16">
    <w:p w:rsidR="006D02E3" w:rsidRPr="00660B22" w:rsidP="0057290C" w14:paraId="7F3937DB" w14:textId="77777777">
      <w:pPr>
        <w:pStyle w:val="FootnoteText"/>
      </w:pPr>
      <w:r w:rsidRPr="00660B22">
        <w:rPr>
          <w:rStyle w:val="FootnoteReference"/>
        </w:rPr>
        <w:footnoteRef/>
      </w:r>
      <w:r w:rsidRPr="00660B22">
        <w:t xml:space="preserve"> </w:t>
      </w:r>
      <w:r w:rsidRPr="00660B22">
        <w:rPr>
          <w:i/>
          <w:iCs/>
        </w:rPr>
        <w:t>8YY Access Charge Reform Order</w:t>
      </w:r>
      <w:r w:rsidRPr="00660B22">
        <w:t>, 35 FCC Rcd at 11595, para. 2.</w:t>
      </w:r>
    </w:p>
  </w:footnote>
  <w:footnote w:id="17">
    <w:p w:rsidR="006D02E3" w:rsidRPr="00660B22" w:rsidP="001768FE" w14:paraId="4ECFA4F9" w14:textId="23B0B368">
      <w:pPr>
        <w:pStyle w:val="FootnoteText"/>
      </w:pPr>
      <w:r w:rsidRPr="00660B22">
        <w:rPr>
          <w:rStyle w:val="FootnoteReference"/>
        </w:rPr>
        <w:footnoteRef/>
      </w:r>
      <w:r w:rsidRPr="00660B22">
        <w:t xml:space="preserve"> </w:t>
      </w:r>
      <w:r w:rsidRPr="00735B5D" w:rsidR="00672E2C">
        <w:rPr>
          <w:i/>
          <w:iCs/>
        </w:rPr>
        <w:t>Id</w:t>
      </w:r>
      <w:r w:rsidRPr="00CB04A1" w:rsidR="00672E2C">
        <w:rPr>
          <w:i/>
          <w:iCs/>
        </w:rPr>
        <w:t>.</w:t>
      </w:r>
      <w:r w:rsidRPr="00660B22" w:rsidR="00672E2C">
        <w:t xml:space="preserve"> </w:t>
      </w:r>
      <w:r w:rsidRPr="00660B22">
        <w:t xml:space="preserve">at 11595, para. </w:t>
      </w:r>
      <w:r>
        <w:t>4</w:t>
      </w:r>
      <w:r w:rsidRPr="00660B22">
        <w:t>.</w:t>
      </w:r>
    </w:p>
  </w:footnote>
  <w:footnote w:id="18">
    <w:p w:rsidR="006D02E3" w:rsidRPr="00660B22" w:rsidP="001768FE" w14:paraId="0EF8B742" w14:textId="30F0A798">
      <w:pPr>
        <w:pStyle w:val="FootnoteText"/>
      </w:pPr>
      <w:r w:rsidRPr="00660B22">
        <w:rPr>
          <w:rStyle w:val="FootnoteReference"/>
        </w:rPr>
        <w:footnoteRef/>
      </w:r>
      <w:r w:rsidRPr="00660B22">
        <w:t xml:space="preserve"> </w:t>
      </w:r>
      <w:r w:rsidRPr="00735B5D" w:rsidR="00672E2C">
        <w:rPr>
          <w:i/>
          <w:iCs/>
        </w:rPr>
        <w:t>Id</w:t>
      </w:r>
      <w:r w:rsidRPr="00CB04A1" w:rsidR="00672E2C">
        <w:rPr>
          <w:i/>
          <w:iCs/>
        </w:rPr>
        <w:t>.</w:t>
      </w:r>
      <w:r w:rsidRPr="00660B22" w:rsidR="00672E2C">
        <w:t xml:space="preserve"> </w:t>
      </w:r>
      <w:r w:rsidRPr="00660B22">
        <w:t>at 11629-30, para. 82.</w:t>
      </w:r>
    </w:p>
  </w:footnote>
  <w:footnote w:id="19">
    <w:p w:rsidR="006D02E3" w:rsidRPr="00660B22" w:rsidP="00A2093D" w14:paraId="16FCBA50" w14:textId="1B5A4491">
      <w:pPr>
        <w:pStyle w:val="FootnoteText"/>
      </w:pPr>
      <w:r w:rsidRPr="00660B22">
        <w:rPr>
          <w:rStyle w:val="FootnoteReference"/>
        </w:rPr>
        <w:footnoteRef/>
      </w:r>
      <w:r w:rsidRPr="00660B22">
        <w:t xml:space="preserve"> </w:t>
      </w:r>
      <w:r w:rsidRPr="00735B5D" w:rsidR="00672E2C">
        <w:rPr>
          <w:i/>
          <w:iCs/>
        </w:rPr>
        <w:t>Id</w:t>
      </w:r>
      <w:r w:rsidRPr="00CB04A1" w:rsidR="00672E2C">
        <w:rPr>
          <w:i/>
          <w:iCs/>
        </w:rPr>
        <w:t>.</w:t>
      </w:r>
      <w:r w:rsidRPr="00660B22" w:rsidR="00672E2C">
        <w:t xml:space="preserve"> </w:t>
      </w:r>
      <w:r w:rsidRPr="00660B22">
        <w:t xml:space="preserve">(explaining that this requirement became effective “as of the effective date of this </w:t>
      </w:r>
      <w:r w:rsidRPr="00FF6F66">
        <w:rPr>
          <w:i/>
          <w:iCs/>
        </w:rPr>
        <w:t>Order</w:t>
      </w:r>
      <w:r w:rsidRPr="00660B22">
        <w:t>,” which occurred on November 27, 2020.  8YY Access Charge Reform, 85 Fed. Reg. 75894 (Nov. 27, 2020)).</w:t>
      </w:r>
      <w:r>
        <w:t xml:space="preserve">  </w:t>
      </w:r>
    </w:p>
  </w:footnote>
  <w:footnote w:id="20">
    <w:p w:rsidR="006D02E3" w:rsidRPr="00660B22" w:rsidP="002731C9" w14:paraId="2900E583" w14:textId="6797A509">
      <w:pPr>
        <w:pStyle w:val="FootnoteText"/>
      </w:pPr>
      <w:r w:rsidRPr="00660B22">
        <w:rPr>
          <w:rStyle w:val="FootnoteReference"/>
          <w:rFonts w:eastAsia="Calibri"/>
        </w:rPr>
        <w:footnoteRef/>
      </w:r>
      <w:r w:rsidRPr="00660B22">
        <w:rPr>
          <w:rFonts w:eastAsia="Calibri"/>
        </w:rPr>
        <w:t xml:space="preserve"> </w:t>
      </w:r>
      <w:r w:rsidRPr="00660B22">
        <w:rPr>
          <w:i/>
          <w:iCs/>
        </w:rPr>
        <w:t>8YY Access Charge Reform Order</w:t>
      </w:r>
      <w:r w:rsidRPr="00660B22">
        <w:t>, 35 FCC Rcd at 11629-31, para. 82</w:t>
      </w:r>
      <w:r>
        <w:t>.</w:t>
      </w:r>
    </w:p>
  </w:footnote>
  <w:footnote w:id="21">
    <w:p w:rsidR="006D02E3" w:rsidRPr="00660B22" w:rsidP="00CA1553" w14:paraId="073A9F7F" w14:textId="6E015484">
      <w:pPr>
        <w:pStyle w:val="FootnoteText"/>
      </w:pPr>
      <w:r w:rsidRPr="00660B22">
        <w:rPr>
          <w:rStyle w:val="FootnoteReference"/>
          <w:rFonts w:eastAsia="Calibri"/>
        </w:rPr>
        <w:footnoteRef/>
      </w:r>
      <w:r w:rsidRPr="00660B22">
        <w:rPr>
          <w:rFonts w:eastAsia="Calibri"/>
        </w:rPr>
        <w:t xml:space="preserve"> </w:t>
      </w:r>
      <w:r w:rsidRPr="00735B5D" w:rsidR="00672E2C">
        <w:rPr>
          <w:i/>
          <w:iCs/>
        </w:rPr>
        <w:t>Id</w:t>
      </w:r>
      <w:r w:rsidRPr="00CB04A1" w:rsidR="00672E2C">
        <w:rPr>
          <w:i/>
          <w:iCs/>
        </w:rPr>
        <w:t>.</w:t>
      </w:r>
      <w:r w:rsidRPr="00660B22" w:rsidR="00672E2C">
        <w:t xml:space="preserve"> </w:t>
      </w:r>
    </w:p>
  </w:footnote>
  <w:footnote w:id="22">
    <w:p w:rsidR="006D02E3" w:rsidP="00F55D62" w14:paraId="7EBA5558" w14:textId="480E8652">
      <w:pPr>
        <w:pStyle w:val="FootnoteText"/>
      </w:pPr>
      <w:r>
        <w:rPr>
          <w:rStyle w:val="FootnoteReference"/>
        </w:rPr>
        <w:footnoteRef/>
      </w:r>
      <w:r>
        <w:t xml:space="preserve"> 47 CFR 51.905(d); </w:t>
      </w:r>
      <w:r w:rsidRPr="00660B22">
        <w:rPr>
          <w:i/>
          <w:iCs/>
        </w:rPr>
        <w:t>8YY Access Charge Reform Order</w:t>
      </w:r>
      <w:r w:rsidRPr="00660B22">
        <w:t>, 35 FCC Rcd at 11629-30, para. 82.</w:t>
      </w:r>
    </w:p>
  </w:footnote>
  <w:footnote w:id="23">
    <w:p w:rsidR="006D02E3" w:rsidRPr="00660B22" w:rsidP="003B464A" w14:paraId="16DF2B6C" w14:textId="038876CE">
      <w:pPr>
        <w:pStyle w:val="FootnoteText"/>
      </w:pPr>
      <w:r w:rsidRPr="00660B22">
        <w:rPr>
          <w:rStyle w:val="FootnoteReference"/>
        </w:rPr>
        <w:footnoteRef/>
      </w:r>
      <w:r w:rsidRPr="00660B22">
        <w:t xml:space="preserve"> </w:t>
      </w:r>
      <w:r>
        <w:rPr>
          <w:i/>
          <w:iCs/>
        </w:rPr>
        <w:t xml:space="preserve">See </w:t>
      </w:r>
      <w:r>
        <w:t xml:space="preserve">47 U.S.C. § 227(b)(1); 47 CFR § 64.1200(a); </w:t>
      </w:r>
      <w:r w:rsidRPr="00660B22">
        <w:t>FCC Consumer Guide, “</w:t>
      </w:r>
      <w:r w:rsidRPr="00FF6F66">
        <w:rPr>
          <w:i/>
          <w:iCs/>
        </w:rPr>
        <w:t>Stop Unwanted Robocalls and Texts</w:t>
      </w:r>
      <w:r w:rsidRPr="00660B22">
        <w:t>,” last reviewed Nov</w:t>
      </w:r>
      <w:r>
        <w:t>.</w:t>
      </w:r>
      <w:r w:rsidRPr="00660B22">
        <w:t xml:space="preserve"> 12, 2020, </w:t>
      </w:r>
      <w:hyperlink r:id="rId1" w:history="1">
        <w:r w:rsidRPr="00660B22">
          <w:rPr>
            <w:rStyle w:val="Hyperlink"/>
          </w:rPr>
          <w:t>https://www.fcc.gov/sites/default/files/stop_unwanted_robocalls_and_texts.pdf</w:t>
        </w:r>
      </w:hyperlink>
      <w:r w:rsidRPr="00660B22">
        <w:t>.</w:t>
      </w:r>
    </w:p>
  </w:footnote>
  <w:footnote w:id="24">
    <w:p w:rsidR="006D02E3" w:rsidRPr="00660B22" w:rsidP="003B464A" w14:paraId="09E52DF8" w14:textId="2D10DDF8">
      <w:pPr>
        <w:pStyle w:val="FootnoteText"/>
      </w:pPr>
      <w:r w:rsidRPr="00660B22">
        <w:rPr>
          <w:rStyle w:val="FootnoteReference"/>
        </w:rPr>
        <w:footnoteRef/>
      </w:r>
      <w:r w:rsidRPr="00660B22">
        <w:t xml:space="preserve"> </w:t>
      </w:r>
      <w:r>
        <w:rPr>
          <w:i/>
          <w:iCs/>
        </w:rPr>
        <w:t>See, e.g.</w:t>
      </w:r>
      <w:r>
        <w:t xml:space="preserve">, </w:t>
      </w:r>
      <w:r w:rsidRPr="00660B22">
        <w:rPr>
          <w:i/>
          <w:iCs/>
          <w:snapToGrid w:val="0"/>
        </w:rPr>
        <w:t>Advanced Methods to Target and Eliminate Unlawful Robocalls</w:t>
      </w:r>
      <w:r w:rsidRPr="00660B22">
        <w:rPr>
          <w:snapToGrid w:val="0"/>
        </w:rPr>
        <w:t>, CG Docket No. 17-59, Fourth Report and Order, 35 FCC Rcd 15221 (2020) (</w:t>
      </w:r>
      <w:r w:rsidRPr="00660B22">
        <w:rPr>
          <w:i/>
          <w:iCs/>
          <w:snapToGrid w:val="0"/>
        </w:rPr>
        <w:t>Robocalling Fourth Report and Order</w:t>
      </w:r>
      <w:r w:rsidRPr="00660B22">
        <w:rPr>
          <w:snapToGrid w:val="0"/>
        </w:rPr>
        <w:t>)</w:t>
      </w:r>
      <w:r>
        <w:rPr>
          <w:snapToGrid w:val="0"/>
        </w:rPr>
        <w:t xml:space="preserve"> (establishing obligations for voice service providers to limit illegal calls on their networks);</w:t>
      </w:r>
      <w:r>
        <w:t xml:space="preserve"> </w:t>
      </w:r>
      <w:r w:rsidRPr="00175449">
        <w:rPr>
          <w:i/>
          <w:iCs/>
        </w:rPr>
        <w:t>Advanced Methods to Target and Eliminate Unlawful Robocalls</w:t>
      </w:r>
      <w:r>
        <w:t>,</w:t>
      </w:r>
      <w:r w:rsidRPr="00E75983">
        <w:t xml:space="preserve"> CG Docket No. 17-59</w:t>
      </w:r>
      <w:r>
        <w:t xml:space="preserve">, Third Report and Order, Order on Reconsideration, and Fourth Further Notice of Proposed Rulemaking, </w:t>
      </w:r>
      <w:r w:rsidRPr="005E430E">
        <w:t>35 FCC Rcd 7614</w:t>
      </w:r>
      <w:r>
        <w:t xml:space="preserve"> (2020) (establishing</w:t>
      </w:r>
      <w:r w:rsidRPr="00466175">
        <w:t xml:space="preserve"> safe harbor</w:t>
      </w:r>
      <w:r>
        <w:t>s</w:t>
      </w:r>
      <w:r w:rsidRPr="00466175">
        <w:t xml:space="preserve"> from liability for the unintended or inadvertent blocking of wanted calls</w:t>
      </w:r>
      <w:r>
        <w:t xml:space="preserve">); </w:t>
      </w:r>
      <w:r w:rsidRPr="00A00BAC">
        <w:rPr>
          <w:i/>
          <w:iCs/>
        </w:rPr>
        <w:t>Implementing Section 13(d) of the Pallone-Thune Telephone Robocall Abuse Criminal Enforcement and Deterrence Act (TRACED Act)</w:t>
      </w:r>
      <w:r w:rsidRPr="0034740F">
        <w:t xml:space="preserve">, EB Docket No. 20-22, Report and Order, 35 FCC Rcd 7886 (EB 2020) (selecting </w:t>
      </w:r>
      <w:r>
        <w:t>a</w:t>
      </w:r>
      <w:r w:rsidRPr="0034740F">
        <w:t xml:space="preserve"> single consortium to conduct private-led traceback efforts</w:t>
      </w:r>
      <w:r>
        <w:t xml:space="preserve">); FCC Consumer and Governmental Affairs Bureau, Report on Robocalls at 10-11 (2019), </w:t>
      </w:r>
      <w:hyperlink r:id="rId2" w:history="1">
        <w:r w:rsidRPr="0022743B">
          <w:rPr>
            <w:rStyle w:val="Hyperlink"/>
          </w:rPr>
          <w:t>https://docs.fcc.gov/public/attachments/DOC-356196A1.pdf</w:t>
        </w:r>
      </w:hyperlink>
      <w:r>
        <w:t xml:space="preserve"> (describing Commission enforcement actions against robocallers).</w:t>
      </w:r>
    </w:p>
  </w:footnote>
  <w:footnote w:id="25">
    <w:p w:rsidR="006D02E3" w:rsidRPr="00660B22" w:rsidP="003B464A" w14:paraId="382137EB" w14:textId="77777777">
      <w:pPr>
        <w:tabs>
          <w:tab w:val="center" w:pos="4680"/>
        </w:tabs>
        <w:suppressAutoHyphens/>
        <w:spacing w:after="120"/>
      </w:pPr>
      <w:r w:rsidRPr="00660B22">
        <w:rPr>
          <w:rStyle w:val="FootnoteReference"/>
        </w:rPr>
        <w:footnoteRef/>
      </w:r>
      <w:r w:rsidRPr="00660B22">
        <w:t xml:space="preserve"> </w:t>
      </w:r>
      <w:bookmarkStart w:id="1" w:name="_Hlk72869430"/>
      <w:r w:rsidRPr="00660B22">
        <w:rPr>
          <w:i/>
          <w:iCs/>
          <w:sz w:val="20"/>
        </w:rPr>
        <w:t>Robocalling Fourth Report and Order</w:t>
      </w:r>
      <w:r w:rsidRPr="00660B22">
        <w:rPr>
          <w:sz w:val="20"/>
        </w:rPr>
        <w:t>, 35 FCC Rcd at 15221-22, paras. 1-3.</w:t>
      </w:r>
      <w:bookmarkEnd w:id="1"/>
    </w:p>
  </w:footnote>
  <w:footnote w:id="26">
    <w:p w:rsidR="006D02E3" w:rsidRPr="00660B22" w:rsidP="003B464A" w14:paraId="6D6B0E61" w14:textId="77777777">
      <w:pPr>
        <w:pStyle w:val="FootnoteText"/>
      </w:pPr>
      <w:r w:rsidRPr="00660B22">
        <w:rPr>
          <w:rStyle w:val="FootnoteReference"/>
        </w:rPr>
        <w:footnoteRef/>
      </w:r>
      <w:r w:rsidRPr="00660B22">
        <w:t xml:space="preserve"> Pallone-Thune Telephone Robocall Abuse Criminal Enforcement and Deterrence Act, Pub. L. No. 116-105, 133 Stat. 3274 (2019) (TRACED Act).</w:t>
      </w:r>
    </w:p>
  </w:footnote>
  <w:footnote w:id="27">
    <w:p w:rsidR="006D02E3" w:rsidRPr="00660B22" w:rsidP="003B464A" w14:paraId="3F13A18A" w14:textId="305B35AD">
      <w:pPr>
        <w:pStyle w:val="FootnoteText"/>
      </w:pPr>
      <w:r w:rsidRPr="00660B22">
        <w:rPr>
          <w:rStyle w:val="FootnoteReference"/>
        </w:rPr>
        <w:footnoteRef/>
      </w:r>
      <w:r w:rsidRPr="00660B22">
        <w:t xml:space="preserve"> </w:t>
      </w:r>
      <w:r w:rsidRPr="00660B22">
        <w:rPr>
          <w:i/>
          <w:iCs/>
          <w:snapToGrid w:val="0"/>
        </w:rPr>
        <w:t>Robocalling Fourth Report and Order</w:t>
      </w:r>
      <w:r w:rsidRPr="00660B22">
        <w:rPr>
          <w:snapToGrid w:val="0"/>
        </w:rPr>
        <w:t>, 35 FCC Rcd at 15221, para. 1</w:t>
      </w:r>
      <w:r>
        <w:rPr>
          <w:snapToGrid w:val="0"/>
        </w:rPr>
        <w:t xml:space="preserve">; </w:t>
      </w:r>
      <w:r>
        <w:rPr>
          <w:i/>
          <w:iCs/>
          <w:snapToGrid w:val="0"/>
        </w:rPr>
        <w:t>see</w:t>
      </w:r>
      <w:r>
        <w:rPr>
          <w:snapToGrid w:val="0"/>
        </w:rPr>
        <w:t xml:space="preserve"> TRACED Act §§ 4(c), 7, 10(b); </w:t>
      </w:r>
      <w:r w:rsidRPr="00273758">
        <w:rPr>
          <w:i/>
          <w:iCs/>
        </w:rPr>
        <w:t>Call Authentication Trust Factor</w:t>
      </w:r>
      <w:r>
        <w:t xml:space="preserve">, </w:t>
      </w:r>
      <w:r>
        <w:rPr>
          <w:spacing w:val="-2"/>
        </w:rPr>
        <w:t xml:space="preserve">WC Docket No. 17-97, Second Report and Order, </w:t>
      </w:r>
      <w:r w:rsidRPr="0068680F">
        <w:rPr>
          <w:spacing w:val="-2"/>
        </w:rPr>
        <w:t>FCC 20-136</w:t>
      </w:r>
      <w:r>
        <w:rPr>
          <w:spacing w:val="-2"/>
        </w:rPr>
        <w:t xml:space="preserve"> </w:t>
      </w:r>
      <w:r w:rsidRPr="0068680F">
        <w:rPr>
          <w:spacing w:val="-2"/>
        </w:rPr>
        <w:t xml:space="preserve">at </w:t>
      </w:r>
      <w:r>
        <w:rPr>
          <w:spacing w:val="-2"/>
        </w:rPr>
        <w:t xml:space="preserve">2-8, paras. 3-14; at </w:t>
      </w:r>
      <w:r w:rsidRPr="0068680F">
        <w:rPr>
          <w:spacing w:val="-2"/>
        </w:rPr>
        <w:t>9,</w:t>
      </w:r>
      <w:r>
        <w:rPr>
          <w:spacing w:val="-2"/>
        </w:rPr>
        <w:t xml:space="preserve"> para. 16  (2020) (describing the Commission’s efforts to promote implementation of the STIR/SHAKEN caller ID authentication process).</w:t>
      </w:r>
    </w:p>
  </w:footnote>
  <w:footnote w:id="28">
    <w:p w:rsidR="006D02E3" w:rsidRPr="00660B22" w:rsidP="003B464A" w14:paraId="6F29002D" w14:textId="7B205120">
      <w:pPr>
        <w:pStyle w:val="FootnoteText"/>
      </w:pPr>
      <w:r w:rsidRPr="00660B22">
        <w:rPr>
          <w:rStyle w:val="FootnoteReference"/>
        </w:rPr>
        <w:footnoteRef/>
      </w:r>
      <w:bookmarkStart w:id="2" w:name="_Hlk54706019"/>
      <w:r w:rsidRPr="00660B22">
        <w:rPr>
          <w:snapToGrid w:val="0"/>
        </w:rPr>
        <w:t xml:space="preserve"> </w:t>
      </w:r>
      <w:r>
        <w:rPr>
          <w:i/>
          <w:iCs/>
          <w:snapToGrid w:val="0"/>
        </w:rPr>
        <w:t>See Robocalling Fourth Report and Order</w:t>
      </w:r>
      <w:r>
        <w:rPr>
          <w:snapToGrid w:val="0"/>
        </w:rPr>
        <w:t xml:space="preserve">, 35 FCC Rcd at 15222, para. 2.  </w:t>
      </w:r>
      <w:r w:rsidRPr="00660B22">
        <w:rPr>
          <w:snapToGrid w:val="0"/>
        </w:rPr>
        <w:t>“</w:t>
      </w:r>
      <w:r>
        <w:rPr>
          <w:snapToGrid w:val="0"/>
        </w:rPr>
        <w:t>‘</w:t>
      </w:r>
      <w:r w:rsidRPr="00660B22">
        <w:rPr>
          <w:snapToGrid w:val="0"/>
        </w:rPr>
        <w:t>Voice service provider</w:t>
      </w:r>
      <w:r>
        <w:rPr>
          <w:snapToGrid w:val="0"/>
        </w:rPr>
        <w:t>’</w:t>
      </w:r>
      <w:r w:rsidRPr="00660B22">
        <w:rPr>
          <w:snapToGrid w:val="0"/>
        </w:rPr>
        <w:t xml:space="preserve"> means any entity originating, carrying, or terminating voice calls through time-division multiplexing (TDM), Voice over Internet Protocol (VoIP), or commercial mobile radio service (CMRS).</w:t>
      </w:r>
      <w:bookmarkEnd w:id="2"/>
      <w:r>
        <w:rPr>
          <w:snapToGrid w:val="0"/>
        </w:rPr>
        <w:t>”</w:t>
      </w:r>
      <w:r w:rsidRPr="00660B22">
        <w:rPr>
          <w:snapToGrid w:val="0"/>
        </w:rPr>
        <w:t xml:space="preserve">  </w:t>
      </w:r>
      <w:r>
        <w:rPr>
          <w:i/>
          <w:iCs/>
          <w:snapToGrid w:val="0"/>
        </w:rPr>
        <w:t>Id.</w:t>
      </w:r>
      <w:r w:rsidRPr="00660B22">
        <w:rPr>
          <w:snapToGrid w:val="0"/>
        </w:rPr>
        <w:t xml:space="preserve"> at 15222 n.2.</w:t>
      </w:r>
    </w:p>
  </w:footnote>
  <w:footnote w:id="29">
    <w:p w:rsidR="006D02E3" w14:paraId="68246C43" w14:textId="2A8CD654">
      <w:pPr>
        <w:pStyle w:val="FootnoteText"/>
      </w:pPr>
      <w:r>
        <w:rPr>
          <w:rStyle w:val="FootnoteReference"/>
        </w:rPr>
        <w:footnoteRef/>
      </w:r>
      <w:r>
        <w:t xml:space="preserve"> This requirement will become effective upon Office of Management and Budget approval of related information collection burdens.  Advanced Methods to Target and Eliminate Unlawful Robocalls, 86 Fed. Reg. 17726 (Apr. 6, 2021).</w:t>
      </w:r>
    </w:p>
  </w:footnote>
  <w:footnote w:id="30">
    <w:p w:rsidR="006D02E3" w:rsidRPr="00660B22" w:rsidP="003B464A" w14:paraId="12F89E69" w14:textId="1D7A7722">
      <w:pPr>
        <w:pStyle w:val="FootnoteText"/>
      </w:pPr>
      <w:r w:rsidRPr="00660B22">
        <w:rPr>
          <w:rStyle w:val="FootnoteReference"/>
        </w:rPr>
        <w:footnoteRef/>
      </w:r>
      <w:r w:rsidRPr="00660B22">
        <w:t xml:space="preserve"> </w:t>
      </w:r>
      <w:r>
        <w:rPr>
          <w:i/>
          <w:iCs/>
          <w:snapToGrid w:val="0"/>
        </w:rPr>
        <w:t>Robocalling Fourth Report and Order</w:t>
      </w:r>
      <w:r>
        <w:rPr>
          <w:snapToGrid w:val="0"/>
        </w:rPr>
        <w:t xml:space="preserve">, 35 FCC Rcd </w:t>
      </w:r>
      <w:r w:rsidRPr="00660B22">
        <w:t>at 15227, para. 14.</w:t>
      </w:r>
    </w:p>
  </w:footnote>
  <w:footnote w:id="31">
    <w:p w:rsidR="006D02E3" w:rsidRPr="00660B22" w:rsidP="003B464A" w14:paraId="66E1D086" w14:textId="3BF7D354">
      <w:pPr>
        <w:pStyle w:val="FootnoteText"/>
      </w:pPr>
      <w:r w:rsidRPr="00660B22">
        <w:rPr>
          <w:rStyle w:val="FootnoteReference"/>
        </w:rPr>
        <w:footnoteRef/>
      </w:r>
      <w:r w:rsidRPr="00660B22">
        <w:t xml:space="preserve"> The Commission adopted new requirements that obligate all originating voice service providers to “know their customers and exercise due diligence in ensuring that their services are not used to originate illegal traffic.”</w:t>
      </w:r>
      <w:r w:rsidRPr="00D3426A" w:rsidR="00D3426A">
        <w:rPr>
          <w:i/>
          <w:iCs/>
          <w:snapToGrid w:val="0"/>
        </w:rPr>
        <w:t xml:space="preserve"> </w:t>
      </w:r>
      <w:r w:rsidR="00D3426A">
        <w:rPr>
          <w:i/>
          <w:iCs/>
          <w:snapToGrid w:val="0"/>
        </w:rPr>
        <w:t>Ro</w:t>
      </w:r>
      <w:r w:rsidRPr="00BE0305" w:rsidR="00D3426A">
        <w:rPr>
          <w:i/>
          <w:iCs/>
          <w:snapToGrid w:val="0"/>
        </w:rPr>
        <w:t>bocalling Fourth Report and Order</w:t>
      </w:r>
      <w:r w:rsidR="00D3426A">
        <w:rPr>
          <w:snapToGrid w:val="0"/>
        </w:rPr>
        <w:t>, 35 FCC Rcd at 152</w:t>
      </w:r>
      <w:r w:rsidR="00CF67AD">
        <w:rPr>
          <w:snapToGrid w:val="0"/>
        </w:rPr>
        <w:t>32</w:t>
      </w:r>
      <w:r w:rsidR="00BF4EA5">
        <w:rPr>
          <w:snapToGrid w:val="0"/>
        </w:rPr>
        <w:t>,</w:t>
      </w:r>
      <w:r w:rsidR="00D3426A">
        <w:rPr>
          <w:snapToGrid w:val="0"/>
        </w:rPr>
        <w:t xml:space="preserve"> </w:t>
      </w:r>
      <w:r w:rsidR="00BF4EA5">
        <w:rPr>
          <w:snapToGrid w:val="0"/>
        </w:rPr>
        <w:t xml:space="preserve">para </w:t>
      </w:r>
      <w:r w:rsidR="00B04F2F">
        <w:rPr>
          <w:snapToGrid w:val="0"/>
        </w:rPr>
        <w:t>32</w:t>
      </w:r>
      <w:r w:rsidR="00D3426A">
        <w:rPr>
          <w:snapToGrid w:val="0"/>
        </w:rPr>
        <w:t>.</w:t>
      </w:r>
      <w:r w:rsidRPr="00660B22">
        <w:t xml:space="preserve">  The Commission also recommended that “voice service providers exercise caution in granting access to high-volume origination services, to ensure that bad actors do not abuse such services.”  </w:t>
      </w:r>
      <w:r w:rsidRPr="00660B22">
        <w:rPr>
          <w:i/>
          <w:iCs/>
        </w:rPr>
        <w:t>Id</w:t>
      </w:r>
      <w:r w:rsidRPr="00660B22">
        <w:t xml:space="preserve">. </w:t>
      </w:r>
      <w:r w:rsidRPr="00660B22">
        <w:rPr>
          <w:i/>
          <w:iCs/>
        </w:rPr>
        <w:t xml:space="preserve"> </w:t>
      </w:r>
    </w:p>
  </w:footnote>
  <w:footnote w:id="32">
    <w:p w:rsidR="006D02E3" w14:paraId="614C31A7" w14:textId="08DBD392">
      <w:pPr>
        <w:pStyle w:val="FootnoteText"/>
      </w:pPr>
      <w:r>
        <w:rPr>
          <w:rStyle w:val="FootnoteReference"/>
        </w:rPr>
        <w:footnoteRef/>
      </w:r>
      <w:r>
        <w:t xml:space="preserve"> Core’s tariff revisions are reproduced in the Appendix to this </w:t>
      </w:r>
      <w:r w:rsidRPr="00A42E16">
        <w:t>Order</w:t>
      </w:r>
      <w:r>
        <w:t>.</w:t>
      </w:r>
    </w:p>
  </w:footnote>
  <w:footnote w:id="33">
    <w:p w:rsidR="006D02E3" w:rsidRPr="00660B22" w:rsidP="001768FE" w14:paraId="43CD2905" w14:textId="2D19DF3C">
      <w:pPr>
        <w:pStyle w:val="FootnoteText"/>
      </w:pPr>
      <w:r w:rsidRPr="00660B22">
        <w:rPr>
          <w:rStyle w:val="FootnoteReference"/>
        </w:rPr>
        <w:footnoteRef/>
      </w:r>
      <w:r w:rsidRPr="00660B22">
        <w:t xml:space="preserve"> </w:t>
      </w:r>
      <w:r>
        <w:t>Appendix at Section 2.10.4.A.</w:t>
      </w:r>
    </w:p>
  </w:footnote>
  <w:footnote w:id="34">
    <w:p w:rsidR="006D02E3" w:rsidRPr="00660B22" w:rsidP="001768FE" w14:paraId="30AB8447" w14:textId="44143B12">
      <w:pPr>
        <w:pStyle w:val="FootnoteText"/>
      </w:pPr>
      <w:r w:rsidRPr="00660B22">
        <w:rPr>
          <w:rStyle w:val="FootnoteReference"/>
        </w:rPr>
        <w:footnoteRef/>
      </w:r>
      <w:r w:rsidRPr="00660B22">
        <w:t xml:space="preserve"> </w:t>
      </w:r>
      <w:r w:rsidRPr="006E4DBA" w:rsidR="001914CF">
        <w:rPr>
          <w:i/>
          <w:iCs/>
        </w:rPr>
        <w:t>Id.</w:t>
      </w:r>
      <w:r w:rsidR="001914CF">
        <w:t xml:space="preserve"> at</w:t>
      </w:r>
      <w:r>
        <w:t xml:space="preserve"> Section</w:t>
      </w:r>
      <w:r w:rsidRPr="00660B22">
        <w:t xml:space="preserve"> 2.13.3.H.</w:t>
      </w:r>
    </w:p>
  </w:footnote>
  <w:footnote w:id="35">
    <w:p w:rsidR="006D02E3" w:rsidRPr="00660B22" w:rsidP="001768FE" w14:paraId="3EFE5B01" w14:textId="529C51D1">
      <w:pPr>
        <w:pStyle w:val="FootnoteText"/>
      </w:pPr>
      <w:r w:rsidRPr="00660B22">
        <w:rPr>
          <w:rStyle w:val="FootnoteReference"/>
        </w:rPr>
        <w:footnoteRef/>
      </w:r>
      <w:r w:rsidRPr="00660B22">
        <w:t xml:space="preserve"> </w:t>
      </w:r>
      <w:r>
        <w:t>Appendix at Section</w:t>
      </w:r>
      <w:r w:rsidRPr="00660B22">
        <w:t xml:space="preserve"> 2.21.</w:t>
      </w:r>
    </w:p>
  </w:footnote>
  <w:footnote w:id="36">
    <w:p w:rsidR="006D02E3" w:rsidRPr="00660B22" w:rsidP="001768FE" w14:paraId="3EF60C95" w14:textId="24DA7BA0">
      <w:pPr>
        <w:pStyle w:val="FootnoteText"/>
      </w:pPr>
      <w:r w:rsidRPr="00660B22">
        <w:rPr>
          <w:rStyle w:val="FootnoteReference"/>
        </w:rPr>
        <w:footnoteRef/>
      </w:r>
      <w:r w:rsidRPr="00660B22">
        <w:t xml:space="preserve"> </w:t>
      </w:r>
      <w:r>
        <w:t>Appendix at Section</w:t>
      </w:r>
      <w:r w:rsidRPr="00660B22">
        <w:t xml:space="preserve"> 3.3.5.</w:t>
      </w:r>
    </w:p>
  </w:footnote>
  <w:footnote w:id="37">
    <w:p w:rsidR="006D02E3" w:rsidRPr="00660B22" w:rsidP="008C46BC" w14:paraId="1387B344" w14:textId="2FEA7631">
      <w:pPr>
        <w:pStyle w:val="FootnoteText"/>
      </w:pPr>
      <w:r w:rsidRPr="00660B22">
        <w:rPr>
          <w:rStyle w:val="FootnoteReference"/>
        </w:rPr>
        <w:footnoteRef/>
      </w:r>
      <w:r w:rsidRPr="00660B22">
        <w:t xml:space="preserve"> </w:t>
      </w:r>
      <w:r>
        <w:rPr>
          <w:i/>
          <w:iCs/>
        </w:rPr>
        <w:t xml:space="preserve">See generally </w:t>
      </w:r>
      <w:r w:rsidRPr="00660B22">
        <w:t xml:space="preserve">Petition.  </w:t>
      </w:r>
    </w:p>
  </w:footnote>
  <w:footnote w:id="38">
    <w:p w:rsidR="006D02E3" w:rsidRPr="00660B22" w:rsidP="008C46BC" w14:paraId="57F4FEBC" w14:textId="77777777">
      <w:pPr>
        <w:pStyle w:val="FootnoteText"/>
      </w:pPr>
      <w:r w:rsidRPr="00660B22">
        <w:rPr>
          <w:rStyle w:val="FootnoteReference"/>
        </w:rPr>
        <w:footnoteRef/>
      </w:r>
      <w:r w:rsidRPr="00660B22">
        <w:t xml:space="preserve"> Petition at 10.</w:t>
      </w:r>
    </w:p>
  </w:footnote>
  <w:footnote w:id="39">
    <w:p w:rsidR="006D02E3" w:rsidRPr="00660B22" w:rsidP="008C46BC" w14:paraId="6CDD53A0" w14:textId="77777777">
      <w:pPr>
        <w:pStyle w:val="FootnoteText"/>
      </w:pPr>
      <w:r w:rsidRPr="00660B22">
        <w:rPr>
          <w:rStyle w:val="FootnoteReference"/>
        </w:rPr>
        <w:footnoteRef/>
      </w:r>
      <w:r w:rsidRPr="00660B22">
        <w:t xml:space="preserve"> </w:t>
      </w:r>
      <w:r w:rsidRPr="00660B22">
        <w:rPr>
          <w:i/>
          <w:iCs/>
        </w:rPr>
        <w:t xml:space="preserve">See </w:t>
      </w:r>
      <w:r w:rsidRPr="00660B22">
        <w:t>Petition at 4.</w:t>
      </w:r>
    </w:p>
  </w:footnote>
  <w:footnote w:id="40">
    <w:p w:rsidR="006D02E3" w:rsidRPr="00660B22" w:rsidP="004740B5" w14:paraId="74F24A09" w14:textId="299DB8BC">
      <w:pPr>
        <w:pStyle w:val="FootnoteText"/>
      </w:pPr>
      <w:r w:rsidRPr="00660B22">
        <w:rPr>
          <w:rStyle w:val="FootnoteReference"/>
        </w:rPr>
        <w:footnoteRef/>
      </w:r>
      <w:r w:rsidRPr="00660B22">
        <w:t xml:space="preserve"> Core Communications, Inc.’s Response to Petition of Verizon and AT&amp;T to Suspend or Reject Core’s Revised Tariff, WC Docket No. 21-191 (filed May 4, 2021) (Core Reply</w:t>
      </w:r>
      <w:r w:rsidR="0074714A">
        <w:t xml:space="preserve"> or Reply</w:t>
      </w:r>
      <w:r w:rsidRPr="00660B22">
        <w:t>).</w:t>
      </w:r>
    </w:p>
  </w:footnote>
  <w:footnote w:id="41">
    <w:p w:rsidR="006D02E3" w:rsidRPr="00660B22" w:rsidP="004740B5" w14:paraId="0E0F2DD7" w14:textId="6B199ED4">
      <w:pPr>
        <w:pStyle w:val="FootnoteText"/>
      </w:pPr>
      <w:r w:rsidRPr="00660B22">
        <w:rPr>
          <w:rStyle w:val="FootnoteReference"/>
        </w:rPr>
        <w:footnoteRef/>
      </w:r>
      <w:r w:rsidRPr="00660B22">
        <w:t xml:space="preserve"> Core Reply at </w:t>
      </w:r>
      <w:r>
        <w:t>1, 15</w:t>
      </w:r>
      <w:r w:rsidRPr="00660B22">
        <w:t>.</w:t>
      </w:r>
    </w:p>
  </w:footnote>
  <w:footnote w:id="42">
    <w:p w:rsidR="006D02E3" w:rsidRPr="00660B22" w:rsidP="001C6BB6" w14:paraId="17CDFCE7" w14:textId="400B71ED">
      <w:pPr>
        <w:pStyle w:val="FootnoteText"/>
      </w:pPr>
      <w:r w:rsidRPr="00660B22">
        <w:rPr>
          <w:rStyle w:val="FootnoteReference"/>
        </w:rPr>
        <w:footnoteRef/>
      </w:r>
      <w:r w:rsidRPr="00660B22">
        <w:t xml:space="preserve"> </w:t>
      </w:r>
      <w:r>
        <w:t xml:space="preserve">Appendix at </w:t>
      </w:r>
      <w:r w:rsidRPr="00660B22">
        <w:t>Section 2.10.4.A</w:t>
      </w:r>
      <w:r>
        <w:t>.</w:t>
      </w:r>
    </w:p>
  </w:footnote>
  <w:footnote w:id="43">
    <w:p w:rsidR="006D02E3" w:rsidRPr="00660B22" w:rsidP="000E4AEA" w14:paraId="546BEE8D" w14:textId="572B09C3">
      <w:pPr>
        <w:pStyle w:val="FootnoteText"/>
      </w:pPr>
      <w:r w:rsidRPr="00660B22">
        <w:rPr>
          <w:rStyle w:val="FootnoteReference"/>
        </w:rPr>
        <w:footnoteRef/>
      </w:r>
      <w:r w:rsidRPr="00660B22">
        <w:t xml:space="preserve"> </w:t>
      </w:r>
      <w:r w:rsidRPr="00735B5D" w:rsidR="007F34D3">
        <w:rPr>
          <w:i/>
          <w:iCs/>
        </w:rPr>
        <w:t>Id</w:t>
      </w:r>
      <w:r w:rsidRPr="00CB04A1" w:rsidR="007F34D3">
        <w:rPr>
          <w:i/>
          <w:iCs/>
        </w:rPr>
        <w:t>.</w:t>
      </w:r>
      <w:r w:rsidRPr="00660B22" w:rsidR="007F34D3">
        <w:t xml:space="preserve"> </w:t>
      </w:r>
      <w:r>
        <w:t xml:space="preserve">at </w:t>
      </w:r>
      <w:r w:rsidRPr="00660B22">
        <w:t>Section 2.10.4.A.</w:t>
      </w:r>
    </w:p>
  </w:footnote>
  <w:footnote w:id="44">
    <w:p w:rsidR="006D02E3" w:rsidRPr="00660B22" w:rsidP="000E4AEA" w14:paraId="4BAB7FBF" w14:textId="29227115">
      <w:pPr>
        <w:pStyle w:val="FootnoteText"/>
      </w:pPr>
      <w:r w:rsidRPr="00660B22">
        <w:rPr>
          <w:rStyle w:val="FootnoteReference"/>
        </w:rPr>
        <w:footnoteRef/>
      </w:r>
      <w:r w:rsidRPr="00660B22">
        <w:t xml:space="preserve"> </w:t>
      </w:r>
      <w:r w:rsidRPr="00735B5D" w:rsidR="007F34D3">
        <w:rPr>
          <w:i/>
          <w:iCs/>
        </w:rPr>
        <w:t>Id</w:t>
      </w:r>
      <w:r w:rsidRPr="00CB04A1" w:rsidR="007F34D3">
        <w:rPr>
          <w:i/>
          <w:iCs/>
        </w:rPr>
        <w:t>.</w:t>
      </w:r>
      <w:r w:rsidRPr="00660B22" w:rsidR="007F34D3">
        <w:t xml:space="preserve"> </w:t>
      </w:r>
      <w:r>
        <w:t xml:space="preserve">at </w:t>
      </w:r>
      <w:r w:rsidRPr="00660B22">
        <w:t>Section 2.10.4.A.</w:t>
      </w:r>
    </w:p>
  </w:footnote>
  <w:footnote w:id="45">
    <w:p w:rsidR="006D02E3" w:rsidRPr="00660B22" w:rsidP="001C6BB6" w14:paraId="1EEDF116" w14:textId="2958F40B">
      <w:pPr>
        <w:pStyle w:val="FootnoteText"/>
      </w:pPr>
      <w:r w:rsidRPr="00660B22">
        <w:rPr>
          <w:rStyle w:val="FootnoteReference"/>
        </w:rPr>
        <w:footnoteRef/>
      </w:r>
      <w:r w:rsidRPr="00660B22">
        <w:t xml:space="preserve"> </w:t>
      </w:r>
      <w:r w:rsidRPr="00735B5D" w:rsidR="007F34D3">
        <w:rPr>
          <w:i/>
          <w:iCs/>
        </w:rPr>
        <w:t>Id</w:t>
      </w:r>
      <w:r w:rsidRPr="00CB04A1" w:rsidR="007F34D3">
        <w:rPr>
          <w:i/>
          <w:iCs/>
        </w:rPr>
        <w:t>.</w:t>
      </w:r>
      <w:r w:rsidRPr="00660B22" w:rsidR="007F34D3">
        <w:t xml:space="preserve"> </w:t>
      </w:r>
      <w:r>
        <w:t xml:space="preserve">at </w:t>
      </w:r>
      <w:r w:rsidRPr="00660B22">
        <w:t>Section 2.21</w:t>
      </w:r>
      <w:r>
        <w:t>.</w:t>
      </w:r>
      <w:r w:rsidRPr="00660B22">
        <w:t xml:space="preserve"> </w:t>
      </w:r>
    </w:p>
  </w:footnote>
  <w:footnote w:id="46">
    <w:p w:rsidR="006D02E3" w:rsidRPr="00660B22" w:rsidP="000E4AEA" w14:paraId="29469A7B" w14:textId="5497136D">
      <w:pPr>
        <w:pStyle w:val="FootnoteText"/>
      </w:pPr>
      <w:r w:rsidRPr="00660B22">
        <w:rPr>
          <w:rStyle w:val="FootnoteReference"/>
        </w:rPr>
        <w:footnoteRef/>
      </w:r>
      <w:r w:rsidRPr="00660B22">
        <w:t xml:space="preserve"> </w:t>
      </w:r>
      <w:r w:rsidRPr="00735B5D" w:rsidR="007F34D3">
        <w:rPr>
          <w:i/>
          <w:iCs/>
        </w:rPr>
        <w:t>Id</w:t>
      </w:r>
      <w:r w:rsidRPr="00CB04A1" w:rsidR="007F34D3">
        <w:rPr>
          <w:i/>
          <w:iCs/>
        </w:rPr>
        <w:t>.</w:t>
      </w:r>
      <w:r w:rsidRPr="00660B22" w:rsidR="007F34D3">
        <w:t xml:space="preserve"> </w:t>
      </w:r>
      <w:r>
        <w:t xml:space="preserve">at </w:t>
      </w:r>
      <w:r w:rsidRPr="00660B22">
        <w:t>Section 2.21.</w:t>
      </w:r>
    </w:p>
  </w:footnote>
  <w:footnote w:id="47">
    <w:p w:rsidR="006D02E3" w:rsidRPr="00660B22" w:rsidP="000E4AEA" w14:paraId="14A13116" w14:textId="42D116BD">
      <w:pPr>
        <w:pStyle w:val="FootnoteText"/>
      </w:pPr>
      <w:r w:rsidRPr="00660B22">
        <w:rPr>
          <w:rStyle w:val="FootnoteReference"/>
        </w:rPr>
        <w:footnoteRef/>
      </w:r>
      <w:r w:rsidRPr="00660B22">
        <w:t xml:space="preserve"> </w:t>
      </w:r>
      <w:r w:rsidRPr="00735B5D" w:rsidR="007F34D3">
        <w:rPr>
          <w:i/>
          <w:iCs/>
        </w:rPr>
        <w:t>Id</w:t>
      </w:r>
      <w:r w:rsidRPr="00CB04A1" w:rsidR="007F34D3">
        <w:rPr>
          <w:i/>
          <w:iCs/>
        </w:rPr>
        <w:t>.</w:t>
      </w:r>
      <w:r w:rsidRPr="00660B22" w:rsidR="007F34D3">
        <w:t xml:space="preserve"> </w:t>
      </w:r>
      <w:r>
        <w:t xml:space="preserve">at </w:t>
      </w:r>
      <w:r w:rsidRPr="00660B22">
        <w:t>Section 2.21.</w:t>
      </w:r>
    </w:p>
  </w:footnote>
  <w:footnote w:id="48">
    <w:p w:rsidR="006D02E3" w:rsidRPr="00660B22" w:rsidP="001768FE" w14:paraId="366B6688" w14:textId="00A1B188">
      <w:pPr>
        <w:pStyle w:val="FootnoteText"/>
      </w:pPr>
      <w:r w:rsidRPr="00660B22">
        <w:rPr>
          <w:rStyle w:val="FootnoteReference"/>
        </w:rPr>
        <w:footnoteRef/>
      </w:r>
      <w:r w:rsidRPr="00660B22">
        <w:t xml:space="preserve"> Petition</w:t>
      </w:r>
      <w:r w:rsidRPr="00660B22">
        <w:rPr>
          <w:i/>
          <w:iCs/>
        </w:rPr>
        <w:t xml:space="preserve"> </w:t>
      </w:r>
      <w:r w:rsidRPr="00660B22">
        <w:t>at 2.</w:t>
      </w:r>
    </w:p>
  </w:footnote>
  <w:footnote w:id="49">
    <w:p w:rsidR="006D02E3" w:rsidRPr="00660B22" w:rsidP="007B3D42" w14:paraId="7E7872E4" w14:textId="6A6217D7">
      <w:pPr>
        <w:pStyle w:val="FootnoteText"/>
      </w:pPr>
      <w:r w:rsidRPr="00660B22">
        <w:rPr>
          <w:rStyle w:val="FootnoteReference"/>
        </w:rPr>
        <w:footnoteRef/>
      </w:r>
      <w:r w:rsidRPr="00660B22">
        <w:t xml:space="preserve"> </w:t>
      </w:r>
      <w:r w:rsidRPr="00735B5D" w:rsidR="007F34D3">
        <w:rPr>
          <w:i/>
          <w:iCs/>
        </w:rPr>
        <w:t>Id</w:t>
      </w:r>
      <w:r w:rsidRPr="00CB04A1" w:rsidR="007F34D3">
        <w:rPr>
          <w:i/>
          <w:iCs/>
        </w:rPr>
        <w:t>.</w:t>
      </w:r>
      <w:r w:rsidRPr="00660B22" w:rsidR="007F34D3">
        <w:t xml:space="preserve"> </w:t>
      </w:r>
      <w:r w:rsidRPr="00660B22">
        <w:t>at 8.</w:t>
      </w:r>
    </w:p>
  </w:footnote>
  <w:footnote w:id="50">
    <w:p w:rsidR="006D02E3" w:rsidRPr="00660B22" w:rsidP="007B3D42" w14:paraId="6DDC9C39" w14:textId="4FEEFF05">
      <w:pPr>
        <w:pStyle w:val="FootnoteText"/>
      </w:pPr>
      <w:r w:rsidRPr="00660B22">
        <w:rPr>
          <w:rStyle w:val="FootnoteReference"/>
        </w:rPr>
        <w:footnoteRef/>
      </w:r>
      <w:r w:rsidRPr="00660B22">
        <w:t xml:space="preserve"> Petition at 8; </w:t>
      </w:r>
      <w:r w:rsidRPr="00B77BE6">
        <w:rPr>
          <w:i/>
        </w:rPr>
        <w:t>Sprint Commc’ns Co. v. N. Valley Commc’ns, LLC</w:t>
      </w:r>
      <w:r w:rsidRPr="00B77BE6">
        <w:t>, Memorandum Opinion &amp; Order, 26 FCC Rcd 10780, 10787, para. 14 (2011) (</w:t>
      </w:r>
      <w:bookmarkStart w:id="3" w:name="_Hlk72501089"/>
      <w:r w:rsidRPr="00B77BE6">
        <w:rPr>
          <w:i/>
        </w:rPr>
        <w:t>Northern Valley Order</w:t>
      </w:r>
      <w:bookmarkEnd w:id="3"/>
      <w:r w:rsidRPr="00B77BE6">
        <w:t xml:space="preserve">), </w:t>
      </w:r>
      <w:r w:rsidRPr="00B77BE6">
        <w:rPr>
          <w:i/>
        </w:rPr>
        <w:t>review denied</w:t>
      </w:r>
      <w:r w:rsidRPr="00B77BE6">
        <w:t xml:space="preserve">, </w:t>
      </w:r>
      <w:r w:rsidRPr="00B77BE6">
        <w:rPr>
          <w:i/>
        </w:rPr>
        <w:t>N. Valley Commc’ns, LLC v. FCC</w:t>
      </w:r>
      <w:r w:rsidRPr="00B77BE6">
        <w:t>, 717 F.3d 1017 (D.C. Cir. 2013).</w:t>
      </w:r>
    </w:p>
  </w:footnote>
  <w:footnote w:id="51">
    <w:p w:rsidR="006D02E3" w:rsidRPr="00660B22" w:rsidP="007B3D42" w14:paraId="4362193D" w14:textId="77777777">
      <w:pPr>
        <w:pStyle w:val="FootnoteText"/>
        <w:rPr>
          <w:i/>
          <w:iCs/>
        </w:rPr>
      </w:pPr>
      <w:r w:rsidRPr="00660B22">
        <w:rPr>
          <w:rStyle w:val="FootnoteReference"/>
        </w:rPr>
        <w:footnoteRef/>
      </w:r>
      <w:r w:rsidRPr="00660B22">
        <w:t xml:space="preserve"> Petition at 8 (citing </w:t>
      </w:r>
      <w:r w:rsidRPr="00660B22">
        <w:rPr>
          <w:i/>
          <w:iCs/>
        </w:rPr>
        <w:t>Northern Valley Order</w:t>
      </w:r>
      <w:r w:rsidRPr="00660B22">
        <w:t xml:space="preserve">, 26 FCC Rcd at 10787, para. 14).  </w:t>
      </w:r>
    </w:p>
  </w:footnote>
  <w:footnote w:id="52">
    <w:p w:rsidR="006D02E3" w:rsidRPr="00660B22" w:rsidP="00A2093D" w14:paraId="1C9CD554" w14:textId="77777777">
      <w:pPr>
        <w:pStyle w:val="FootnoteText"/>
      </w:pPr>
      <w:r w:rsidRPr="00660B22">
        <w:rPr>
          <w:rStyle w:val="FootnoteReference"/>
        </w:rPr>
        <w:footnoteRef/>
      </w:r>
      <w:r w:rsidRPr="00660B22">
        <w:t xml:space="preserve"> Core Reply at 12, 15, Exh. 5-7.</w:t>
      </w:r>
    </w:p>
  </w:footnote>
  <w:footnote w:id="53">
    <w:p w:rsidR="006D02E3" w:rsidRPr="00660B22" w:rsidP="007B3D42" w14:paraId="6C00815D" w14:textId="77777777">
      <w:pPr>
        <w:pStyle w:val="FootnoteText"/>
      </w:pPr>
      <w:r w:rsidRPr="00660B22">
        <w:rPr>
          <w:rStyle w:val="FootnoteReference"/>
        </w:rPr>
        <w:footnoteRef/>
      </w:r>
      <w:r w:rsidRPr="00660B22">
        <w:t xml:space="preserve"> Petition at 6.</w:t>
      </w:r>
    </w:p>
  </w:footnote>
  <w:footnote w:id="54">
    <w:p w:rsidR="006D02E3" w:rsidRPr="00660B22" w:rsidP="007B3D42" w14:paraId="6A6FCDF6" w14:textId="50398260">
      <w:pPr>
        <w:pStyle w:val="FootnoteText"/>
      </w:pPr>
      <w:r w:rsidRPr="00660B22">
        <w:rPr>
          <w:rStyle w:val="FootnoteReference"/>
        </w:rPr>
        <w:footnoteRef/>
      </w:r>
      <w:r w:rsidRPr="00660B22">
        <w:t xml:space="preserve"> </w:t>
      </w:r>
      <w:r w:rsidRPr="00735B5D" w:rsidR="00CB62CA">
        <w:rPr>
          <w:i/>
          <w:iCs/>
        </w:rPr>
        <w:t>Id</w:t>
      </w:r>
      <w:r w:rsidRPr="00CB04A1" w:rsidR="00CB62CA">
        <w:rPr>
          <w:i/>
          <w:iCs/>
        </w:rPr>
        <w:t>.</w:t>
      </w:r>
      <w:r w:rsidRPr="00660B22" w:rsidR="00CB62CA">
        <w:t xml:space="preserve"> </w:t>
      </w:r>
      <w:r w:rsidRPr="00660B22">
        <w:t>at 6.</w:t>
      </w:r>
    </w:p>
  </w:footnote>
  <w:footnote w:id="55">
    <w:p w:rsidR="006D02E3" w:rsidRPr="00660B22" w:rsidP="007B3D42" w14:paraId="59338EF6" w14:textId="494B6C99">
      <w:pPr>
        <w:pStyle w:val="FootnoteText"/>
      </w:pPr>
      <w:r w:rsidRPr="00660B22">
        <w:rPr>
          <w:rStyle w:val="FootnoteReference"/>
        </w:rPr>
        <w:footnoteRef/>
      </w:r>
      <w:r w:rsidRPr="00660B22">
        <w:t xml:space="preserve"> </w:t>
      </w:r>
      <w:r w:rsidRPr="00735B5D" w:rsidR="00CB62CA">
        <w:rPr>
          <w:i/>
          <w:iCs/>
        </w:rPr>
        <w:t>Id</w:t>
      </w:r>
      <w:r w:rsidRPr="00CB04A1" w:rsidR="00CB62CA">
        <w:rPr>
          <w:i/>
          <w:iCs/>
        </w:rPr>
        <w:t>.</w:t>
      </w:r>
      <w:r w:rsidRPr="00660B22" w:rsidR="00CB62CA">
        <w:t xml:space="preserve"> </w:t>
      </w:r>
      <w:r w:rsidRPr="00660B22">
        <w:t>at 7.</w:t>
      </w:r>
    </w:p>
  </w:footnote>
  <w:footnote w:id="56">
    <w:p w:rsidR="006D02E3" w:rsidRPr="00660B22" w:rsidP="007B3D42" w14:paraId="2A004FE8" w14:textId="6D920D9C">
      <w:pPr>
        <w:pStyle w:val="FootnoteText"/>
      </w:pPr>
      <w:r w:rsidRPr="00660B22">
        <w:rPr>
          <w:rStyle w:val="FootnoteReference"/>
        </w:rPr>
        <w:footnoteRef/>
      </w:r>
      <w:r w:rsidRPr="00660B22">
        <w:t xml:space="preserve"> </w:t>
      </w:r>
      <w:r w:rsidRPr="00735B5D" w:rsidR="00CB62CA">
        <w:rPr>
          <w:i/>
          <w:iCs/>
        </w:rPr>
        <w:t>Id</w:t>
      </w:r>
      <w:r w:rsidRPr="00CB04A1" w:rsidR="00CB62CA">
        <w:rPr>
          <w:i/>
          <w:iCs/>
        </w:rPr>
        <w:t>.</w:t>
      </w:r>
      <w:r w:rsidRPr="00660B22" w:rsidR="00CB62CA">
        <w:t xml:space="preserve"> </w:t>
      </w:r>
      <w:r w:rsidRPr="00660B22">
        <w:t xml:space="preserve">at 7.  </w:t>
      </w:r>
    </w:p>
  </w:footnote>
  <w:footnote w:id="57">
    <w:p w:rsidR="006D02E3" w:rsidRPr="00660B22" w:rsidP="007B3D42" w14:paraId="69063745" w14:textId="198CF8B2">
      <w:pPr>
        <w:pStyle w:val="FootnoteText"/>
      </w:pPr>
      <w:r w:rsidRPr="00660B22">
        <w:rPr>
          <w:rStyle w:val="FootnoteReference"/>
        </w:rPr>
        <w:footnoteRef/>
      </w:r>
      <w:r w:rsidRPr="00660B22">
        <w:t xml:space="preserve"> Core Reply at 1</w:t>
      </w:r>
      <w:r>
        <w:t>4</w:t>
      </w:r>
      <w:r w:rsidRPr="00660B22">
        <w:t>.</w:t>
      </w:r>
    </w:p>
  </w:footnote>
  <w:footnote w:id="58">
    <w:p w:rsidR="006D02E3" w:rsidRPr="00660B22" w:rsidP="001C6BB6" w14:paraId="7FDFD094" w14:textId="2A945313">
      <w:pPr>
        <w:pStyle w:val="FootnoteText"/>
      </w:pPr>
      <w:r w:rsidRPr="00660B22">
        <w:rPr>
          <w:rStyle w:val="FootnoteReference"/>
        </w:rPr>
        <w:footnoteRef/>
      </w:r>
      <w:r w:rsidRPr="00660B22">
        <w:t xml:space="preserve"> </w:t>
      </w:r>
      <w:r>
        <w:t xml:space="preserve">Appendix at </w:t>
      </w:r>
      <w:r w:rsidRPr="00660B22">
        <w:t>Section 2.10.5</w:t>
      </w:r>
      <w:r>
        <w:t>.</w:t>
      </w:r>
    </w:p>
  </w:footnote>
  <w:footnote w:id="59">
    <w:p w:rsidR="006D02E3" w14:paraId="2495188A" w14:textId="51B00881">
      <w:pPr>
        <w:pStyle w:val="FootnoteText"/>
      </w:pPr>
      <w:r>
        <w:rPr>
          <w:rStyle w:val="FootnoteReference"/>
        </w:rPr>
        <w:footnoteRef/>
      </w:r>
      <w:r>
        <w:t xml:space="preserve"> </w:t>
      </w:r>
      <w:r w:rsidRPr="00660B22">
        <w:t>Petition at 8.</w:t>
      </w:r>
    </w:p>
  </w:footnote>
  <w:footnote w:id="60">
    <w:p w:rsidR="006D02E3" w:rsidRPr="00660B22" w:rsidP="004740B5" w14:paraId="4851C2FD" w14:textId="17210652">
      <w:pPr>
        <w:pStyle w:val="FootnoteText"/>
      </w:pPr>
      <w:r w:rsidRPr="00660B22">
        <w:rPr>
          <w:rStyle w:val="FootnoteReference"/>
        </w:rPr>
        <w:footnoteRef/>
      </w:r>
      <w:r w:rsidRPr="00660B22">
        <w:t xml:space="preserve"> </w:t>
      </w:r>
      <w:r w:rsidRPr="00735B5D" w:rsidR="00CB62CA">
        <w:rPr>
          <w:i/>
          <w:iCs/>
        </w:rPr>
        <w:t>Id</w:t>
      </w:r>
      <w:r w:rsidRPr="00CB04A1" w:rsidR="00CB62CA">
        <w:rPr>
          <w:i/>
          <w:iCs/>
        </w:rPr>
        <w:t>.</w:t>
      </w:r>
      <w:r w:rsidRPr="00660B22" w:rsidR="00CB62CA">
        <w:t xml:space="preserve"> </w:t>
      </w:r>
    </w:p>
  </w:footnote>
  <w:footnote w:id="61">
    <w:p w:rsidR="006D02E3" w:rsidRPr="00660B22" w:rsidP="004740B5" w14:paraId="03B23C41" w14:textId="68FC39F3">
      <w:pPr>
        <w:pStyle w:val="FootnoteText"/>
      </w:pPr>
      <w:r w:rsidRPr="00660B22">
        <w:rPr>
          <w:rStyle w:val="FootnoteReference"/>
        </w:rPr>
        <w:footnoteRef/>
      </w:r>
      <w:r w:rsidRPr="00660B22">
        <w:t xml:space="preserve"> </w:t>
      </w:r>
      <w:r w:rsidRPr="00735B5D" w:rsidR="00CB62CA">
        <w:rPr>
          <w:i/>
          <w:iCs/>
        </w:rPr>
        <w:t>Id</w:t>
      </w:r>
      <w:r w:rsidRPr="00CB04A1" w:rsidR="00CB62CA">
        <w:rPr>
          <w:i/>
          <w:iCs/>
        </w:rPr>
        <w:t>.</w:t>
      </w:r>
      <w:r w:rsidRPr="00660B22" w:rsidR="00CB62CA">
        <w:t xml:space="preserve"> </w:t>
      </w:r>
      <w:r w:rsidRPr="00660B22">
        <w:t>at 8-9.</w:t>
      </w:r>
    </w:p>
  </w:footnote>
  <w:footnote w:id="62">
    <w:p w:rsidR="006D02E3" w:rsidRPr="00660B22" w:rsidP="004740B5" w14:paraId="4C302C4B" w14:textId="77777777">
      <w:pPr>
        <w:pStyle w:val="FootnoteText"/>
      </w:pPr>
      <w:r w:rsidRPr="00660B22">
        <w:rPr>
          <w:rStyle w:val="FootnoteReference"/>
        </w:rPr>
        <w:footnoteRef/>
      </w:r>
      <w:r w:rsidRPr="00660B22">
        <w:t xml:space="preserve"> Core Reply at 14 (emphasis in original).</w:t>
      </w:r>
    </w:p>
  </w:footnote>
  <w:footnote w:id="63">
    <w:p w:rsidR="006D02E3" w:rsidRPr="00660B22" w:rsidP="00CB18AF" w14:paraId="20C815AE" w14:textId="44609BAC">
      <w:pPr>
        <w:pStyle w:val="FootnoteText"/>
      </w:pPr>
      <w:r w:rsidRPr="00660B22">
        <w:rPr>
          <w:rStyle w:val="FootnoteReference"/>
        </w:rPr>
        <w:footnoteRef/>
      </w:r>
      <w:r w:rsidRPr="00660B22">
        <w:t xml:space="preserve"> </w:t>
      </w:r>
      <w:r w:rsidRPr="00735B5D" w:rsidR="00CB62CA">
        <w:rPr>
          <w:i/>
          <w:iCs/>
        </w:rPr>
        <w:t>Id</w:t>
      </w:r>
      <w:r w:rsidRPr="00CB04A1" w:rsidR="00CB62CA">
        <w:rPr>
          <w:i/>
          <w:iCs/>
        </w:rPr>
        <w:t>.</w:t>
      </w:r>
      <w:r w:rsidRPr="00660B22" w:rsidR="00CB62CA">
        <w:t xml:space="preserve"> </w:t>
      </w:r>
    </w:p>
  </w:footnote>
  <w:footnote w:id="64">
    <w:p w:rsidR="006D02E3" w:rsidRPr="00660B22" w:rsidP="00CB18AF" w14:paraId="36F464FD" w14:textId="4940E189">
      <w:pPr>
        <w:pStyle w:val="FootnoteText"/>
      </w:pPr>
      <w:r w:rsidRPr="00660B22">
        <w:rPr>
          <w:rStyle w:val="FootnoteReference"/>
        </w:rPr>
        <w:footnoteRef/>
      </w:r>
      <w:r w:rsidRPr="00660B22">
        <w:t xml:space="preserve"> </w:t>
      </w:r>
      <w:r w:rsidRPr="00735B5D" w:rsidR="00CB62CA">
        <w:rPr>
          <w:i/>
          <w:iCs/>
        </w:rPr>
        <w:t>Id</w:t>
      </w:r>
      <w:r w:rsidRPr="00CB04A1" w:rsidR="00CB62CA">
        <w:rPr>
          <w:i/>
          <w:iCs/>
        </w:rPr>
        <w:t>.</w:t>
      </w:r>
      <w:r w:rsidRPr="00660B22" w:rsidR="00CB62CA">
        <w:t xml:space="preserve"> </w:t>
      </w:r>
    </w:p>
  </w:footnote>
  <w:footnote w:id="65">
    <w:p w:rsidR="006D02E3" w:rsidRPr="001C6BB6" w:rsidP="001C6BB6" w14:paraId="5BAAE535" w14:textId="520FEFAC">
      <w:pPr>
        <w:pStyle w:val="FootnoteText"/>
        <w:rPr>
          <w:szCs w:val="22"/>
        </w:rPr>
      </w:pPr>
      <w:r w:rsidRPr="00660B22">
        <w:rPr>
          <w:rStyle w:val="FootnoteReference"/>
        </w:rPr>
        <w:footnoteRef/>
      </w:r>
      <w:r w:rsidRPr="00660B22">
        <w:t xml:space="preserve"> </w:t>
      </w:r>
      <w:r>
        <w:t xml:space="preserve">Appendix at </w:t>
      </w:r>
      <w:r w:rsidRPr="00660B22">
        <w:t xml:space="preserve">Section </w:t>
      </w:r>
      <w:r w:rsidRPr="00660B22">
        <w:rPr>
          <w:szCs w:val="22"/>
        </w:rPr>
        <w:t>2.13.3.H</w:t>
      </w:r>
      <w:r>
        <w:rPr>
          <w:szCs w:val="22"/>
        </w:rPr>
        <w:t>.</w:t>
      </w:r>
    </w:p>
  </w:footnote>
  <w:footnote w:id="66">
    <w:p w:rsidR="006D02E3" w:rsidRPr="00660B22" w:rsidP="00D472B9" w14:paraId="4628186A" w14:textId="77777777">
      <w:pPr>
        <w:pStyle w:val="FootnoteText"/>
      </w:pPr>
      <w:r w:rsidRPr="00660B22">
        <w:rPr>
          <w:rStyle w:val="FootnoteReference"/>
        </w:rPr>
        <w:footnoteRef/>
      </w:r>
      <w:r w:rsidRPr="00660B22">
        <w:t xml:space="preserve"> Petition at 2.</w:t>
      </w:r>
    </w:p>
  </w:footnote>
  <w:footnote w:id="67">
    <w:p w:rsidR="006D02E3" w:rsidRPr="00660B22" w:rsidP="00D472B9" w14:paraId="0B3D8582" w14:textId="524A51BB">
      <w:pPr>
        <w:pStyle w:val="FootnoteText"/>
      </w:pPr>
      <w:r w:rsidRPr="00660B22">
        <w:rPr>
          <w:rStyle w:val="FootnoteReference"/>
        </w:rPr>
        <w:footnoteRef/>
      </w:r>
      <w:r w:rsidRPr="00660B22">
        <w:t xml:space="preserve"> Petition at 9</w:t>
      </w:r>
      <w:r>
        <w:t xml:space="preserve"> </w:t>
      </w:r>
      <w:r w:rsidRPr="00ED00C1">
        <w:t xml:space="preserve">(emphasis in original) (citing </w:t>
      </w:r>
      <w:r w:rsidRPr="00ED00C1">
        <w:rPr>
          <w:i/>
          <w:iCs/>
        </w:rPr>
        <w:t>8YY Access Charge Reform Order</w:t>
      </w:r>
      <w:r w:rsidRPr="00525062">
        <w:t>,</w:t>
      </w:r>
      <w:r w:rsidRPr="00ED00C1">
        <w:rPr>
          <w:i/>
          <w:iCs/>
        </w:rPr>
        <w:t xml:space="preserve"> </w:t>
      </w:r>
      <w:r w:rsidRPr="00ED00C1">
        <w:t>35 FCC Rcd at 11626, 11629-30, paras. 72, 82).</w:t>
      </w:r>
    </w:p>
  </w:footnote>
  <w:footnote w:id="68">
    <w:p w:rsidR="006D02E3" w:rsidRPr="00660B22" w:rsidP="00D472B9" w14:paraId="52378E63" w14:textId="59192C9E">
      <w:pPr>
        <w:pStyle w:val="FootnoteText"/>
      </w:pPr>
      <w:r w:rsidRPr="00660B22">
        <w:rPr>
          <w:rStyle w:val="FootnoteReference"/>
        </w:rPr>
        <w:footnoteRef/>
      </w:r>
      <w:r w:rsidRPr="00660B22">
        <w:t xml:space="preserve"> </w:t>
      </w:r>
      <w:r w:rsidRPr="00735B5D" w:rsidR="00CB62CA">
        <w:rPr>
          <w:i/>
          <w:iCs/>
        </w:rPr>
        <w:t>Id</w:t>
      </w:r>
      <w:r w:rsidRPr="00CB04A1" w:rsidR="00CB62CA">
        <w:rPr>
          <w:i/>
          <w:iCs/>
        </w:rPr>
        <w:t>.</w:t>
      </w:r>
      <w:r w:rsidRPr="00660B22" w:rsidR="00CB62CA">
        <w:t xml:space="preserve"> </w:t>
      </w:r>
      <w:r w:rsidRPr="00660B22">
        <w:t>at 9</w:t>
      </w:r>
      <w:r>
        <w:t>-10</w:t>
      </w:r>
      <w:r w:rsidRPr="00660B22">
        <w:t>.</w:t>
      </w:r>
    </w:p>
  </w:footnote>
  <w:footnote w:id="69">
    <w:p w:rsidR="006D02E3" w:rsidRPr="00660B22" w:rsidP="00D472B9" w14:paraId="385E54B7" w14:textId="35D1A029">
      <w:pPr>
        <w:pStyle w:val="FootnoteText"/>
      </w:pPr>
      <w:r w:rsidRPr="00660B22">
        <w:rPr>
          <w:rStyle w:val="FootnoteReference"/>
        </w:rPr>
        <w:footnoteRef/>
      </w:r>
      <w:r w:rsidRPr="00660B22">
        <w:t xml:space="preserve"> </w:t>
      </w:r>
      <w:r w:rsidRPr="00735B5D" w:rsidR="00CB62CA">
        <w:rPr>
          <w:i/>
          <w:iCs/>
        </w:rPr>
        <w:t>Id</w:t>
      </w:r>
      <w:r w:rsidRPr="00CB04A1" w:rsidR="00CB62CA">
        <w:rPr>
          <w:i/>
          <w:iCs/>
        </w:rPr>
        <w:t>.</w:t>
      </w:r>
      <w:r w:rsidRPr="00660B22" w:rsidR="00CB62CA">
        <w:t xml:space="preserve"> </w:t>
      </w:r>
      <w:r w:rsidRPr="00660B22">
        <w:t xml:space="preserve">at </w:t>
      </w:r>
      <w:r>
        <w:t>10</w:t>
      </w:r>
      <w:r w:rsidRPr="00660B22">
        <w:t>.</w:t>
      </w:r>
    </w:p>
  </w:footnote>
  <w:footnote w:id="70">
    <w:p w:rsidR="006D02E3" w:rsidRPr="00660B22" w:rsidP="003921B0" w14:paraId="428696F3" w14:textId="77777777">
      <w:pPr>
        <w:pStyle w:val="FootnoteText"/>
      </w:pPr>
      <w:r w:rsidRPr="00660B22">
        <w:rPr>
          <w:rStyle w:val="FootnoteReference"/>
        </w:rPr>
        <w:footnoteRef/>
      </w:r>
      <w:r w:rsidRPr="00660B22">
        <w:t xml:space="preserve"> Core Reply at 12, 15, Exh. 5-7.</w:t>
      </w:r>
    </w:p>
  </w:footnote>
  <w:footnote w:id="71">
    <w:p w:rsidR="006D02E3" w:rsidRPr="00660B22" w:rsidP="001C6BB6" w14:paraId="1739ED77" w14:textId="70F69A5C">
      <w:pPr>
        <w:pStyle w:val="FootnoteText"/>
      </w:pPr>
      <w:r w:rsidRPr="00660B22">
        <w:rPr>
          <w:rStyle w:val="FootnoteReference"/>
        </w:rPr>
        <w:footnoteRef/>
      </w:r>
      <w:r w:rsidRPr="00660B22">
        <w:t xml:space="preserve"> </w:t>
      </w:r>
      <w:r>
        <w:t xml:space="preserve">Appendix at </w:t>
      </w:r>
      <w:r w:rsidRPr="00660B22">
        <w:t>Section 3.3.5</w:t>
      </w:r>
      <w:r>
        <w:t>.</w:t>
      </w:r>
      <w:r w:rsidRPr="00660B22">
        <w:t xml:space="preserve"> </w:t>
      </w:r>
    </w:p>
  </w:footnote>
  <w:footnote w:id="72">
    <w:p w:rsidR="006D02E3" w:rsidRPr="00660B22" w:rsidP="00A2093D" w14:paraId="7D8C2879" w14:textId="5E94BF4A">
      <w:pPr>
        <w:pStyle w:val="FootnoteText"/>
      </w:pPr>
      <w:r w:rsidRPr="00660B22">
        <w:rPr>
          <w:rStyle w:val="FootnoteReference"/>
        </w:rPr>
        <w:footnoteRef/>
      </w:r>
      <w:r w:rsidRPr="00660B22">
        <w:t xml:space="preserve"> Petition at 10.</w:t>
      </w:r>
    </w:p>
  </w:footnote>
  <w:footnote w:id="73">
    <w:p w:rsidR="006D02E3" w:rsidRPr="00660B22" w:rsidP="003921B0" w14:paraId="2CD2A82A" w14:textId="0289FA83">
      <w:pPr>
        <w:pStyle w:val="FootnoteText"/>
      </w:pPr>
      <w:r w:rsidRPr="00660B22">
        <w:rPr>
          <w:rStyle w:val="FootnoteReference"/>
        </w:rPr>
        <w:footnoteRef/>
      </w:r>
      <w:r w:rsidRPr="00660B22">
        <w:t xml:space="preserve"> Core Reply at 1</w:t>
      </w:r>
      <w:r>
        <w:t xml:space="preserve">3, </w:t>
      </w:r>
      <w:r w:rsidRPr="00660B22">
        <w:t xml:space="preserve">15, Exh. </w:t>
      </w:r>
      <w:r>
        <w:t>6.</w:t>
      </w:r>
    </w:p>
  </w:footnote>
  <w:footnote w:id="74">
    <w:p w:rsidR="006D02E3" w:rsidRPr="00660B22" w:rsidP="003921B0" w14:paraId="31978685" w14:textId="73A79405">
      <w:pPr>
        <w:tabs>
          <w:tab w:val="center" w:pos="4680"/>
        </w:tabs>
        <w:suppressAutoHyphens/>
        <w:spacing w:after="120"/>
        <w:rPr>
          <w:sz w:val="20"/>
        </w:rPr>
      </w:pPr>
      <w:r w:rsidRPr="00660B22">
        <w:rPr>
          <w:rStyle w:val="FootnoteReference"/>
        </w:rPr>
        <w:footnoteRef/>
      </w:r>
      <w:r w:rsidRPr="00660B22">
        <w:t xml:space="preserve"> </w:t>
      </w:r>
      <w:r w:rsidRPr="00660B22">
        <w:rPr>
          <w:i/>
          <w:iCs/>
          <w:spacing w:val="-2"/>
          <w:sz w:val="20"/>
        </w:rPr>
        <w:t>Core Communications, Inc., et al. Tariff F.C.C. No. 3</w:t>
      </w:r>
      <w:r w:rsidRPr="00660B22">
        <w:rPr>
          <w:spacing w:val="-2"/>
          <w:sz w:val="20"/>
        </w:rPr>
        <w:t>,</w:t>
      </w:r>
      <w:r w:rsidRPr="00660B22">
        <w:rPr>
          <w:sz w:val="20"/>
        </w:rPr>
        <w:t xml:space="preserve"> WC Docket No. 21-191, Transmittal No. 17, Order, DA 21-528 at 1-2, paras. 1, 5 (WCB May 6, 2021) (</w:t>
      </w:r>
      <w:r w:rsidRPr="00660B22">
        <w:rPr>
          <w:i/>
          <w:sz w:val="20"/>
        </w:rPr>
        <w:t>Suspension Order</w:t>
      </w:r>
      <w:r w:rsidRPr="00660B22">
        <w:rPr>
          <w:sz w:val="20"/>
        </w:rPr>
        <w:t xml:space="preserve">).  The existence of a substantial question of lawfulness regarding a proposed tariff revision forms the basis of a Commission determination of need to suspend a tariff.  The Commission may initiate tariff investigations on its own initiative.  </w:t>
      </w:r>
      <w:r w:rsidRPr="00660B22">
        <w:rPr>
          <w:i/>
          <w:iCs/>
          <w:sz w:val="20"/>
        </w:rPr>
        <w:t>See</w:t>
      </w:r>
      <w:r w:rsidRPr="00660B22">
        <w:rPr>
          <w:sz w:val="20"/>
        </w:rPr>
        <w:t xml:space="preserve"> 47 U.S.C. § 204(a)(1) (“Whenever there is filed with the Commission any new or revised charge, classification, regulation, or practice, the Commission may either upon complaint or upon its own initiative without complaint, upon reasonable notice, enter upon a hearing concerning the lawfulness thereof.”).  </w:t>
      </w:r>
      <w:r w:rsidRPr="00660B22">
        <w:rPr>
          <w:i/>
          <w:iCs/>
          <w:sz w:val="20"/>
        </w:rPr>
        <w:t>See</w:t>
      </w:r>
      <w:r>
        <w:rPr>
          <w:i/>
          <w:iCs/>
          <w:sz w:val="20"/>
        </w:rPr>
        <w:t xml:space="preserve"> also</w:t>
      </w:r>
      <w:r w:rsidRPr="00660B22">
        <w:rPr>
          <w:i/>
          <w:iCs/>
          <w:sz w:val="20"/>
        </w:rPr>
        <w:t xml:space="preserve"> e.g.</w:t>
      </w:r>
      <w:r w:rsidRPr="00660B22">
        <w:rPr>
          <w:sz w:val="20"/>
        </w:rPr>
        <w:t xml:space="preserve">, </w:t>
      </w:r>
      <w:r w:rsidRPr="00660B22">
        <w:rPr>
          <w:i/>
          <w:iCs/>
          <w:sz w:val="20"/>
        </w:rPr>
        <w:t>July 1, 2018 Annual Access Charge Tariff Filings; South Dakota Network, LLC Tariff F.C.C. No. 1</w:t>
      </w:r>
      <w:r w:rsidRPr="00660B22">
        <w:rPr>
          <w:sz w:val="20"/>
        </w:rPr>
        <w:t xml:space="preserve">, WC Docket No. 18-100, Transmittal No. 13, Order, DA 18-1004 (WCB rel. Oct. 1, 2018); </w:t>
      </w:r>
      <w:r w:rsidRPr="00660B22">
        <w:rPr>
          <w:i/>
          <w:iCs/>
          <w:sz w:val="20"/>
        </w:rPr>
        <w:t>Northern Valley Communications, LLC Tariff F.C.C. No. 3</w:t>
      </w:r>
      <w:r w:rsidRPr="00660B22">
        <w:rPr>
          <w:sz w:val="20"/>
        </w:rPr>
        <w:t xml:space="preserve">, WC Docket No. 20-11, Transmittal No. 12, Order, 35 FCC Rcd 402 (WCB 2020).  </w:t>
      </w:r>
    </w:p>
  </w:footnote>
  <w:footnote w:id="75">
    <w:p w:rsidR="006D02E3" w:rsidRPr="00660B22" w:rsidP="003921B0" w14:paraId="1D107A81" w14:textId="77777777">
      <w:pPr>
        <w:pStyle w:val="FootnoteText"/>
      </w:pPr>
      <w:r w:rsidRPr="00660B22">
        <w:rPr>
          <w:rStyle w:val="FootnoteReference"/>
        </w:rPr>
        <w:footnoteRef/>
      </w:r>
      <w:r w:rsidRPr="00660B22">
        <w:t xml:space="preserve"> </w:t>
      </w:r>
      <w:r w:rsidRPr="00660B22">
        <w:rPr>
          <w:i/>
          <w:iCs/>
        </w:rPr>
        <w:t>Suspension Order</w:t>
      </w:r>
      <w:r w:rsidRPr="00660B22">
        <w:t xml:space="preserve"> at 3, paras. 6-8.  When proposed tariff revisions are advanced for a day, the effective date listed in the proposed revisions is moved to one day earlier so that suspension of the proposed revision can occur on that day, thereby allowing the proposed revisions to become effective on the original effective date but not to be deemed lawful.  47 U.S.C. § 204(a)(3).</w:t>
      </w:r>
    </w:p>
  </w:footnote>
  <w:footnote w:id="76">
    <w:p w:rsidR="006D02E3" w:rsidRPr="00660B22" w:rsidP="003921B0" w14:paraId="1C3866B4" w14:textId="1034B624">
      <w:pPr>
        <w:pStyle w:val="FootnoteText"/>
      </w:pPr>
      <w:r w:rsidRPr="00660B22">
        <w:rPr>
          <w:rStyle w:val="FootnoteReference"/>
        </w:rPr>
        <w:footnoteRef/>
      </w:r>
      <w:r w:rsidRPr="00660B22">
        <w:t xml:space="preserve"> Letter from Carey Roesel, Inteserra Consulting Group</w:t>
      </w:r>
      <w:r>
        <w:t>,</w:t>
      </w:r>
      <w:r w:rsidRPr="00660B22">
        <w:t xml:space="preserve"> to Secretary, FCC, Transmittal No. 18 (May 13, 2021) (available via the Commission’s Electronic Tariff Filing System).  </w:t>
      </w:r>
      <w:r w:rsidRPr="00660B22">
        <w:rPr>
          <w:i/>
          <w:iCs/>
        </w:rPr>
        <w:t>See</w:t>
      </w:r>
      <w:r w:rsidRPr="00660B22">
        <w:t xml:space="preserve"> 47 CFR § 61.191.</w:t>
      </w:r>
    </w:p>
  </w:footnote>
  <w:footnote w:id="77">
    <w:p w:rsidR="006D02E3" w:rsidRPr="00660B22" w:rsidP="003921B0" w14:paraId="12C4F4F2" w14:textId="28F59938">
      <w:pPr>
        <w:pStyle w:val="FootnoteText"/>
      </w:pPr>
      <w:r w:rsidRPr="00660B22">
        <w:rPr>
          <w:rStyle w:val="FootnoteReference"/>
        </w:rPr>
        <w:footnoteRef/>
      </w:r>
      <w:r w:rsidRPr="00660B22">
        <w:t xml:space="preserve"> </w:t>
      </w:r>
      <w:r w:rsidRPr="00660B22">
        <w:rPr>
          <w:i/>
          <w:iCs/>
        </w:rPr>
        <w:t>Core Communications, Inc., et al., Tariff F.C.C. No. 3</w:t>
      </w:r>
      <w:r w:rsidRPr="00660B22">
        <w:t>, WC Docket No. 21-191, Transmittal No. 17, Protective Order, DA 21-602 (WCB May 21, 2021) (</w:t>
      </w:r>
      <w:r w:rsidRPr="00660B22">
        <w:rPr>
          <w:i/>
          <w:iCs/>
        </w:rPr>
        <w:t>Protective Order</w:t>
      </w:r>
      <w:r w:rsidRPr="00660B22">
        <w:t xml:space="preserve">). </w:t>
      </w:r>
    </w:p>
  </w:footnote>
  <w:footnote w:id="78">
    <w:p w:rsidR="006D02E3" w:rsidRPr="00660B22" w:rsidP="009E3F56" w14:paraId="7CF2E629" w14:textId="4C194A03">
      <w:pPr>
        <w:pStyle w:val="FootnoteText"/>
      </w:pPr>
      <w:r w:rsidRPr="00660B22">
        <w:rPr>
          <w:rStyle w:val="FootnoteReference"/>
        </w:rPr>
        <w:footnoteRef/>
      </w:r>
      <w:r w:rsidRPr="00660B22">
        <w:t xml:space="preserve"> </w:t>
      </w:r>
      <w:r w:rsidRPr="00660B22">
        <w:rPr>
          <w:i/>
          <w:iCs/>
        </w:rPr>
        <w:t xml:space="preserve">See </w:t>
      </w:r>
      <w:r w:rsidRPr="00660B22">
        <w:t>47 U.S.C. § 204(a)(1) (“At any hearing involving a new or revised charge, or a proposed new or revised charge, the burden of proof to show that the new or revised charge, or proposed charge, is just and reasonable shall be upon the carrier .</w:t>
      </w:r>
      <w:r>
        <w:t> </w:t>
      </w:r>
      <w:r w:rsidRPr="00660B22">
        <w:t>.</w:t>
      </w:r>
      <w:r>
        <w:t> </w:t>
      </w:r>
      <w:r w:rsidRPr="00660B22">
        <w:t>.</w:t>
      </w:r>
      <w:r>
        <w:t> </w:t>
      </w:r>
      <w:r w:rsidRPr="00660B22">
        <w:t xml:space="preserve">.”).  </w:t>
      </w:r>
    </w:p>
  </w:footnote>
  <w:footnote w:id="79">
    <w:p w:rsidR="006D02E3" w:rsidRPr="00660B22" w:rsidP="009E3F56" w14:paraId="0D749E92" w14:textId="77777777">
      <w:pPr>
        <w:pStyle w:val="FootnoteText"/>
      </w:pPr>
      <w:r w:rsidRPr="00660B22">
        <w:rPr>
          <w:rStyle w:val="FootnoteReference"/>
        </w:rPr>
        <w:footnoteRef/>
      </w:r>
      <w:r w:rsidRPr="00660B22">
        <w:t xml:space="preserve"> </w:t>
      </w:r>
      <w:r w:rsidRPr="00660B22">
        <w:rPr>
          <w:i/>
        </w:rPr>
        <w:t>Id</w:t>
      </w:r>
      <w:r w:rsidRPr="00660B22">
        <w:t>.</w:t>
      </w:r>
    </w:p>
  </w:footnote>
  <w:footnote w:id="80">
    <w:p w:rsidR="006D02E3" w:rsidRPr="00660B22" w:rsidP="009E3F56" w14:paraId="4DF3FB43" w14:textId="77777777">
      <w:pPr>
        <w:pStyle w:val="FootnoteText"/>
      </w:pPr>
      <w:r w:rsidRPr="00660B22">
        <w:rPr>
          <w:rStyle w:val="FootnoteReference"/>
        </w:rPr>
        <w:footnoteRef/>
      </w:r>
      <w:r w:rsidRPr="00660B22">
        <w:t xml:space="preserve"> </w:t>
      </w:r>
      <w:r w:rsidRPr="00660B22">
        <w:rPr>
          <w:i/>
        </w:rPr>
        <w:t>Id</w:t>
      </w:r>
      <w:r w:rsidRPr="00660B22">
        <w:t>. § 205(a).</w:t>
      </w:r>
    </w:p>
  </w:footnote>
  <w:footnote w:id="81">
    <w:p w:rsidR="006D02E3" w:rsidRPr="00660B22" w:rsidP="00710A7A" w14:paraId="43EC0EFC" w14:textId="2ABD1534">
      <w:pPr>
        <w:pStyle w:val="FootnoteText"/>
      </w:pPr>
      <w:r w:rsidRPr="00660B22">
        <w:rPr>
          <w:rStyle w:val="FootnoteReference"/>
        </w:rPr>
        <w:footnoteRef/>
      </w:r>
      <w:r w:rsidRPr="00660B22">
        <w:t xml:space="preserve"> 47 U.S.C. § 201(b); 47 CFR </w:t>
      </w:r>
      <w:r>
        <w:t>part</w:t>
      </w:r>
      <w:r w:rsidRPr="00660B22">
        <w:t xml:space="preserve"> 61. </w:t>
      </w:r>
      <w:r>
        <w:t xml:space="preserve"> </w:t>
      </w:r>
      <w:r w:rsidRPr="00660B22">
        <w:t xml:space="preserve">“We will identify the specific issues that are the subject of the investigation in an upcoming designation order.  Those issues may include, but not be limited to, the issues identified in this Order.  We may also, by order, identify other discrete issues that warrant further investigation.”  </w:t>
      </w:r>
      <w:r w:rsidRPr="00660B22">
        <w:rPr>
          <w:i/>
          <w:iCs/>
        </w:rPr>
        <w:t>Suspension Order</w:t>
      </w:r>
      <w:r>
        <w:t>,</w:t>
      </w:r>
      <w:r w:rsidRPr="00660B22">
        <w:rPr>
          <w:i/>
          <w:iCs/>
        </w:rPr>
        <w:t xml:space="preserve"> </w:t>
      </w:r>
      <w:r w:rsidRPr="00660B22">
        <w:t>at 3, para. 8.</w:t>
      </w:r>
      <w:r>
        <w:t xml:space="preserve">  To the extent information from or about Core’s parent company or any affiliated company is necessary to answer, and relevant to, the questions </w:t>
      </w:r>
      <w:r w:rsidR="0074714A">
        <w:t xml:space="preserve">posed </w:t>
      </w:r>
      <w:r>
        <w:t xml:space="preserve">in this </w:t>
      </w:r>
      <w:r w:rsidRPr="00A42E16">
        <w:t>Order</w:t>
      </w:r>
      <w:r>
        <w:t xml:space="preserve"> we require Core to provide that information in its Direct Case.  </w:t>
      </w:r>
      <w:r w:rsidR="0074714A">
        <w:rPr>
          <w:i/>
          <w:iCs/>
        </w:rPr>
        <w:t xml:space="preserve">See </w:t>
      </w:r>
      <w:r>
        <w:t>Core Reply at 5</w:t>
      </w:r>
      <w:r w:rsidR="0074714A">
        <w:t xml:space="preserve"> (referencing “Core, through and including its parent and affiliated companies”)</w:t>
      </w:r>
      <w:r>
        <w:t>.</w:t>
      </w:r>
    </w:p>
  </w:footnote>
  <w:footnote w:id="82">
    <w:p w:rsidR="006D02E3" w:rsidRPr="00660B22" w:rsidP="00710A7A" w14:paraId="5207AFF0" w14:textId="77777777">
      <w:pPr>
        <w:pStyle w:val="FootnoteText"/>
      </w:pPr>
      <w:r w:rsidRPr="00660B22">
        <w:rPr>
          <w:rStyle w:val="FootnoteReference"/>
        </w:rPr>
        <w:footnoteRef/>
      </w:r>
      <w:r w:rsidRPr="00660B22">
        <w:t xml:space="preserve"> 47 U.S.C. § 201(b).</w:t>
      </w:r>
    </w:p>
  </w:footnote>
  <w:footnote w:id="83">
    <w:p w:rsidR="006D02E3" w14:paraId="5CA8E73C" w14:textId="6A67DF55">
      <w:pPr>
        <w:pStyle w:val="FootnoteText"/>
      </w:pPr>
      <w:r>
        <w:rPr>
          <w:rStyle w:val="FootnoteReference"/>
        </w:rPr>
        <w:footnoteRef/>
      </w:r>
      <w:r>
        <w:t xml:space="preserve"> </w:t>
      </w:r>
      <w:r w:rsidRPr="00660B22">
        <w:t>47 U.S.C. § 20</w:t>
      </w:r>
      <w:r>
        <w:t>6</w:t>
      </w:r>
      <w:r w:rsidRPr="00660B22">
        <w:t>.</w:t>
      </w:r>
    </w:p>
  </w:footnote>
  <w:footnote w:id="84">
    <w:p w:rsidR="006D02E3" w14:paraId="5FEE0B37" w14:textId="084B0AF0">
      <w:pPr>
        <w:pStyle w:val="FootnoteText"/>
      </w:pPr>
      <w:r>
        <w:rPr>
          <w:rStyle w:val="FootnoteReference"/>
        </w:rPr>
        <w:footnoteRef/>
      </w:r>
      <w:r>
        <w:t xml:space="preserve"> </w:t>
      </w:r>
      <w:r w:rsidRPr="00660B22">
        <w:t>47 U.S.C. § 20</w:t>
      </w:r>
      <w:r>
        <w:t>8.</w:t>
      </w:r>
    </w:p>
  </w:footnote>
  <w:footnote w:id="85">
    <w:p w:rsidR="006D02E3" w:rsidRPr="006B5E72" w14:paraId="7191EA64" w14:textId="51C0B1F0">
      <w:pPr>
        <w:pStyle w:val="FootnoteText"/>
      </w:pPr>
      <w:r>
        <w:rPr>
          <w:rStyle w:val="FootnoteReference"/>
        </w:rPr>
        <w:footnoteRef/>
      </w:r>
      <w:r>
        <w:t xml:space="preserve"> </w:t>
      </w:r>
      <w:r>
        <w:rPr>
          <w:i/>
          <w:iCs/>
        </w:rPr>
        <w:t>See generally 8YY Access Charge Reform Order</w:t>
      </w:r>
      <w:r>
        <w:t>.</w:t>
      </w:r>
    </w:p>
  </w:footnote>
  <w:footnote w:id="86">
    <w:p w:rsidR="006D02E3" w:rsidRPr="00660B22" w:rsidP="00710A7A" w14:paraId="0BF57497" w14:textId="77777777">
      <w:pPr>
        <w:pStyle w:val="FootnoteText"/>
      </w:pPr>
      <w:r w:rsidRPr="00660B22">
        <w:rPr>
          <w:rStyle w:val="FootnoteReference"/>
        </w:rPr>
        <w:footnoteRef/>
      </w:r>
      <w:r w:rsidRPr="00660B22">
        <w:t xml:space="preserve"> </w:t>
      </w:r>
      <w:r w:rsidRPr="00660B22">
        <w:rPr>
          <w:i/>
          <w:iCs/>
        </w:rPr>
        <w:t xml:space="preserve">See </w:t>
      </w:r>
      <w:r w:rsidRPr="00660B22">
        <w:t xml:space="preserve">47 CFR § 61.2; </w:t>
      </w:r>
      <w:r w:rsidRPr="00660B22">
        <w:rPr>
          <w:i/>
          <w:iCs/>
        </w:rPr>
        <w:t>Bell Atlantic-Delaware, Inc., et al. v. Global NAPs, Inc</w:t>
      </w:r>
      <w:r w:rsidRPr="00660B22">
        <w:t>., File No. E-99-22, Memorandum Opinion and Order, 15 FCC Rcd 12946, 12959, para. 22 (1999) (“section 201(b) of the Act [is] reflected in section 61.2 of our rules”).</w:t>
      </w:r>
    </w:p>
  </w:footnote>
  <w:footnote w:id="87">
    <w:p w:rsidR="006D02E3" w:rsidRPr="00660B22" w:rsidP="00710A7A" w14:paraId="628675A2" w14:textId="77777777">
      <w:pPr>
        <w:pStyle w:val="FootnoteText"/>
      </w:pPr>
      <w:r w:rsidRPr="00660B22">
        <w:rPr>
          <w:rStyle w:val="FootnoteReference"/>
        </w:rPr>
        <w:footnoteRef/>
      </w:r>
      <w:r w:rsidRPr="00660B22">
        <w:t xml:space="preserve"> 47 CFR § 61.2.</w:t>
      </w:r>
    </w:p>
  </w:footnote>
  <w:footnote w:id="88">
    <w:p w:rsidR="006D02E3" w:rsidRPr="00660B22" w:rsidP="00710A7A" w14:paraId="5B5BAB35" w14:textId="62E69198">
      <w:pPr>
        <w:pStyle w:val="FootnoteText"/>
      </w:pPr>
      <w:r w:rsidRPr="00660B22">
        <w:rPr>
          <w:rStyle w:val="FootnoteReference"/>
        </w:rPr>
        <w:footnoteRef/>
      </w:r>
      <w:r w:rsidRPr="00660B22">
        <w:t xml:space="preserve"> § 61.54(j).</w:t>
      </w:r>
    </w:p>
  </w:footnote>
  <w:footnote w:id="89">
    <w:p w:rsidR="006D02E3" w:rsidRPr="00660B22" w:rsidP="00710A7A" w14:paraId="66C3E48C" w14:textId="26E74A91">
      <w:pPr>
        <w:pStyle w:val="FootnoteText"/>
      </w:pPr>
      <w:r w:rsidRPr="00660B22">
        <w:rPr>
          <w:rStyle w:val="FootnoteReference"/>
        </w:rPr>
        <w:footnoteRef/>
      </w:r>
      <w:r w:rsidRPr="00660B22">
        <w:t xml:space="preserve"> </w:t>
      </w:r>
      <w:r w:rsidRPr="00735B5D" w:rsidR="007072B6">
        <w:rPr>
          <w:i/>
          <w:iCs/>
        </w:rPr>
        <w:t>Id</w:t>
      </w:r>
      <w:r w:rsidRPr="00CB04A1" w:rsidR="007072B6">
        <w:rPr>
          <w:i/>
          <w:iCs/>
        </w:rPr>
        <w:t>.</w:t>
      </w:r>
      <w:r w:rsidRPr="00660B22" w:rsidR="007072B6">
        <w:t xml:space="preserve"> </w:t>
      </w:r>
    </w:p>
  </w:footnote>
  <w:footnote w:id="90">
    <w:p w:rsidR="006D02E3" w:rsidRPr="008332FA" w:rsidP="00710A7A" w14:paraId="5E62CD08" w14:textId="320EFE58">
      <w:pPr>
        <w:pStyle w:val="FootnoteText"/>
      </w:pPr>
      <w:r w:rsidRPr="00660B22">
        <w:rPr>
          <w:rStyle w:val="FootnoteReference"/>
        </w:rPr>
        <w:footnoteRef/>
      </w:r>
      <w:r w:rsidRPr="00660B22">
        <w:t xml:space="preserve"> </w:t>
      </w:r>
      <w:r w:rsidRPr="00EE4E8F">
        <w:rPr>
          <w:i/>
          <w:iCs/>
        </w:rPr>
        <w:t xml:space="preserve">See </w:t>
      </w:r>
      <w:r w:rsidRPr="00EE4E8F">
        <w:t xml:space="preserve">Core Transmittal Letter (explaining that its tariff revisions </w:t>
      </w:r>
      <w:r w:rsidRPr="00EE4E8F">
        <w:rPr>
          <w:szCs w:val="22"/>
        </w:rPr>
        <w:t>add “provisions to address fraudulent or otherwise illegal traffic by adding specific refund/credit provisions for Customers [and] acknowledging the parties’ ability to block illegal traffic as permitted by law</w:t>
      </w:r>
      <w:r>
        <w:rPr>
          <w:szCs w:val="22"/>
        </w:rPr>
        <w:t> . </w:t>
      </w:r>
      <w:r w:rsidRPr="00EE4E8F">
        <w:rPr>
          <w:szCs w:val="22"/>
        </w:rPr>
        <w:t>.</w:t>
      </w:r>
      <w:r>
        <w:rPr>
          <w:szCs w:val="22"/>
        </w:rPr>
        <w:t> </w:t>
      </w:r>
      <w:r w:rsidRPr="00EE4E8F">
        <w:rPr>
          <w:szCs w:val="22"/>
        </w:rPr>
        <w:t>.”)</w:t>
      </w:r>
      <w:r>
        <w:rPr>
          <w:szCs w:val="22"/>
        </w:rPr>
        <w:t>.</w:t>
      </w:r>
    </w:p>
  </w:footnote>
  <w:footnote w:id="91">
    <w:p w:rsidR="006D02E3" w14:paraId="074A92F0" w14:textId="53B84ADE">
      <w:pPr>
        <w:pStyle w:val="FootnoteText"/>
      </w:pPr>
      <w:r>
        <w:rPr>
          <w:rStyle w:val="FootnoteReference"/>
        </w:rPr>
        <w:footnoteRef/>
      </w:r>
      <w:r>
        <w:t xml:space="preserve"> We use the </w:t>
      </w:r>
      <w:r w:rsidRPr="00CD4EAC">
        <w:t>term “8YY traffic”</w:t>
      </w:r>
      <w:r>
        <w:t xml:space="preserve"> or “toll free traffic”</w:t>
      </w:r>
      <w:r w:rsidRPr="00CD4EAC">
        <w:t xml:space="preserve"> </w:t>
      </w:r>
      <w:r>
        <w:t xml:space="preserve">to refer to </w:t>
      </w:r>
      <w:r w:rsidRPr="00CD4EAC">
        <w:t xml:space="preserve">calls that </w:t>
      </w:r>
      <w:r>
        <w:t>are made to</w:t>
      </w:r>
      <w:r w:rsidRPr="00CD4EAC">
        <w:t xml:space="preserve"> 8YY </w:t>
      </w:r>
      <w:r>
        <w:t>or toll free tele</w:t>
      </w:r>
      <w:r w:rsidRPr="00CD4EAC">
        <w:t>phone numbers</w:t>
      </w:r>
      <w:r>
        <w:t>.</w:t>
      </w:r>
      <w:r w:rsidRPr="00EF0318">
        <w:t xml:space="preserve"> </w:t>
      </w:r>
      <w:r>
        <w:t xml:space="preserve"> </w:t>
      </w:r>
      <w:r w:rsidRPr="00660B22">
        <w:t>47 CFR § 51.903(o) (“Toll Free Calls means a call to a Toll Free Number, as defined in § 5</w:t>
      </w:r>
      <w:r>
        <w:t>2</w:t>
      </w:r>
      <w:r w:rsidRPr="00660B22">
        <w:t>.</w:t>
      </w:r>
      <w:r>
        <w:t>1</w:t>
      </w:r>
      <w:r w:rsidRPr="00660B22">
        <w:t>0</w:t>
      </w:r>
      <w:r>
        <w:t>1</w:t>
      </w:r>
      <w:r w:rsidRPr="00660B22">
        <w:t>(f) of this subchapter.”).</w:t>
      </w:r>
    </w:p>
  </w:footnote>
  <w:footnote w:id="92">
    <w:p w:rsidR="006D02E3" w:rsidRPr="00660B22" w14:paraId="08CA635C" w14:textId="2A4EB3F5">
      <w:pPr>
        <w:pStyle w:val="FootnoteText"/>
      </w:pPr>
      <w:r w:rsidRPr="00660B22">
        <w:rPr>
          <w:rStyle w:val="FootnoteReference"/>
        </w:rPr>
        <w:footnoteRef/>
      </w:r>
      <w:r w:rsidRPr="00660B22">
        <w:t xml:space="preserve"> Petition at 9-10.</w:t>
      </w:r>
    </w:p>
  </w:footnote>
  <w:footnote w:id="93">
    <w:p w:rsidR="006D02E3" w:rsidRPr="00660B22" w:rsidP="00FB75EB" w14:paraId="7A6D745D" w14:textId="12246210">
      <w:pPr>
        <w:pStyle w:val="FootnoteText"/>
      </w:pPr>
      <w:r w:rsidRPr="00660B22">
        <w:rPr>
          <w:rStyle w:val="FootnoteReference"/>
        </w:rPr>
        <w:footnoteRef/>
      </w:r>
      <w:r w:rsidRPr="00660B22">
        <w:t xml:space="preserve"> </w:t>
      </w:r>
      <w:r w:rsidRPr="001914CF" w:rsidR="001914CF">
        <w:rPr>
          <w:i/>
          <w:iCs/>
        </w:rPr>
        <w:t xml:space="preserve">Id. </w:t>
      </w:r>
      <w:r w:rsidRPr="00660B22">
        <w:t>at 6</w:t>
      </w:r>
      <w:r>
        <w:t>-7</w:t>
      </w:r>
      <w:r w:rsidRPr="00660B22">
        <w:t>.</w:t>
      </w:r>
      <w:r>
        <w:t xml:space="preserve">  For purposes of this investigation</w:t>
      </w:r>
      <w:r w:rsidR="003C6C04">
        <w:t>,</w:t>
      </w:r>
      <w:r>
        <w:t xml:space="preserve"> we consider “illegitimate” calls to be </w:t>
      </w:r>
      <w:r w:rsidR="0074714A">
        <w:t>those that “</w:t>
      </w:r>
      <w:r w:rsidRPr="00114416" w:rsidR="0074714A">
        <w:t>involve</w:t>
      </w:r>
      <w:r w:rsidR="0074714A">
        <w:t>[]</w:t>
      </w:r>
      <w:r w:rsidRPr="00114416" w:rsidR="0074714A">
        <w:t xml:space="preserve"> the generation of 8YY traffic that has no legitimate purpose and exist</w:t>
      </w:r>
      <w:r w:rsidR="0074714A">
        <w:t>[]</w:t>
      </w:r>
      <w:r w:rsidRPr="00114416" w:rsidR="0074714A">
        <w:t xml:space="preserve"> solely for the purpose of obtaining intercarrier compensation.</w:t>
      </w:r>
      <w:r w:rsidR="0074714A">
        <w:t xml:space="preserve">”  </w:t>
      </w:r>
      <w:r w:rsidRPr="00114416" w:rsidR="0074714A">
        <w:rPr>
          <w:i/>
          <w:iCs/>
        </w:rPr>
        <w:t>8YY Access Charge Reform Order</w:t>
      </w:r>
      <w:r w:rsidRPr="00114416" w:rsidR="0074714A">
        <w:t>, 35 FCC Rcd at 11601-02, para. 17.</w:t>
      </w:r>
      <w:r w:rsidR="003C6C04">
        <w:t xml:space="preserve">  These include</w:t>
      </w:r>
      <w:r>
        <w:t xml:space="preserve"> robocalls (as provided in 47 U.S.C. § 227(b)(1) and 47 CFR § 61.1200(a)); calls with no identifying calling party information, such as all zero telephone numbers; and calls that are the result of traffic pumping.  </w:t>
      </w:r>
      <w:r w:rsidR="003C6C04">
        <w:rPr>
          <w:i/>
          <w:iCs/>
        </w:rPr>
        <w:t>Id</w:t>
      </w:r>
      <w:r>
        <w:t xml:space="preserve">. </w:t>
      </w:r>
    </w:p>
  </w:footnote>
  <w:footnote w:id="94">
    <w:p w:rsidR="006D02E3" w:rsidRPr="00660B22" w:rsidP="00FB75EB" w14:paraId="54160081" w14:textId="77777777">
      <w:pPr>
        <w:pStyle w:val="FootnoteText"/>
      </w:pPr>
      <w:r w:rsidRPr="00660B22">
        <w:rPr>
          <w:rStyle w:val="FootnoteReference"/>
        </w:rPr>
        <w:footnoteRef/>
      </w:r>
      <w:r w:rsidRPr="00660B22">
        <w:t xml:space="preserve"> Core Reply at 5-6.</w:t>
      </w:r>
    </w:p>
  </w:footnote>
  <w:footnote w:id="95">
    <w:p w:rsidR="006D02E3" w:rsidRPr="00660B22" w14:paraId="2F859140" w14:textId="6A5719DD">
      <w:pPr>
        <w:pStyle w:val="FootnoteText"/>
      </w:pPr>
      <w:r w:rsidRPr="00660B22">
        <w:rPr>
          <w:rStyle w:val="FootnoteReference"/>
        </w:rPr>
        <w:footnoteRef/>
      </w:r>
      <w:r w:rsidRPr="00660B22">
        <w:t xml:space="preserve"> Petition at 6.</w:t>
      </w:r>
    </w:p>
  </w:footnote>
  <w:footnote w:id="96">
    <w:p w:rsidR="006D02E3" w:rsidP="00173B5C" w14:paraId="6D1C3372" w14:textId="034310ED">
      <w:pPr>
        <w:pStyle w:val="FootnoteText"/>
      </w:pPr>
      <w:r>
        <w:rPr>
          <w:rStyle w:val="FootnoteReference"/>
        </w:rPr>
        <w:footnoteRef/>
      </w:r>
      <w:r>
        <w:t xml:space="preserve"> Core Reply at 5-6 (listing Core’s efforts to combat illegal robocalls); </w:t>
      </w:r>
      <w:r>
        <w:rPr>
          <w:i/>
          <w:iCs/>
        </w:rPr>
        <w:t>see</w:t>
      </w:r>
      <w:r>
        <w:t xml:space="preserve"> 47 CFR § 64.1200.</w:t>
      </w:r>
    </w:p>
  </w:footnote>
  <w:footnote w:id="97">
    <w:p w:rsidR="006D02E3" w:rsidRPr="008C6DD9" w14:paraId="533F798E" w14:textId="52F8A0CB">
      <w:pPr>
        <w:pStyle w:val="FootnoteText"/>
      </w:pPr>
      <w:r>
        <w:rPr>
          <w:rStyle w:val="FootnoteReference"/>
        </w:rPr>
        <w:footnoteRef/>
      </w:r>
      <w:r>
        <w:t xml:space="preserve"> The next carrier in the call path may conduct the database query only if the originating carrier is unable to do so. </w:t>
      </w:r>
      <w:r>
        <w:rPr>
          <w:i/>
          <w:iCs/>
        </w:rPr>
        <w:t>See</w:t>
      </w:r>
      <w:r>
        <w:t xml:space="preserve"> </w:t>
      </w:r>
      <w:r>
        <w:rPr>
          <w:i/>
          <w:iCs/>
        </w:rPr>
        <w:t>8YY Access Charge Reform Order</w:t>
      </w:r>
      <w:r>
        <w:t>, 35 FCC Rcd at 11629, para. 82.</w:t>
      </w:r>
    </w:p>
  </w:footnote>
  <w:footnote w:id="98">
    <w:p w:rsidR="006D02E3" w14:paraId="4CA60F5A" w14:textId="1CDE5CE5">
      <w:pPr>
        <w:pStyle w:val="FootnoteText"/>
      </w:pPr>
      <w:r>
        <w:rPr>
          <w:rStyle w:val="FootnoteReference"/>
        </w:rPr>
        <w:footnoteRef/>
      </w:r>
      <w:r>
        <w:t xml:space="preserve"> </w:t>
      </w:r>
      <w:r w:rsidRPr="00660B22">
        <w:rPr>
          <w:i/>
          <w:iCs/>
        </w:rPr>
        <w:t>8YY Access Charge Reform Order</w:t>
      </w:r>
      <w:r w:rsidRPr="00660B22">
        <w:t>, 35 FCC Rcd at 11630, para. 8</w:t>
      </w:r>
      <w:r>
        <w:t>3 (“Conducting the database query at the point of initiation of the call, allows the originating carrier and all subsequent carriers in the call path to use the correct call routing information to transmit the call.”)</w:t>
      </w:r>
      <w:r w:rsidRPr="00660B22">
        <w:t>.</w:t>
      </w:r>
    </w:p>
  </w:footnote>
  <w:footnote w:id="99">
    <w:p w:rsidR="006D02E3" w:rsidP="00F67B73" w14:paraId="28983239" w14:textId="77777777">
      <w:pPr>
        <w:pStyle w:val="FootnoteText"/>
      </w:pPr>
      <w:r>
        <w:rPr>
          <w:rStyle w:val="FootnoteReference"/>
        </w:rPr>
        <w:footnoteRef/>
      </w:r>
      <w:r>
        <w:t xml:space="preserve"> Appendix at</w:t>
      </w:r>
      <w:r>
        <w:rPr>
          <w:i/>
          <w:iCs/>
        </w:rPr>
        <w:t xml:space="preserve"> </w:t>
      </w:r>
      <w:r>
        <w:t>Section 2.13.3.H (tariffing the ability to charge discontinued Customers the “minimal functions necessary to identify the Customer as being the relevant carrier”).</w:t>
      </w:r>
    </w:p>
  </w:footnote>
  <w:footnote w:id="100">
    <w:p w:rsidR="006D02E3" w:rsidRPr="00660B22" w:rsidP="00216F21" w14:paraId="75D5B4A2" w14:textId="4DA67B46">
      <w:pPr>
        <w:pStyle w:val="FootnoteText"/>
      </w:pPr>
      <w:r w:rsidRPr="00660B22">
        <w:rPr>
          <w:rStyle w:val="FootnoteReference"/>
        </w:rPr>
        <w:footnoteRef/>
      </w:r>
      <w:r w:rsidRPr="00660B22">
        <w:t xml:space="preserve"> </w:t>
      </w:r>
      <w:r>
        <w:t>“I</w:t>
      </w:r>
      <w:r w:rsidRPr="00FC6707">
        <w:t xml:space="preserve">t is common in the market to specify which IXCs’ traffic—by [Customer Identification Codes]—the purchaser wishes to acquire.”  </w:t>
      </w:r>
      <w:r w:rsidRPr="00660B22">
        <w:t>Petition at 10.</w:t>
      </w:r>
    </w:p>
  </w:footnote>
  <w:footnote w:id="101">
    <w:p w:rsidR="006D02E3" w14:paraId="4F83DC5B" w14:textId="4F1B57BD">
      <w:pPr>
        <w:pStyle w:val="FootnoteText"/>
      </w:pPr>
      <w:r>
        <w:rPr>
          <w:rStyle w:val="FootnoteReference"/>
        </w:rPr>
        <w:footnoteRef/>
      </w:r>
      <w:r>
        <w:t xml:space="preserve"> Appendix at Section 2.10.4.A.</w:t>
      </w:r>
    </w:p>
  </w:footnote>
  <w:footnote w:id="102">
    <w:p w:rsidR="006D02E3" w14:paraId="5A9BEE99" w14:textId="6621321B">
      <w:pPr>
        <w:pStyle w:val="FootnoteText"/>
      </w:pPr>
      <w:r>
        <w:rPr>
          <w:rStyle w:val="FootnoteReference"/>
        </w:rPr>
        <w:footnoteRef/>
      </w:r>
      <w:r>
        <w:t xml:space="preserve"> Petition at 2.</w:t>
      </w:r>
    </w:p>
  </w:footnote>
  <w:footnote w:id="103">
    <w:p w:rsidR="006D02E3" w:rsidRPr="006B555D" w14:paraId="175DFD5F" w14:textId="3C389E62">
      <w:pPr>
        <w:pStyle w:val="FootnoteText"/>
      </w:pPr>
      <w:r>
        <w:rPr>
          <w:rStyle w:val="FootnoteReference"/>
        </w:rPr>
        <w:footnoteRef/>
      </w:r>
      <w:r>
        <w:t xml:space="preserve"> </w:t>
      </w:r>
      <w:r w:rsidRPr="001914CF" w:rsidR="001914CF">
        <w:rPr>
          <w:i/>
          <w:iCs/>
        </w:rPr>
        <w:t>Id.</w:t>
      </w:r>
      <w:r w:rsidRPr="001914CF">
        <w:rPr>
          <w:i/>
          <w:iCs/>
        </w:rPr>
        <w:t xml:space="preserve"> </w:t>
      </w:r>
      <w:r>
        <w:t xml:space="preserve">at 8 (citing </w:t>
      </w:r>
      <w:r>
        <w:rPr>
          <w:i/>
          <w:iCs/>
        </w:rPr>
        <w:t>Northern Valley Order</w:t>
      </w:r>
      <w:r>
        <w:t>, 26 FCC Rcd at 10787, para. 14).</w:t>
      </w:r>
    </w:p>
  </w:footnote>
  <w:footnote w:id="104">
    <w:p w:rsidR="006D02E3" w:rsidRPr="00660B22" w14:paraId="1C4A8ED7" w14:textId="67DD0286">
      <w:pPr>
        <w:pStyle w:val="FootnoteText"/>
      </w:pPr>
      <w:r w:rsidRPr="00660B22">
        <w:rPr>
          <w:rStyle w:val="FootnoteReference"/>
        </w:rPr>
        <w:footnoteRef/>
      </w:r>
      <w:r w:rsidRPr="00660B22">
        <w:t xml:space="preserve"> </w:t>
      </w:r>
      <w:r w:rsidRPr="00660B22">
        <w:rPr>
          <w:i/>
          <w:iCs/>
        </w:rPr>
        <w:t xml:space="preserve">See </w:t>
      </w:r>
      <w:r w:rsidRPr="00660B22">
        <w:t>47 CFR §§ 61.2, 61.54(j).</w:t>
      </w:r>
    </w:p>
  </w:footnote>
  <w:footnote w:id="105">
    <w:p w:rsidR="006D02E3" w14:paraId="4B447943" w14:textId="6952C40C">
      <w:pPr>
        <w:pStyle w:val="FootnoteText"/>
      </w:pPr>
      <w:r>
        <w:rPr>
          <w:rStyle w:val="FootnoteReference"/>
        </w:rPr>
        <w:footnoteRef/>
      </w:r>
      <w:r>
        <w:t xml:space="preserve"> Appendix at Section 2.21.</w:t>
      </w:r>
    </w:p>
  </w:footnote>
  <w:footnote w:id="106">
    <w:p w:rsidR="003C6C04" w:rsidRPr="00660B22" w:rsidP="003C6C04" w14:paraId="07FCCCF3" w14:textId="77777777">
      <w:pPr>
        <w:pStyle w:val="FootnoteText"/>
      </w:pPr>
      <w:r w:rsidRPr="00660B22">
        <w:rPr>
          <w:rStyle w:val="FootnoteReference"/>
        </w:rPr>
        <w:footnoteRef/>
      </w:r>
      <w:r w:rsidRPr="00660B22">
        <w:t xml:space="preserve"> Petitioners assert that Core’s tariff revisions shift to IXCs the burden to identify and prevent 8YY illegitimate calls in real time—“something that [Core] knows IXCs cannot reliably do given the sophistication of 8YY robocallers.”  Petition at 6.  </w:t>
      </w:r>
    </w:p>
  </w:footnote>
  <w:footnote w:id="107">
    <w:p w:rsidR="006D02E3" w:rsidRPr="00660B22" w14:paraId="2B706177" w14:textId="5CEC144E">
      <w:pPr>
        <w:pStyle w:val="FootnoteText"/>
      </w:pPr>
      <w:r w:rsidRPr="00660B22">
        <w:rPr>
          <w:rStyle w:val="FootnoteReference"/>
        </w:rPr>
        <w:footnoteRef/>
      </w:r>
      <w:r w:rsidRPr="00660B22">
        <w:t xml:space="preserve"> Petition at 7.</w:t>
      </w:r>
    </w:p>
  </w:footnote>
  <w:footnote w:id="108">
    <w:p w:rsidR="006D02E3" w:rsidRPr="00660B22" w:rsidP="002E2364" w14:paraId="38627A95" w14:textId="3EF79A54">
      <w:pPr>
        <w:pStyle w:val="FootnoteText"/>
      </w:pPr>
      <w:r w:rsidRPr="00660B22">
        <w:rPr>
          <w:rStyle w:val="FootnoteReference"/>
        </w:rPr>
        <w:footnoteRef/>
      </w:r>
      <w:bookmarkStart w:id="5" w:name="_Hlk72491602"/>
      <w:r w:rsidRPr="00660B22">
        <w:t xml:space="preserve"> </w:t>
      </w:r>
      <w:r w:rsidRPr="00660B22">
        <w:rPr>
          <w:i/>
        </w:rPr>
        <w:t>Northern Valley Order</w:t>
      </w:r>
      <w:r>
        <w:rPr>
          <w:iCs/>
        </w:rPr>
        <w:t>,</w:t>
      </w:r>
      <w:r w:rsidRPr="00660B22">
        <w:t xml:space="preserve"> 26 FCC Rcd at 10787, para. 14. </w:t>
      </w:r>
      <w:bookmarkEnd w:id="5"/>
    </w:p>
  </w:footnote>
  <w:footnote w:id="109">
    <w:p w:rsidR="006D02E3" w:rsidRPr="00660B22" w:rsidP="002E2364" w14:paraId="35057F98" w14:textId="77777777">
      <w:pPr>
        <w:pStyle w:val="FootnoteText"/>
        <w:rPr>
          <w:i/>
        </w:rPr>
      </w:pPr>
      <w:r w:rsidRPr="00660B22">
        <w:rPr>
          <w:rStyle w:val="FootnoteReference"/>
        </w:rPr>
        <w:footnoteRef/>
      </w:r>
      <w:r w:rsidRPr="00660B22">
        <w:t xml:space="preserve"> </w:t>
      </w:r>
      <w:r w:rsidRPr="00660B22">
        <w:rPr>
          <w:i/>
        </w:rPr>
        <w:t>Id.</w:t>
      </w:r>
    </w:p>
  </w:footnote>
  <w:footnote w:id="110">
    <w:p w:rsidR="003C6C04" w:rsidP="003C6C04" w14:paraId="2B2EB53E" w14:textId="77777777">
      <w:pPr>
        <w:pStyle w:val="FootnoteText"/>
      </w:pPr>
      <w:r>
        <w:rPr>
          <w:rStyle w:val="FootnoteReference"/>
        </w:rPr>
        <w:footnoteRef/>
      </w:r>
      <w:r>
        <w:t xml:space="preserve"> Appendix at </w:t>
      </w:r>
      <w:r w:rsidRPr="00660B22">
        <w:t>Section 2.21</w:t>
      </w:r>
      <w:r>
        <w:t>; Petition at 7-8.</w:t>
      </w:r>
    </w:p>
  </w:footnote>
  <w:footnote w:id="111">
    <w:p w:rsidR="003C6C04" w:rsidP="003C6C04" w14:paraId="39EBCB96" w14:textId="18D2BAEF">
      <w:pPr>
        <w:pStyle w:val="FootnoteText"/>
      </w:pPr>
      <w:r>
        <w:rPr>
          <w:rStyle w:val="FootnoteReference"/>
        </w:rPr>
        <w:footnoteRef/>
      </w:r>
      <w:r>
        <w:t xml:space="preserve"> </w:t>
      </w:r>
      <w:r w:rsidRPr="00735B5D" w:rsidR="007072B6">
        <w:rPr>
          <w:i/>
          <w:iCs/>
        </w:rPr>
        <w:t>Id</w:t>
      </w:r>
      <w:r w:rsidRPr="00CB04A1" w:rsidR="007072B6">
        <w:rPr>
          <w:i/>
          <w:iCs/>
        </w:rPr>
        <w:t>.</w:t>
      </w:r>
      <w:r w:rsidRPr="00660B22" w:rsidR="007072B6">
        <w:t xml:space="preserve"> </w:t>
      </w:r>
      <w:r w:rsidRPr="00DF5826">
        <w:t>at 7.</w:t>
      </w:r>
    </w:p>
  </w:footnote>
  <w:footnote w:id="112">
    <w:p w:rsidR="003C6C04" w:rsidP="003C6C04" w14:paraId="03D7FB3B" w14:textId="675A225D">
      <w:pPr>
        <w:pStyle w:val="FootnoteText"/>
      </w:pPr>
      <w:r>
        <w:rPr>
          <w:rStyle w:val="FootnoteReference"/>
        </w:rPr>
        <w:footnoteRef/>
      </w:r>
      <w:r>
        <w:t xml:space="preserve"> </w:t>
      </w:r>
      <w:r w:rsidRPr="00735B5D" w:rsidR="007072B6">
        <w:rPr>
          <w:i/>
          <w:iCs/>
        </w:rPr>
        <w:t>Id</w:t>
      </w:r>
      <w:r w:rsidRPr="00CB04A1" w:rsidR="007072B6">
        <w:rPr>
          <w:i/>
          <w:iCs/>
        </w:rPr>
        <w:t>.</w:t>
      </w:r>
      <w:r w:rsidRPr="00660B22" w:rsidR="007072B6">
        <w:t xml:space="preserve"> </w:t>
      </w:r>
    </w:p>
  </w:footnote>
  <w:footnote w:id="113">
    <w:p w:rsidR="006D02E3" w:rsidRPr="00660B22" w14:paraId="5FCC4191" w14:textId="154F4F7B">
      <w:pPr>
        <w:pStyle w:val="FootnoteText"/>
      </w:pPr>
      <w:r w:rsidRPr="00660B22">
        <w:rPr>
          <w:rStyle w:val="FootnoteReference"/>
        </w:rPr>
        <w:footnoteRef/>
      </w:r>
      <w:r w:rsidRPr="00660B22">
        <w:t xml:space="preserve"> Core Reply at 13. </w:t>
      </w:r>
    </w:p>
  </w:footnote>
  <w:footnote w:id="114">
    <w:p w:rsidR="006D02E3" w:rsidRPr="00660B22" w14:paraId="0E8653AA" w14:textId="07E524D4">
      <w:pPr>
        <w:pStyle w:val="FootnoteText"/>
      </w:pPr>
      <w:r w:rsidRPr="00660B22">
        <w:rPr>
          <w:rStyle w:val="FootnoteReference"/>
        </w:rPr>
        <w:footnoteRef/>
      </w:r>
      <w:r w:rsidRPr="00660B22">
        <w:t xml:space="preserve"> </w:t>
      </w:r>
      <w:r w:rsidRPr="00735B5D" w:rsidR="007072B6">
        <w:rPr>
          <w:i/>
          <w:iCs/>
        </w:rPr>
        <w:t>Id</w:t>
      </w:r>
      <w:r w:rsidRPr="00CB04A1" w:rsidR="007072B6">
        <w:rPr>
          <w:i/>
          <w:iCs/>
        </w:rPr>
        <w:t>.</w:t>
      </w:r>
      <w:r w:rsidRPr="00660B22" w:rsidR="007072B6">
        <w:t xml:space="preserve"> </w:t>
      </w:r>
      <w:r w:rsidRPr="00660B22">
        <w:t>at 9.</w:t>
      </w:r>
    </w:p>
  </w:footnote>
  <w:footnote w:id="115">
    <w:p w:rsidR="006D02E3" w:rsidRPr="00660B22" w14:paraId="60BA6588" w14:textId="7CC280B9">
      <w:pPr>
        <w:pStyle w:val="FootnoteText"/>
      </w:pPr>
      <w:r w:rsidRPr="00660B22">
        <w:rPr>
          <w:rStyle w:val="FootnoteReference"/>
        </w:rPr>
        <w:footnoteRef/>
      </w:r>
      <w:r w:rsidRPr="00660B22">
        <w:t xml:space="preserve"> </w:t>
      </w:r>
      <w:r w:rsidRPr="00735B5D" w:rsidR="007072B6">
        <w:rPr>
          <w:i/>
          <w:iCs/>
        </w:rPr>
        <w:t>Id</w:t>
      </w:r>
      <w:r w:rsidRPr="00CB04A1" w:rsidR="007072B6">
        <w:rPr>
          <w:i/>
          <w:iCs/>
        </w:rPr>
        <w:t>.</w:t>
      </w:r>
      <w:r w:rsidRPr="00660B22" w:rsidR="007072B6">
        <w:t xml:space="preserve"> </w:t>
      </w:r>
      <w:r w:rsidRPr="00660B22">
        <w:t>at 9, 13.</w:t>
      </w:r>
    </w:p>
  </w:footnote>
  <w:footnote w:id="116">
    <w:p w:rsidR="006D02E3" w:rsidRPr="00660B22" w14:paraId="157727BD" w14:textId="38066390">
      <w:pPr>
        <w:pStyle w:val="FootnoteText"/>
      </w:pPr>
      <w:r w:rsidRPr="00660B22">
        <w:rPr>
          <w:rStyle w:val="FootnoteReference"/>
        </w:rPr>
        <w:footnoteRef/>
      </w:r>
      <w:r w:rsidRPr="00660B22">
        <w:t xml:space="preserve"> </w:t>
      </w:r>
      <w:r>
        <w:t xml:space="preserve">Appendix at </w:t>
      </w:r>
      <w:r w:rsidRPr="00660B22">
        <w:t>Section 2.21.</w:t>
      </w:r>
    </w:p>
  </w:footnote>
  <w:footnote w:id="117">
    <w:p w:rsidR="006D02E3" w:rsidRPr="00660B22" w:rsidP="001768FE" w14:paraId="32C0447E" w14:textId="6DF70DE3">
      <w:pPr>
        <w:pStyle w:val="FootnoteText"/>
      </w:pPr>
      <w:r w:rsidRPr="00660B22">
        <w:rPr>
          <w:rStyle w:val="FootnoteReference"/>
        </w:rPr>
        <w:footnoteRef/>
      </w:r>
      <w:r w:rsidRPr="00660B22">
        <w:t xml:space="preserve"> 47 CFR §</w:t>
      </w:r>
      <w:r w:rsidRPr="00E33F0C">
        <w:t>§</w:t>
      </w:r>
      <w:r w:rsidRPr="00660B22">
        <w:t xml:space="preserve"> 61.2(a)</w:t>
      </w:r>
      <w:r>
        <w:t>,</w:t>
      </w:r>
      <w:r w:rsidRPr="00E33F0C">
        <w:t xml:space="preserve"> 61.45(j); </w:t>
      </w:r>
      <w:r w:rsidRPr="00E33F0C">
        <w:rPr>
          <w:i/>
          <w:iCs/>
        </w:rPr>
        <w:t xml:space="preserve">see also </w:t>
      </w:r>
      <w:r w:rsidRPr="00E33F0C">
        <w:t>47 CFR § 61.54(j) (Composition of Tariffs) (“The general rules (including definitions),</w:t>
      </w:r>
      <w:r>
        <w:t xml:space="preserve"> regulations,</w:t>
      </w:r>
      <w:r w:rsidRPr="00E33F0C">
        <w:t xml:space="preserve"> exceptions, and conditions which govern the </w:t>
      </w:r>
      <w:hyperlink r:id="rId3" w:history="1">
        <w:r w:rsidRPr="00E33F0C">
          <w:rPr>
            <w:rStyle w:val="Hyperlink"/>
            <w:color w:val="auto"/>
            <w:u w:val="none"/>
          </w:rPr>
          <w:t>tariff</w:t>
        </w:r>
      </w:hyperlink>
      <w:r w:rsidRPr="00E33F0C">
        <w:t> must be </w:t>
      </w:r>
      <w:hyperlink r:id="rId4" w:history="1">
        <w:r w:rsidRPr="00E33F0C">
          <w:rPr>
            <w:rStyle w:val="Hyperlink"/>
            <w:color w:val="auto"/>
            <w:u w:val="none"/>
          </w:rPr>
          <w:t>stated</w:t>
        </w:r>
      </w:hyperlink>
      <w:r w:rsidRPr="00E33F0C">
        <w:t> clearly and definitely.  All general rules, </w:t>
      </w:r>
      <w:r>
        <w:t>regulations</w:t>
      </w:r>
      <w:r w:rsidRPr="00E33F0C">
        <w:t>, exceptions or conditions which in any way affect the </w:t>
      </w:r>
      <w:hyperlink r:id="rId5" w:history="1">
        <w:r>
          <w:rPr>
            <w:rStyle w:val="Hyperlink"/>
            <w:color w:val="auto"/>
            <w:u w:val="none"/>
          </w:rPr>
          <w:t>rates</w:t>
        </w:r>
      </w:hyperlink>
      <w:r w:rsidRPr="00E33F0C">
        <w:t> named in the </w:t>
      </w:r>
      <w:hyperlink r:id="rId3" w:history="1">
        <w:r w:rsidRPr="00E33F0C">
          <w:rPr>
            <w:rStyle w:val="Hyperlink"/>
            <w:color w:val="auto"/>
            <w:u w:val="none"/>
          </w:rPr>
          <w:t>tariff</w:t>
        </w:r>
      </w:hyperlink>
      <w:r w:rsidRPr="00E33F0C">
        <w:t xml:space="preserve"> must be specified. </w:t>
      </w:r>
      <w:r>
        <w:t xml:space="preserve"> </w:t>
      </w:r>
      <w:r w:rsidRPr="00E33F0C">
        <w:t>A special rule, regulation, exception or condition affecting a particular item or </w:t>
      </w:r>
      <w:hyperlink r:id="rId5" w:history="1">
        <w:r w:rsidRPr="00E33F0C">
          <w:rPr>
            <w:rStyle w:val="Hyperlink"/>
            <w:color w:val="auto"/>
            <w:u w:val="none"/>
          </w:rPr>
          <w:t>rate</w:t>
        </w:r>
      </w:hyperlink>
      <w:r w:rsidRPr="00E33F0C">
        <w:t> must be specifically referred to in connection with such item or </w:t>
      </w:r>
      <w:r>
        <w:t>rate</w:t>
      </w:r>
      <w:r w:rsidRPr="00E33F0C">
        <w:t>.”).</w:t>
      </w:r>
    </w:p>
  </w:footnote>
  <w:footnote w:id="118">
    <w:p w:rsidR="006D02E3" w14:paraId="77A44FD3" w14:textId="11978B43">
      <w:pPr>
        <w:pStyle w:val="FootnoteText"/>
      </w:pPr>
      <w:r>
        <w:rPr>
          <w:rStyle w:val="FootnoteReference"/>
        </w:rPr>
        <w:footnoteRef/>
      </w:r>
      <w:r>
        <w:t xml:space="preserve"> Appendix at </w:t>
      </w:r>
      <w:r w:rsidRPr="00660B22">
        <w:t xml:space="preserve">Section </w:t>
      </w:r>
      <w:r w:rsidRPr="00660B22">
        <w:rPr>
          <w:szCs w:val="22"/>
        </w:rPr>
        <w:t>2.13.3.H</w:t>
      </w:r>
      <w:r>
        <w:rPr>
          <w:szCs w:val="22"/>
        </w:rPr>
        <w:t>.</w:t>
      </w:r>
    </w:p>
  </w:footnote>
  <w:footnote w:id="119">
    <w:p w:rsidR="006D02E3" w:rsidRPr="00660B22" w:rsidP="00A87945" w14:paraId="0E75830E" w14:textId="7281DEC4">
      <w:pPr>
        <w:pStyle w:val="FootnoteText"/>
      </w:pPr>
      <w:r w:rsidRPr="00660B22">
        <w:rPr>
          <w:rStyle w:val="FootnoteReference"/>
        </w:rPr>
        <w:footnoteRef/>
      </w:r>
      <w:r w:rsidRPr="00660B22">
        <w:t xml:space="preserve"> 47 CFR </w:t>
      </w:r>
      <w:bookmarkStart w:id="8" w:name="_Hlk73715001"/>
      <w:r w:rsidRPr="00660B22">
        <w:t>§</w:t>
      </w:r>
      <w:bookmarkEnd w:id="8"/>
      <w:r w:rsidRPr="00644E2E">
        <w:t>§</w:t>
      </w:r>
      <w:r w:rsidRPr="00660B22">
        <w:t xml:space="preserve"> 61.2</w:t>
      </w:r>
      <w:r>
        <w:t xml:space="preserve">, </w:t>
      </w:r>
      <w:r w:rsidRPr="00660B22">
        <w:t>61.5</w:t>
      </w:r>
      <w:r>
        <w:t>4</w:t>
      </w:r>
      <w:r w:rsidRPr="00660B22">
        <w:t>(j).</w:t>
      </w:r>
    </w:p>
  </w:footnote>
  <w:footnote w:id="120">
    <w:p w:rsidR="006D02E3" w:rsidRPr="005A15D4" w14:paraId="20AFCA90" w14:textId="70A2E15B">
      <w:pPr>
        <w:pStyle w:val="FootnoteText"/>
      </w:pPr>
      <w:r>
        <w:rPr>
          <w:rStyle w:val="FootnoteReference"/>
        </w:rPr>
        <w:footnoteRef/>
      </w:r>
      <w:r>
        <w:t xml:space="preserve"> </w:t>
      </w:r>
      <w:r>
        <w:rPr>
          <w:i/>
          <w:iCs/>
        </w:rPr>
        <w:t>8YY Access Charge Reform Order</w:t>
      </w:r>
      <w:r>
        <w:t>, 33 FCC Rcd at 11629-31, para. 82.</w:t>
      </w:r>
    </w:p>
  </w:footnote>
  <w:footnote w:id="121">
    <w:p w:rsidR="006D02E3" w:rsidRPr="00660B22" w:rsidP="004A598E" w14:paraId="1B2B94DB" w14:textId="77777777">
      <w:pPr>
        <w:pStyle w:val="FootnoteText"/>
      </w:pPr>
      <w:r w:rsidRPr="00660B22">
        <w:rPr>
          <w:rStyle w:val="FootnoteReference"/>
        </w:rPr>
        <w:footnoteRef/>
      </w:r>
      <w:r w:rsidRPr="00660B22">
        <w:t xml:space="preserve"> 47 CFR § 51.905(d).  </w:t>
      </w:r>
    </w:p>
  </w:footnote>
  <w:footnote w:id="122">
    <w:p w:rsidR="006D02E3" w14:paraId="7D11001D" w14:textId="27E909CC">
      <w:pPr>
        <w:pStyle w:val="FootnoteText"/>
      </w:pPr>
      <w:r>
        <w:rPr>
          <w:rStyle w:val="FootnoteReference"/>
        </w:rPr>
        <w:footnoteRef/>
      </w:r>
      <w:r>
        <w:t xml:space="preserve"> </w:t>
      </w:r>
      <w:r>
        <w:rPr>
          <w:i/>
          <w:iCs/>
        </w:rPr>
        <w:t>8YY Access Charge Reform Order</w:t>
      </w:r>
      <w:r>
        <w:t>, 33 FCC Rcd at 11629-31, paras. 82-84.</w:t>
      </w:r>
    </w:p>
  </w:footnote>
  <w:footnote w:id="123">
    <w:p w:rsidR="006D02E3" w14:paraId="3AE20CB0" w14:textId="224D9AD8">
      <w:pPr>
        <w:pStyle w:val="FootnoteText"/>
      </w:pPr>
      <w:r>
        <w:rPr>
          <w:rStyle w:val="FootnoteReference"/>
        </w:rPr>
        <w:footnoteRef/>
      </w:r>
      <w:r>
        <w:t xml:space="preserve"> 47 CFR § 51.905(d).</w:t>
      </w:r>
    </w:p>
  </w:footnote>
  <w:footnote w:id="124">
    <w:p w:rsidR="006D02E3" w:rsidRPr="00660B22" w:rsidP="00D429DB" w14:paraId="1CDAC3F4" w14:textId="416635C2">
      <w:pPr>
        <w:pStyle w:val="FootnoteText"/>
      </w:pPr>
      <w:r w:rsidRPr="00660B22">
        <w:rPr>
          <w:rStyle w:val="FootnoteReference"/>
        </w:rPr>
        <w:footnoteRef/>
      </w:r>
      <w:r w:rsidRPr="00660B22">
        <w:t xml:space="preserve"> </w:t>
      </w:r>
      <w:r>
        <w:t xml:space="preserve">Appendix at </w:t>
      </w:r>
      <w:r w:rsidRPr="00660B22">
        <w:t>Section 3.3.5</w:t>
      </w:r>
      <w:r>
        <w:t>.</w:t>
      </w:r>
      <w:r w:rsidRPr="00660B22">
        <w:t xml:space="preserve"> </w:t>
      </w:r>
    </w:p>
  </w:footnote>
  <w:footnote w:id="125">
    <w:p w:rsidR="006D02E3" w:rsidRPr="00660B22" w:rsidP="00645E7B" w14:paraId="29A75E7C" w14:textId="77777777">
      <w:pPr>
        <w:pStyle w:val="FootnoteText"/>
      </w:pPr>
      <w:r w:rsidRPr="00660B22">
        <w:rPr>
          <w:rStyle w:val="FootnoteReference"/>
        </w:rPr>
        <w:footnoteRef/>
      </w:r>
      <w:r w:rsidRPr="00660B22">
        <w:t xml:space="preserve"> Core Reply at 13.</w:t>
      </w:r>
    </w:p>
  </w:footnote>
  <w:footnote w:id="126">
    <w:p w:rsidR="006D02E3" w:rsidRPr="00660B22" w14:paraId="18D71BDD" w14:textId="709B0A3F">
      <w:pPr>
        <w:pStyle w:val="FootnoteText"/>
      </w:pPr>
      <w:r w:rsidRPr="00660B22">
        <w:rPr>
          <w:rStyle w:val="FootnoteReference"/>
        </w:rPr>
        <w:footnoteRef/>
      </w:r>
      <w:r w:rsidRPr="00660B22">
        <w:t xml:space="preserve"> </w:t>
      </w:r>
      <w:r w:rsidRPr="00660B22">
        <w:rPr>
          <w:i/>
          <w:iCs/>
        </w:rPr>
        <w:t>See, e.g.</w:t>
      </w:r>
      <w:r w:rsidRPr="00D6703D">
        <w:t>,</w:t>
      </w:r>
      <w:r w:rsidRPr="00660B22">
        <w:rPr>
          <w:i/>
          <w:iCs/>
        </w:rPr>
        <w:t xml:space="preserve"> </w:t>
      </w:r>
      <w:bookmarkStart w:id="9" w:name="_Hlk72324291"/>
      <w:r w:rsidRPr="00660B22">
        <w:rPr>
          <w:i/>
          <w:iCs/>
        </w:rPr>
        <w:t>8YY Access Charge Reform Order</w:t>
      </w:r>
      <w:r w:rsidRPr="00660B22">
        <w:t>,</w:t>
      </w:r>
      <w:r w:rsidRPr="00660B22">
        <w:rPr>
          <w:snapToGrid w:val="0"/>
          <w:kern w:val="28"/>
          <w:sz w:val="22"/>
        </w:rPr>
        <w:t xml:space="preserve"> </w:t>
      </w:r>
      <w:r w:rsidRPr="00660B22">
        <w:t>35 FCC Rcd at 11595, paras. 3-4.</w:t>
      </w:r>
      <w:bookmarkStart w:id="10" w:name="_Hlk72414098"/>
      <w:bookmarkEnd w:id="9"/>
    </w:p>
    <w:bookmarkEnd w:id="10"/>
  </w:footnote>
  <w:footnote w:id="127">
    <w:p w:rsidR="006D02E3" w:rsidRPr="00452529" w:rsidP="007D2066" w14:paraId="4A11983F" w14:textId="77777777">
      <w:pPr>
        <w:pStyle w:val="FootnoteText"/>
      </w:pPr>
      <w:r>
        <w:rPr>
          <w:rStyle w:val="FootnoteReference"/>
        </w:rPr>
        <w:footnoteRef/>
      </w:r>
      <w:r>
        <w:t xml:space="preserve"> Core Reply at 12.</w:t>
      </w:r>
    </w:p>
  </w:footnote>
  <w:footnote w:id="128">
    <w:p w:rsidR="006D02E3" w:rsidRPr="00660B22" w:rsidP="004A1AB3" w14:paraId="00126C59" w14:textId="77777777">
      <w:pPr>
        <w:pStyle w:val="FootnoteText"/>
      </w:pPr>
      <w:r w:rsidRPr="00660B22">
        <w:rPr>
          <w:rStyle w:val="FootnoteReference"/>
        </w:rPr>
        <w:footnoteRef/>
      </w:r>
      <w:r w:rsidRPr="00660B22">
        <w:t xml:space="preserve"> 47 CFR § 1.1200(a).</w:t>
      </w:r>
    </w:p>
  </w:footnote>
  <w:footnote w:id="129">
    <w:p w:rsidR="006D02E3" w:rsidRPr="00660B22" w:rsidP="004A1AB3" w14:paraId="5DD32F7A" w14:textId="40BF1790">
      <w:pPr>
        <w:pStyle w:val="FootnoteText"/>
      </w:pPr>
      <w:r w:rsidRPr="00660B22">
        <w:rPr>
          <w:rStyle w:val="FootnoteReference"/>
        </w:rPr>
        <w:footnoteRef/>
      </w:r>
      <w:r w:rsidRPr="00660B22">
        <w:t xml:space="preserve"> This date is necessary to give the Commission adequate time to evaluate the complete record prior to the statutory deadline of October 7, 2021.   </w:t>
      </w:r>
    </w:p>
  </w:footnote>
  <w:footnote w:id="130">
    <w:p w:rsidR="006D02E3" w:rsidRPr="00660B22" w:rsidP="004A1AB3" w14:paraId="09D14E6A" w14:textId="77777777">
      <w:pPr>
        <w:pStyle w:val="FootnoteText"/>
        <w:tabs>
          <w:tab w:val="left" w:pos="5772"/>
        </w:tabs>
      </w:pPr>
      <w:r w:rsidRPr="00660B22">
        <w:rPr>
          <w:rStyle w:val="FootnoteReference"/>
        </w:rPr>
        <w:footnoteRef/>
      </w:r>
      <w:r w:rsidRPr="00660B22">
        <w:t xml:space="preserve"> 47 CFR §§ 1.1200 </w:t>
      </w:r>
      <w:r w:rsidRPr="00660B22">
        <w:rPr>
          <w:i/>
        </w:rPr>
        <w:t>et seq</w:t>
      </w:r>
      <w:r w:rsidRPr="00660B22">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7DC" w14:paraId="7A6CCCF5" w14:textId="15503467">
    <w:pPr>
      <w:pStyle w:val="Header"/>
    </w:pPr>
  </w:p>
  <w:p w:rsidR="00B24D94" w14:paraId="3D8D8D26" w14:textId="77777777"/>
  <w:p w:rsidR="00B24D94" w14:paraId="294E6D3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2E3" w:rsidP="0095764F" w14:paraId="7B2C8BC2" w14:textId="585341F0">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000F37DC">
      <w:tab/>
    </w:r>
    <w:r>
      <w:t>Federal Communications Commission</w:t>
    </w:r>
    <w:r>
      <w:tab/>
    </w:r>
    <w:r>
      <w:rPr>
        <w:spacing w:val="-2"/>
      </w:rPr>
      <w:t>DA 21-</w:t>
    </w:r>
    <w:r w:rsidR="009429C1">
      <w:rPr>
        <w:spacing w:val="-2"/>
      </w:rPr>
      <w:t>739</w:t>
    </w:r>
  </w:p>
  <w:p w:rsidR="006D02E3" w:rsidRPr="009172D9" w:rsidP="009172D9" w14:paraId="76FA7FD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24D94" w14:paraId="586A0A22" w14:textId="77777777"/>
  <w:p w:rsidR="00B24D94" w14:paraId="64DB0CB6"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2E3" w:rsidP="0095764F" w14:paraId="1751B8AA" w14:textId="0D15809D">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9429C1">
      <w:rPr>
        <w:spacing w:val="-2"/>
      </w:rPr>
      <w:t>739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5299C"/>
    <w:multiLevelType w:val="hybridMultilevel"/>
    <w:tmpl w:val="2FAE93F2"/>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357658"/>
    <w:multiLevelType w:val="hybridMultilevel"/>
    <w:tmpl w:val="6434B1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1ED76E6"/>
    <w:multiLevelType w:val="hybridMultilevel"/>
    <w:tmpl w:val="318C1BB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1CB45302"/>
    <w:multiLevelType w:val="hybridMultilevel"/>
    <w:tmpl w:val="F0441B8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A05B25"/>
    <w:multiLevelType w:val="hybridMultilevel"/>
    <w:tmpl w:val="C31ED77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5BE20C7"/>
    <w:multiLevelType w:val="hybridMultilevel"/>
    <w:tmpl w:val="E1FC3AB2"/>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F1D4671"/>
    <w:multiLevelType w:val="hybridMultilevel"/>
    <w:tmpl w:val="5060EE80"/>
    <w:lvl w:ilvl="0">
      <w:start w:val="8"/>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10"/>
  </w:num>
  <w:num w:numId="5">
    <w:abstractNumId w:val="5"/>
  </w:num>
  <w:num w:numId="6">
    <w:abstractNumId w:val="11"/>
  </w:num>
  <w:num w:numId="7">
    <w:abstractNumId w:val="12"/>
  </w:num>
  <w:num w:numId="8">
    <w:abstractNumId w:val="6"/>
  </w:num>
  <w:num w:numId="9">
    <w:abstractNumId w:val="13"/>
  </w:num>
  <w:num w:numId="10">
    <w:abstractNumId w:val="7"/>
  </w:num>
  <w:num w:numId="11">
    <w:abstractNumId w:val="2"/>
  </w:num>
  <w:num w:numId="12">
    <w:abstractNumId w:val="15"/>
  </w:num>
  <w:num w:numId="13">
    <w:abstractNumId w:val="15"/>
  </w:num>
  <w:num w:numId="14">
    <w:abstractNumId w:val="9"/>
  </w:num>
  <w:num w:numId="15">
    <w:abstractNumId w:val="15"/>
    <w:lvlOverride w:ilvl="0">
      <w:startOverride w:val="1"/>
    </w:lvlOverride>
  </w:num>
  <w:num w:numId="16">
    <w:abstractNumId w:val="15"/>
    <w:lvlOverride w:ilvl="0">
      <w:startOverride w:val="1"/>
    </w:lvlOverride>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0"/>
  </w:num>
  <w:num w:numId="24">
    <w:abstractNumId w:val="14"/>
  </w:num>
  <w:num w:numId="25">
    <w:abstractNumId w:val="15"/>
    <w:lvlOverride w:ilvl="0">
      <w:startOverride w:val="1"/>
    </w:lvlOverride>
  </w:num>
  <w:num w:numId="26">
    <w:abstractNumId w:val="8"/>
  </w:num>
  <w:num w:numId="27">
    <w:abstractNumId w:val="15"/>
    <w:lvlOverride w:ilvl="0">
      <w:startOverride w:val="1"/>
    </w:lvlOverride>
  </w:num>
  <w:num w:numId="28">
    <w:abstractNumId w:val="9"/>
  </w:num>
  <w:num w:numId="29">
    <w:abstractNumId w:val="3"/>
  </w:num>
  <w:num w:numId="30">
    <w:abstractNumId w:val="9"/>
  </w:num>
  <w:num w:numId="31">
    <w:abstractNumId w:val="9"/>
  </w:num>
  <w:num w:numId="32">
    <w:abstractNumId w:val="15"/>
    <w:lvlOverride w:ilvl="0">
      <w:startOverride w:val="1"/>
    </w:lvlOverride>
  </w:num>
  <w:num w:numId="33">
    <w:abstractNumId w:val="4"/>
  </w:num>
  <w:num w:numId="34">
    <w:abstractNumId w:val="16"/>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15"/>
  </w:num>
  <w:num w:numId="45">
    <w:abstractNumId w:val="15"/>
  </w:num>
  <w:num w:numId="46">
    <w:abstractNumId w:val="15"/>
  </w:num>
  <w:num w:numId="47">
    <w:abstractNumId w:val="15"/>
  </w:num>
  <w:num w:numId="48">
    <w:abstractNumId w:val="15"/>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8C"/>
    <w:rsid w:val="00000236"/>
    <w:rsid w:val="00000BA8"/>
    <w:rsid w:val="00000CEE"/>
    <w:rsid w:val="00001270"/>
    <w:rsid w:val="00001A02"/>
    <w:rsid w:val="00001A81"/>
    <w:rsid w:val="0000234F"/>
    <w:rsid w:val="000026A0"/>
    <w:rsid w:val="000028F0"/>
    <w:rsid w:val="00002C56"/>
    <w:rsid w:val="00002D40"/>
    <w:rsid w:val="00002E82"/>
    <w:rsid w:val="00002F3A"/>
    <w:rsid w:val="0000335C"/>
    <w:rsid w:val="000035AD"/>
    <w:rsid w:val="000052A8"/>
    <w:rsid w:val="00006C85"/>
    <w:rsid w:val="000071FE"/>
    <w:rsid w:val="00007A56"/>
    <w:rsid w:val="00007AEF"/>
    <w:rsid w:val="00007DDC"/>
    <w:rsid w:val="000102AC"/>
    <w:rsid w:val="00010FF6"/>
    <w:rsid w:val="00011A4D"/>
    <w:rsid w:val="00011FD4"/>
    <w:rsid w:val="00012330"/>
    <w:rsid w:val="000128BF"/>
    <w:rsid w:val="00012934"/>
    <w:rsid w:val="0001326E"/>
    <w:rsid w:val="000138CA"/>
    <w:rsid w:val="000141AE"/>
    <w:rsid w:val="00014CDC"/>
    <w:rsid w:val="00014D12"/>
    <w:rsid w:val="00016E02"/>
    <w:rsid w:val="00017899"/>
    <w:rsid w:val="00017921"/>
    <w:rsid w:val="00020CD0"/>
    <w:rsid w:val="00020F9F"/>
    <w:rsid w:val="00020FBB"/>
    <w:rsid w:val="00021952"/>
    <w:rsid w:val="00021F7C"/>
    <w:rsid w:val="00022247"/>
    <w:rsid w:val="00022E2C"/>
    <w:rsid w:val="00024331"/>
    <w:rsid w:val="00024EDD"/>
    <w:rsid w:val="0002513E"/>
    <w:rsid w:val="0002549A"/>
    <w:rsid w:val="00025894"/>
    <w:rsid w:val="00025D17"/>
    <w:rsid w:val="0002696F"/>
    <w:rsid w:val="00026D57"/>
    <w:rsid w:val="0002774B"/>
    <w:rsid w:val="00027853"/>
    <w:rsid w:val="00027F12"/>
    <w:rsid w:val="00030AA5"/>
    <w:rsid w:val="00030B35"/>
    <w:rsid w:val="000313AB"/>
    <w:rsid w:val="00031DD8"/>
    <w:rsid w:val="000329B7"/>
    <w:rsid w:val="00033678"/>
    <w:rsid w:val="00034090"/>
    <w:rsid w:val="00035EA5"/>
    <w:rsid w:val="00036BD9"/>
    <w:rsid w:val="00037083"/>
    <w:rsid w:val="000372E5"/>
    <w:rsid w:val="00037F6B"/>
    <w:rsid w:val="000407D2"/>
    <w:rsid w:val="00040CD1"/>
    <w:rsid w:val="000415DB"/>
    <w:rsid w:val="00043DEF"/>
    <w:rsid w:val="0004404F"/>
    <w:rsid w:val="000442A7"/>
    <w:rsid w:val="000449D5"/>
    <w:rsid w:val="00045047"/>
    <w:rsid w:val="00045300"/>
    <w:rsid w:val="00046932"/>
    <w:rsid w:val="00046D6D"/>
    <w:rsid w:val="000474F1"/>
    <w:rsid w:val="00047E49"/>
    <w:rsid w:val="00047ECE"/>
    <w:rsid w:val="000508BD"/>
    <w:rsid w:val="00050F87"/>
    <w:rsid w:val="00051229"/>
    <w:rsid w:val="0005126E"/>
    <w:rsid w:val="00051380"/>
    <w:rsid w:val="00052249"/>
    <w:rsid w:val="00052445"/>
    <w:rsid w:val="00053B7B"/>
    <w:rsid w:val="000543AE"/>
    <w:rsid w:val="000544BD"/>
    <w:rsid w:val="00054841"/>
    <w:rsid w:val="00054889"/>
    <w:rsid w:val="00054F16"/>
    <w:rsid w:val="00054F8F"/>
    <w:rsid w:val="0005546D"/>
    <w:rsid w:val="000557A6"/>
    <w:rsid w:val="00056DAC"/>
    <w:rsid w:val="000572FF"/>
    <w:rsid w:val="000575B5"/>
    <w:rsid w:val="00057B33"/>
    <w:rsid w:val="00060339"/>
    <w:rsid w:val="0006061D"/>
    <w:rsid w:val="00060886"/>
    <w:rsid w:val="00061282"/>
    <w:rsid w:val="00061369"/>
    <w:rsid w:val="000614FD"/>
    <w:rsid w:val="000617FA"/>
    <w:rsid w:val="00061EED"/>
    <w:rsid w:val="000623E4"/>
    <w:rsid w:val="00063003"/>
    <w:rsid w:val="0006375F"/>
    <w:rsid w:val="00063897"/>
    <w:rsid w:val="000639ED"/>
    <w:rsid w:val="00063BD9"/>
    <w:rsid w:val="00063FE0"/>
    <w:rsid w:val="000644AF"/>
    <w:rsid w:val="00064859"/>
    <w:rsid w:val="0006490C"/>
    <w:rsid w:val="00065DAD"/>
    <w:rsid w:val="00065E5C"/>
    <w:rsid w:val="000663C2"/>
    <w:rsid w:val="00066DF9"/>
    <w:rsid w:val="0006756F"/>
    <w:rsid w:val="00070219"/>
    <w:rsid w:val="00070977"/>
    <w:rsid w:val="000713AD"/>
    <w:rsid w:val="00071983"/>
    <w:rsid w:val="00071B05"/>
    <w:rsid w:val="00071BCE"/>
    <w:rsid w:val="00072F22"/>
    <w:rsid w:val="000732FC"/>
    <w:rsid w:val="00074163"/>
    <w:rsid w:val="00074693"/>
    <w:rsid w:val="00075B37"/>
    <w:rsid w:val="00075C91"/>
    <w:rsid w:val="00075F4B"/>
    <w:rsid w:val="000761D1"/>
    <w:rsid w:val="00076760"/>
    <w:rsid w:val="00076B6E"/>
    <w:rsid w:val="00076E0D"/>
    <w:rsid w:val="0007722D"/>
    <w:rsid w:val="00077B2B"/>
    <w:rsid w:val="00077BD7"/>
    <w:rsid w:val="00077EEF"/>
    <w:rsid w:val="00077FAA"/>
    <w:rsid w:val="0008072A"/>
    <w:rsid w:val="00080EF5"/>
    <w:rsid w:val="00081660"/>
    <w:rsid w:val="0008229D"/>
    <w:rsid w:val="00082495"/>
    <w:rsid w:val="000836B3"/>
    <w:rsid w:val="00083DD4"/>
    <w:rsid w:val="00084503"/>
    <w:rsid w:val="000845A0"/>
    <w:rsid w:val="00084D19"/>
    <w:rsid w:val="00084F5A"/>
    <w:rsid w:val="00085FBD"/>
    <w:rsid w:val="0008702F"/>
    <w:rsid w:val="000872E1"/>
    <w:rsid w:val="00087403"/>
    <w:rsid w:val="00087C15"/>
    <w:rsid w:val="000901A9"/>
    <w:rsid w:val="00091A65"/>
    <w:rsid w:val="00091ED6"/>
    <w:rsid w:val="00092012"/>
    <w:rsid w:val="00092B67"/>
    <w:rsid w:val="00093C42"/>
    <w:rsid w:val="000940EB"/>
    <w:rsid w:val="00094D80"/>
    <w:rsid w:val="000951C2"/>
    <w:rsid w:val="00095872"/>
    <w:rsid w:val="00095B5A"/>
    <w:rsid w:val="00096533"/>
    <w:rsid w:val="00096B41"/>
    <w:rsid w:val="00097135"/>
    <w:rsid w:val="000A00F6"/>
    <w:rsid w:val="000A08E7"/>
    <w:rsid w:val="000A0BE0"/>
    <w:rsid w:val="000A1A50"/>
    <w:rsid w:val="000A1EDF"/>
    <w:rsid w:val="000A2601"/>
    <w:rsid w:val="000A29AF"/>
    <w:rsid w:val="000A319D"/>
    <w:rsid w:val="000A3841"/>
    <w:rsid w:val="000A38D5"/>
    <w:rsid w:val="000A3DA8"/>
    <w:rsid w:val="000A3EE7"/>
    <w:rsid w:val="000A45CC"/>
    <w:rsid w:val="000A4C59"/>
    <w:rsid w:val="000A61EE"/>
    <w:rsid w:val="000A66BF"/>
    <w:rsid w:val="000A7D9F"/>
    <w:rsid w:val="000A7F33"/>
    <w:rsid w:val="000B00B6"/>
    <w:rsid w:val="000B1CBE"/>
    <w:rsid w:val="000B2CC9"/>
    <w:rsid w:val="000B3527"/>
    <w:rsid w:val="000B3DFC"/>
    <w:rsid w:val="000B448E"/>
    <w:rsid w:val="000B44E5"/>
    <w:rsid w:val="000B4B73"/>
    <w:rsid w:val="000B575D"/>
    <w:rsid w:val="000B5BD6"/>
    <w:rsid w:val="000B5C6C"/>
    <w:rsid w:val="000B5F2C"/>
    <w:rsid w:val="000B6045"/>
    <w:rsid w:val="000B644F"/>
    <w:rsid w:val="000B6552"/>
    <w:rsid w:val="000B688B"/>
    <w:rsid w:val="000B6D63"/>
    <w:rsid w:val="000B70A9"/>
    <w:rsid w:val="000C0C0A"/>
    <w:rsid w:val="000C0D9B"/>
    <w:rsid w:val="000C182F"/>
    <w:rsid w:val="000C1BD9"/>
    <w:rsid w:val="000C1C37"/>
    <w:rsid w:val="000C241F"/>
    <w:rsid w:val="000C2467"/>
    <w:rsid w:val="000C2559"/>
    <w:rsid w:val="000C3213"/>
    <w:rsid w:val="000C377A"/>
    <w:rsid w:val="000C3CF8"/>
    <w:rsid w:val="000C3EF9"/>
    <w:rsid w:val="000C423B"/>
    <w:rsid w:val="000C5187"/>
    <w:rsid w:val="000C54AD"/>
    <w:rsid w:val="000C54CC"/>
    <w:rsid w:val="000C5511"/>
    <w:rsid w:val="000C57D8"/>
    <w:rsid w:val="000C59EC"/>
    <w:rsid w:val="000C5F2F"/>
    <w:rsid w:val="000C5FA0"/>
    <w:rsid w:val="000C67B8"/>
    <w:rsid w:val="000C6F91"/>
    <w:rsid w:val="000C7655"/>
    <w:rsid w:val="000C7AE0"/>
    <w:rsid w:val="000D00E0"/>
    <w:rsid w:val="000D04A0"/>
    <w:rsid w:val="000D08A9"/>
    <w:rsid w:val="000D134D"/>
    <w:rsid w:val="000D1B1E"/>
    <w:rsid w:val="000D36BB"/>
    <w:rsid w:val="000D40D7"/>
    <w:rsid w:val="000D42EF"/>
    <w:rsid w:val="000D42F6"/>
    <w:rsid w:val="000D46CE"/>
    <w:rsid w:val="000D47C6"/>
    <w:rsid w:val="000D55BE"/>
    <w:rsid w:val="000D5741"/>
    <w:rsid w:val="000D5E0F"/>
    <w:rsid w:val="000D661F"/>
    <w:rsid w:val="000D6787"/>
    <w:rsid w:val="000D6DBB"/>
    <w:rsid w:val="000D6F1C"/>
    <w:rsid w:val="000D7557"/>
    <w:rsid w:val="000D77A1"/>
    <w:rsid w:val="000D7F1A"/>
    <w:rsid w:val="000E0FEC"/>
    <w:rsid w:val="000E1395"/>
    <w:rsid w:val="000E1CA3"/>
    <w:rsid w:val="000E22A3"/>
    <w:rsid w:val="000E24AD"/>
    <w:rsid w:val="000E275C"/>
    <w:rsid w:val="000E2BAE"/>
    <w:rsid w:val="000E2FA9"/>
    <w:rsid w:val="000E3726"/>
    <w:rsid w:val="000E396E"/>
    <w:rsid w:val="000E3C0A"/>
    <w:rsid w:val="000E4AEA"/>
    <w:rsid w:val="000E4C27"/>
    <w:rsid w:val="000E5369"/>
    <w:rsid w:val="000E5727"/>
    <w:rsid w:val="000E5CA4"/>
    <w:rsid w:val="000E5D96"/>
    <w:rsid w:val="000E62A7"/>
    <w:rsid w:val="000E64A0"/>
    <w:rsid w:val="000E64B6"/>
    <w:rsid w:val="000E66B6"/>
    <w:rsid w:val="000E75E3"/>
    <w:rsid w:val="000E7C7C"/>
    <w:rsid w:val="000F1F54"/>
    <w:rsid w:val="000F2D72"/>
    <w:rsid w:val="000F3322"/>
    <w:rsid w:val="000F3752"/>
    <w:rsid w:val="000F37DC"/>
    <w:rsid w:val="000F38D1"/>
    <w:rsid w:val="000F3988"/>
    <w:rsid w:val="000F41ED"/>
    <w:rsid w:val="000F45DF"/>
    <w:rsid w:val="000F52A2"/>
    <w:rsid w:val="000F531E"/>
    <w:rsid w:val="000F5A03"/>
    <w:rsid w:val="000F5AC3"/>
    <w:rsid w:val="000F6059"/>
    <w:rsid w:val="000F618E"/>
    <w:rsid w:val="000F665D"/>
    <w:rsid w:val="000F76E8"/>
    <w:rsid w:val="000F7D41"/>
    <w:rsid w:val="00100B50"/>
    <w:rsid w:val="0010158F"/>
    <w:rsid w:val="00101BA5"/>
    <w:rsid w:val="00102B38"/>
    <w:rsid w:val="00103440"/>
    <w:rsid w:val="00103800"/>
    <w:rsid w:val="00103866"/>
    <w:rsid w:val="00103BF0"/>
    <w:rsid w:val="00103DCF"/>
    <w:rsid w:val="00104465"/>
    <w:rsid w:val="00104E21"/>
    <w:rsid w:val="00105973"/>
    <w:rsid w:val="00105BA4"/>
    <w:rsid w:val="0010605B"/>
    <w:rsid w:val="00106531"/>
    <w:rsid w:val="0010684F"/>
    <w:rsid w:val="001068FA"/>
    <w:rsid w:val="00106E7F"/>
    <w:rsid w:val="001071AA"/>
    <w:rsid w:val="001071F3"/>
    <w:rsid w:val="001072F1"/>
    <w:rsid w:val="0010732C"/>
    <w:rsid w:val="001074A9"/>
    <w:rsid w:val="00110962"/>
    <w:rsid w:val="00110C22"/>
    <w:rsid w:val="00110DE2"/>
    <w:rsid w:val="00111652"/>
    <w:rsid w:val="00111986"/>
    <w:rsid w:val="00111FC9"/>
    <w:rsid w:val="00112390"/>
    <w:rsid w:val="00112753"/>
    <w:rsid w:val="00112B0F"/>
    <w:rsid w:val="001134E4"/>
    <w:rsid w:val="00113643"/>
    <w:rsid w:val="00113B60"/>
    <w:rsid w:val="00113BD4"/>
    <w:rsid w:val="00114416"/>
    <w:rsid w:val="00114A87"/>
    <w:rsid w:val="00115436"/>
    <w:rsid w:val="0011565F"/>
    <w:rsid w:val="00115CFF"/>
    <w:rsid w:val="00115D7D"/>
    <w:rsid w:val="00117B8C"/>
    <w:rsid w:val="0012006A"/>
    <w:rsid w:val="0012024B"/>
    <w:rsid w:val="0012037F"/>
    <w:rsid w:val="001204A3"/>
    <w:rsid w:val="00120AF0"/>
    <w:rsid w:val="00120CA6"/>
    <w:rsid w:val="00120E3F"/>
    <w:rsid w:val="001212E7"/>
    <w:rsid w:val="0012169D"/>
    <w:rsid w:val="0012199E"/>
    <w:rsid w:val="00121BD4"/>
    <w:rsid w:val="00121D5C"/>
    <w:rsid w:val="00121E4E"/>
    <w:rsid w:val="00121EF0"/>
    <w:rsid w:val="001227CA"/>
    <w:rsid w:val="00123530"/>
    <w:rsid w:val="0012364E"/>
    <w:rsid w:val="00123901"/>
    <w:rsid w:val="0012390F"/>
    <w:rsid w:val="0012391A"/>
    <w:rsid w:val="00123E17"/>
    <w:rsid w:val="00124ED5"/>
    <w:rsid w:val="00125323"/>
    <w:rsid w:val="001258AE"/>
    <w:rsid w:val="001259F6"/>
    <w:rsid w:val="00125BE0"/>
    <w:rsid w:val="00125CB4"/>
    <w:rsid w:val="0012650A"/>
    <w:rsid w:val="001269F5"/>
    <w:rsid w:val="00127C99"/>
    <w:rsid w:val="00127E36"/>
    <w:rsid w:val="00130359"/>
    <w:rsid w:val="00130720"/>
    <w:rsid w:val="0013080A"/>
    <w:rsid w:val="00130E6F"/>
    <w:rsid w:val="001315C0"/>
    <w:rsid w:val="00131710"/>
    <w:rsid w:val="001317A1"/>
    <w:rsid w:val="00131A2E"/>
    <w:rsid w:val="0013303D"/>
    <w:rsid w:val="001330A6"/>
    <w:rsid w:val="00133285"/>
    <w:rsid w:val="00133345"/>
    <w:rsid w:val="00133662"/>
    <w:rsid w:val="00133B10"/>
    <w:rsid w:val="00133E6D"/>
    <w:rsid w:val="00134860"/>
    <w:rsid w:val="00134D5E"/>
    <w:rsid w:val="00134F70"/>
    <w:rsid w:val="001354FC"/>
    <w:rsid w:val="00135567"/>
    <w:rsid w:val="00135957"/>
    <w:rsid w:val="00135970"/>
    <w:rsid w:val="00136085"/>
    <w:rsid w:val="00136597"/>
    <w:rsid w:val="00136C4A"/>
    <w:rsid w:val="001370C9"/>
    <w:rsid w:val="001370E7"/>
    <w:rsid w:val="001373B7"/>
    <w:rsid w:val="00137756"/>
    <w:rsid w:val="001406AD"/>
    <w:rsid w:val="0014076B"/>
    <w:rsid w:val="001407E6"/>
    <w:rsid w:val="00140912"/>
    <w:rsid w:val="00140E69"/>
    <w:rsid w:val="00140FEF"/>
    <w:rsid w:val="00141272"/>
    <w:rsid w:val="001414BF"/>
    <w:rsid w:val="0014172C"/>
    <w:rsid w:val="00141855"/>
    <w:rsid w:val="00141DB8"/>
    <w:rsid w:val="0014208D"/>
    <w:rsid w:val="00142983"/>
    <w:rsid w:val="00142EEE"/>
    <w:rsid w:val="0014336B"/>
    <w:rsid w:val="00143ADD"/>
    <w:rsid w:val="00145E91"/>
    <w:rsid w:val="001461D3"/>
    <w:rsid w:val="001467BC"/>
    <w:rsid w:val="00146893"/>
    <w:rsid w:val="0014767A"/>
    <w:rsid w:val="00147E98"/>
    <w:rsid w:val="00147F1E"/>
    <w:rsid w:val="001504B5"/>
    <w:rsid w:val="00150CDE"/>
    <w:rsid w:val="00151225"/>
    <w:rsid w:val="00151327"/>
    <w:rsid w:val="00151D15"/>
    <w:rsid w:val="00151EEF"/>
    <w:rsid w:val="001526C3"/>
    <w:rsid w:val="00152DC3"/>
    <w:rsid w:val="00153193"/>
    <w:rsid w:val="001531FB"/>
    <w:rsid w:val="001532F8"/>
    <w:rsid w:val="00153487"/>
    <w:rsid w:val="00153BCB"/>
    <w:rsid w:val="0015483E"/>
    <w:rsid w:val="00154B1E"/>
    <w:rsid w:val="00154C7A"/>
    <w:rsid w:val="00155232"/>
    <w:rsid w:val="0015546D"/>
    <w:rsid w:val="00155A96"/>
    <w:rsid w:val="00156222"/>
    <w:rsid w:val="001564B7"/>
    <w:rsid w:val="00156702"/>
    <w:rsid w:val="001567E2"/>
    <w:rsid w:val="00156B7F"/>
    <w:rsid w:val="00156E60"/>
    <w:rsid w:val="0015716E"/>
    <w:rsid w:val="0016015D"/>
    <w:rsid w:val="0016067B"/>
    <w:rsid w:val="00160D4D"/>
    <w:rsid w:val="00160F78"/>
    <w:rsid w:val="001612B4"/>
    <w:rsid w:val="00161820"/>
    <w:rsid w:val="001618A5"/>
    <w:rsid w:val="0016219C"/>
    <w:rsid w:val="00162AC0"/>
    <w:rsid w:val="00162E45"/>
    <w:rsid w:val="0016375B"/>
    <w:rsid w:val="001637CA"/>
    <w:rsid w:val="001639B9"/>
    <w:rsid w:val="00163C3C"/>
    <w:rsid w:val="00163E8B"/>
    <w:rsid w:val="00164058"/>
    <w:rsid w:val="00164DB0"/>
    <w:rsid w:val="00164F79"/>
    <w:rsid w:val="00165568"/>
    <w:rsid w:val="00165611"/>
    <w:rsid w:val="00165921"/>
    <w:rsid w:val="00165944"/>
    <w:rsid w:val="00165E80"/>
    <w:rsid w:val="00166742"/>
    <w:rsid w:val="0016679E"/>
    <w:rsid w:val="001675CF"/>
    <w:rsid w:val="001704B8"/>
    <w:rsid w:val="001709C7"/>
    <w:rsid w:val="001711C3"/>
    <w:rsid w:val="0017194D"/>
    <w:rsid w:val="00171FBA"/>
    <w:rsid w:val="00171FC6"/>
    <w:rsid w:val="0017218E"/>
    <w:rsid w:val="001721DC"/>
    <w:rsid w:val="00172E2E"/>
    <w:rsid w:val="00172ED6"/>
    <w:rsid w:val="00173677"/>
    <w:rsid w:val="00173B5C"/>
    <w:rsid w:val="00174082"/>
    <w:rsid w:val="0017459B"/>
    <w:rsid w:val="00174BA5"/>
    <w:rsid w:val="00174CAD"/>
    <w:rsid w:val="00174FCC"/>
    <w:rsid w:val="0017518F"/>
    <w:rsid w:val="00175449"/>
    <w:rsid w:val="00175B88"/>
    <w:rsid w:val="001768FE"/>
    <w:rsid w:val="00177A8A"/>
    <w:rsid w:val="00177C29"/>
    <w:rsid w:val="001806C5"/>
    <w:rsid w:val="00180B2B"/>
    <w:rsid w:val="00181221"/>
    <w:rsid w:val="00181248"/>
    <w:rsid w:val="00181378"/>
    <w:rsid w:val="001815CE"/>
    <w:rsid w:val="001815F5"/>
    <w:rsid w:val="0018202A"/>
    <w:rsid w:val="00183872"/>
    <w:rsid w:val="00183A5F"/>
    <w:rsid w:val="001843BB"/>
    <w:rsid w:val="00184695"/>
    <w:rsid w:val="0018476F"/>
    <w:rsid w:val="0018554A"/>
    <w:rsid w:val="001863A0"/>
    <w:rsid w:val="0018653C"/>
    <w:rsid w:val="00186A9B"/>
    <w:rsid w:val="00187308"/>
    <w:rsid w:val="001877BE"/>
    <w:rsid w:val="00187B34"/>
    <w:rsid w:val="00187DD8"/>
    <w:rsid w:val="0019061F"/>
    <w:rsid w:val="00190D75"/>
    <w:rsid w:val="001912AE"/>
    <w:rsid w:val="001914CF"/>
    <w:rsid w:val="00191DE0"/>
    <w:rsid w:val="00192204"/>
    <w:rsid w:val="00192476"/>
    <w:rsid w:val="00192D77"/>
    <w:rsid w:val="00194854"/>
    <w:rsid w:val="00194A21"/>
    <w:rsid w:val="00194B6E"/>
    <w:rsid w:val="00194D9E"/>
    <w:rsid w:val="00195039"/>
    <w:rsid w:val="001966E5"/>
    <w:rsid w:val="0019787A"/>
    <w:rsid w:val="00197C96"/>
    <w:rsid w:val="001A0928"/>
    <w:rsid w:val="001A0F65"/>
    <w:rsid w:val="001A175C"/>
    <w:rsid w:val="001A181C"/>
    <w:rsid w:val="001A1CB3"/>
    <w:rsid w:val="001A1D8D"/>
    <w:rsid w:val="001A2F0D"/>
    <w:rsid w:val="001A30A6"/>
    <w:rsid w:val="001A3481"/>
    <w:rsid w:val="001A3F84"/>
    <w:rsid w:val="001A5591"/>
    <w:rsid w:val="001A55D3"/>
    <w:rsid w:val="001A5AC1"/>
    <w:rsid w:val="001A65AE"/>
    <w:rsid w:val="001A6753"/>
    <w:rsid w:val="001A6B67"/>
    <w:rsid w:val="001A6CFE"/>
    <w:rsid w:val="001B0A7F"/>
    <w:rsid w:val="001B12C3"/>
    <w:rsid w:val="001B151D"/>
    <w:rsid w:val="001B1683"/>
    <w:rsid w:val="001B29CD"/>
    <w:rsid w:val="001B33DF"/>
    <w:rsid w:val="001B33F3"/>
    <w:rsid w:val="001B364F"/>
    <w:rsid w:val="001B36BA"/>
    <w:rsid w:val="001B3BF2"/>
    <w:rsid w:val="001B3FE0"/>
    <w:rsid w:val="001B41C9"/>
    <w:rsid w:val="001B48E2"/>
    <w:rsid w:val="001B559D"/>
    <w:rsid w:val="001B5F9D"/>
    <w:rsid w:val="001B76FB"/>
    <w:rsid w:val="001B7D66"/>
    <w:rsid w:val="001B7ED4"/>
    <w:rsid w:val="001C0043"/>
    <w:rsid w:val="001C011F"/>
    <w:rsid w:val="001C0E3A"/>
    <w:rsid w:val="001C1B00"/>
    <w:rsid w:val="001C1C68"/>
    <w:rsid w:val="001C2216"/>
    <w:rsid w:val="001C2507"/>
    <w:rsid w:val="001C2556"/>
    <w:rsid w:val="001C2A8E"/>
    <w:rsid w:val="001C366F"/>
    <w:rsid w:val="001C43CC"/>
    <w:rsid w:val="001C49B5"/>
    <w:rsid w:val="001C4F9A"/>
    <w:rsid w:val="001C541F"/>
    <w:rsid w:val="001C54CF"/>
    <w:rsid w:val="001C56B0"/>
    <w:rsid w:val="001C6843"/>
    <w:rsid w:val="001C6BB6"/>
    <w:rsid w:val="001C7BEF"/>
    <w:rsid w:val="001C7C88"/>
    <w:rsid w:val="001D1314"/>
    <w:rsid w:val="001D1584"/>
    <w:rsid w:val="001D1722"/>
    <w:rsid w:val="001D1C65"/>
    <w:rsid w:val="001D209D"/>
    <w:rsid w:val="001D2247"/>
    <w:rsid w:val="001D2713"/>
    <w:rsid w:val="001D3205"/>
    <w:rsid w:val="001D3284"/>
    <w:rsid w:val="001D3485"/>
    <w:rsid w:val="001D3D87"/>
    <w:rsid w:val="001D3F61"/>
    <w:rsid w:val="001D3FA6"/>
    <w:rsid w:val="001D40FB"/>
    <w:rsid w:val="001D42FA"/>
    <w:rsid w:val="001D4D2B"/>
    <w:rsid w:val="001D5250"/>
    <w:rsid w:val="001D5455"/>
    <w:rsid w:val="001D5522"/>
    <w:rsid w:val="001D5D95"/>
    <w:rsid w:val="001D5E83"/>
    <w:rsid w:val="001D63FC"/>
    <w:rsid w:val="001D6C0A"/>
    <w:rsid w:val="001D6E8B"/>
    <w:rsid w:val="001D786C"/>
    <w:rsid w:val="001E0883"/>
    <w:rsid w:val="001E0CBB"/>
    <w:rsid w:val="001E161C"/>
    <w:rsid w:val="001E16D2"/>
    <w:rsid w:val="001E1A1F"/>
    <w:rsid w:val="001E1D3D"/>
    <w:rsid w:val="001E224A"/>
    <w:rsid w:val="001E2BD2"/>
    <w:rsid w:val="001E3C1A"/>
    <w:rsid w:val="001E43BC"/>
    <w:rsid w:val="001E4670"/>
    <w:rsid w:val="001E4CB4"/>
    <w:rsid w:val="001E5543"/>
    <w:rsid w:val="001E5610"/>
    <w:rsid w:val="001E5E98"/>
    <w:rsid w:val="001E5F4A"/>
    <w:rsid w:val="001E6727"/>
    <w:rsid w:val="001E6F0E"/>
    <w:rsid w:val="001F0B57"/>
    <w:rsid w:val="001F1999"/>
    <w:rsid w:val="001F1DC7"/>
    <w:rsid w:val="001F27C3"/>
    <w:rsid w:val="001F40AB"/>
    <w:rsid w:val="001F43E1"/>
    <w:rsid w:val="001F475F"/>
    <w:rsid w:val="001F4C54"/>
    <w:rsid w:val="001F4F85"/>
    <w:rsid w:val="001F5A5D"/>
    <w:rsid w:val="001F5A99"/>
    <w:rsid w:val="001F5CAF"/>
    <w:rsid w:val="001F79DB"/>
    <w:rsid w:val="001F7D1D"/>
    <w:rsid w:val="00200259"/>
    <w:rsid w:val="002004DD"/>
    <w:rsid w:val="002016F1"/>
    <w:rsid w:val="002017CB"/>
    <w:rsid w:val="00201AEC"/>
    <w:rsid w:val="00201C30"/>
    <w:rsid w:val="00201DB9"/>
    <w:rsid w:val="00204712"/>
    <w:rsid w:val="00205095"/>
    <w:rsid w:val="00205C2C"/>
    <w:rsid w:val="002061DF"/>
    <w:rsid w:val="00206CA4"/>
    <w:rsid w:val="00206D1E"/>
    <w:rsid w:val="0020744A"/>
    <w:rsid w:val="002077CE"/>
    <w:rsid w:val="002079B0"/>
    <w:rsid w:val="00207F00"/>
    <w:rsid w:val="0021015F"/>
    <w:rsid w:val="00211B0D"/>
    <w:rsid w:val="00211B47"/>
    <w:rsid w:val="00211D47"/>
    <w:rsid w:val="00212000"/>
    <w:rsid w:val="00212386"/>
    <w:rsid w:val="00213238"/>
    <w:rsid w:val="00213681"/>
    <w:rsid w:val="00215222"/>
    <w:rsid w:val="00215A9C"/>
    <w:rsid w:val="00216482"/>
    <w:rsid w:val="0021674A"/>
    <w:rsid w:val="00216C8A"/>
    <w:rsid w:val="00216CCC"/>
    <w:rsid w:val="00216F21"/>
    <w:rsid w:val="0021742F"/>
    <w:rsid w:val="0021773C"/>
    <w:rsid w:val="00220645"/>
    <w:rsid w:val="00220F18"/>
    <w:rsid w:val="00221344"/>
    <w:rsid w:val="00221FBA"/>
    <w:rsid w:val="002224E2"/>
    <w:rsid w:val="0022267A"/>
    <w:rsid w:val="00222902"/>
    <w:rsid w:val="0022300C"/>
    <w:rsid w:val="00223BD9"/>
    <w:rsid w:val="00223F53"/>
    <w:rsid w:val="002246DC"/>
    <w:rsid w:val="00224AD7"/>
    <w:rsid w:val="00224FC1"/>
    <w:rsid w:val="00225608"/>
    <w:rsid w:val="00225659"/>
    <w:rsid w:val="002263E5"/>
    <w:rsid w:val="00226934"/>
    <w:rsid w:val="00226971"/>
    <w:rsid w:val="0022743B"/>
    <w:rsid w:val="00227AC3"/>
    <w:rsid w:val="00227D7C"/>
    <w:rsid w:val="002305DF"/>
    <w:rsid w:val="002316A3"/>
    <w:rsid w:val="0023188E"/>
    <w:rsid w:val="00231E54"/>
    <w:rsid w:val="00231F9D"/>
    <w:rsid w:val="00232325"/>
    <w:rsid w:val="002323EF"/>
    <w:rsid w:val="002329CA"/>
    <w:rsid w:val="002338B4"/>
    <w:rsid w:val="00233DD6"/>
    <w:rsid w:val="00234EEC"/>
    <w:rsid w:val="00235074"/>
    <w:rsid w:val="002351B7"/>
    <w:rsid w:val="00236DE4"/>
    <w:rsid w:val="00237051"/>
    <w:rsid w:val="0023718E"/>
    <w:rsid w:val="002376EA"/>
    <w:rsid w:val="0023777E"/>
    <w:rsid w:val="002378D1"/>
    <w:rsid w:val="00237A84"/>
    <w:rsid w:val="00237AD4"/>
    <w:rsid w:val="00237CBB"/>
    <w:rsid w:val="0024003D"/>
    <w:rsid w:val="00241724"/>
    <w:rsid w:val="00241834"/>
    <w:rsid w:val="0024214F"/>
    <w:rsid w:val="002449A9"/>
    <w:rsid w:val="00244F5E"/>
    <w:rsid w:val="00244FD2"/>
    <w:rsid w:val="00245625"/>
    <w:rsid w:val="00245763"/>
    <w:rsid w:val="00246578"/>
    <w:rsid w:val="002467AA"/>
    <w:rsid w:val="00246964"/>
    <w:rsid w:val="00246C7F"/>
    <w:rsid w:val="002473B4"/>
    <w:rsid w:val="00247424"/>
    <w:rsid w:val="002478DB"/>
    <w:rsid w:val="00247B76"/>
    <w:rsid w:val="00247EEB"/>
    <w:rsid w:val="00250214"/>
    <w:rsid w:val="00250B4C"/>
    <w:rsid w:val="002512F6"/>
    <w:rsid w:val="00251893"/>
    <w:rsid w:val="00251C1D"/>
    <w:rsid w:val="0025214C"/>
    <w:rsid w:val="002522C0"/>
    <w:rsid w:val="002523DF"/>
    <w:rsid w:val="00252566"/>
    <w:rsid w:val="002526B6"/>
    <w:rsid w:val="002527E8"/>
    <w:rsid w:val="002529E3"/>
    <w:rsid w:val="002530D0"/>
    <w:rsid w:val="002532AA"/>
    <w:rsid w:val="00253725"/>
    <w:rsid w:val="00253C00"/>
    <w:rsid w:val="0025464F"/>
    <w:rsid w:val="00254C4C"/>
    <w:rsid w:val="00254DA7"/>
    <w:rsid w:val="00256078"/>
    <w:rsid w:val="0025627A"/>
    <w:rsid w:val="002564E5"/>
    <w:rsid w:val="00256649"/>
    <w:rsid w:val="00256AC1"/>
    <w:rsid w:val="00256C06"/>
    <w:rsid w:val="0025739D"/>
    <w:rsid w:val="00260514"/>
    <w:rsid w:val="00260AD9"/>
    <w:rsid w:val="002612EA"/>
    <w:rsid w:val="00261637"/>
    <w:rsid w:val="00261870"/>
    <w:rsid w:val="0026190D"/>
    <w:rsid w:val="002625DC"/>
    <w:rsid w:val="0026282B"/>
    <w:rsid w:val="00262CAE"/>
    <w:rsid w:val="00262E26"/>
    <w:rsid w:val="00262E63"/>
    <w:rsid w:val="002631D1"/>
    <w:rsid w:val="00263659"/>
    <w:rsid w:val="00263C0A"/>
    <w:rsid w:val="00264179"/>
    <w:rsid w:val="002641A7"/>
    <w:rsid w:val="00264530"/>
    <w:rsid w:val="002660D0"/>
    <w:rsid w:val="00266334"/>
    <w:rsid w:val="00266972"/>
    <w:rsid w:val="00266EE0"/>
    <w:rsid w:val="00266EF5"/>
    <w:rsid w:val="00267164"/>
    <w:rsid w:val="00267F89"/>
    <w:rsid w:val="00270070"/>
    <w:rsid w:val="00270A00"/>
    <w:rsid w:val="00272D7D"/>
    <w:rsid w:val="00272FAA"/>
    <w:rsid w:val="002731C9"/>
    <w:rsid w:val="002735C0"/>
    <w:rsid w:val="00273758"/>
    <w:rsid w:val="00273B29"/>
    <w:rsid w:val="00274064"/>
    <w:rsid w:val="0027432E"/>
    <w:rsid w:val="0027449F"/>
    <w:rsid w:val="00274B5A"/>
    <w:rsid w:val="002752A0"/>
    <w:rsid w:val="002757E2"/>
    <w:rsid w:val="00275823"/>
    <w:rsid w:val="00275988"/>
    <w:rsid w:val="00275EDD"/>
    <w:rsid w:val="00276BBE"/>
    <w:rsid w:val="00277A89"/>
    <w:rsid w:val="0028026E"/>
    <w:rsid w:val="00280591"/>
    <w:rsid w:val="00280929"/>
    <w:rsid w:val="00280AE0"/>
    <w:rsid w:val="002812D0"/>
    <w:rsid w:val="00281A1D"/>
    <w:rsid w:val="0028264F"/>
    <w:rsid w:val="00282AD2"/>
    <w:rsid w:val="00282CCF"/>
    <w:rsid w:val="0028351C"/>
    <w:rsid w:val="00283C9A"/>
    <w:rsid w:val="00283E07"/>
    <w:rsid w:val="00284218"/>
    <w:rsid w:val="00284678"/>
    <w:rsid w:val="00285814"/>
    <w:rsid w:val="00285DFB"/>
    <w:rsid w:val="00286025"/>
    <w:rsid w:val="00287066"/>
    <w:rsid w:val="00287073"/>
    <w:rsid w:val="00287100"/>
    <w:rsid w:val="0028759E"/>
    <w:rsid w:val="00287D11"/>
    <w:rsid w:val="00291366"/>
    <w:rsid w:val="002913C5"/>
    <w:rsid w:val="00291459"/>
    <w:rsid w:val="00291566"/>
    <w:rsid w:val="00291F7A"/>
    <w:rsid w:val="0029207B"/>
    <w:rsid w:val="002925C8"/>
    <w:rsid w:val="00292D9D"/>
    <w:rsid w:val="0029343A"/>
    <w:rsid w:val="00293D03"/>
    <w:rsid w:val="00294481"/>
    <w:rsid w:val="00294A1A"/>
    <w:rsid w:val="00294F1A"/>
    <w:rsid w:val="00295502"/>
    <w:rsid w:val="002956B7"/>
    <w:rsid w:val="00295D0A"/>
    <w:rsid w:val="00295F59"/>
    <w:rsid w:val="00296175"/>
    <w:rsid w:val="002966E2"/>
    <w:rsid w:val="002966EA"/>
    <w:rsid w:val="00296770"/>
    <w:rsid w:val="00297450"/>
    <w:rsid w:val="00297B74"/>
    <w:rsid w:val="002A0300"/>
    <w:rsid w:val="002A0FBC"/>
    <w:rsid w:val="002A19F6"/>
    <w:rsid w:val="002A1DBC"/>
    <w:rsid w:val="002A2004"/>
    <w:rsid w:val="002A2F13"/>
    <w:rsid w:val="002A387E"/>
    <w:rsid w:val="002A4318"/>
    <w:rsid w:val="002A4719"/>
    <w:rsid w:val="002A5229"/>
    <w:rsid w:val="002A65C1"/>
    <w:rsid w:val="002A6E7F"/>
    <w:rsid w:val="002A740C"/>
    <w:rsid w:val="002A796A"/>
    <w:rsid w:val="002B006A"/>
    <w:rsid w:val="002B03AD"/>
    <w:rsid w:val="002B082E"/>
    <w:rsid w:val="002B0986"/>
    <w:rsid w:val="002B0E4B"/>
    <w:rsid w:val="002B2137"/>
    <w:rsid w:val="002B22A3"/>
    <w:rsid w:val="002B3372"/>
    <w:rsid w:val="002B4697"/>
    <w:rsid w:val="002B4CB1"/>
    <w:rsid w:val="002B5244"/>
    <w:rsid w:val="002B5598"/>
    <w:rsid w:val="002B5C21"/>
    <w:rsid w:val="002B7EA3"/>
    <w:rsid w:val="002C00E8"/>
    <w:rsid w:val="002C050C"/>
    <w:rsid w:val="002C0788"/>
    <w:rsid w:val="002C13B1"/>
    <w:rsid w:val="002C164A"/>
    <w:rsid w:val="002C1675"/>
    <w:rsid w:val="002C1B4E"/>
    <w:rsid w:val="002C33BC"/>
    <w:rsid w:val="002C34D8"/>
    <w:rsid w:val="002C39B7"/>
    <w:rsid w:val="002C429D"/>
    <w:rsid w:val="002C49A2"/>
    <w:rsid w:val="002C544D"/>
    <w:rsid w:val="002C6343"/>
    <w:rsid w:val="002C6EE3"/>
    <w:rsid w:val="002C7099"/>
    <w:rsid w:val="002C7A8B"/>
    <w:rsid w:val="002D1449"/>
    <w:rsid w:val="002D1A75"/>
    <w:rsid w:val="002D1C05"/>
    <w:rsid w:val="002D1EC0"/>
    <w:rsid w:val="002D2883"/>
    <w:rsid w:val="002D2FDA"/>
    <w:rsid w:val="002D31E6"/>
    <w:rsid w:val="002D3474"/>
    <w:rsid w:val="002D3BE6"/>
    <w:rsid w:val="002D5001"/>
    <w:rsid w:val="002D537C"/>
    <w:rsid w:val="002D5BD5"/>
    <w:rsid w:val="002D5D14"/>
    <w:rsid w:val="002D5D16"/>
    <w:rsid w:val="002D7003"/>
    <w:rsid w:val="002D72D7"/>
    <w:rsid w:val="002D72F7"/>
    <w:rsid w:val="002E0218"/>
    <w:rsid w:val="002E02A1"/>
    <w:rsid w:val="002E05E4"/>
    <w:rsid w:val="002E07A5"/>
    <w:rsid w:val="002E07D9"/>
    <w:rsid w:val="002E0C75"/>
    <w:rsid w:val="002E0EB2"/>
    <w:rsid w:val="002E2364"/>
    <w:rsid w:val="002E2A4A"/>
    <w:rsid w:val="002E2AEA"/>
    <w:rsid w:val="002E2C8A"/>
    <w:rsid w:val="002E31EE"/>
    <w:rsid w:val="002E3234"/>
    <w:rsid w:val="002E3836"/>
    <w:rsid w:val="002E4073"/>
    <w:rsid w:val="002E4CDA"/>
    <w:rsid w:val="002E6100"/>
    <w:rsid w:val="002E6614"/>
    <w:rsid w:val="002E6660"/>
    <w:rsid w:val="002E67FC"/>
    <w:rsid w:val="002E694C"/>
    <w:rsid w:val="002E6CB1"/>
    <w:rsid w:val="002E73F9"/>
    <w:rsid w:val="002E749B"/>
    <w:rsid w:val="002E7F43"/>
    <w:rsid w:val="002F08DF"/>
    <w:rsid w:val="002F164A"/>
    <w:rsid w:val="002F2122"/>
    <w:rsid w:val="002F225A"/>
    <w:rsid w:val="002F2809"/>
    <w:rsid w:val="002F38DC"/>
    <w:rsid w:val="002F415C"/>
    <w:rsid w:val="002F496C"/>
    <w:rsid w:val="002F4DB0"/>
    <w:rsid w:val="002F4F33"/>
    <w:rsid w:val="002F5547"/>
    <w:rsid w:val="002F55A5"/>
    <w:rsid w:val="002F5640"/>
    <w:rsid w:val="002F5EB5"/>
    <w:rsid w:val="002F655D"/>
    <w:rsid w:val="002F691E"/>
    <w:rsid w:val="002F727A"/>
    <w:rsid w:val="002F75C7"/>
    <w:rsid w:val="003000DE"/>
    <w:rsid w:val="00302D9C"/>
    <w:rsid w:val="00303409"/>
    <w:rsid w:val="00303DDE"/>
    <w:rsid w:val="00304446"/>
    <w:rsid w:val="003044D8"/>
    <w:rsid w:val="00304EFD"/>
    <w:rsid w:val="00305158"/>
    <w:rsid w:val="003051F2"/>
    <w:rsid w:val="00305237"/>
    <w:rsid w:val="00306ABB"/>
    <w:rsid w:val="003075BA"/>
    <w:rsid w:val="00307751"/>
    <w:rsid w:val="00307AD9"/>
    <w:rsid w:val="00310079"/>
    <w:rsid w:val="0031020E"/>
    <w:rsid w:val="00310AFA"/>
    <w:rsid w:val="00310DF7"/>
    <w:rsid w:val="0031147B"/>
    <w:rsid w:val="00311A65"/>
    <w:rsid w:val="00311B1B"/>
    <w:rsid w:val="003127D0"/>
    <w:rsid w:val="0031296B"/>
    <w:rsid w:val="00313689"/>
    <w:rsid w:val="00313BCF"/>
    <w:rsid w:val="00314690"/>
    <w:rsid w:val="0031584B"/>
    <w:rsid w:val="003160E9"/>
    <w:rsid w:val="00316157"/>
    <w:rsid w:val="003161E7"/>
    <w:rsid w:val="00316AB5"/>
    <w:rsid w:val="00316FE7"/>
    <w:rsid w:val="00317432"/>
    <w:rsid w:val="0032025D"/>
    <w:rsid w:val="003205F3"/>
    <w:rsid w:val="00320AC4"/>
    <w:rsid w:val="00321210"/>
    <w:rsid w:val="003215DA"/>
    <w:rsid w:val="0032161A"/>
    <w:rsid w:val="00321CA0"/>
    <w:rsid w:val="0032271F"/>
    <w:rsid w:val="00322911"/>
    <w:rsid w:val="00322E18"/>
    <w:rsid w:val="00322FD8"/>
    <w:rsid w:val="003231A2"/>
    <w:rsid w:val="00323F9A"/>
    <w:rsid w:val="00324359"/>
    <w:rsid w:val="00325585"/>
    <w:rsid w:val="003262CA"/>
    <w:rsid w:val="00326AFD"/>
    <w:rsid w:val="00326E29"/>
    <w:rsid w:val="003277D7"/>
    <w:rsid w:val="0032793A"/>
    <w:rsid w:val="00327B74"/>
    <w:rsid w:val="00327DF7"/>
    <w:rsid w:val="00327F7D"/>
    <w:rsid w:val="00330A63"/>
    <w:rsid w:val="00330B67"/>
    <w:rsid w:val="00330EB2"/>
    <w:rsid w:val="003317A8"/>
    <w:rsid w:val="00331D65"/>
    <w:rsid w:val="00332337"/>
    <w:rsid w:val="0033255B"/>
    <w:rsid w:val="00332D09"/>
    <w:rsid w:val="00333213"/>
    <w:rsid w:val="003333B0"/>
    <w:rsid w:val="0033344C"/>
    <w:rsid w:val="0033397E"/>
    <w:rsid w:val="00334C74"/>
    <w:rsid w:val="00334E84"/>
    <w:rsid w:val="00335A0A"/>
    <w:rsid w:val="003376C8"/>
    <w:rsid w:val="0034013A"/>
    <w:rsid w:val="00340875"/>
    <w:rsid w:val="00340E35"/>
    <w:rsid w:val="003414DF"/>
    <w:rsid w:val="00341FE6"/>
    <w:rsid w:val="00343DB4"/>
    <w:rsid w:val="00344FF2"/>
    <w:rsid w:val="00346117"/>
    <w:rsid w:val="003465C3"/>
    <w:rsid w:val="003469ED"/>
    <w:rsid w:val="00346BC4"/>
    <w:rsid w:val="00346FB9"/>
    <w:rsid w:val="0034740F"/>
    <w:rsid w:val="0034767E"/>
    <w:rsid w:val="003476BC"/>
    <w:rsid w:val="0034786E"/>
    <w:rsid w:val="00347BB5"/>
    <w:rsid w:val="00347FE0"/>
    <w:rsid w:val="00350D38"/>
    <w:rsid w:val="00351848"/>
    <w:rsid w:val="00351EAB"/>
    <w:rsid w:val="0035276E"/>
    <w:rsid w:val="00352F4C"/>
    <w:rsid w:val="003544C2"/>
    <w:rsid w:val="0035459E"/>
    <w:rsid w:val="00354FD0"/>
    <w:rsid w:val="003554EF"/>
    <w:rsid w:val="00355813"/>
    <w:rsid w:val="00355EDD"/>
    <w:rsid w:val="003560F2"/>
    <w:rsid w:val="0035656A"/>
    <w:rsid w:val="00356BFB"/>
    <w:rsid w:val="0036056B"/>
    <w:rsid w:val="00360A2D"/>
    <w:rsid w:val="00360B98"/>
    <w:rsid w:val="003612AE"/>
    <w:rsid w:val="00361A03"/>
    <w:rsid w:val="00361BFB"/>
    <w:rsid w:val="003621C3"/>
    <w:rsid w:val="00362758"/>
    <w:rsid w:val="003628ED"/>
    <w:rsid w:val="00362BAE"/>
    <w:rsid w:val="00362F07"/>
    <w:rsid w:val="003630AA"/>
    <w:rsid w:val="00363C23"/>
    <w:rsid w:val="00363F87"/>
    <w:rsid w:val="003642F6"/>
    <w:rsid w:val="00365454"/>
    <w:rsid w:val="00366F54"/>
    <w:rsid w:val="00367080"/>
    <w:rsid w:val="003672BD"/>
    <w:rsid w:val="0037036A"/>
    <w:rsid w:val="0037037B"/>
    <w:rsid w:val="0037048B"/>
    <w:rsid w:val="00370904"/>
    <w:rsid w:val="00371FC1"/>
    <w:rsid w:val="003721C3"/>
    <w:rsid w:val="00372C5E"/>
    <w:rsid w:val="003731DA"/>
    <w:rsid w:val="0037329F"/>
    <w:rsid w:val="00373417"/>
    <w:rsid w:val="00373899"/>
    <w:rsid w:val="00373CB9"/>
    <w:rsid w:val="00373D0B"/>
    <w:rsid w:val="003749DF"/>
    <w:rsid w:val="0037509C"/>
    <w:rsid w:val="0037538E"/>
    <w:rsid w:val="0037621C"/>
    <w:rsid w:val="00376245"/>
    <w:rsid w:val="003766EC"/>
    <w:rsid w:val="00376704"/>
    <w:rsid w:val="0037674D"/>
    <w:rsid w:val="003767B8"/>
    <w:rsid w:val="00376A38"/>
    <w:rsid w:val="00376B60"/>
    <w:rsid w:val="00376C7E"/>
    <w:rsid w:val="00377569"/>
    <w:rsid w:val="003777C1"/>
    <w:rsid w:val="00377881"/>
    <w:rsid w:val="0037798F"/>
    <w:rsid w:val="00377FDF"/>
    <w:rsid w:val="00380639"/>
    <w:rsid w:val="00380C9A"/>
    <w:rsid w:val="00380DA5"/>
    <w:rsid w:val="0038239C"/>
    <w:rsid w:val="00383488"/>
    <w:rsid w:val="00383EB6"/>
    <w:rsid w:val="00383FCD"/>
    <w:rsid w:val="00384046"/>
    <w:rsid w:val="00385976"/>
    <w:rsid w:val="00385BF5"/>
    <w:rsid w:val="00385CF6"/>
    <w:rsid w:val="00385DED"/>
    <w:rsid w:val="00385FAD"/>
    <w:rsid w:val="00386491"/>
    <w:rsid w:val="003867E1"/>
    <w:rsid w:val="00386C07"/>
    <w:rsid w:val="00390053"/>
    <w:rsid w:val="003901EF"/>
    <w:rsid w:val="003904C0"/>
    <w:rsid w:val="00390ED2"/>
    <w:rsid w:val="00390EE6"/>
    <w:rsid w:val="00391D01"/>
    <w:rsid w:val="00391E23"/>
    <w:rsid w:val="00391E67"/>
    <w:rsid w:val="003920D8"/>
    <w:rsid w:val="003921B0"/>
    <w:rsid w:val="00392973"/>
    <w:rsid w:val="003942D8"/>
    <w:rsid w:val="003944F6"/>
    <w:rsid w:val="003945A5"/>
    <w:rsid w:val="003948B5"/>
    <w:rsid w:val="00394A58"/>
    <w:rsid w:val="00395F88"/>
    <w:rsid w:val="00397831"/>
    <w:rsid w:val="00397E0C"/>
    <w:rsid w:val="003A02C6"/>
    <w:rsid w:val="003A0536"/>
    <w:rsid w:val="003A0574"/>
    <w:rsid w:val="003A10FA"/>
    <w:rsid w:val="003A15CE"/>
    <w:rsid w:val="003A19AD"/>
    <w:rsid w:val="003A20F4"/>
    <w:rsid w:val="003A2C1F"/>
    <w:rsid w:val="003A3A7E"/>
    <w:rsid w:val="003A3A80"/>
    <w:rsid w:val="003A4E91"/>
    <w:rsid w:val="003A55B0"/>
    <w:rsid w:val="003A565F"/>
    <w:rsid w:val="003A57D7"/>
    <w:rsid w:val="003A5EAE"/>
    <w:rsid w:val="003A64F4"/>
    <w:rsid w:val="003A6F0F"/>
    <w:rsid w:val="003A7181"/>
    <w:rsid w:val="003A7207"/>
    <w:rsid w:val="003B1F01"/>
    <w:rsid w:val="003B2ABD"/>
    <w:rsid w:val="003B2E82"/>
    <w:rsid w:val="003B3AA9"/>
    <w:rsid w:val="003B3B6C"/>
    <w:rsid w:val="003B464A"/>
    <w:rsid w:val="003B4674"/>
    <w:rsid w:val="003B48DC"/>
    <w:rsid w:val="003B4F57"/>
    <w:rsid w:val="003B4F9D"/>
    <w:rsid w:val="003B5125"/>
    <w:rsid w:val="003B683C"/>
    <w:rsid w:val="003B7189"/>
    <w:rsid w:val="003B7430"/>
    <w:rsid w:val="003B74A1"/>
    <w:rsid w:val="003B7991"/>
    <w:rsid w:val="003B79E4"/>
    <w:rsid w:val="003C03AB"/>
    <w:rsid w:val="003C0F1C"/>
    <w:rsid w:val="003C14E9"/>
    <w:rsid w:val="003C2451"/>
    <w:rsid w:val="003C2478"/>
    <w:rsid w:val="003C2B5C"/>
    <w:rsid w:val="003C3CC2"/>
    <w:rsid w:val="003C3FA0"/>
    <w:rsid w:val="003C5733"/>
    <w:rsid w:val="003C5CB7"/>
    <w:rsid w:val="003C60CF"/>
    <w:rsid w:val="003C6218"/>
    <w:rsid w:val="003C6C04"/>
    <w:rsid w:val="003C74C0"/>
    <w:rsid w:val="003C7A02"/>
    <w:rsid w:val="003C7E17"/>
    <w:rsid w:val="003D0114"/>
    <w:rsid w:val="003D094B"/>
    <w:rsid w:val="003D0A0E"/>
    <w:rsid w:val="003D0A87"/>
    <w:rsid w:val="003D0FEA"/>
    <w:rsid w:val="003D1AC7"/>
    <w:rsid w:val="003D1BF0"/>
    <w:rsid w:val="003D1DBA"/>
    <w:rsid w:val="003D29AB"/>
    <w:rsid w:val="003D2F22"/>
    <w:rsid w:val="003D3320"/>
    <w:rsid w:val="003D4894"/>
    <w:rsid w:val="003D5340"/>
    <w:rsid w:val="003D5BB3"/>
    <w:rsid w:val="003D6105"/>
    <w:rsid w:val="003D68BE"/>
    <w:rsid w:val="003D6ABD"/>
    <w:rsid w:val="003D6E5B"/>
    <w:rsid w:val="003D7059"/>
    <w:rsid w:val="003D72F2"/>
    <w:rsid w:val="003D76E9"/>
    <w:rsid w:val="003D77AA"/>
    <w:rsid w:val="003E00C4"/>
    <w:rsid w:val="003E033B"/>
    <w:rsid w:val="003E2037"/>
    <w:rsid w:val="003E2307"/>
    <w:rsid w:val="003E25EE"/>
    <w:rsid w:val="003E3268"/>
    <w:rsid w:val="003E496B"/>
    <w:rsid w:val="003E49DA"/>
    <w:rsid w:val="003E5687"/>
    <w:rsid w:val="003E5BC9"/>
    <w:rsid w:val="003E5E1B"/>
    <w:rsid w:val="003E65EC"/>
    <w:rsid w:val="003E6A05"/>
    <w:rsid w:val="003E6B2B"/>
    <w:rsid w:val="003E7E0F"/>
    <w:rsid w:val="003F0330"/>
    <w:rsid w:val="003F066D"/>
    <w:rsid w:val="003F08A3"/>
    <w:rsid w:val="003F0CB6"/>
    <w:rsid w:val="003F1381"/>
    <w:rsid w:val="003F2C53"/>
    <w:rsid w:val="003F2EA9"/>
    <w:rsid w:val="003F3849"/>
    <w:rsid w:val="003F3E2B"/>
    <w:rsid w:val="003F41AE"/>
    <w:rsid w:val="003F464B"/>
    <w:rsid w:val="003F6485"/>
    <w:rsid w:val="003F681D"/>
    <w:rsid w:val="003F68AA"/>
    <w:rsid w:val="003F7386"/>
    <w:rsid w:val="003F7831"/>
    <w:rsid w:val="003F7BE7"/>
    <w:rsid w:val="003F7CBC"/>
    <w:rsid w:val="00401E3C"/>
    <w:rsid w:val="00401F45"/>
    <w:rsid w:val="00402C01"/>
    <w:rsid w:val="00402FB2"/>
    <w:rsid w:val="0040359A"/>
    <w:rsid w:val="0040371E"/>
    <w:rsid w:val="004041A1"/>
    <w:rsid w:val="00404BA2"/>
    <w:rsid w:val="00405094"/>
    <w:rsid w:val="00406418"/>
    <w:rsid w:val="004065B5"/>
    <w:rsid w:val="0040774C"/>
    <w:rsid w:val="00407C4E"/>
    <w:rsid w:val="004108C5"/>
    <w:rsid w:val="00410B9C"/>
    <w:rsid w:val="00410BEC"/>
    <w:rsid w:val="00410D31"/>
    <w:rsid w:val="00412378"/>
    <w:rsid w:val="00412ABE"/>
    <w:rsid w:val="004132E5"/>
    <w:rsid w:val="00413321"/>
    <w:rsid w:val="00413C20"/>
    <w:rsid w:val="0041426E"/>
    <w:rsid w:val="00414BA6"/>
    <w:rsid w:val="00414FE1"/>
    <w:rsid w:val="0041544A"/>
    <w:rsid w:val="00415DB6"/>
    <w:rsid w:val="00415FE7"/>
    <w:rsid w:val="004169AA"/>
    <w:rsid w:val="00416E85"/>
    <w:rsid w:val="004208BC"/>
    <w:rsid w:val="004210BB"/>
    <w:rsid w:val="00421464"/>
    <w:rsid w:val="0042155D"/>
    <w:rsid w:val="00421D8A"/>
    <w:rsid w:val="00422B45"/>
    <w:rsid w:val="00422CCF"/>
    <w:rsid w:val="0042328B"/>
    <w:rsid w:val="00423B21"/>
    <w:rsid w:val="00423BDB"/>
    <w:rsid w:val="004244B5"/>
    <w:rsid w:val="00424964"/>
    <w:rsid w:val="0042524C"/>
    <w:rsid w:val="00425427"/>
    <w:rsid w:val="004254CE"/>
    <w:rsid w:val="00426278"/>
    <w:rsid w:val="00426A2E"/>
    <w:rsid w:val="00426B2E"/>
    <w:rsid w:val="00426E0C"/>
    <w:rsid w:val="004302CC"/>
    <w:rsid w:val="00430368"/>
    <w:rsid w:val="00430896"/>
    <w:rsid w:val="004313DB"/>
    <w:rsid w:val="00431862"/>
    <w:rsid w:val="00431926"/>
    <w:rsid w:val="004320FB"/>
    <w:rsid w:val="00432D9B"/>
    <w:rsid w:val="00433254"/>
    <w:rsid w:val="004335B3"/>
    <w:rsid w:val="0043463C"/>
    <w:rsid w:val="004349DD"/>
    <w:rsid w:val="00434B17"/>
    <w:rsid w:val="0043514A"/>
    <w:rsid w:val="004372B7"/>
    <w:rsid w:val="00437AFE"/>
    <w:rsid w:val="00437FEC"/>
    <w:rsid w:val="00440A9D"/>
    <w:rsid w:val="00440AC0"/>
    <w:rsid w:val="00440FEB"/>
    <w:rsid w:val="00441D8B"/>
    <w:rsid w:val="00442916"/>
    <w:rsid w:val="0044294C"/>
    <w:rsid w:val="00442DA4"/>
    <w:rsid w:val="00442EEF"/>
    <w:rsid w:val="004431EB"/>
    <w:rsid w:val="0044373E"/>
    <w:rsid w:val="0044398E"/>
    <w:rsid w:val="00443C95"/>
    <w:rsid w:val="00443CC2"/>
    <w:rsid w:val="00443E4B"/>
    <w:rsid w:val="00444222"/>
    <w:rsid w:val="004444E5"/>
    <w:rsid w:val="00444566"/>
    <w:rsid w:val="00444D97"/>
    <w:rsid w:val="004458BE"/>
    <w:rsid w:val="00445998"/>
    <w:rsid w:val="00445BF9"/>
    <w:rsid w:val="00445F4D"/>
    <w:rsid w:val="004466AB"/>
    <w:rsid w:val="00447D12"/>
    <w:rsid w:val="0045021A"/>
    <w:rsid w:val="004503CC"/>
    <w:rsid w:val="00450A82"/>
    <w:rsid w:val="00450EA7"/>
    <w:rsid w:val="00451393"/>
    <w:rsid w:val="00451835"/>
    <w:rsid w:val="00452529"/>
    <w:rsid w:val="00452893"/>
    <w:rsid w:val="00452D1C"/>
    <w:rsid w:val="004536F4"/>
    <w:rsid w:val="004537CD"/>
    <w:rsid w:val="00454026"/>
    <w:rsid w:val="00454F09"/>
    <w:rsid w:val="004550B6"/>
    <w:rsid w:val="004557FB"/>
    <w:rsid w:val="00455A9F"/>
    <w:rsid w:val="00455AA2"/>
    <w:rsid w:val="00455AD4"/>
    <w:rsid w:val="004574ED"/>
    <w:rsid w:val="004601A9"/>
    <w:rsid w:val="004602AB"/>
    <w:rsid w:val="00460432"/>
    <w:rsid w:val="00460D75"/>
    <w:rsid w:val="004610B2"/>
    <w:rsid w:val="004623FA"/>
    <w:rsid w:val="00462636"/>
    <w:rsid w:val="00463717"/>
    <w:rsid w:val="00463E01"/>
    <w:rsid w:val="00464659"/>
    <w:rsid w:val="004646F5"/>
    <w:rsid w:val="0046474D"/>
    <w:rsid w:val="004651A6"/>
    <w:rsid w:val="00465C4E"/>
    <w:rsid w:val="00466175"/>
    <w:rsid w:val="0046643D"/>
    <w:rsid w:val="0046651E"/>
    <w:rsid w:val="0046735A"/>
    <w:rsid w:val="0046735E"/>
    <w:rsid w:val="00467731"/>
    <w:rsid w:val="00467B98"/>
    <w:rsid w:val="004700F5"/>
    <w:rsid w:val="00470BFC"/>
    <w:rsid w:val="00470C00"/>
    <w:rsid w:val="0047129A"/>
    <w:rsid w:val="0047154D"/>
    <w:rsid w:val="0047174E"/>
    <w:rsid w:val="0047177F"/>
    <w:rsid w:val="00471FD6"/>
    <w:rsid w:val="004726BC"/>
    <w:rsid w:val="004730D7"/>
    <w:rsid w:val="004737FD"/>
    <w:rsid w:val="00473D5E"/>
    <w:rsid w:val="004740B5"/>
    <w:rsid w:val="00474409"/>
    <w:rsid w:val="004753E2"/>
    <w:rsid w:val="00476EAF"/>
    <w:rsid w:val="004770CD"/>
    <w:rsid w:val="00477AD7"/>
    <w:rsid w:val="004805C1"/>
    <w:rsid w:val="00480B1E"/>
    <w:rsid w:val="00481B9F"/>
    <w:rsid w:val="00481E3C"/>
    <w:rsid w:val="00482A66"/>
    <w:rsid w:val="00482CD9"/>
    <w:rsid w:val="0048330A"/>
    <w:rsid w:val="00484354"/>
    <w:rsid w:val="00484493"/>
    <w:rsid w:val="00484F80"/>
    <w:rsid w:val="00484F85"/>
    <w:rsid w:val="00485154"/>
    <w:rsid w:val="004854AB"/>
    <w:rsid w:val="004856A4"/>
    <w:rsid w:val="00485954"/>
    <w:rsid w:val="00485BE4"/>
    <w:rsid w:val="004861B6"/>
    <w:rsid w:val="004875DD"/>
    <w:rsid w:val="0048786B"/>
    <w:rsid w:val="004903DE"/>
    <w:rsid w:val="0049111A"/>
    <w:rsid w:val="00491256"/>
    <w:rsid w:val="0049170D"/>
    <w:rsid w:val="0049186D"/>
    <w:rsid w:val="00492563"/>
    <w:rsid w:val="00492910"/>
    <w:rsid w:val="00492F0C"/>
    <w:rsid w:val="0049352A"/>
    <w:rsid w:val="004941C3"/>
    <w:rsid w:val="00494E2A"/>
    <w:rsid w:val="00494EE9"/>
    <w:rsid w:val="004966B8"/>
    <w:rsid w:val="00496CAB"/>
    <w:rsid w:val="0049771B"/>
    <w:rsid w:val="00497F8A"/>
    <w:rsid w:val="004A026A"/>
    <w:rsid w:val="004A0A74"/>
    <w:rsid w:val="004A1165"/>
    <w:rsid w:val="004A1731"/>
    <w:rsid w:val="004A1794"/>
    <w:rsid w:val="004A1AB3"/>
    <w:rsid w:val="004A22A0"/>
    <w:rsid w:val="004A3421"/>
    <w:rsid w:val="004A3E3B"/>
    <w:rsid w:val="004A3FAA"/>
    <w:rsid w:val="004A4091"/>
    <w:rsid w:val="004A47CE"/>
    <w:rsid w:val="004A598E"/>
    <w:rsid w:val="004A59A5"/>
    <w:rsid w:val="004A5C46"/>
    <w:rsid w:val="004A6E56"/>
    <w:rsid w:val="004A6EE7"/>
    <w:rsid w:val="004A7383"/>
    <w:rsid w:val="004A7758"/>
    <w:rsid w:val="004A7D03"/>
    <w:rsid w:val="004A7E32"/>
    <w:rsid w:val="004B07AD"/>
    <w:rsid w:val="004B08F2"/>
    <w:rsid w:val="004B1A76"/>
    <w:rsid w:val="004B23D7"/>
    <w:rsid w:val="004B3287"/>
    <w:rsid w:val="004B3325"/>
    <w:rsid w:val="004B3338"/>
    <w:rsid w:val="004B382C"/>
    <w:rsid w:val="004B4F6A"/>
    <w:rsid w:val="004B6355"/>
    <w:rsid w:val="004B69D1"/>
    <w:rsid w:val="004B6AB1"/>
    <w:rsid w:val="004B6DDE"/>
    <w:rsid w:val="004B749F"/>
    <w:rsid w:val="004B7ADE"/>
    <w:rsid w:val="004B7C70"/>
    <w:rsid w:val="004C0180"/>
    <w:rsid w:val="004C0440"/>
    <w:rsid w:val="004C0658"/>
    <w:rsid w:val="004C0B2B"/>
    <w:rsid w:val="004C0CC1"/>
    <w:rsid w:val="004C1310"/>
    <w:rsid w:val="004C1341"/>
    <w:rsid w:val="004C1732"/>
    <w:rsid w:val="004C19F8"/>
    <w:rsid w:val="004C1B20"/>
    <w:rsid w:val="004C1F55"/>
    <w:rsid w:val="004C2D4B"/>
    <w:rsid w:val="004C3911"/>
    <w:rsid w:val="004C403E"/>
    <w:rsid w:val="004C42E7"/>
    <w:rsid w:val="004C4A28"/>
    <w:rsid w:val="004C7098"/>
    <w:rsid w:val="004C7B46"/>
    <w:rsid w:val="004C7F91"/>
    <w:rsid w:val="004D0767"/>
    <w:rsid w:val="004D0C0B"/>
    <w:rsid w:val="004D111C"/>
    <w:rsid w:val="004D17FF"/>
    <w:rsid w:val="004D2CCA"/>
    <w:rsid w:val="004D34F2"/>
    <w:rsid w:val="004D36E8"/>
    <w:rsid w:val="004D3E03"/>
    <w:rsid w:val="004D425B"/>
    <w:rsid w:val="004D49CD"/>
    <w:rsid w:val="004D529A"/>
    <w:rsid w:val="004D5D5B"/>
    <w:rsid w:val="004D6356"/>
    <w:rsid w:val="004D7734"/>
    <w:rsid w:val="004D7903"/>
    <w:rsid w:val="004D7BBC"/>
    <w:rsid w:val="004D7C2C"/>
    <w:rsid w:val="004E02ED"/>
    <w:rsid w:val="004E0610"/>
    <w:rsid w:val="004E0B25"/>
    <w:rsid w:val="004E12E2"/>
    <w:rsid w:val="004E168E"/>
    <w:rsid w:val="004E2289"/>
    <w:rsid w:val="004E23D9"/>
    <w:rsid w:val="004E25B1"/>
    <w:rsid w:val="004E2667"/>
    <w:rsid w:val="004E2960"/>
    <w:rsid w:val="004E2B02"/>
    <w:rsid w:val="004E3081"/>
    <w:rsid w:val="004E38DE"/>
    <w:rsid w:val="004E3C20"/>
    <w:rsid w:val="004E446C"/>
    <w:rsid w:val="004E4B6F"/>
    <w:rsid w:val="004E4B8F"/>
    <w:rsid w:val="004E596B"/>
    <w:rsid w:val="004E5CB3"/>
    <w:rsid w:val="004E65F1"/>
    <w:rsid w:val="004E663D"/>
    <w:rsid w:val="004E66F2"/>
    <w:rsid w:val="004E7B3C"/>
    <w:rsid w:val="004F0071"/>
    <w:rsid w:val="004F056B"/>
    <w:rsid w:val="004F07AB"/>
    <w:rsid w:val="004F08BA"/>
    <w:rsid w:val="004F0C18"/>
    <w:rsid w:val="004F0F44"/>
    <w:rsid w:val="004F0F9D"/>
    <w:rsid w:val="004F1088"/>
    <w:rsid w:val="004F10A7"/>
    <w:rsid w:val="004F1730"/>
    <w:rsid w:val="004F1C0A"/>
    <w:rsid w:val="004F23E8"/>
    <w:rsid w:val="004F2BF0"/>
    <w:rsid w:val="004F2D75"/>
    <w:rsid w:val="004F3DD9"/>
    <w:rsid w:val="004F4914"/>
    <w:rsid w:val="004F50DB"/>
    <w:rsid w:val="004F5498"/>
    <w:rsid w:val="004F5F55"/>
    <w:rsid w:val="004F6515"/>
    <w:rsid w:val="004F6773"/>
    <w:rsid w:val="004F7637"/>
    <w:rsid w:val="004F7706"/>
    <w:rsid w:val="004F7E07"/>
    <w:rsid w:val="00500644"/>
    <w:rsid w:val="005006FF"/>
    <w:rsid w:val="00500720"/>
    <w:rsid w:val="00501204"/>
    <w:rsid w:val="0050183A"/>
    <w:rsid w:val="00501DE8"/>
    <w:rsid w:val="005023C0"/>
    <w:rsid w:val="00503FE9"/>
    <w:rsid w:val="0050460A"/>
    <w:rsid w:val="00504A3D"/>
    <w:rsid w:val="00505132"/>
    <w:rsid w:val="00505487"/>
    <w:rsid w:val="00505DC7"/>
    <w:rsid w:val="005060B9"/>
    <w:rsid w:val="00506B95"/>
    <w:rsid w:val="00506C23"/>
    <w:rsid w:val="0050739E"/>
    <w:rsid w:val="00507427"/>
    <w:rsid w:val="005075C0"/>
    <w:rsid w:val="00507C79"/>
    <w:rsid w:val="00507E8D"/>
    <w:rsid w:val="00510DB8"/>
    <w:rsid w:val="0051106D"/>
    <w:rsid w:val="00511128"/>
    <w:rsid w:val="005111F8"/>
    <w:rsid w:val="00511508"/>
    <w:rsid w:val="00511E10"/>
    <w:rsid w:val="00512530"/>
    <w:rsid w:val="00512DCC"/>
    <w:rsid w:val="00513116"/>
    <w:rsid w:val="00513431"/>
    <w:rsid w:val="00514129"/>
    <w:rsid w:val="00514E8D"/>
    <w:rsid w:val="00515853"/>
    <w:rsid w:val="00515A0A"/>
    <w:rsid w:val="00516D38"/>
    <w:rsid w:val="005174F9"/>
    <w:rsid w:val="00520195"/>
    <w:rsid w:val="00520FB8"/>
    <w:rsid w:val="00521FBF"/>
    <w:rsid w:val="005226A1"/>
    <w:rsid w:val="00522B7B"/>
    <w:rsid w:val="00523FC8"/>
    <w:rsid w:val="0052411E"/>
    <w:rsid w:val="00524343"/>
    <w:rsid w:val="00524770"/>
    <w:rsid w:val="00524A26"/>
    <w:rsid w:val="00525062"/>
    <w:rsid w:val="00525580"/>
    <w:rsid w:val="00525C8B"/>
    <w:rsid w:val="00525CC1"/>
    <w:rsid w:val="005265F2"/>
    <w:rsid w:val="00527507"/>
    <w:rsid w:val="00527820"/>
    <w:rsid w:val="00527A7F"/>
    <w:rsid w:val="005316F3"/>
    <w:rsid w:val="00532448"/>
    <w:rsid w:val="0053273C"/>
    <w:rsid w:val="00532C74"/>
    <w:rsid w:val="00532F8C"/>
    <w:rsid w:val="00533873"/>
    <w:rsid w:val="005338E0"/>
    <w:rsid w:val="00533969"/>
    <w:rsid w:val="00533AF6"/>
    <w:rsid w:val="005345BE"/>
    <w:rsid w:val="0053463A"/>
    <w:rsid w:val="005349CC"/>
    <w:rsid w:val="00535207"/>
    <w:rsid w:val="005352E9"/>
    <w:rsid w:val="00535470"/>
    <w:rsid w:val="00536123"/>
    <w:rsid w:val="0053647F"/>
    <w:rsid w:val="005366BD"/>
    <w:rsid w:val="00537161"/>
    <w:rsid w:val="005371B7"/>
    <w:rsid w:val="005372B2"/>
    <w:rsid w:val="0053747F"/>
    <w:rsid w:val="00537578"/>
    <w:rsid w:val="00537720"/>
    <w:rsid w:val="0053779B"/>
    <w:rsid w:val="0054092E"/>
    <w:rsid w:val="005411D8"/>
    <w:rsid w:val="00541FAD"/>
    <w:rsid w:val="00542851"/>
    <w:rsid w:val="00543411"/>
    <w:rsid w:val="00543441"/>
    <w:rsid w:val="00543580"/>
    <w:rsid w:val="00544099"/>
    <w:rsid w:val="005442BA"/>
    <w:rsid w:val="0054460A"/>
    <w:rsid w:val="005447A4"/>
    <w:rsid w:val="00544AE2"/>
    <w:rsid w:val="00544CA5"/>
    <w:rsid w:val="00544E5C"/>
    <w:rsid w:val="0054557C"/>
    <w:rsid w:val="0054625C"/>
    <w:rsid w:val="00546783"/>
    <w:rsid w:val="00546C1E"/>
    <w:rsid w:val="00547114"/>
    <w:rsid w:val="00547551"/>
    <w:rsid w:val="00547AA1"/>
    <w:rsid w:val="0055103F"/>
    <w:rsid w:val="0055245B"/>
    <w:rsid w:val="00552818"/>
    <w:rsid w:val="00552A2C"/>
    <w:rsid w:val="005539CC"/>
    <w:rsid w:val="00553A0F"/>
    <w:rsid w:val="00553CD4"/>
    <w:rsid w:val="00555353"/>
    <w:rsid w:val="00556ECF"/>
    <w:rsid w:val="0055784B"/>
    <w:rsid w:val="0056002E"/>
    <w:rsid w:val="005600DF"/>
    <w:rsid w:val="005601EF"/>
    <w:rsid w:val="0056045C"/>
    <w:rsid w:val="00560BF1"/>
    <w:rsid w:val="00561CF8"/>
    <w:rsid w:val="00561E2A"/>
    <w:rsid w:val="005626BB"/>
    <w:rsid w:val="00562E61"/>
    <w:rsid w:val="0056321D"/>
    <w:rsid w:val="005633EF"/>
    <w:rsid w:val="00563A3F"/>
    <w:rsid w:val="00563A9C"/>
    <w:rsid w:val="00563AA7"/>
    <w:rsid w:val="00563E9B"/>
    <w:rsid w:val="00564126"/>
    <w:rsid w:val="005642C7"/>
    <w:rsid w:val="00564379"/>
    <w:rsid w:val="00564AEC"/>
    <w:rsid w:val="00564F21"/>
    <w:rsid w:val="00564F5A"/>
    <w:rsid w:val="005662A0"/>
    <w:rsid w:val="005668DA"/>
    <w:rsid w:val="00566AEE"/>
    <w:rsid w:val="00567792"/>
    <w:rsid w:val="00567CC5"/>
    <w:rsid w:val="00567E27"/>
    <w:rsid w:val="005728F3"/>
    <w:rsid w:val="0057290C"/>
    <w:rsid w:val="00572EC4"/>
    <w:rsid w:val="00573586"/>
    <w:rsid w:val="005737D8"/>
    <w:rsid w:val="005753EA"/>
    <w:rsid w:val="00575E35"/>
    <w:rsid w:val="00576016"/>
    <w:rsid w:val="005762AE"/>
    <w:rsid w:val="00576F57"/>
    <w:rsid w:val="00577592"/>
    <w:rsid w:val="00577AB9"/>
    <w:rsid w:val="00580CE4"/>
    <w:rsid w:val="00580E5E"/>
    <w:rsid w:val="005810C2"/>
    <w:rsid w:val="00581FA9"/>
    <w:rsid w:val="005824C0"/>
    <w:rsid w:val="00582893"/>
    <w:rsid w:val="005830E6"/>
    <w:rsid w:val="0058341C"/>
    <w:rsid w:val="00583525"/>
    <w:rsid w:val="00583567"/>
    <w:rsid w:val="005836B9"/>
    <w:rsid w:val="0058401A"/>
    <w:rsid w:val="00584AB2"/>
    <w:rsid w:val="00585504"/>
    <w:rsid w:val="005861FF"/>
    <w:rsid w:val="00586298"/>
    <w:rsid w:val="00586477"/>
    <w:rsid w:val="00586C87"/>
    <w:rsid w:val="00586ED1"/>
    <w:rsid w:val="00587674"/>
    <w:rsid w:val="00590048"/>
    <w:rsid w:val="0059068E"/>
    <w:rsid w:val="00590947"/>
    <w:rsid w:val="00590AA9"/>
    <w:rsid w:val="0059141F"/>
    <w:rsid w:val="005918EB"/>
    <w:rsid w:val="0059230E"/>
    <w:rsid w:val="005932AB"/>
    <w:rsid w:val="005934FA"/>
    <w:rsid w:val="005944D4"/>
    <w:rsid w:val="005959F4"/>
    <w:rsid w:val="00595AC3"/>
    <w:rsid w:val="00595D6F"/>
    <w:rsid w:val="005962FB"/>
    <w:rsid w:val="0059661F"/>
    <w:rsid w:val="0059670C"/>
    <w:rsid w:val="00596D31"/>
    <w:rsid w:val="005A000B"/>
    <w:rsid w:val="005A0579"/>
    <w:rsid w:val="005A0C9C"/>
    <w:rsid w:val="005A15D4"/>
    <w:rsid w:val="005A184A"/>
    <w:rsid w:val="005A21A3"/>
    <w:rsid w:val="005A2D19"/>
    <w:rsid w:val="005A320F"/>
    <w:rsid w:val="005A327C"/>
    <w:rsid w:val="005A37F3"/>
    <w:rsid w:val="005A3CC0"/>
    <w:rsid w:val="005A4B59"/>
    <w:rsid w:val="005A712A"/>
    <w:rsid w:val="005A737B"/>
    <w:rsid w:val="005A78F7"/>
    <w:rsid w:val="005A7993"/>
    <w:rsid w:val="005B036F"/>
    <w:rsid w:val="005B03FA"/>
    <w:rsid w:val="005B0596"/>
    <w:rsid w:val="005B1317"/>
    <w:rsid w:val="005B1DED"/>
    <w:rsid w:val="005B1FE9"/>
    <w:rsid w:val="005B2741"/>
    <w:rsid w:val="005B38C2"/>
    <w:rsid w:val="005B3F4C"/>
    <w:rsid w:val="005B4060"/>
    <w:rsid w:val="005B4156"/>
    <w:rsid w:val="005B44BB"/>
    <w:rsid w:val="005B46B4"/>
    <w:rsid w:val="005B4E49"/>
    <w:rsid w:val="005B53BF"/>
    <w:rsid w:val="005B56E2"/>
    <w:rsid w:val="005B5DD1"/>
    <w:rsid w:val="005B5FE7"/>
    <w:rsid w:val="005B7683"/>
    <w:rsid w:val="005B76DA"/>
    <w:rsid w:val="005C001B"/>
    <w:rsid w:val="005C0980"/>
    <w:rsid w:val="005C0A3C"/>
    <w:rsid w:val="005C0D5D"/>
    <w:rsid w:val="005C1021"/>
    <w:rsid w:val="005C1143"/>
    <w:rsid w:val="005C12FD"/>
    <w:rsid w:val="005C1C29"/>
    <w:rsid w:val="005C26B7"/>
    <w:rsid w:val="005C2722"/>
    <w:rsid w:val="005C2725"/>
    <w:rsid w:val="005C2A9F"/>
    <w:rsid w:val="005C2BF0"/>
    <w:rsid w:val="005C2E64"/>
    <w:rsid w:val="005C3263"/>
    <w:rsid w:val="005C33C6"/>
    <w:rsid w:val="005C34E2"/>
    <w:rsid w:val="005C38DA"/>
    <w:rsid w:val="005C3A60"/>
    <w:rsid w:val="005C3BEB"/>
    <w:rsid w:val="005C46EB"/>
    <w:rsid w:val="005C4971"/>
    <w:rsid w:val="005C6321"/>
    <w:rsid w:val="005C659F"/>
    <w:rsid w:val="005C69D2"/>
    <w:rsid w:val="005C6F41"/>
    <w:rsid w:val="005C72AF"/>
    <w:rsid w:val="005C7467"/>
    <w:rsid w:val="005C78F9"/>
    <w:rsid w:val="005C7DF1"/>
    <w:rsid w:val="005D0117"/>
    <w:rsid w:val="005D030B"/>
    <w:rsid w:val="005D0462"/>
    <w:rsid w:val="005D0762"/>
    <w:rsid w:val="005D09F3"/>
    <w:rsid w:val="005D1253"/>
    <w:rsid w:val="005D1662"/>
    <w:rsid w:val="005D1960"/>
    <w:rsid w:val="005D1DA2"/>
    <w:rsid w:val="005D2A09"/>
    <w:rsid w:val="005D2A1A"/>
    <w:rsid w:val="005D2C8A"/>
    <w:rsid w:val="005D33CA"/>
    <w:rsid w:val="005D35B1"/>
    <w:rsid w:val="005D3728"/>
    <w:rsid w:val="005D3781"/>
    <w:rsid w:val="005D39C3"/>
    <w:rsid w:val="005D3FDE"/>
    <w:rsid w:val="005D4170"/>
    <w:rsid w:val="005D5A78"/>
    <w:rsid w:val="005D5F1C"/>
    <w:rsid w:val="005D679F"/>
    <w:rsid w:val="005D76EF"/>
    <w:rsid w:val="005D7AF9"/>
    <w:rsid w:val="005E0103"/>
    <w:rsid w:val="005E0869"/>
    <w:rsid w:val="005E0F12"/>
    <w:rsid w:val="005E1B30"/>
    <w:rsid w:val="005E2269"/>
    <w:rsid w:val="005E2D9C"/>
    <w:rsid w:val="005E2FD3"/>
    <w:rsid w:val="005E2FF9"/>
    <w:rsid w:val="005E3204"/>
    <w:rsid w:val="005E36F0"/>
    <w:rsid w:val="005E3953"/>
    <w:rsid w:val="005E3954"/>
    <w:rsid w:val="005E3D51"/>
    <w:rsid w:val="005E430E"/>
    <w:rsid w:val="005E4F7A"/>
    <w:rsid w:val="005E5103"/>
    <w:rsid w:val="005E61EA"/>
    <w:rsid w:val="005E7B11"/>
    <w:rsid w:val="005F00F1"/>
    <w:rsid w:val="005F0931"/>
    <w:rsid w:val="005F13E6"/>
    <w:rsid w:val="005F1578"/>
    <w:rsid w:val="005F1753"/>
    <w:rsid w:val="005F2CCE"/>
    <w:rsid w:val="005F3A1C"/>
    <w:rsid w:val="005F46D2"/>
    <w:rsid w:val="005F470D"/>
    <w:rsid w:val="005F50C6"/>
    <w:rsid w:val="005F64CB"/>
    <w:rsid w:val="005F6BAB"/>
    <w:rsid w:val="005F7CBD"/>
    <w:rsid w:val="0060184D"/>
    <w:rsid w:val="00602333"/>
    <w:rsid w:val="0060388E"/>
    <w:rsid w:val="00603A83"/>
    <w:rsid w:val="00604002"/>
    <w:rsid w:val="00604305"/>
    <w:rsid w:val="00604532"/>
    <w:rsid w:val="0060511C"/>
    <w:rsid w:val="00605308"/>
    <w:rsid w:val="00605457"/>
    <w:rsid w:val="006079A4"/>
    <w:rsid w:val="00607A3D"/>
    <w:rsid w:val="00607BEB"/>
    <w:rsid w:val="00607C7C"/>
    <w:rsid w:val="006103CE"/>
    <w:rsid w:val="006104D4"/>
    <w:rsid w:val="00611508"/>
    <w:rsid w:val="00612699"/>
    <w:rsid w:val="00613165"/>
    <w:rsid w:val="006138A4"/>
    <w:rsid w:val="006143E3"/>
    <w:rsid w:val="0061487A"/>
    <w:rsid w:val="00614A26"/>
    <w:rsid w:val="00614CBF"/>
    <w:rsid w:val="0061518E"/>
    <w:rsid w:val="00616925"/>
    <w:rsid w:val="00617758"/>
    <w:rsid w:val="006214C5"/>
    <w:rsid w:val="0062190B"/>
    <w:rsid w:val="00621A41"/>
    <w:rsid w:val="00621B3C"/>
    <w:rsid w:val="00621B56"/>
    <w:rsid w:val="00621B6A"/>
    <w:rsid w:val="00622142"/>
    <w:rsid w:val="00624C4B"/>
    <w:rsid w:val="0062538E"/>
    <w:rsid w:val="006253A1"/>
    <w:rsid w:val="006258A7"/>
    <w:rsid w:val="00626888"/>
    <w:rsid w:val="006274C0"/>
    <w:rsid w:val="00627CF3"/>
    <w:rsid w:val="0063079C"/>
    <w:rsid w:val="00630B0A"/>
    <w:rsid w:val="006310CF"/>
    <w:rsid w:val="00631743"/>
    <w:rsid w:val="00631EBD"/>
    <w:rsid w:val="00632892"/>
    <w:rsid w:val="00632E39"/>
    <w:rsid w:val="00632E66"/>
    <w:rsid w:val="006330FF"/>
    <w:rsid w:val="00633167"/>
    <w:rsid w:val="006346ED"/>
    <w:rsid w:val="00635E3C"/>
    <w:rsid w:val="00636F11"/>
    <w:rsid w:val="00637375"/>
    <w:rsid w:val="006379DE"/>
    <w:rsid w:val="006402A7"/>
    <w:rsid w:val="006403C8"/>
    <w:rsid w:val="0064192F"/>
    <w:rsid w:val="00641C8E"/>
    <w:rsid w:val="006420EC"/>
    <w:rsid w:val="00642982"/>
    <w:rsid w:val="006443B6"/>
    <w:rsid w:val="00644507"/>
    <w:rsid w:val="0064471E"/>
    <w:rsid w:val="00644A42"/>
    <w:rsid w:val="00644E2E"/>
    <w:rsid w:val="00645E7B"/>
    <w:rsid w:val="00646612"/>
    <w:rsid w:val="00646A30"/>
    <w:rsid w:val="00646C71"/>
    <w:rsid w:val="00646E1F"/>
    <w:rsid w:val="00647D0F"/>
    <w:rsid w:val="0065054F"/>
    <w:rsid w:val="00650894"/>
    <w:rsid w:val="006516F1"/>
    <w:rsid w:val="006521EA"/>
    <w:rsid w:val="006521F4"/>
    <w:rsid w:val="00652BF8"/>
    <w:rsid w:val="006530AF"/>
    <w:rsid w:val="00653148"/>
    <w:rsid w:val="0065600C"/>
    <w:rsid w:val="00657E5C"/>
    <w:rsid w:val="006609AA"/>
    <w:rsid w:val="00660B22"/>
    <w:rsid w:val="00660CAD"/>
    <w:rsid w:val="006615FF"/>
    <w:rsid w:val="0066182B"/>
    <w:rsid w:val="0066237B"/>
    <w:rsid w:val="00662647"/>
    <w:rsid w:val="00662B66"/>
    <w:rsid w:val="0066312E"/>
    <w:rsid w:val="0066348A"/>
    <w:rsid w:val="00663667"/>
    <w:rsid w:val="006638AB"/>
    <w:rsid w:val="0066478D"/>
    <w:rsid w:val="0066495E"/>
    <w:rsid w:val="00664C58"/>
    <w:rsid w:val="0066528F"/>
    <w:rsid w:val="0066535F"/>
    <w:rsid w:val="00665B48"/>
    <w:rsid w:val="00665C23"/>
    <w:rsid w:val="00665C78"/>
    <w:rsid w:val="00665D48"/>
    <w:rsid w:val="006664E3"/>
    <w:rsid w:val="00670380"/>
    <w:rsid w:val="00670B88"/>
    <w:rsid w:val="00671420"/>
    <w:rsid w:val="00671CAE"/>
    <w:rsid w:val="006722AF"/>
    <w:rsid w:val="00672BCD"/>
    <w:rsid w:val="00672E07"/>
    <w:rsid w:val="00672E2C"/>
    <w:rsid w:val="006732E8"/>
    <w:rsid w:val="006738AD"/>
    <w:rsid w:val="0067402D"/>
    <w:rsid w:val="00674793"/>
    <w:rsid w:val="006749DD"/>
    <w:rsid w:val="00674C31"/>
    <w:rsid w:val="00674CD5"/>
    <w:rsid w:val="00674EEE"/>
    <w:rsid w:val="00675B41"/>
    <w:rsid w:val="00675E18"/>
    <w:rsid w:val="00676AA1"/>
    <w:rsid w:val="006772C3"/>
    <w:rsid w:val="00677B79"/>
    <w:rsid w:val="00677C15"/>
    <w:rsid w:val="00680156"/>
    <w:rsid w:val="00680AB9"/>
    <w:rsid w:val="00680F19"/>
    <w:rsid w:val="00680F1E"/>
    <w:rsid w:val="00681B6D"/>
    <w:rsid w:val="00681E4F"/>
    <w:rsid w:val="0068213C"/>
    <w:rsid w:val="006832F8"/>
    <w:rsid w:val="006833BF"/>
    <w:rsid w:val="00683611"/>
    <w:rsid w:val="00683845"/>
    <w:rsid w:val="00683C10"/>
    <w:rsid w:val="006841AB"/>
    <w:rsid w:val="0068471A"/>
    <w:rsid w:val="00684A1A"/>
    <w:rsid w:val="006851B6"/>
    <w:rsid w:val="00685482"/>
    <w:rsid w:val="006858D1"/>
    <w:rsid w:val="0068680F"/>
    <w:rsid w:val="006901AD"/>
    <w:rsid w:val="00690AA2"/>
    <w:rsid w:val="00690D7C"/>
    <w:rsid w:val="006919C6"/>
    <w:rsid w:val="00691CC0"/>
    <w:rsid w:val="00691E8F"/>
    <w:rsid w:val="006925CC"/>
    <w:rsid w:val="00692A11"/>
    <w:rsid w:val="00692EB1"/>
    <w:rsid w:val="006930FF"/>
    <w:rsid w:val="0069324B"/>
    <w:rsid w:val="0069405A"/>
    <w:rsid w:val="00694398"/>
    <w:rsid w:val="00694DED"/>
    <w:rsid w:val="00695A59"/>
    <w:rsid w:val="00696462"/>
    <w:rsid w:val="00696A27"/>
    <w:rsid w:val="006973CE"/>
    <w:rsid w:val="00697A59"/>
    <w:rsid w:val="00697DB0"/>
    <w:rsid w:val="006A037C"/>
    <w:rsid w:val="006A188A"/>
    <w:rsid w:val="006A1C7D"/>
    <w:rsid w:val="006A1D20"/>
    <w:rsid w:val="006A2825"/>
    <w:rsid w:val="006A378F"/>
    <w:rsid w:val="006A455C"/>
    <w:rsid w:val="006A4AEA"/>
    <w:rsid w:val="006A4E2F"/>
    <w:rsid w:val="006A59A3"/>
    <w:rsid w:val="006A6828"/>
    <w:rsid w:val="006A68DA"/>
    <w:rsid w:val="006A6E6E"/>
    <w:rsid w:val="006A7199"/>
    <w:rsid w:val="006A7F37"/>
    <w:rsid w:val="006B0C7C"/>
    <w:rsid w:val="006B0F4C"/>
    <w:rsid w:val="006B12BF"/>
    <w:rsid w:val="006B16A2"/>
    <w:rsid w:val="006B1A6C"/>
    <w:rsid w:val="006B1DC9"/>
    <w:rsid w:val="006B205C"/>
    <w:rsid w:val="006B2526"/>
    <w:rsid w:val="006B2728"/>
    <w:rsid w:val="006B2F28"/>
    <w:rsid w:val="006B2FE3"/>
    <w:rsid w:val="006B39D3"/>
    <w:rsid w:val="006B3B29"/>
    <w:rsid w:val="006B3BB2"/>
    <w:rsid w:val="006B4201"/>
    <w:rsid w:val="006B4211"/>
    <w:rsid w:val="006B4413"/>
    <w:rsid w:val="006B46A4"/>
    <w:rsid w:val="006B5461"/>
    <w:rsid w:val="006B555D"/>
    <w:rsid w:val="006B559D"/>
    <w:rsid w:val="006B5E72"/>
    <w:rsid w:val="006B5EF0"/>
    <w:rsid w:val="006B6C14"/>
    <w:rsid w:val="006B7138"/>
    <w:rsid w:val="006B7A7D"/>
    <w:rsid w:val="006B7BCE"/>
    <w:rsid w:val="006B7C7B"/>
    <w:rsid w:val="006C06B7"/>
    <w:rsid w:val="006C0D25"/>
    <w:rsid w:val="006C19E6"/>
    <w:rsid w:val="006C1F98"/>
    <w:rsid w:val="006C2737"/>
    <w:rsid w:val="006C2E9A"/>
    <w:rsid w:val="006C3005"/>
    <w:rsid w:val="006C33F9"/>
    <w:rsid w:val="006C3B10"/>
    <w:rsid w:val="006C3C1F"/>
    <w:rsid w:val="006C4101"/>
    <w:rsid w:val="006C45C0"/>
    <w:rsid w:val="006C50AD"/>
    <w:rsid w:val="006C53C1"/>
    <w:rsid w:val="006C54F2"/>
    <w:rsid w:val="006C5536"/>
    <w:rsid w:val="006C55AA"/>
    <w:rsid w:val="006C696F"/>
    <w:rsid w:val="006C6990"/>
    <w:rsid w:val="006C748D"/>
    <w:rsid w:val="006D02E3"/>
    <w:rsid w:val="006D03AB"/>
    <w:rsid w:val="006D08BD"/>
    <w:rsid w:val="006D0A8B"/>
    <w:rsid w:val="006D0A9B"/>
    <w:rsid w:val="006D0BF0"/>
    <w:rsid w:val="006D0DFE"/>
    <w:rsid w:val="006D1310"/>
    <w:rsid w:val="006D2175"/>
    <w:rsid w:val="006D24F5"/>
    <w:rsid w:val="006D266D"/>
    <w:rsid w:val="006D2809"/>
    <w:rsid w:val="006D28A0"/>
    <w:rsid w:val="006D291D"/>
    <w:rsid w:val="006D2BBE"/>
    <w:rsid w:val="006D2F54"/>
    <w:rsid w:val="006D325B"/>
    <w:rsid w:val="006D3810"/>
    <w:rsid w:val="006D3B71"/>
    <w:rsid w:val="006D3E7A"/>
    <w:rsid w:val="006D415F"/>
    <w:rsid w:val="006D44CA"/>
    <w:rsid w:val="006D4C82"/>
    <w:rsid w:val="006D4CF2"/>
    <w:rsid w:val="006D54FB"/>
    <w:rsid w:val="006D55BC"/>
    <w:rsid w:val="006D570B"/>
    <w:rsid w:val="006D5A60"/>
    <w:rsid w:val="006D5D04"/>
    <w:rsid w:val="006D5DC4"/>
    <w:rsid w:val="006D5E00"/>
    <w:rsid w:val="006D5E74"/>
    <w:rsid w:val="006D6355"/>
    <w:rsid w:val="006D6825"/>
    <w:rsid w:val="006D6887"/>
    <w:rsid w:val="006D68A7"/>
    <w:rsid w:val="006D690E"/>
    <w:rsid w:val="006D6E39"/>
    <w:rsid w:val="006D70AA"/>
    <w:rsid w:val="006D7EA4"/>
    <w:rsid w:val="006E07BE"/>
    <w:rsid w:val="006E090C"/>
    <w:rsid w:val="006E137F"/>
    <w:rsid w:val="006E2CE7"/>
    <w:rsid w:val="006E2FDF"/>
    <w:rsid w:val="006E336D"/>
    <w:rsid w:val="006E4397"/>
    <w:rsid w:val="006E4575"/>
    <w:rsid w:val="006E45E8"/>
    <w:rsid w:val="006E476C"/>
    <w:rsid w:val="006E4C7C"/>
    <w:rsid w:val="006E4DBA"/>
    <w:rsid w:val="006E5BDE"/>
    <w:rsid w:val="006E5CE8"/>
    <w:rsid w:val="006E5E6D"/>
    <w:rsid w:val="006E6035"/>
    <w:rsid w:val="006E60DC"/>
    <w:rsid w:val="006E6AD3"/>
    <w:rsid w:val="006E7238"/>
    <w:rsid w:val="006E739C"/>
    <w:rsid w:val="006E7564"/>
    <w:rsid w:val="006E7583"/>
    <w:rsid w:val="006E75ED"/>
    <w:rsid w:val="006E7CD9"/>
    <w:rsid w:val="006F039E"/>
    <w:rsid w:val="006F07D7"/>
    <w:rsid w:val="006F0A47"/>
    <w:rsid w:val="006F0C3D"/>
    <w:rsid w:val="006F1542"/>
    <w:rsid w:val="006F260F"/>
    <w:rsid w:val="006F2B34"/>
    <w:rsid w:val="006F30E4"/>
    <w:rsid w:val="006F355B"/>
    <w:rsid w:val="006F357E"/>
    <w:rsid w:val="006F3A62"/>
    <w:rsid w:val="006F448C"/>
    <w:rsid w:val="006F48CB"/>
    <w:rsid w:val="006F4F5A"/>
    <w:rsid w:val="006F64B8"/>
    <w:rsid w:val="006F68F4"/>
    <w:rsid w:val="006F714F"/>
    <w:rsid w:val="006F76E3"/>
    <w:rsid w:val="006F7858"/>
    <w:rsid w:val="007005D1"/>
    <w:rsid w:val="0070080F"/>
    <w:rsid w:val="007009D0"/>
    <w:rsid w:val="00702961"/>
    <w:rsid w:val="007031FD"/>
    <w:rsid w:val="00703772"/>
    <w:rsid w:val="007041B3"/>
    <w:rsid w:val="00704292"/>
    <w:rsid w:val="00704A73"/>
    <w:rsid w:val="0070595F"/>
    <w:rsid w:val="00706343"/>
    <w:rsid w:val="00706555"/>
    <w:rsid w:val="007066E0"/>
    <w:rsid w:val="007069FF"/>
    <w:rsid w:val="007072B6"/>
    <w:rsid w:val="007072DF"/>
    <w:rsid w:val="00710288"/>
    <w:rsid w:val="0071089B"/>
    <w:rsid w:val="00710A7A"/>
    <w:rsid w:val="00710E05"/>
    <w:rsid w:val="00710E38"/>
    <w:rsid w:val="007116CC"/>
    <w:rsid w:val="00711F93"/>
    <w:rsid w:val="00712184"/>
    <w:rsid w:val="0071232E"/>
    <w:rsid w:val="007125EE"/>
    <w:rsid w:val="00712642"/>
    <w:rsid w:val="007129D6"/>
    <w:rsid w:val="00713AD5"/>
    <w:rsid w:val="00714E1E"/>
    <w:rsid w:val="0071517C"/>
    <w:rsid w:val="00715973"/>
    <w:rsid w:val="00715AB9"/>
    <w:rsid w:val="00715AC2"/>
    <w:rsid w:val="00715B2A"/>
    <w:rsid w:val="00715EDA"/>
    <w:rsid w:val="007202EA"/>
    <w:rsid w:val="00720904"/>
    <w:rsid w:val="00720B52"/>
    <w:rsid w:val="00720E6D"/>
    <w:rsid w:val="00721E52"/>
    <w:rsid w:val="0072243C"/>
    <w:rsid w:val="007224EA"/>
    <w:rsid w:val="00722A2A"/>
    <w:rsid w:val="00722B9F"/>
    <w:rsid w:val="0072372C"/>
    <w:rsid w:val="007241C5"/>
    <w:rsid w:val="00726557"/>
    <w:rsid w:val="00726844"/>
    <w:rsid w:val="007269CC"/>
    <w:rsid w:val="00726A3D"/>
    <w:rsid w:val="00726FFB"/>
    <w:rsid w:val="00727287"/>
    <w:rsid w:val="007272D4"/>
    <w:rsid w:val="00727963"/>
    <w:rsid w:val="00727DDF"/>
    <w:rsid w:val="0073019F"/>
    <w:rsid w:val="00730D8C"/>
    <w:rsid w:val="00730EE0"/>
    <w:rsid w:val="0073121C"/>
    <w:rsid w:val="00731528"/>
    <w:rsid w:val="00731872"/>
    <w:rsid w:val="0073191B"/>
    <w:rsid w:val="00732612"/>
    <w:rsid w:val="007326BD"/>
    <w:rsid w:val="00732D7B"/>
    <w:rsid w:val="00734616"/>
    <w:rsid w:val="00734C83"/>
    <w:rsid w:val="00734DDA"/>
    <w:rsid w:val="00735B5D"/>
    <w:rsid w:val="0073600F"/>
    <w:rsid w:val="0073683B"/>
    <w:rsid w:val="00736868"/>
    <w:rsid w:val="007374A5"/>
    <w:rsid w:val="007377E6"/>
    <w:rsid w:val="00737FCB"/>
    <w:rsid w:val="00740060"/>
    <w:rsid w:val="00740204"/>
    <w:rsid w:val="0074035A"/>
    <w:rsid w:val="00740A8A"/>
    <w:rsid w:val="00741510"/>
    <w:rsid w:val="007418A6"/>
    <w:rsid w:val="0074225D"/>
    <w:rsid w:val="00742265"/>
    <w:rsid w:val="00742D0F"/>
    <w:rsid w:val="00742EB0"/>
    <w:rsid w:val="00743B21"/>
    <w:rsid w:val="00743BCC"/>
    <w:rsid w:val="00743D7D"/>
    <w:rsid w:val="00744AD7"/>
    <w:rsid w:val="00745321"/>
    <w:rsid w:val="007462BE"/>
    <w:rsid w:val="0074699A"/>
    <w:rsid w:val="00746F8A"/>
    <w:rsid w:val="0074714A"/>
    <w:rsid w:val="00747426"/>
    <w:rsid w:val="00750839"/>
    <w:rsid w:val="00750978"/>
    <w:rsid w:val="00750AEE"/>
    <w:rsid w:val="00750CDE"/>
    <w:rsid w:val="00751624"/>
    <w:rsid w:val="00752003"/>
    <w:rsid w:val="00752693"/>
    <w:rsid w:val="00753385"/>
    <w:rsid w:val="00753DDA"/>
    <w:rsid w:val="00754416"/>
    <w:rsid w:val="00754A3E"/>
    <w:rsid w:val="007568AC"/>
    <w:rsid w:val="00756CBB"/>
    <w:rsid w:val="00756EC3"/>
    <w:rsid w:val="0075706D"/>
    <w:rsid w:val="00757565"/>
    <w:rsid w:val="00760040"/>
    <w:rsid w:val="00760693"/>
    <w:rsid w:val="007606C0"/>
    <w:rsid w:val="007608F1"/>
    <w:rsid w:val="00760BCB"/>
    <w:rsid w:val="00760F7F"/>
    <w:rsid w:val="00761A50"/>
    <w:rsid w:val="00761D0D"/>
    <w:rsid w:val="0076310E"/>
    <w:rsid w:val="007631D2"/>
    <w:rsid w:val="00764161"/>
    <w:rsid w:val="00764302"/>
    <w:rsid w:val="00764451"/>
    <w:rsid w:val="00765B6E"/>
    <w:rsid w:val="00765C0D"/>
    <w:rsid w:val="00765EAB"/>
    <w:rsid w:val="0076694F"/>
    <w:rsid w:val="007669E8"/>
    <w:rsid w:val="0076752E"/>
    <w:rsid w:val="0077052F"/>
    <w:rsid w:val="00770BBA"/>
    <w:rsid w:val="00773DEE"/>
    <w:rsid w:val="00774EDC"/>
    <w:rsid w:val="00775A48"/>
    <w:rsid w:val="0077611D"/>
    <w:rsid w:val="00776E8F"/>
    <w:rsid w:val="007779E8"/>
    <w:rsid w:val="00781393"/>
    <w:rsid w:val="00782359"/>
    <w:rsid w:val="007827A6"/>
    <w:rsid w:val="007828F0"/>
    <w:rsid w:val="00782DF5"/>
    <w:rsid w:val="0078309A"/>
    <w:rsid w:val="00783138"/>
    <w:rsid w:val="00783192"/>
    <w:rsid w:val="007838BA"/>
    <w:rsid w:val="00783B04"/>
    <w:rsid w:val="00783BF0"/>
    <w:rsid w:val="00783D1A"/>
    <w:rsid w:val="00783E87"/>
    <w:rsid w:val="007844E1"/>
    <w:rsid w:val="007846D7"/>
    <w:rsid w:val="007854F5"/>
    <w:rsid w:val="00785A22"/>
    <w:rsid w:val="0078689A"/>
    <w:rsid w:val="007877AD"/>
    <w:rsid w:val="00790091"/>
    <w:rsid w:val="00790291"/>
    <w:rsid w:val="00790855"/>
    <w:rsid w:val="007909BE"/>
    <w:rsid w:val="00791748"/>
    <w:rsid w:val="00791797"/>
    <w:rsid w:val="00792798"/>
    <w:rsid w:val="00793310"/>
    <w:rsid w:val="00793915"/>
    <w:rsid w:val="00794D85"/>
    <w:rsid w:val="0079593F"/>
    <w:rsid w:val="0079595E"/>
    <w:rsid w:val="0079627B"/>
    <w:rsid w:val="007972FB"/>
    <w:rsid w:val="0079771B"/>
    <w:rsid w:val="00797B2C"/>
    <w:rsid w:val="00797C82"/>
    <w:rsid w:val="007A010D"/>
    <w:rsid w:val="007A01E7"/>
    <w:rsid w:val="007A0405"/>
    <w:rsid w:val="007A069F"/>
    <w:rsid w:val="007A0F3E"/>
    <w:rsid w:val="007A1046"/>
    <w:rsid w:val="007A180E"/>
    <w:rsid w:val="007A195B"/>
    <w:rsid w:val="007A1FF6"/>
    <w:rsid w:val="007A2276"/>
    <w:rsid w:val="007A2A1A"/>
    <w:rsid w:val="007A2D67"/>
    <w:rsid w:val="007A2D92"/>
    <w:rsid w:val="007A2E59"/>
    <w:rsid w:val="007A373F"/>
    <w:rsid w:val="007A3876"/>
    <w:rsid w:val="007A52E0"/>
    <w:rsid w:val="007A69A8"/>
    <w:rsid w:val="007A6BFE"/>
    <w:rsid w:val="007A705B"/>
    <w:rsid w:val="007A706C"/>
    <w:rsid w:val="007A7506"/>
    <w:rsid w:val="007A7935"/>
    <w:rsid w:val="007A7D1A"/>
    <w:rsid w:val="007A7FF3"/>
    <w:rsid w:val="007B01C6"/>
    <w:rsid w:val="007B07C1"/>
    <w:rsid w:val="007B122F"/>
    <w:rsid w:val="007B156D"/>
    <w:rsid w:val="007B16C1"/>
    <w:rsid w:val="007B18AF"/>
    <w:rsid w:val="007B1B18"/>
    <w:rsid w:val="007B2195"/>
    <w:rsid w:val="007B28BF"/>
    <w:rsid w:val="007B2BAA"/>
    <w:rsid w:val="007B3284"/>
    <w:rsid w:val="007B32D0"/>
    <w:rsid w:val="007B3D42"/>
    <w:rsid w:val="007B3EE9"/>
    <w:rsid w:val="007B40D5"/>
    <w:rsid w:val="007B4568"/>
    <w:rsid w:val="007B45D1"/>
    <w:rsid w:val="007B4E83"/>
    <w:rsid w:val="007B4FCC"/>
    <w:rsid w:val="007B5157"/>
    <w:rsid w:val="007B559F"/>
    <w:rsid w:val="007B670C"/>
    <w:rsid w:val="007B7D80"/>
    <w:rsid w:val="007C1843"/>
    <w:rsid w:val="007C1DBF"/>
    <w:rsid w:val="007C2A5D"/>
    <w:rsid w:val="007C3489"/>
    <w:rsid w:val="007C34F9"/>
    <w:rsid w:val="007C3C02"/>
    <w:rsid w:val="007C4201"/>
    <w:rsid w:val="007C444E"/>
    <w:rsid w:val="007C4C26"/>
    <w:rsid w:val="007C52B9"/>
    <w:rsid w:val="007C59FE"/>
    <w:rsid w:val="007C5FA0"/>
    <w:rsid w:val="007C6949"/>
    <w:rsid w:val="007C7257"/>
    <w:rsid w:val="007C742E"/>
    <w:rsid w:val="007C7D94"/>
    <w:rsid w:val="007D0246"/>
    <w:rsid w:val="007D0C84"/>
    <w:rsid w:val="007D0D82"/>
    <w:rsid w:val="007D1926"/>
    <w:rsid w:val="007D1AC4"/>
    <w:rsid w:val="007D1EC8"/>
    <w:rsid w:val="007D2066"/>
    <w:rsid w:val="007D2525"/>
    <w:rsid w:val="007D2BD6"/>
    <w:rsid w:val="007D2D50"/>
    <w:rsid w:val="007D3EC5"/>
    <w:rsid w:val="007D4B87"/>
    <w:rsid w:val="007D4DA5"/>
    <w:rsid w:val="007D5905"/>
    <w:rsid w:val="007D5C26"/>
    <w:rsid w:val="007D5D77"/>
    <w:rsid w:val="007D7113"/>
    <w:rsid w:val="007D7157"/>
    <w:rsid w:val="007D729E"/>
    <w:rsid w:val="007D78D2"/>
    <w:rsid w:val="007D7DF6"/>
    <w:rsid w:val="007D7EF8"/>
    <w:rsid w:val="007E02D9"/>
    <w:rsid w:val="007E030B"/>
    <w:rsid w:val="007E0A6B"/>
    <w:rsid w:val="007E0B5E"/>
    <w:rsid w:val="007E11F9"/>
    <w:rsid w:val="007E14CA"/>
    <w:rsid w:val="007E3F81"/>
    <w:rsid w:val="007E457F"/>
    <w:rsid w:val="007E48D1"/>
    <w:rsid w:val="007E4989"/>
    <w:rsid w:val="007E5275"/>
    <w:rsid w:val="007E54C8"/>
    <w:rsid w:val="007E645A"/>
    <w:rsid w:val="007E6961"/>
    <w:rsid w:val="007E6B3D"/>
    <w:rsid w:val="007E6F6A"/>
    <w:rsid w:val="007E7400"/>
    <w:rsid w:val="007E74C6"/>
    <w:rsid w:val="007E76EE"/>
    <w:rsid w:val="007E7EA4"/>
    <w:rsid w:val="007F06B0"/>
    <w:rsid w:val="007F0826"/>
    <w:rsid w:val="007F10E6"/>
    <w:rsid w:val="007F1EDC"/>
    <w:rsid w:val="007F2C9D"/>
    <w:rsid w:val="007F30BC"/>
    <w:rsid w:val="007F34D3"/>
    <w:rsid w:val="007F368A"/>
    <w:rsid w:val="007F3794"/>
    <w:rsid w:val="007F4268"/>
    <w:rsid w:val="007F464A"/>
    <w:rsid w:val="007F54DC"/>
    <w:rsid w:val="007F5876"/>
    <w:rsid w:val="007F6C74"/>
    <w:rsid w:val="007F7188"/>
    <w:rsid w:val="007F7293"/>
    <w:rsid w:val="007F7D2C"/>
    <w:rsid w:val="007F7E67"/>
    <w:rsid w:val="008005A8"/>
    <w:rsid w:val="008013F3"/>
    <w:rsid w:val="0080144B"/>
    <w:rsid w:val="0080187C"/>
    <w:rsid w:val="00802A9E"/>
    <w:rsid w:val="00802DC1"/>
    <w:rsid w:val="0080309F"/>
    <w:rsid w:val="00803400"/>
    <w:rsid w:val="00803A85"/>
    <w:rsid w:val="00803B3A"/>
    <w:rsid w:val="0080404E"/>
    <w:rsid w:val="00804AE3"/>
    <w:rsid w:val="00804C20"/>
    <w:rsid w:val="0080577A"/>
    <w:rsid w:val="008058B4"/>
    <w:rsid w:val="00805C7A"/>
    <w:rsid w:val="00806006"/>
    <w:rsid w:val="00806D38"/>
    <w:rsid w:val="0080788D"/>
    <w:rsid w:val="0081014C"/>
    <w:rsid w:val="00810537"/>
    <w:rsid w:val="00811B5F"/>
    <w:rsid w:val="008136F6"/>
    <w:rsid w:val="008138AF"/>
    <w:rsid w:val="00813DE4"/>
    <w:rsid w:val="00814336"/>
    <w:rsid w:val="008143F2"/>
    <w:rsid w:val="00814E01"/>
    <w:rsid w:val="00815293"/>
    <w:rsid w:val="00815709"/>
    <w:rsid w:val="00815A35"/>
    <w:rsid w:val="00815FEA"/>
    <w:rsid w:val="008160CA"/>
    <w:rsid w:val="00816EDE"/>
    <w:rsid w:val="00817724"/>
    <w:rsid w:val="00817E0D"/>
    <w:rsid w:val="00821065"/>
    <w:rsid w:val="008219FB"/>
    <w:rsid w:val="00821D20"/>
    <w:rsid w:val="008228EF"/>
    <w:rsid w:val="00822D22"/>
    <w:rsid w:val="008234D4"/>
    <w:rsid w:val="00823B72"/>
    <w:rsid w:val="00824878"/>
    <w:rsid w:val="008248AA"/>
    <w:rsid w:val="00824CD4"/>
    <w:rsid w:val="0082511B"/>
    <w:rsid w:val="0082534A"/>
    <w:rsid w:val="00827E53"/>
    <w:rsid w:val="00827F14"/>
    <w:rsid w:val="008304ED"/>
    <w:rsid w:val="00830584"/>
    <w:rsid w:val="008307BB"/>
    <w:rsid w:val="008307D8"/>
    <w:rsid w:val="00830F80"/>
    <w:rsid w:val="00830FC8"/>
    <w:rsid w:val="00831535"/>
    <w:rsid w:val="00831A5E"/>
    <w:rsid w:val="00831ACD"/>
    <w:rsid w:val="00831CF0"/>
    <w:rsid w:val="00831FB1"/>
    <w:rsid w:val="00832695"/>
    <w:rsid w:val="00832767"/>
    <w:rsid w:val="00832E58"/>
    <w:rsid w:val="008332FA"/>
    <w:rsid w:val="008337E6"/>
    <w:rsid w:val="00834505"/>
    <w:rsid w:val="00834B05"/>
    <w:rsid w:val="00835704"/>
    <w:rsid w:val="00835E16"/>
    <w:rsid w:val="008364F4"/>
    <w:rsid w:val="008365D7"/>
    <w:rsid w:val="00836BDD"/>
    <w:rsid w:val="00836C35"/>
    <w:rsid w:val="00836D90"/>
    <w:rsid w:val="00836EF6"/>
    <w:rsid w:val="008372F0"/>
    <w:rsid w:val="00837701"/>
    <w:rsid w:val="0083793D"/>
    <w:rsid w:val="00837949"/>
    <w:rsid w:val="00840127"/>
    <w:rsid w:val="0084071E"/>
    <w:rsid w:val="00840BD5"/>
    <w:rsid w:val="00841404"/>
    <w:rsid w:val="00841B48"/>
    <w:rsid w:val="00842653"/>
    <w:rsid w:val="00842C6E"/>
    <w:rsid w:val="008436FC"/>
    <w:rsid w:val="008438AF"/>
    <w:rsid w:val="00843DE7"/>
    <w:rsid w:val="00843E4D"/>
    <w:rsid w:val="008448E1"/>
    <w:rsid w:val="00844CC5"/>
    <w:rsid w:val="0084591A"/>
    <w:rsid w:val="0084593C"/>
    <w:rsid w:val="00846520"/>
    <w:rsid w:val="00847293"/>
    <w:rsid w:val="00847C39"/>
    <w:rsid w:val="008506DC"/>
    <w:rsid w:val="008515C9"/>
    <w:rsid w:val="0085168D"/>
    <w:rsid w:val="00851797"/>
    <w:rsid w:val="008526F1"/>
    <w:rsid w:val="00853A1E"/>
    <w:rsid w:val="00853A53"/>
    <w:rsid w:val="00853FAA"/>
    <w:rsid w:val="00854C78"/>
    <w:rsid w:val="00854E53"/>
    <w:rsid w:val="0085530D"/>
    <w:rsid w:val="0085535D"/>
    <w:rsid w:val="008556D8"/>
    <w:rsid w:val="00855C28"/>
    <w:rsid w:val="008562B2"/>
    <w:rsid w:val="00856821"/>
    <w:rsid w:val="00856EB4"/>
    <w:rsid w:val="008570F4"/>
    <w:rsid w:val="00857D86"/>
    <w:rsid w:val="00857EE8"/>
    <w:rsid w:val="00860CD4"/>
    <w:rsid w:val="00860D02"/>
    <w:rsid w:val="00861819"/>
    <w:rsid w:val="008618C9"/>
    <w:rsid w:val="00861C52"/>
    <w:rsid w:val="00861FCF"/>
    <w:rsid w:val="00862FB6"/>
    <w:rsid w:val="008631B6"/>
    <w:rsid w:val="0086325F"/>
    <w:rsid w:val="00863595"/>
    <w:rsid w:val="00863ED5"/>
    <w:rsid w:val="00864447"/>
    <w:rsid w:val="0086448D"/>
    <w:rsid w:val="00864571"/>
    <w:rsid w:val="00864903"/>
    <w:rsid w:val="00865238"/>
    <w:rsid w:val="00865A17"/>
    <w:rsid w:val="00867BF1"/>
    <w:rsid w:val="00870AD7"/>
    <w:rsid w:val="008714D0"/>
    <w:rsid w:val="008714FE"/>
    <w:rsid w:val="008715C7"/>
    <w:rsid w:val="0087182D"/>
    <w:rsid w:val="00871DC2"/>
    <w:rsid w:val="008725D3"/>
    <w:rsid w:val="00872775"/>
    <w:rsid w:val="0087278A"/>
    <w:rsid w:val="00872BE8"/>
    <w:rsid w:val="00873019"/>
    <w:rsid w:val="00873274"/>
    <w:rsid w:val="008738C4"/>
    <w:rsid w:val="00875AB2"/>
    <w:rsid w:val="00875E7E"/>
    <w:rsid w:val="00876185"/>
    <w:rsid w:val="0087665D"/>
    <w:rsid w:val="00877899"/>
    <w:rsid w:val="00877EA1"/>
    <w:rsid w:val="008803B0"/>
    <w:rsid w:val="00880E31"/>
    <w:rsid w:val="00880E59"/>
    <w:rsid w:val="00881DAA"/>
    <w:rsid w:val="00882350"/>
    <w:rsid w:val="0088262F"/>
    <w:rsid w:val="00883DA1"/>
    <w:rsid w:val="00883DE5"/>
    <w:rsid w:val="0088421D"/>
    <w:rsid w:val="008842A7"/>
    <w:rsid w:val="00885068"/>
    <w:rsid w:val="00885213"/>
    <w:rsid w:val="0088559A"/>
    <w:rsid w:val="00885ADE"/>
    <w:rsid w:val="00885E88"/>
    <w:rsid w:val="00885F2D"/>
    <w:rsid w:val="00887800"/>
    <w:rsid w:val="00887BD9"/>
    <w:rsid w:val="00887CB5"/>
    <w:rsid w:val="00890F77"/>
    <w:rsid w:val="008914ED"/>
    <w:rsid w:val="0089268A"/>
    <w:rsid w:val="00895308"/>
    <w:rsid w:val="008955AC"/>
    <w:rsid w:val="00895C02"/>
    <w:rsid w:val="00895DAD"/>
    <w:rsid w:val="008963EE"/>
    <w:rsid w:val="00896C44"/>
    <w:rsid w:val="008973B9"/>
    <w:rsid w:val="00897A56"/>
    <w:rsid w:val="008A008C"/>
    <w:rsid w:val="008A17AD"/>
    <w:rsid w:val="008A18FC"/>
    <w:rsid w:val="008A30B4"/>
    <w:rsid w:val="008A338B"/>
    <w:rsid w:val="008A44C6"/>
    <w:rsid w:val="008A4E7A"/>
    <w:rsid w:val="008A4FD2"/>
    <w:rsid w:val="008A5256"/>
    <w:rsid w:val="008A5843"/>
    <w:rsid w:val="008A595A"/>
    <w:rsid w:val="008A5B7F"/>
    <w:rsid w:val="008A5BBB"/>
    <w:rsid w:val="008A5F9C"/>
    <w:rsid w:val="008A62C5"/>
    <w:rsid w:val="008A667D"/>
    <w:rsid w:val="008A684A"/>
    <w:rsid w:val="008A684B"/>
    <w:rsid w:val="008A75EB"/>
    <w:rsid w:val="008A79FB"/>
    <w:rsid w:val="008A7D60"/>
    <w:rsid w:val="008B0832"/>
    <w:rsid w:val="008B1489"/>
    <w:rsid w:val="008B1504"/>
    <w:rsid w:val="008B1C5E"/>
    <w:rsid w:val="008B1D54"/>
    <w:rsid w:val="008B1DF7"/>
    <w:rsid w:val="008B20BE"/>
    <w:rsid w:val="008B20F6"/>
    <w:rsid w:val="008B286A"/>
    <w:rsid w:val="008B2ED5"/>
    <w:rsid w:val="008B2FF7"/>
    <w:rsid w:val="008B3C90"/>
    <w:rsid w:val="008B40D9"/>
    <w:rsid w:val="008B42DD"/>
    <w:rsid w:val="008B54CF"/>
    <w:rsid w:val="008B5523"/>
    <w:rsid w:val="008B57C6"/>
    <w:rsid w:val="008B5B47"/>
    <w:rsid w:val="008B625F"/>
    <w:rsid w:val="008B63BD"/>
    <w:rsid w:val="008B6616"/>
    <w:rsid w:val="008B661A"/>
    <w:rsid w:val="008B7398"/>
    <w:rsid w:val="008B7546"/>
    <w:rsid w:val="008B7DCD"/>
    <w:rsid w:val="008C0341"/>
    <w:rsid w:val="008C04A7"/>
    <w:rsid w:val="008C0AB2"/>
    <w:rsid w:val="008C0C98"/>
    <w:rsid w:val="008C1273"/>
    <w:rsid w:val="008C17ED"/>
    <w:rsid w:val="008C1FE9"/>
    <w:rsid w:val="008C2029"/>
    <w:rsid w:val="008C23C1"/>
    <w:rsid w:val="008C265F"/>
    <w:rsid w:val="008C26F3"/>
    <w:rsid w:val="008C2795"/>
    <w:rsid w:val="008C30BF"/>
    <w:rsid w:val="008C361B"/>
    <w:rsid w:val="008C3AB7"/>
    <w:rsid w:val="008C46BC"/>
    <w:rsid w:val="008C480B"/>
    <w:rsid w:val="008C5C5E"/>
    <w:rsid w:val="008C622C"/>
    <w:rsid w:val="008C635D"/>
    <w:rsid w:val="008C6B4C"/>
    <w:rsid w:val="008C6C18"/>
    <w:rsid w:val="008C6DD9"/>
    <w:rsid w:val="008C7216"/>
    <w:rsid w:val="008D0166"/>
    <w:rsid w:val="008D0A10"/>
    <w:rsid w:val="008D0EE1"/>
    <w:rsid w:val="008D148F"/>
    <w:rsid w:val="008D1FAD"/>
    <w:rsid w:val="008D2675"/>
    <w:rsid w:val="008D2899"/>
    <w:rsid w:val="008D3301"/>
    <w:rsid w:val="008D388A"/>
    <w:rsid w:val="008D3EEB"/>
    <w:rsid w:val="008D44D3"/>
    <w:rsid w:val="008D475E"/>
    <w:rsid w:val="008D4D0C"/>
    <w:rsid w:val="008D5AA7"/>
    <w:rsid w:val="008D6CBB"/>
    <w:rsid w:val="008D70D0"/>
    <w:rsid w:val="008D7F79"/>
    <w:rsid w:val="008D7F8B"/>
    <w:rsid w:val="008E07CB"/>
    <w:rsid w:val="008E0A1F"/>
    <w:rsid w:val="008E0AE4"/>
    <w:rsid w:val="008E1730"/>
    <w:rsid w:val="008E18CC"/>
    <w:rsid w:val="008E1DED"/>
    <w:rsid w:val="008E2777"/>
    <w:rsid w:val="008E2CAF"/>
    <w:rsid w:val="008E2F52"/>
    <w:rsid w:val="008E32ED"/>
    <w:rsid w:val="008E335A"/>
    <w:rsid w:val="008E3409"/>
    <w:rsid w:val="008E4169"/>
    <w:rsid w:val="008E4182"/>
    <w:rsid w:val="008E43A7"/>
    <w:rsid w:val="008E4ABA"/>
    <w:rsid w:val="008E4B7F"/>
    <w:rsid w:val="008E4F39"/>
    <w:rsid w:val="008E5642"/>
    <w:rsid w:val="008E62A2"/>
    <w:rsid w:val="008E641E"/>
    <w:rsid w:val="008E68F7"/>
    <w:rsid w:val="008E7537"/>
    <w:rsid w:val="008E76CA"/>
    <w:rsid w:val="008E7FC3"/>
    <w:rsid w:val="008F028C"/>
    <w:rsid w:val="008F0858"/>
    <w:rsid w:val="008F0EB2"/>
    <w:rsid w:val="008F1ADB"/>
    <w:rsid w:val="008F245C"/>
    <w:rsid w:val="008F3431"/>
    <w:rsid w:val="008F357B"/>
    <w:rsid w:val="008F42A9"/>
    <w:rsid w:val="008F482E"/>
    <w:rsid w:val="008F5629"/>
    <w:rsid w:val="008F579E"/>
    <w:rsid w:val="008F60B0"/>
    <w:rsid w:val="008F69CC"/>
    <w:rsid w:val="008F7283"/>
    <w:rsid w:val="008F7437"/>
    <w:rsid w:val="008F7514"/>
    <w:rsid w:val="008F798C"/>
    <w:rsid w:val="008F7CBE"/>
    <w:rsid w:val="008F7D4B"/>
    <w:rsid w:val="009004BA"/>
    <w:rsid w:val="00901331"/>
    <w:rsid w:val="00902238"/>
    <w:rsid w:val="009037D2"/>
    <w:rsid w:val="0090441B"/>
    <w:rsid w:val="0090475A"/>
    <w:rsid w:val="0090489A"/>
    <w:rsid w:val="0090493E"/>
    <w:rsid w:val="00904984"/>
    <w:rsid w:val="00905818"/>
    <w:rsid w:val="00905931"/>
    <w:rsid w:val="00905968"/>
    <w:rsid w:val="00905BC1"/>
    <w:rsid w:val="00906177"/>
    <w:rsid w:val="009062F1"/>
    <w:rsid w:val="00906EAC"/>
    <w:rsid w:val="00907542"/>
    <w:rsid w:val="0090793C"/>
    <w:rsid w:val="00907AE1"/>
    <w:rsid w:val="00907C09"/>
    <w:rsid w:val="00910195"/>
    <w:rsid w:val="009103FB"/>
    <w:rsid w:val="00911C2C"/>
    <w:rsid w:val="009125E8"/>
    <w:rsid w:val="0091296E"/>
    <w:rsid w:val="00912A41"/>
    <w:rsid w:val="00912A6E"/>
    <w:rsid w:val="00913210"/>
    <w:rsid w:val="00913353"/>
    <w:rsid w:val="0091344A"/>
    <w:rsid w:val="00915624"/>
    <w:rsid w:val="00915833"/>
    <w:rsid w:val="00915B55"/>
    <w:rsid w:val="00915FD5"/>
    <w:rsid w:val="0091641B"/>
    <w:rsid w:val="00916792"/>
    <w:rsid w:val="00916C6C"/>
    <w:rsid w:val="00916DF4"/>
    <w:rsid w:val="009172C9"/>
    <w:rsid w:val="009172D9"/>
    <w:rsid w:val="009172E4"/>
    <w:rsid w:val="009178A6"/>
    <w:rsid w:val="0091795A"/>
    <w:rsid w:val="00917A7F"/>
    <w:rsid w:val="00917D08"/>
    <w:rsid w:val="009212D6"/>
    <w:rsid w:val="00921AAF"/>
    <w:rsid w:val="00922057"/>
    <w:rsid w:val="0092279A"/>
    <w:rsid w:val="00922CF5"/>
    <w:rsid w:val="00923399"/>
    <w:rsid w:val="00923709"/>
    <w:rsid w:val="00924962"/>
    <w:rsid w:val="00924A09"/>
    <w:rsid w:val="00924FD8"/>
    <w:rsid w:val="00926A8E"/>
    <w:rsid w:val="00926E91"/>
    <w:rsid w:val="0092749F"/>
    <w:rsid w:val="009279D5"/>
    <w:rsid w:val="00927BEA"/>
    <w:rsid w:val="00930F55"/>
    <w:rsid w:val="009313E1"/>
    <w:rsid w:val="00931914"/>
    <w:rsid w:val="00931F03"/>
    <w:rsid w:val="009325DA"/>
    <w:rsid w:val="00932816"/>
    <w:rsid w:val="00932C4F"/>
    <w:rsid w:val="0093303D"/>
    <w:rsid w:val="00933E29"/>
    <w:rsid w:val="00934329"/>
    <w:rsid w:val="00934762"/>
    <w:rsid w:val="00934AC4"/>
    <w:rsid w:val="00934ADB"/>
    <w:rsid w:val="00935E37"/>
    <w:rsid w:val="00935F30"/>
    <w:rsid w:val="00936CE7"/>
    <w:rsid w:val="00937424"/>
    <w:rsid w:val="00937897"/>
    <w:rsid w:val="00937902"/>
    <w:rsid w:val="00937EE7"/>
    <w:rsid w:val="0094166E"/>
    <w:rsid w:val="009417BA"/>
    <w:rsid w:val="0094192F"/>
    <w:rsid w:val="009419D9"/>
    <w:rsid w:val="00941E2D"/>
    <w:rsid w:val="00941EBC"/>
    <w:rsid w:val="009426FC"/>
    <w:rsid w:val="009429C1"/>
    <w:rsid w:val="00943ACB"/>
    <w:rsid w:val="00944715"/>
    <w:rsid w:val="00944F49"/>
    <w:rsid w:val="009450CB"/>
    <w:rsid w:val="00945590"/>
    <w:rsid w:val="00945640"/>
    <w:rsid w:val="00945902"/>
    <w:rsid w:val="00945BE3"/>
    <w:rsid w:val="00946283"/>
    <w:rsid w:val="00946421"/>
    <w:rsid w:val="0094684C"/>
    <w:rsid w:val="00947D1C"/>
    <w:rsid w:val="00947F08"/>
    <w:rsid w:val="00947F09"/>
    <w:rsid w:val="009506FF"/>
    <w:rsid w:val="00950EDA"/>
    <w:rsid w:val="009511B6"/>
    <w:rsid w:val="009511F5"/>
    <w:rsid w:val="0095175E"/>
    <w:rsid w:val="00951B0E"/>
    <w:rsid w:val="00952024"/>
    <w:rsid w:val="009531D4"/>
    <w:rsid w:val="00953C56"/>
    <w:rsid w:val="00953FD4"/>
    <w:rsid w:val="009541E5"/>
    <w:rsid w:val="0095434F"/>
    <w:rsid w:val="00955557"/>
    <w:rsid w:val="00955C0C"/>
    <w:rsid w:val="00955E24"/>
    <w:rsid w:val="0095648D"/>
    <w:rsid w:val="00957523"/>
    <w:rsid w:val="0095764F"/>
    <w:rsid w:val="0096013A"/>
    <w:rsid w:val="009603FC"/>
    <w:rsid w:val="00960750"/>
    <w:rsid w:val="00961183"/>
    <w:rsid w:val="009611B9"/>
    <w:rsid w:val="00961402"/>
    <w:rsid w:val="0096191F"/>
    <w:rsid w:val="00961FB9"/>
    <w:rsid w:val="00961FE0"/>
    <w:rsid w:val="009625EC"/>
    <w:rsid w:val="00962FAA"/>
    <w:rsid w:val="00963499"/>
    <w:rsid w:val="00963BC5"/>
    <w:rsid w:val="00964CD4"/>
    <w:rsid w:val="00964F3A"/>
    <w:rsid w:val="00965896"/>
    <w:rsid w:val="00965E1A"/>
    <w:rsid w:val="009665A1"/>
    <w:rsid w:val="009665CD"/>
    <w:rsid w:val="0096665E"/>
    <w:rsid w:val="00966AE0"/>
    <w:rsid w:val="00966FE0"/>
    <w:rsid w:val="00970292"/>
    <w:rsid w:val="009719A5"/>
    <w:rsid w:val="00972B3E"/>
    <w:rsid w:val="00972C4E"/>
    <w:rsid w:val="00972F42"/>
    <w:rsid w:val="009730EA"/>
    <w:rsid w:val="0097378E"/>
    <w:rsid w:val="00974AEB"/>
    <w:rsid w:val="00974C3D"/>
    <w:rsid w:val="009759E4"/>
    <w:rsid w:val="00975B2F"/>
    <w:rsid w:val="00975E3C"/>
    <w:rsid w:val="00976845"/>
    <w:rsid w:val="00976965"/>
    <w:rsid w:val="00976DA0"/>
    <w:rsid w:val="009778CD"/>
    <w:rsid w:val="00977AF6"/>
    <w:rsid w:val="00977B2D"/>
    <w:rsid w:val="00980502"/>
    <w:rsid w:val="009807F1"/>
    <w:rsid w:val="00980ED9"/>
    <w:rsid w:val="00981730"/>
    <w:rsid w:val="009817A0"/>
    <w:rsid w:val="00981D0B"/>
    <w:rsid w:val="00983FFB"/>
    <w:rsid w:val="0098411B"/>
    <w:rsid w:val="00984294"/>
    <w:rsid w:val="009846A7"/>
    <w:rsid w:val="00984890"/>
    <w:rsid w:val="00984D3D"/>
    <w:rsid w:val="00984D3E"/>
    <w:rsid w:val="00984E2E"/>
    <w:rsid w:val="00984E62"/>
    <w:rsid w:val="00984EA9"/>
    <w:rsid w:val="0098527E"/>
    <w:rsid w:val="0098569C"/>
    <w:rsid w:val="00985B71"/>
    <w:rsid w:val="00985E8D"/>
    <w:rsid w:val="009866A3"/>
    <w:rsid w:val="00987203"/>
    <w:rsid w:val="00987451"/>
    <w:rsid w:val="009877AB"/>
    <w:rsid w:val="00987B53"/>
    <w:rsid w:val="009911F2"/>
    <w:rsid w:val="00991E88"/>
    <w:rsid w:val="009925A7"/>
    <w:rsid w:val="00992DAE"/>
    <w:rsid w:val="00992ECB"/>
    <w:rsid w:val="009933DD"/>
    <w:rsid w:val="009936B4"/>
    <w:rsid w:val="00995364"/>
    <w:rsid w:val="009959EF"/>
    <w:rsid w:val="00995EE0"/>
    <w:rsid w:val="00996552"/>
    <w:rsid w:val="0099685F"/>
    <w:rsid w:val="00996ECF"/>
    <w:rsid w:val="0099716A"/>
    <w:rsid w:val="0099729F"/>
    <w:rsid w:val="009A03BC"/>
    <w:rsid w:val="009A04D3"/>
    <w:rsid w:val="009A08C7"/>
    <w:rsid w:val="009A0BE9"/>
    <w:rsid w:val="009A0DE0"/>
    <w:rsid w:val="009A1AFB"/>
    <w:rsid w:val="009A1B6F"/>
    <w:rsid w:val="009A1CB5"/>
    <w:rsid w:val="009A2CC6"/>
    <w:rsid w:val="009A41DA"/>
    <w:rsid w:val="009A4510"/>
    <w:rsid w:val="009A4E58"/>
    <w:rsid w:val="009A558B"/>
    <w:rsid w:val="009A5AA9"/>
    <w:rsid w:val="009A5BAC"/>
    <w:rsid w:val="009A5BE0"/>
    <w:rsid w:val="009A5E61"/>
    <w:rsid w:val="009A733D"/>
    <w:rsid w:val="009A76F6"/>
    <w:rsid w:val="009A779C"/>
    <w:rsid w:val="009A7A68"/>
    <w:rsid w:val="009A7B85"/>
    <w:rsid w:val="009A7C75"/>
    <w:rsid w:val="009A7DA6"/>
    <w:rsid w:val="009B0585"/>
    <w:rsid w:val="009B09FF"/>
    <w:rsid w:val="009B0ADD"/>
    <w:rsid w:val="009B0F8D"/>
    <w:rsid w:val="009B13D1"/>
    <w:rsid w:val="009B1436"/>
    <w:rsid w:val="009B1C57"/>
    <w:rsid w:val="009B24CA"/>
    <w:rsid w:val="009B3DC1"/>
    <w:rsid w:val="009B4C0C"/>
    <w:rsid w:val="009B53D4"/>
    <w:rsid w:val="009B56A0"/>
    <w:rsid w:val="009B5B75"/>
    <w:rsid w:val="009B6261"/>
    <w:rsid w:val="009B79B5"/>
    <w:rsid w:val="009B7B80"/>
    <w:rsid w:val="009C06B4"/>
    <w:rsid w:val="009C0AC7"/>
    <w:rsid w:val="009C0B27"/>
    <w:rsid w:val="009C1630"/>
    <w:rsid w:val="009C24F3"/>
    <w:rsid w:val="009C252A"/>
    <w:rsid w:val="009C26B3"/>
    <w:rsid w:val="009C32C2"/>
    <w:rsid w:val="009C33B5"/>
    <w:rsid w:val="009C33C6"/>
    <w:rsid w:val="009C398F"/>
    <w:rsid w:val="009C3DDC"/>
    <w:rsid w:val="009C47D5"/>
    <w:rsid w:val="009C48A0"/>
    <w:rsid w:val="009C4BB5"/>
    <w:rsid w:val="009C4F39"/>
    <w:rsid w:val="009C55B9"/>
    <w:rsid w:val="009C5774"/>
    <w:rsid w:val="009C63CE"/>
    <w:rsid w:val="009C7AA2"/>
    <w:rsid w:val="009C7AE3"/>
    <w:rsid w:val="009C7D9C"/>
    <w:rsid w:val="009D0252"/>
    <w:rsid w:val="009D0D98"/>
    <w:rsid w:val="009D0F29"/>
    <w:rsid w:val="009D1057"/>
    <w:rsid w:val="009D2C6D"/>
    <w:rsid w:val="009D3187"/>
    <w:rsid w:val="009D3350"/>
    <w:rsid w:val="009D3378"/>
    <w:rsid w:val="009D359B"/>
    <w:rsid w:val="009D374C"/>
    <w:rsid w:val="009D3891"/>
    <w:rsid w:val="009D3BE7"/>
    <w:rsid w:val="009D3E05"/>
    <w:rsid w:val="009D3E59"/>
    <w:rsid w:val="009D3F7B"/>
    <w:rsid w:val="009D48EC"/>
    <w:rsid w:val="009D4C1D"/>
    <w:rsid w:val="009D53ED"/>
    <w:rsid w:val="009D5654"/>
    <w:rsid w:val="009D64B8"/>
    <w:rsid w:val="009D6525"/>
    <w:rsid w:val="009D6919"/>
    <w:rsid w:val="009D6BB5"/>
    <w:rsid w:val="009D756D"/>
    <w:rsid w:val="009D7711"/>
    <w:rsid w:val="009D789D"/>
    <w:rsid w:val="009D7B68"/>
    <w:rsid w:val="009D7CBD"/>
    <w:rsid w:val="009E03C5"/>
    <w:rsid w:val="009E0434"/>
    <w:rsid w:val="009E0D38"/>
    <w:rsid w:val="009E0FF3"/>
    <w:rsid w:val="009E11FD"/>
    <w:rsid w:val="009E1352"/>
    <w:rsid w:val="009E26EB"/>
    <w:rsid w:val="009E2E4C"/>
    <w:rsid w:val="009E321F"/>
    <w:rsid w:val="009E331E"/>
    <w:rsid w:val="009E33D5"/>
    <w:rsid w:val="009E3888"/>
    <w:rsid w:val="009E38C8"/>
    <w:rsid w:val="009E3F56"/>
    <w:rsid w:val="009E4485"/>
    <w:rsid w:val="009E4985"/>
    <w:rsid w:val="009E6D64"/>
    <w:rsid w:val="009E72E3"/>
    <w:rsid w:val="009E7B3A"/>
    <w:rsid w:val="009F2C0F"/>
    <w:rsid w:val="009F3041"/>
    <w:rsid w:val="009F378E"/>
    <w:rsid w:val="009F37DD"/>
    <w:rsid w:val="009F38A6"/>
    <w:rsid w:val="009F44C8"/>
    <w:rsid w:val="009F5159"/>
    <w:rsid w:val="009F52E8"/>
    <w:rsid w:val="009F5936"/>
    <w:rsid w:val="009F5CE5"/>
    <w:rsid w:val="009F5EFB"/>
    <w:rsid w:val="009F6014"/>
    <w:rsid w:val="009F682A"/>
    <w:rsid w:val="009F7571"/>
    <w:rsid w:val="009F7B65"/>
    <w:rsid w:val="009F7FAA"/>
    <w:rsid w:val="00A00997"/>
    <w:rsid w:val="00A00B48"/>
    <w:rsid w:val="00A00BAC"/>
    <w:rsid w:val="00A021CD"/>
    <w:rsid w:val="00A02E10"/>
    <w:rsid w:val="00A02EF2"/>
    <w:rsid w:val="00A03CBA"/>
    <w:rsid w:val="00A03EF6"/>
    <w:rsid w:val="00A04796"/>
    <w:rsid w:val="00A0483B"/>
    <w:rsid w:val="00A0534E"/>
    <w:rsid w:val="00A0553B"/>
    <w:rsid w:val="00A058AE"/>
    <w:rsid w:val="00A058AF"/>
    <w:rsid w:val="00A059D1"/>
    <w:rsid w:val="00A06773"/>
    <w:rsid w:val="00A07019"/>
    <w:rsid w:val="00A07B51"/>
    <w:rsid w:val="00A10A85"/>
    <w:rsid w:val="00A11459"/>
    <w:rsid w:val="00A11F42"/>
    <w:rsid w:val="00A122A3"/>
    <w:rsid w:val="00A12980"/>
    <w:rsid w:val="00A12D7F"/>
    <w:rsid w:val="00A13BC7"/>
    <w:rsid w:val="00A14239"/>
    <w:rsid w:val="00A1479F"/>
    <w:rsid w:val="00A14DDA"/>
    <w:rsid w:val="00A15019"/>
    <w:rsid w:val="00A15432"/>
    <w:rsid w:val="00A156DE"/>
    <w:rsid w:val="00A15EE6"/>
    <w:rsid w:val="00A16AC3"/>
    <w:rsid w:val="00A1723F"/>
    <w:rsid w:val="00A1779B"/>
    <w:rsid w:val="00A17972"/>
    <w:rsid w:val="00A2025E"/>
    <w:rsid w:val="00A2093D"/>
    <w:rsid w:val="00A212BA"/>
    <w:rsid w:val="00A22319"/>
    <w:rsid w:val="00A22EE1"/>
    <w:rsid w:val="00A23308"/>
    <w:rsid w:val="00A2379D"/>
    <w:rsid w:val="00A2385D"/>
    <w:rsid w:val="00A24193"/>
    <w:rsid w:val="00A24901"/>
    <w:rsid w:val="00A24BD2"/>
    <w:rsid w:val="00A24FD2"/>
    <w:rsid w:val="00A26344"/>
    <w:rsid w:val="00A279EA"/>
    <w:rsid w:val="00A302FC"/>
    <w:rsid w:val="00A30507"/>
    <w:rsid w:val="00A30BD8"/>
    <w:rsid w:val="00A30F7C"/>
    <w:rsid w:val="00A312DB"/>
    <w:rsid w:val="00A31706"/>
    <w:rsid w:val="00A318B9"/>
    <w:rsid w:val="00A31D0E"/>
    <w:rsid w:val="00A3233A"/>
    <w:rsid w:val="00A327B8"/>
    <w:rsid w:val="00A3293D"/>
    <w:rsid w:val="00A3318E"/>
    <w:rsid w:val="00A33B66"/>
    <w:rsid w:val="00A34BBC"/>
    <w:rsid w:val="00A34F8D"/>
    <w:rsid w:val="00A35195"/>
    <w:rsid w:val="00A355BF"/>
    <w:rsid w:val="00A35C73"/>
    <w:rsid w:val="00A35E4B"/>
    <w:rsid w:val="00A362D4"/>
    <w:rsid w:val="00A3764F"/>
    <w:rsid w:val="00A37787"/>
    <w:rsid w:val="00A377EE"/>
    <w:rsid w:val="00A37D52"/>
    <w:rsid w:val="00A37D5E"/>
    <w:rsid w:val="00A40097"/>
    <w:rsid w:val="00A4101D"/>
    <w:rsid w:val="00A41D41"/>
    <w:rsid w:val="00A420FC"/>
    <w:rsid w:val="00A4225F"/>
    <w:rsid w:val="00A424A9"/>
    <w:rsid w:val="00A4265A"/>
    <w:rsid w:val="00A42757"/>
    <w:rsid w:val="00A429FE"/>
    <w:rsid w:val="00A42E16"/>
    <w:rsid w:val="00A432DA"/>
    <w:rsid w:val="00A43DDF"/>
    <w:rsid w:val="00A448D5"/>
    <w:rsid w:val="00A44F1E"/>
    <w:rsid w:val="00A456F2"/>
    <w:rsid w:val="00A45AB4"/>
    <w:rsid w:val="00A46509"/>
    <w:rsid w:val="00A46E9B"/>
    <w:rsid w:val="00A478A0"/>
    <w:rsid w:val="00A47C42"/>
    <w:rsid w:val="00A50216"/>
    <w:rsid w:val="00A5047F"/>
    <w:rsid w:val="00A507AC"/>
    <w:rsid w:val="00A50AFA"/>
    <w:rsid w:val="00A50C4A"/>
    <w:rsid w:val="00A51B05"/>
    <w:rsid w:val="00A51B07"/>
    <w:rsid w:val="00A51D9E"/>
    <w:rsid w:val="00A523E0"/>
    <w:rsid w:val="00A52AE6"/>
    <w:rsid w:val="00A535A8"/>
    <w:rsid w:val="00A53D5E"/>
    <w:rsid w:val="00A53DAA"/>
    <w:rsid w:val="00A53EF8"/>
    <w:rsid w:val="00A54363"/>
    <w:rsid w:val="00A544CE"/>
    <w:rsid w:val="00A54F8E"/>
    <w:rsid w:val="00A5605A"/>
    <w:rsid w:val="00A56DEA"/>
    <w:rsid w:val="00A573AF"/>
    <w:rsid w:val="00A57B3B"/>
    <w:rsid w:val="00A57DDA"/>
    <w:rsid w:val="00A57F88"/>
    <w:rsid w:val="00A6051B"/>
    <w:rsid w:val="00A60992"/>
    <w:rsid w:val="00A62151"/>
    <w:rsid w:val="00A62B7D"/>
    <w:rsid w:val="00A64485"/>
    <w:rsid w:val="00A64B55"/>
    <w:rsid w:val="00A64FD4"/>
    <w:rsid w:val="00A6524B"/>
    <w:rsid w:val="00A661F7"/>
    <w:rsid w:val="00A6684D"/>
    <w:rsid w:val="00A702DF"/>
    <w:rsid w:val="00A71873"/>
    <w:rsid w:val="00A71B2B"/>
    <w:rsid w:val="00A71B65"/>
    <w:rsid w:val="00A7278C"/>
    <w:rsid w:val="00A728A6"/>
    <w:rsid w:val="00A72BDA"/>
    <w:rsid w:val="00A73ADE"/>
    <w:rsid w:val="00A74480"/>
    <w:rsid w:val="00A74F88"/>
    <w:rsid w:val="00A754D8"/>
    <w:rsid w:val="00A75E99"/>
    <w:rsid w:val="00A760D4"/>
    <w:rsid w:val="00A76C1F"/>
    <w:rsid w:val="00A76E7C"/>
    <w:rsid w:val="00A76EC5"/>
    <w:rsid w:val="00A80287"/>
    <w:rsid w:val="00A809CA"/>
    <w:rsid w:val="00A80B6E"/>
    <w:rsid w:val="00A80E8A"/>
    <w:rsid w:val="00A81713"/>
    <w:rsid w:val="00A82D3E"/>
    <w:rsid w:val="00A831E3"/>
    <w:rsid w:val="00A841F3"/>
    <w:rsid w:val="00A84533"/>
    <w:rsid w:val="00A849FE"/>
    <w:rsid w:val="00A86EB6"/>
    <w:rsid w:val="00A8739E"/>
    <w:rsid w:val="00A87945"/>
    <w:rsid w:val="00A905E8"/>
    <w:rsid w:val="00A90A06"/>
    <w:rsid w:val="00A91391"/>
    <w:rsid w:val="00A91676"/>
    <w:rsid w:val="00A91FFB"/>
    <w:rsid w:val="00A92158"/>
    <w:rsid w:val="00A9221A"/>
    <w:rsid w:val="00A92411"/>
    <w:rsid w:val="00A92741"/>
    <w:rsid w:val="00A92B36"/>
    <w:rsid w:val="00A948ED"/>
    <w:rsid w:val="00A94D91"/>
    <w:rsid w:val="00A94F6B"/>
    <w:rsid w:val="00A96200"/>
    <w:rsid w:val="00A962FA"/>
    <w:rsid w:val="00A96487"/>
    <w:rsid w:val="00A9654D"/>
    <w:rsid w:val="00A976B0"/>
    <w:rsid w:val="00A97AAE"/>
    <w:rsid w:val="00AA0BCF"/>
    <w:rsid w:val="00AA0BF6"/>
    <w:rsid w:val="00AA0EC3"/>
    <w:rsid w:val="00AA1550"/>
    <w:rsid w:val="00AA1A87"/>
    <w:rsid w:val="00AA1B37"/>
    <w:rsid w:val="00AA251F"/>
    <w:rsid w:val="00AA254E"/>
    <w:rsid w:val="00AA2932"/>
    <w:rsid w:val="00AA2A5D"/>
    <w:rsid w:val="00AA4FC2"/>
    <w:rsid w:val="00AA5F9C"/>
    <w:rsid w:val="00AA6590"/>
    <w:rsid w:val="00AA66F5"/>
    <w:rsid w:val="00AA70F0"/>
    <w:rsid w:val="00AA79E9"/>
    <w:rsid w:val="00AA7BD9"/>
    <w:rsid w:val="00AA7BF6"/>
    <w:rsid w:val="00AB038A"/>
    <w:rsid w:val="00AB03F2"/>
    <w:rsid w:val="00AB0A77"/>
    <w:rsid w:val="00AB0F1B"/>
    <w:rsid w:val="00AB14AF"/>
    <w:rsid w:val="00AB15DB"/>
    <w:rsid w:val="00AB21E4"/>
    <w:rsid w:val="00AB2438"/>
    <w:rsid w:val="00AB37D4"/>
    <w:rsid w:val="00AB3A9E"/>
    <w:rsid w:val="00AB3DC1"/>
    <w:rsid w:val="00AB4906"/>
    <w:rsid w:val="00AB589C"/>
    <w:rsid w:val="00AB5A03"/>
    <w:rsid w:val="00AB5C8F"/>
    <w:rsid w:val="00AB6EE6"/>
    <w:rsid w:val="00AB7124"/>
    <w:rsid w:val="00AB73F0"/>
    <w:rsid w:val="00AB7FD2"/>
    <w:rsid w:val="00AC02A8"/>
    <w:rsid w:val="00AC05DF"/>
    <w:rsid w:val="00AC11DD"/>
    <w:rsid w:val="00AC1F66"/>
    <w:rsid w:val="00AC20A1"/>
    <w:rsid w:val="00AC26D6"/>
    <w:rsid w:val="00AC2D22"/>
    <w:rsid w:val="00AC38CC"/>
    <w:rsid w:val="00AC3D79"/>
    <w:rsid w:val="00AC40F6"/>
    <w:rsid w:val="00AC421C"/>
    <w:rsid w:val="00AC4248"/>
    <w:rsid w:val="00AC4674"/>
    <w:rsid w:val="00AC52DF"/>
    <w:rsid w:val="00AC56AB"/>
    <w:rsid w:val="00AD0E28"/>
    <w:rsid w:val="00AD11AD"/>
    <w:rsid w:val="00AD136A"/>
    <w:rsid w:val="00AD1852"/>
    <w:rsid w:val="00AD1D57"/>
    <w:rsid w:val="00AD1E6E"/>
    <w:rsid w:val="00AD20BD"/>
    <w:rsid w:val="00AD2153"/>
    <w:rsid w:val="00AD22F2"/>
    <w:rsid w:val="00AD2E74"/>
    <w:rsid w:val="00AD33F5"/>
    <w:rsid w:val="00AD409C"/>
    <w:rsid w:val="00AD4364"/>
    <w:rsid w:val="00AD476E"/>
    <w:rsid w:val="00AD4C12"/>
    <w:rsid w:val="00AD55AF"/>
    <w:rsid w:val="00AD575E"/>
    <w:rsid w:val="00AD5B3F"/>
    <w:rsid w:val="00AD6151"/>
    <w:rsid w:val="00AD61E0"/>
    <w:rsid w:val="00AD650A"/>
    <w:rsid w:val="00AD7BB5"/>
    <w:rsid w:val="00AE055C"/>
    <w:rsid w:val="00AE0963"/>
    <w:rsid w:val="00AE0D00"/>
    <w:rsid w:val="00AE102D"/>
    <w:rsid w:val="00AE12B8"/>
    <w:rsid w:val="00AE1609"/>
    <w:rsid w:val="00AE168B"/>
    <w:rsid w:val="00AE17F2"/>
    <w:rsid w:val="00AE2850"/>
    <w:rsid w:val="00AE3081"/>
    <w:rsid w:val="00AE3DEA"/>
    <w:rsid w:val="00AE4FE0"/>
    <w:rsid w:val="00AE54C8"/>
    <w:rsid w:val="00AE7413"/>
    <w:rsid w:val="00AE7676"/>
    <w:rsid w:val="00AF07AC"/>
    <w:rsid w:val="00AF1AE0"/>
    <w:rsid w:val="00AF2164"/>
    <w:rsid w:val="00AF25F1"/>
    <w:rsid w:val="00AF366D"/>
    <w:rsid w:val="00AF4413"/>
    <w:rsid w:val="00AF49DF"/>
    <w:rsid w:val="00AF593F"/>
    <w:rsid w:val="00AF5C94"/>
    <w:rsid w:val="00AF5D57"/>
    <w:rsid w:val="00AF640A"/>
    <w:rsid w:val="00AF6761"/>
    <w:rsid w:val="00AF7E72"/>
    <w:rsid w:val="00B004F2"/>
    <w:rsid w:val="00B00925"/>
    <w:rsid w:val="00B00D93"/>
    <w:rsid w:val="00B0129F"/>
    <w:rsid w:val="00B018F4"/>
    <w:rsid w:val="00B019C0"/>
    <w:rsid w:val="00B01B60"/>
    <w:rsid w:val="00B01E6F"/>
    <w:rsid w:val="00B02996"/>
    <w:rsid w:val="00B03788"/>
    <w:rsid w:val="00B03CFA"/>
    <w:rsid w:val="00B03F7D"/>
    <w:rsid w:val="00B04909"/>
    <w:rsid w:val="00B04F2F"/>
    <w:rsid w:val="00B04F35"/>
    <w:rsid w:val="00B05B01"/>
    <w:rsid w:val="00B05C22"/>
    <w:rsid w:val="00B05D2F"/>
    <w:rsid w:val="00B06070"/>
    <w:rsid w:val="00B06325"/>
    <w:rsid w:val="00B069ED"/>
    <w:rsid w:val="00B06E21"/>
    <w:rsid w:val="00B06F4C"/>
    <w:rsid w:val="00B0719B"/>
    <w:rsid w:val="00B076CD"/>
    <w:rsid w:val="00B0792F"/>
    <w:rsid w:val="00B079BA"/>
    <w:rsid w:val="00B07AE4"/>
    <w:rsid w:val="00B102E1"/>
    <w:rsid w:val="00B1031E"/>
    <w:rsid w:val="00B10BB4"/>
    <w:rsid w:val="00B112B3"/>
    <w:rsid w:val="00B11628"/>
    <w:rsid w:val="00B116F6"/>
    <w:rsid w:val="00B1291E"/>
    <w:rsid w:val="00B12992"/>
    <w:rsid w:val="00B129AA"/>
    <w:rsid w:val="00B12CB5"/>
    <w:rsid w:val="00B13133"/>
    <w:rsid w:val="00B13260"/>
    <w:rsid w:val="00B1376F"/>
    <w:rsid w:val="00B1481C"/>
    <w:rsid w:val="00B1491B"/>
    <w:rsid w:val="00B149D6"/>
    <w:rsid w:val="00B15F5A"/>
    <w:rsid w:val="00B16247"/>
    <w:rsid w:val="00B1680A"/>
    <w:rsid w:val="00B16D16"/>
    <w:rsid w:val="00B16D26"/>
    <w:rsid w:val="00B16DFA"/>
    <w:rsid w:val="00B16E65"/>
    <w:rsid w:val="00B172C5"/>
    <w:rsid w:val="00B179E2"/>
    <w:rsid w:val="00B17CAE"/>
    <w:rsid w:val="00B2082D"/>
    <w:rsid w:val="00B2106A"/>
    <w:rsid w:val="00B22596"/>
    <w:rsid w:val="00B228E6"/>
    <w:rsid w:val="00B22D09"/>
    <w:rsid w:val="00B23EC4"/>
    <w:rsid w:val="00B24151"/>
    <w:rsid w:val="00B24D58"/>
    <w:rsid w:val="00B24D94"/>
    <w:rsid w:val="00B25A52"/>
    <w:rsid w:val="00B27017"/>
    <w:rsid w:val="00B2704F"/>
    <w:rsid w:val="00B2747D"/>
    <w:rsid w:val="00B276FC"/>
    <w:rsid w:val="00B27C5D"/>
    <w:rsid w:val="00B27FE7"/>
    <w:rsid w:val="00B3019D"/>
    <w:rsid w:val="00B30644"/>
    <w:rsid w:val="00B309A2"/>
    <w:rsid w:val="00B312A1"/>
    <w:rsid w:val="00B314A4"/>
    <w:rsid w:val="00B31BAA"/>
    <w:rsid w:val="00B324AA"/>
    <w:rsid w:val="00B3251C"/>
    <w:rsid w:val="00B32984"/>
    <w:rsid w:val="00B329A6"/>
    <w:rsid w:val="00B32A78"/>
    <w:rsid w:val="00B3369E"/>
    <w:rsid w:val="00B33EEB"/>
    <w:rsid w:val="00B342FC"/>
    <w:rsid w:val="00B34C07"/>
    <w:rsid w:val="00B351B5"/>
    <w:rsid w:val="00B35225"/>
    <w:rsid w:val="00B36AC2"/>
    <w:rsid w:val="00B37304"/>
    <w:rsid w:val="00B37462"/>
    <w:rsid w:val="00B405AF"/>
    <w:rsid w:val="00B40768"/>
    <w:rsid w:val="00B40BEA"/>
    <w:rsid w:val="00B410E5"/>
    <w:rsid w:val="00B418EB"/>
    <w:rsid w:val="00B419E7"/>
    <w:rsid w:val="00B41ABE"/>
    <w:rsid w:val="00B41AE3"/>
    <w:rsid w:val="00B42912"/>
    <w:rsid w:val="00B45066"/>
    <w:rsid w:val="00B451C1"/>
    <w:rsid w:val="00B4579C"/>
    <w:rsid w:val="00B46A33"/>
    <w:rsid w:val="00B47654"/>
    <w:rsid w:val="00B479ED"/>
    <w:rsid w:val="00B47C00"/>
    <w:rsid w:val="00B47EA6"/>
    <w:rsid w:val="00B50195"/>
    <w:rsid w:val="00B50432"/>
    <w:rsid w:val="00B514B0"/>
    <w:rsid w:val="00B51C71"/>
    <w:rsid w:val="00B529A9"/>
    <w:rsid w:val="00B529B3"/>
    <w:rsid w:val="00B5305E"/>
    <w:rsid w:val="00B53445"/>
    <w:rsid w:val="00B54B9C"/>
    <w:rsid w:val="00B5543F"/>
    <w:rsid w:val="00B554E0"/>
    <w:rsid w:val="00B56125"/>
    <w:rsid w:val="00B56502"/>
    <w:rsid w:val="00B56A4A"/>
    <w:rsid w:val="00B57059"/>
    <w:rsid w:val="00B5726A"/>
    <w:rsid w:val="00B6013F"/>
    <w:rsid w:val="00B606C9"/>
    <w:rsid w:val="00B609D8"/>
    <w:rsid w:val="00B616A7"/>
    <w:rsid w:val="00B61C0A"/>
    <w:rsid w:val="00B61D45"/>
    <w:rsid w:val="00B626BB"/>
    <w:rsid w:val="00B62746"/>
    <w:rsid w:val="00B63C4C"/>
    <w:rsid w:val="00B6479D"/>
    <w:rsid w:val="00B656CE"/>
    <w:rsid w:val="00B656D0"/>
    <w:rsid w:val="00B65EDE"/>
    <w:rsid w:val="00B6653C"/>
    <w:rsid w:val="00B66C0F"/>
    <w:rsid w:val="00B66C7F"/>
    <w:rsid w:val="00B6763A"/>
    <w:rsid w:val="00B70624"/>
    <w:rsid w:val="00B70A10"/>
    <w:rsid w:val="00B70B29"/>
    <w:rsid w:val="00B71829"/>
    <w:rsid w:val="00B71B9C"/>
    <w:rsid w:val="00B71CA7"/>
    <w:rsid w:val="00B71E76"/>
    <w:rsid w:val="00B71F24"/>
    <w:rsid w:val="00B72784"/>
    <w:rsid w:val="00B733AC"/>
    <w:rsid w:val="00B737DD"/>
    <w:rsid w:val="00B73878"/>
    <w:rsid w:val="00B741BE"/>
    <w:rsid w:val="00B7426D"/>
    <w:rsid w:val="00B7502C"/>
    <w:rsid w:val="00B757A0"/>
    <w:rsid w:val="00B759F7"/>
    <w:rsid w:val="00B75FDD"/>
    <w:rsid w:val="00B76056"/>
    <w:rsid w:val="00B767C5"/>
    <w:rsid w:val="00B76F8A"/>
    <w:rsid w:val="00B77263"/>
    <w:rsid w:val="00B77300"/>
    <w:rsid w:val="00B77BE6"/>
    <w:rsid w:val="00B80021"/>
    <w:rsid w:val="00B804BE"/>
    <w:rsid w:val="00B80AA9"/>
    <w:rsid w:val="00B80EFC"/>
    <w:rsid w:val="00B8174B"/>
    <w:rsid w:val="00B818D0"/>
    <w:rsid w:val="00B81C19"/>
    <w:rsid w:val="00B8349B"/>
    <w:rsid w:val="00B83E44"/>
    <w:rsid w:val="00B8444F"/>
    <w:rsid w:val="00B849CB"/>
    <w:rsid w:val="00B84A23"/>
    <w:rsid w:val="00B86CF7"/>
    <w:rsid w:val="00B86EB6"/>
    <w:rsid w:val="00B87D05"/>
    <w:rsid w:val="00B9035F"/>
    <w:rsid w:val="00B90628"/>
    <w:rsid w:val="00B90707"/>
    <w:rsid w:val="00B90C00"/>
    <w:rsid w:val="00B91289"/>
    <w:rsid w:val="00B91B7C"/>
    <w:rsid w:val="00B922D0"/>
    <w:rsid w:val="00B92456"/>
    <w:rsid w:val="00B92D9B"/>
    <w:rsid w:val="00B92E87"/>
    <w:rsid w:val="00B938D0"/>
    <w:rsid w:val="00B93A92"/>
    <w:rsid w:val="00B944D6"/>
    <w:rsid w:val="00B9459E"/>
    <w:rsid w:val="00B94BE1"/>
    <w:rsid w:val="00B94EF3"/>
    <w:rsid w:val="00B953B6"/>
    <w:rsid w:val="00B95553"/>
    <w:rsid w:val="00B957E4"/>
    <w:rsid w:val="00B962C5"/>
    <w:rsid w:val="00B962E0"/>
    <w:rsid w:val="00B963B3"/>
    <w:rsid w:val="00B96718"/>
    <w:rsid w:val="00B971AC"/>
    <w:rsid w:val="00BA0173"/>
    <w:rsid w:val="00BA0B6A"/>
    <w:rsid w:val="00BA1683"/>
    <w:rsid w:val="00BA228B"/>
    <w:rsid w:val="00BA25FD"/>
    <w:rsid w:val="00BA2641"/>
    <w:rsid w:val="00BA2C76"/>
    <w:rsid w:val="00BA2C84"/>
    <w:rsid w:val="00BA401A"/>
    <w:rsid w:val="00BA5485"/>
    <w:rsid w:val="00BA5C90"/>
    <w:rsid w:val="00BA65A0"/>
    <w:rsid w:val="00BA67F8"/>
    <w:rsid w:val="00BA793A"/>
    <w:rsid w:val="00BA7A3A"/>
    <w:rsid w:val="00BA7C82"/>
    <w:rsid w:val="00BA7C85"/>
    <w:rsid w:val="00BB0B21"/>
    <w:rsid w:val="00BB19F7"/>
    <w:rsid w:val="00BB1F99"/>
    <w:rsid w:val="00BB2395"/>
    <w:rsid w:val="00BB35F5"/>
    <w:rsid w:val="00BB3988"/>
    <w:rsid w:val="00BB3ED7"/>
    <w:rsid w:val="00BB6720"/>
    <w:rsid w:val="00BB6DF5"/>
    <w:rsid w:val="00BB73A1"/>
    <w:rsid w:val="00BB7B0A"/>
    <w:rsid w:val="00BB7DEB"/>
    <w:rsid w:val="00BC0209"/>
    <w:rsid w:val="00BC02B9"/>
    <w:rsid w:val="00BC09D2"/>
    <w:rsid w:val="00BC0C20"/>
    <w:rsid w:val="00BC0CCC"/>
    <w:rsid w:val="00BC130B"/>
    <w:rsid w:val="00BC14D6"/>
    <w:rsid w:val="00BC1C9B"/>
    <w:rsid w:val="00BC28BF"/>
    <w:rsid w:val="00BC3065"/>
    <w:rsid w:val="00BC320F"/>
    <w:rsid w:val="00BC3515"/>
    <w:rsid w:val="00BC4204"/>
    <w:rsid w:val="00BC48AC"/>
    <w:rsid w:val="00BC4A43"/>
    <w:rsid w:val="00BC56F5"/>
    <w:rsid w:val="00BC5722"/>
    <w:rsid w:val="00BC5977"/>
    <w:rsid w:val="00BC5A00"/>
    <w:rsid w:val="00BC5A5F"/>
    <w:rsid w:val="00BC5F4B"/>
    <w:rsid w:val="00BC64BC"/>
    <w:rsid w:val="00BC7772"/>
    <w:rsid w:val="00BC79AE"/>
    <w:rsid w:val="00BD07AC"/>
    <w:rsid w:val="00BD1134"/>
    <w:rsid w:val="00BD123F"/>
    <w:rsid w:val="00BD14AA"/>
    <w:rsid w:val="00BD1733"/>
    <w:rsid w:val="00BD278B"/>
    <w:rsid w:val="00BD289E"/>
    <w:rsid w:val="00BD29B6"/>
    <w:rsid w:val="00BD3340"/>
    <w:rsid w:val="00BD396C"/>
    <w:rsid w:val="00BD3A19"/>
    <w:rsid w:val="00BD3C2C"/>
    <w:rsid w:val="00BD40DE"/>
    <w:rsid w:val="00BD46AD"/>
    <w:rsid w:val="00BD5DC5"/>
    <w:rsid w:val="00BD5E1F"/>
    <w:rsid w:val="00BD645E"/>
    <w:rsid w:val="00BD646F"/>
    <w:rsid w:val="00BD6696"/>
    <w:rsid w:val="00BD702E"/>
    <w:rsid w:val="00BD739C"/>
    <w:rsid w:val="00BD74B7"/>
    <w:rsid w:val="00BE0305"/>
    <w:rsid w:val="00BE04C6"/>
    <w:rsid w:val="00BE09BD"/>
    <w:rsid w:val="00BE0B57"/>
    <w:rsid w:val="00BE1713"/>
    <w:rsid w:val="00BE18D3"/>
    <w:rsid w:val="00BE1A3F"/>
    <w:rsid w:val="00BE2701"/>
    <w:rsid w:val="00BE27CA"/>
    <w:rsid w:val="00BE299E"/>
    <w:rsid w:val="00BE3396"/>
    <w:rsid w:val="00BE3497"/>
    <w:rsid w:val="00BE392A"/>
    <w:rsid w:val="00BE3A22"/>
    <w:rsid w:val="00BE3A67"/>
    <w:rsid w:val="00BE3ED9"/>
    <w:rsid w:val="00BE4892"/>
    <w:rsid w:val="00BE4A12"/>
    <w:rsid w:val="00BE5B4F"/>
    <w:rsid w:val="00BE64C8"/>
    <w:rsid w:val="00BE64E5"/>
    <w:rsid w:val="00BE67DC"/>
    <w:rsid w:val="00BE70B3"/>
    <w:rsid w:val="00BE7E18"/>
    <w:rsid w:val="00BE7FA2"/>
    <w:rsid w:val="00BF01C2"/>
    <w:rsid w:val="00BF05AD"/>
    <w:rsid w:val="00BF0D8A"/>
    <w:rsid w:val="00BF11FB"/>
    <w:rsid w:val="00BF2276"/>
    <w:rsid w:val="00BF261B"/>
    <w:rsid w:val="00BF3533"/>
    <w:rsid w:val="00BF3EF0"/>
    <w:rsid w:val="00BF498F"/>
    <w:rsid w:val="00BF4BBF"/>
    <w:rsid w:val="00BF4EA5"/>
    <w:rsid w:val="00BF5951"/>
    <w:rsid w:val="00BF5B43"/>
    <w:rsid w:val="00BF5CCE"/>
    <w:rsid w:val="00BF6B11"/>
    <w:rsid w:val="00BF6EEA"/>
    <w:rsid w:val="00BF7537"/>
    <w:rsid w:val="00BF7567"/>
    <w:rsid w:val="00C0095B"/>
    <w:rsid w:val="00C02159"/>
    <w:rsid w:val="00C027CA"/>
    <w:rsid w:val="00C0296A"/>
    <w:rsid w:val="00C02996"/>
    <w:rsid w:val="00C02D47"/>
    <w:rsid w:val="00C02FDF"/>
    <w:rsid w:val="00C03445"/>
    <w:rsid w:val="00C038D6"/>
    <w:rsid w:val="00C03C8C"/>
    <w:rsid w:val="00C03DDE"/>
    <w:rsid w:val="00C044CD"/>
    <w:rsid w:val="00C04D6F"/>
    <w:rsid w:val="00C062B8"/>
    <w:rsid w:val="00C064D0"/>
    <w:rsid w:val="00C06AA6"/>
    <w:rsid w:val="00C07879"/>
    <w:rsid w:val="00C109A0"/>
    <w:rsid w:val="00C10D4F"/>
    <w:rsid w:val="00C1224C"/>
    <w:rsid w:val="00C131F6"/>
    <w:rsid w:val="00C137B0"/>
    <w:rsid w:val="00C142B4"/>
    <w:rsid w:val="00C14B77"/>
    <w:rsid w:val="00C14BB5"/>
    <w:rsid w:val="00C14F3C"/>
    <w:rsid w:val="00C14FC6"/>
    <w:rsid w:val="00C154F7"/>
    <w:rsid w:val="00C156F9"/>
    <w:rsid w:val="00C161C6"/>
    <w:rsid w:val="00C161D5"/>
    <w:rsid w:val="00C1661B"/>
    <w:rsid w:val="00C16A62"/>
    <w:rsid w:val="00C171B0"/>
    <w:rsid w:val="00C177F7"/>
    <w:rsid w:val="00C17941"/>
    <w:rsid w:val="00C17AE8"/>
    <w:rsid w:val="00C20ABB"/>
    <w:rsid w:val="00C21083"/>
    <w:rsid w:val="00C21479"/>
    <w:rsid w:val="00C21548"/>
    <w:rsid w:val="00C21B1A"/>
    <w:rsid w:val="00C2234E"/>
    <w:rsid w:val="00C22499"/>
    <w:rsid w:val="00C230DE"/>
    <w:rsid w:val="00C2361E"/>
    <w:rsid w:val="00C23662"/>
    <w:rsid w:val="00C23850"/>
    <w:rsid w:val="00C23862"/>
    <w:rsid w:val="00C23CEF"/>
    <w:rsid w:val="00C246E5"/>
    <w:rsid w:val="00C25674"/>
    <w:rsid w:val="00C25770"/>
    <w:rsid w:val="00C26A98"/>
    <w:rsid w:val="00C27B47"/>
    <w:rsid w:val="00C3080A"/>
    <w:rsid w:val="00C314AF"/>
    <w:rsid w:val="00C32318"/>
    <w:rsid w:val="00C324A5"/>
    <w:rsid w:val="00C324ED"/>
    <w:rsid w:val="00C32C85"/>
    <w:rsid w:val="00C32D03"/>
    <w:rsid w:val="00C333EA"/>
    <w:rsid w:val="00C33A6D"/>
    <w:rsid w:val="00C33C2D"/>
    <w:rsid w:val="00C33EA0"/>
    <w:rsid w:val="00C34C11"/>
    <w:rsid w:val="00C3507D"/>
    <w:rsid w:val="00C3559D"/>
    <w:rsid w:val="00C374A9"/>
    <w:rsid w:val="00C377E2"/>
    <w:rsid w:val="00C40300"/>
    <w:rsid w:val="00C40586"/>
    <w:rsid w:val="00C40F26"/>
    <w:rsid w:val="00C40F83"/>
    <w:rsid w:val="00C4168D"/>
    <w:rsid w:val="00C4194B"/>
    <w:rsid w:val="00C41A3A"/>
    <w:rsid w:val="00C41C40"/>
    <w:rsid w:val="00C42D99"/>
    <w:rsid w:val="00C42EAC"/>
    <w:rsid w:val="00C4320C"/>
    <w:rsid w:val="00C4362E"/>
    <w:rsid w:val="00C43677"/>
    <w:rsid w:val="00C4487E"/>
    <w:rsid w:val="00C44E2F"/>
    <w:rsid w:val="00C4539F"/>
    <w:rsid w:val="00C4556A"/>
    <w:rsid w:val="00C45931"/>
    <w:rsid w:val="00C45CBA"/>
    <w:rsid w:val="00C45D33"/>
    <w:rsid w:val="00C46A49"/>
    <w:rsid w:val="00C46C6F"/>
    <w:rsid w:val="00C46CF7"/>
    <w:rsid w:val="00C47A98"/>
    <w:rsid w:val="00C50D03"/>
    <w:rsid w:val="00C50E78"/>
    <w:rsid w:val="00C50F0C"/>
    <w:rsid w:val="00C50FCF"/>
    <w:rsid w:val="00C512A2"/>
    <w:rsid w:val="00C519AE"/>
    <w:rsid w:val="00C520D3"/>
    <w:rsid w:val="00C52144"/>
    <w:rsid w:val="00C52484"/>
    <w:rsid w:val="00C53105"/>
    <w:rsid w:val="00C538DF"/>
    <w:rsid w:val="00C552AB"/>
    <w:rsid w:val="00C5576F"/>
    <w:rsid w:val="00C55EB4"/>
    <w:rsid w:val="00C55F23"/>
    <w:rsid w:val="00C5687B"/>
    <w:rsid w:val="00C56914"/>
    <w:rsid w:val="00C56D79"/>
    <w:rsid w:val="00C57688"/>
    <w:rsid w:val="00C60626"/>
    <w:rsid w:val="00C6081D"/>
    <w:rsid w:val="00C60E95"/>
    <w:rsid w:val="00C61D4D"/>
    <w:rsid w:val="00C624E6"/>
    <w:rsid w:val="00C62EA9"/>
    <w:rsid w:val="00C62FE0"/>
    <w:rsid w:val="00C634E4"/>
    <w:rsid w:val="00C637F6"/>
    <w:rsid w:val="00C63E34"/>
    <w:rsid w:val="00C64597"/>
    <w:rsid w:val="00C6485D"/>
    <w:rsid w:val="00C64E44"/>
    <w:rsid w:val="00C64E53"/>
    <w:rsid w:val="00C65119"/>
    <w:rsid w:val="00C651B9"/>
    <w:rsid w:val="00C65348"/>
    <w:rsid w:val="00C66AE9"/>
    <w:rsid w:val="00C66CE7"/>
    <w:rsid w:val="00C67063"/>
    <w:rsid w:val="00C672BD"/>
    <w:rsid w:val="00C6752F"/>
    <w:rsid w:val="00C6777F"/>
    <w:rsid w:val="00C67CE5"/>
    <w:rsid w:val="00C701FF"/>
    <w:rsid w:val="00C70467"/>
    <w:rsid w:val="00C709E7"/>
    <w:rsid w:val="00C70CC2"/>
    <w:rsid w:val="00C711C3"/>
    <w:rsid w:val="00C711DD"/>
    <w:rsid w:val="00C7153B"/>
    <w:rsid w:val="00C71A84"/>
    <w:rsid w:val="00C7213A"/>
    <w:rsid w:val="00C72AE3"/>
    <w:rsid w:val="00C72EA1"/>
    <w:rsid w:val="00C733FE"/>
    <w:rsid w:val="00C73DD1"/>
    <w:rsid w:val="00C7483D"/>
    <w:rsid w:val="00C755CF"/>
    <w:rsid w:val="00C75C3D"/>
    <w:rsid w:val="00C75E8B"/>
    <w:rsid w:val="00C7648F"/>
    <w:rsid w:val="00C767DB"/>
    <w:rsid w:val="00C76DC4"/>
    <w:rsid w:val="00C80241"/>
    <w:rsid w:val="00C808CF"/>
    <w:rsid w:val="00C80AC5"/>
    <w:rsid w:val="00C812BE"/>
    <w:rsid w:val="00C81359"/>
    <w:rsid w:val="00C81838"/>
    <w:rsid w:val="00C82367"/>
    <w:rsid w:val="00C823C1"/>
    <w:rsid w:val="00C82712"/>
    <w:rsid w:val="00C828E9"/>
    <w:rsid w:val="00C83314"/>
    <w:rsid w:val="00C8345D"/>
    <w:rsid w:val="00C83668"/>
    <w:rsid w:val="00C844EB"/>
    <w:rsid w:val="00C84B61"/>
    <w:rsid w:val="00C84C56"/>
    <w:rsid w:val="00C85753"/>
    <w:rsid w:val="00C85A58"/>
    <w:rsid w:val="00C85C0E"/>
    <w:rsid w:val="00C86155"/>
    <w:rsid w:val="00C866B8"/>
    <w:rsid w:val="00C873CE"/>
    <w:rsid w:val="00C8770C"/>
    <w:rsid w:val="00C9020E"/>
    <w:rsid w:val="00C90695"/>
    <w:rsid w:val="00C90C3C"/>
    <w:rsid w:val="00C90F5F"/>
    <w:rsid w:val="00C91AD3"/>
    <w:rsid w:val="00C939E2"/>
    <w:rsid w:val="00C93EFB"/>
    <w:rsid w:val="00C9482E"/>
    <w:rsid w:val="00C95A3C"/>
    <w:rsid w:val="00C96C76"/>
    <w:rsid w:val="00C96E36"/>
    <w:rsid w:val="00C97B60"/>
    <w:rsid w:val="00CA0ABA"/>
    <w:rsid w:val="00CA1551"/>
    <w:rsid w:val="00CA1553"/>
    <w:rsid w:val="00CA16C3"/>
    <w:rsid w:val="00CA1789"/>
    <w:rsid w:val="00CA1873"/>
    <w:rsid w:val="00CA1E4E"/>
    <w:rsid w:val="00CA2D6E"/>
    <w:rsid w:val="00CA3811"/>
    <w:rsid w:val="00CA3E8A"/>
    <w:rsid w:val="00CA4007"/>
    <w:rsid w:val="00CA55B0"/>
    <w:rsid w:val="00CA58FD"/>
    <w:rsid w:val="00CA5FCD"/>
    <w:rsid w:val="00CA6E74"/>
    <w:rsid w:val="00CA701A"/>
    <w:rsid w:val="00CA70F6"/>
    <w:rsid w:val="00CA7E56"/>
    <w:rsid w:val="00CB023E"/>
    <w:rsid w:val="00CB04A1"/>
    <w:rsid w:val="00CB04BB"/>
    <w:rsid w:val="00CB0842"/>
    <w:rsid w:val="00CB0B7B"/>
    <w:rsid w:val="00CB18AF"/>
    <w:rsid w:val="00CB1C86"/>
    <w:rsid w:val="00CB221A"/>
    <w:rsid w:val="00CB253D"/>
    <w:rsid w:val="00CB263C"/>
    <w:rsid w:val="00CB283B"/>
    <w:rsid w:val="00CB2909"/>
    <w:rsid w:val="00CB3658"/>
    <w:rsid w:val="00CB38B4"/>
    <w:rsid w:val="00CB3AF5"/>
    <w:rsid w:val="00CB4260"/>
    <w:rsid w:val="00CB461A"/>
    <w:rsid w:val="00CB4E6D"/>
    <w:rsid w:val="00CB5125"/>
    <w:rsid w:val="00CB54A8"/>
    <w:rsid w:val="00CB55C8"/>
    <w:rsid w:val="00CB5AC9"/>
    <w:rsid w:val="00CB62CA"/>
    <w:rsid w:val="00CB65B0"/>
    <w:rsid w:val="00CB7C27"/>
    <w:rsid w:val="00CC0735"/>
    <w:rsid w:val="00CC0DE5"/>
    <w:rsid w:val="00CC0E2B"/>
    <w:rsid w:val="00CC1451"/>
    <w:rsid w:val="00CC1E46"/>
    <w:rsid w:val="00CC248C"/>
    <w:rsid w:val="00CC251C"/>
    <w:rsid w:val="00CC287D"/>
    <w:rsid w:val="00CC2903"/>
    <w:rsid w:val="00CC3673"/>
    <w:rsid w:val="00CC3AC0"/>
    <w:rsid w:val="00CC527E"/>
    <w:rsid w:val="00CC53C8"/>
    <w:rsid w:val="00CC5E12"/>
    <w:rsid w:val="00CC757E"/>
    <w:rsid w:val="00CC7B93"/>
    <w:rsid w:val="00CC7DB1"/>
    <w:rsid w:val="00CD06CC"/>
    <w:rsid w:val="00CD0F3F"/>
    <w:rsid w:val="00CD148A"/>
    <w:rsid w:val="00CD1818"/>
    <w:rsid w:val="00CD1A80"/>
    <w:rsid w:val="00CD1CB3"/>
    <w:rsid w:val="00CD25B6"/>
    <w:rsid w:val="00CD2ED4"/>
    <w:rsid w:val="00CD3A99"/>
    <w:rsid w:val="00CD4106"/>
    <w:rsid w:val="00CD450A"/>
    <w:rsid w:val="00CD4A8C"/>
    <w:rsid w:val="00CD4EAC"/>
    <w:rsid w:val="00CD539A"/>
    <w:rsid w:val="00CD566D"/>
    <w:rsid w:val="00CD5CB2"/>
    <w:rsid w:val="00CD616D"/>
    <w:rsid w:val="00CD63AF"/>
    <w:rsid w:val="00CD7487"/>
    <w:rsid w:val="00CD7A4C"/>
    <w:rsid w:val="00CE02D0"/>
    <w:rsid w:val="00CE067E"/>
    <w:rsid w:val="00CE0A0D"/>
    <w:rsid w:val="00CE153C"/>
    <w:rsid w:val="00CE19A6"/>
    <w:rsid w:val="00CE1B09"/>
    <w:rsid w:val="00CE4893"/>
    <w:rsid w:val="00CE4F42"/>
    <w:rsid w:val="00CE5012"/>
    <w:rsid w:val="00CE5442"/>
    <w:rsid w:val="00CE580F"/>
    <w:rsid w:val="00CE58BC"/>
    <w:rsid w:val="00CE5973"/>
    <w:rsid w:val="00CE6DB3"/>
    <w:rsid w:val="00CE76DC"/>
    <w:rsid w:val="00CF1207"/>
    <w:rsid w:val="00CF1F9B"/>
    <w:rsid w:val="00CF2671"/>
    <w:rsid w:val="00CF30B9"/>
    <w:rsid w:val="00CF4455"/>
    <w:rsid w:val="00CF44D2"/>
    <w:rsid w:val="00CF4A83"/>
    <w:rsid w:val="00CF4B9A"/>
    <w:rsid w:val="00CF4E6E"/>
    <w:rsid w:val="00CF53A2"/>
    <w:rsid w:val="00CF54FE"/>
    <w:rsid w:val="00CF64BE"/>
    <w:rsid w:val="00CF65E7"/>
    <w:rsid w:val="00CF67AD"/>
    <w:rsid w:val="00CF6EEC"/>
    <w:rsid w:val="00CF705F"/>
    <w:rsid w:val="00D0018B"/>
    <w:rsid w:val="00D00426"/>
    <w:rsid w:val="00D00996"/>
    <w:rsid w:val="00D02BD5"/>
    <w:rsid w:val="00D02F3F"/>
    <w:rsid w:val="00D03BE1"/>
    <w:rsid w:val="00D03C22"/>
    <w:rsid w:val="00D03DFC"/>
    <w:rsid w:val="00D03F96"/>
    <w:rsid w:val="00D04AE6"/>
    <w:rsid w:val="00D0525D"/>
    <w:rsid w:val="00D055EE"/>
    <w:rsid w:val="00D05A3B"/>
    <w:rsid w:val="00D06210"/>
    <w:rsid w:val="00D076F6"/>
    <w:rsid w:val="00D07860"/>
    <w:rsid w:val="00D111AF"/>
    <w:rsid w:val="00D1141F"/>
    <w:rsid w:val="00D11928"/>
    <w:rsid w:val="00D11AD7"/>
    <w:rsid w:val="00D123A7"/>
    <w:rsid w:val="00D12B88"/>
    <w:rsid w:val="00D130C0"/>
    <w:rsid w:val="00D13431"/>
    <w:rsid w:val="00D1349F"/>
    <w:rsid w:val="00D13B40"/>
    <w:rsid w:val="00D14018"/>
    <w:rsid w:val="00D1446B"/>
    <w:rsid w:val="00D15AA2"/>
    <w:rsid w:val="00D17C0F"/>
    <w:rsid w:val="00D17E04"/>
    <w:rsid w:val="00D201D8"/>
    <w:rsid w:val="00D2052D"/>
    <w:rsid w:val="00D20641"/>
    <w:rsid w:val="00D20870"/>
    <w:rsid w:val="00D20B0B"/>
    <w:rsid w:val="00D20F16"/>
    <w:rsid w:val="00D21261"/>
    <w:rsid w:val="00D21D02"/>
    <w:rsid w:val="00D22BA4"/>
    <w:rsid w:val="00D22D74"/>
    <w:rsid w:val="00D22F0B"/>
    <w:rsid w:val="00D234FE"/>
    <w:rsid w:val="00D23690"/>
    <w:rsid w:val="00D23931"/>
    <w:rsid w:val="00D23C53"/>
    <w:rsid w:val="00D24972"/>
    <w:rsid w:val="00D24D23"/>
    <w:rsid w:val="00D24E3A"/>
    <w:rsid w:val="00D2545A"/>
    <w:rsid w:val="00D25946"/>
    <w:rsid w:val="00D259FA"/>
    <w:rsid w:val="00D2667E"/>
    <w:rsid w:val="00D268D6"/>
    <w:rsid w:val="00D26F42"/>
    <w:rsid w:val="00D27A2A"/>
    <w:rsid w:val="00D27E4E"/>
    <w:rsid w:val="00D30742"/>
    <w:rsid w:val="00D30827"/>
    <w:rsid w:val="00D30E60"/>
    <w:rsid w:val="00D30F9E"/>
    <w:rsid w:val="00D313DD"/>
    <w:rsid w:val="00D31800"/>
    <w:rsid w:val="00D31BD7"/>
    <w:rsid w:val="00D31BDC"/>
    <w:rsid w:val="00D31D4C"/>
    <w:rsid w:val="00D321FD"/>
    <w:rsid w:val="00D324CF"/>
    <w:rsid w:val="00D32519"/>
    <w:rsid w:val="00D33AB1"/>
    <w:rsid w:val="00D3426A"/>
    <w:rsid w:val="00D347A5"/>
    <w:rsid w:val="00D34BAA"/>
    <w:rsid w:val="00D34C49"/>
    <w:rsid w:val="00D34CEF"/>
    <w:rsid w:val="00D35238"/>
    <w:rsid w:val="00D3556B"/>
    <w:rsid w:val="00D355F9"/>
    <w:rsid w:val="00D35842"/>
    <w:rsid w:val="00D36330"/>
    <w:rsid w:val="00D363C3"/>
    <w:rsid w:val="00D37030"/>
    <w:rsid w:val="00D3708D"/>
    <w:rsid w:val="00D373D2"/>
    <w:rsid w:val="00D37E29"/>
    <w:rsid w:val="00D4049A"/>
    <w:rsid w:val="00D41FD5"/>
    <w:rsid w:val="00D42151"/>
    <w:rsid w:val="00D428DC"/>
    <w:rsid w:val="00D429DB"/>
    <w:rsid w:val="00D42A28"/>
    <w:rsid w:val="00D43388"/>
    <w:rsid w:val="00D433B4"/>
    <w:rsid w:val="00D4462E"/>
    <w:rsid w:val="00D4483B"/>
    <w:rsid w:val="00D44BFE"/>
    <w:rsid w:val="00D45A1F"/>
    <w:rsid w:val="00D45EEE"/>
    <w:rsid w:val="00D461AF"/>
    <w:rsid w:val="00D465CF"/>
    <w:rsid w:val="00D472B9"/>
    <w:rsid w:val="00D4791A"/>
    <w:rsid w:val="00D47BC1"/>
    <w:rsid w:val="00D47C83"/>
    <w:rsid w:val="00D50002"/>
    <w:rsid w:val="00D501CE"/>
    <w:rsid w:val="00D510FE"/>
    <w:rsid w:val="00D51E8D"/>
    <w:rsid w:val="00D52254"/>
    <w:rsid w:val="00D52525"/>
    <w:rsid w:val="00D526CF"/>
    <w:rsid w:val="00D52B7F"/>
    <w:rsid w:val="00D53008"/>
    <w:rsid w:val="00D53CE8"/>
    <w:rsid w:val="00D542FC"/>
    <w:rsid w:val="00D54915"/>
    <w:rsid w:val="00D54B5E"/>
    <w:rsid w:val="00D5548E"/>
    <w:rsid w:val="00D566CE"/>
    <w:rsid w:val="00D56F7E"/>
    <w:rsid w:val="00D57028"/>
    <w:rsid w:val="00D604C2"/>
    <w:rsid w:val="00D6105A"/>
    <w:rsid w:val="00D6132B"/>
    <w:rsid w:val="00D61808"/>
    <w:rsid w:val="00D62EE0"/>
    <w:rsid w:val="00D63433"/>
    <w:rsid w:val="00D63E91"/>
    <w:rsid w:val="00D64F3A"/>
    <w:rsid w:val="00D65121"/>
    <w:rsid w:val="00D6550B"/>
    <w:rsid w:val="00D662EF"/>
    <w:rsid w:val="00D6703D"/>
    <w:rsid w:val="00D677E3"/>
    <w:rsid w:val="00D67C54"/>
    <w:rsid w:val="00D67D22"/>
    <w:rsid w:val="00D70039"/>
    <w:rsid w:val="00D7066A"/>
    <w:rsid w:val="00D70889"/>
    <w:rsid w:val="00D70CC9"/>
    <w:rsid w:val="00D71370"/>
    <w:rsid w:val="00D71791"/>
    <w:rsid w:val="00D71871"/>
    <w:rsid w:val="00D7197E"/>
    <w:rsid w:val="00D71B09"/>
    <w:rsid w:val="00D722FF"/>
    <w:rsid w:val="00D72312"/>
    <w:rsid w:val="00D72B04"/>
    <w:rsid w:val="00D72B5A"/>
    <w:rsid w:val="00D72F7C"/>
    <w:rsid w:val="00D7308B"/>
    <w:rsid w:val="00D7340E"/>
    <w:rsid w:val="00D73738"/>
    <w:rsid w:val="00D73B9C"/>
    <w:rsid w:val="00D73C73"/>
    <w:rsid w:val="00D73F97"/>
    <w:rsid w:val="00D75D69"/>
    <w:rsid w:val="00D76B97"/>
    <w:rsid w:val="00D76D0B"/>
    <w:rsid w:val="00D7709B"/>
    <w:rsid w:val="00D77D36"/>
    <w:rsid w:val="00D77E11"/>
    <w:rsid w:val="00D800F2"/>
    <w:rsid w:val="00D81F71"/>
    <w:rsid w:val="00D82043"/>
    <w:rsid w:val="00D822AB"/>
    <w:rsid w:val="00D82FD5"/>
    <w:rsid w:val="00D84DE7"/>
    <w:rsid w:val="00D84F0F"/>
    <w:rsid w:val="00D850F7"/>
    <w:rsid w:val="00D8574A"/>
    <w:rsid w:val="00D8599B"/>
    <w:rsid w:val="00D8604D"/>
    <w:rsid w:val="00D867C8"/>
    <w:rsid w:val="00D867E3"/>
    <w:rsid w:val="00D86A7F"/>
    <w:rsid w:val="00D906CA"/>
    <w:rsid w:val="00D9087D"/>
    <w:rsid w:val="00D913B4"/>
    <w:rsid w:val="00D91456"/>
    <w:rsid w:val="00D938E8"/>
    <w:rsid w:val="00D93B1E"/>
    <w:rsid w:val="00D93E56"/>
    <w:rsid w:val="00D94438"/>
    <w:rsid w:val="00D9457E"/>
    <w:rsid w:val="00D9484B"/>
    <w:rsid w:val="00D953AD"/>
    <w:rsid w:val="00D968F6"/>
    <w:rsid w:val="00D96A82"/>
    <w:rsid w:val="00D974C0"/>
    <w:rsid w:val="00D97B25"/>
    <w:rsid w:val="00DA1092"/>
    <w:rsid w:val="00DA1CDC"/>
    <w:rsid w:val="00DA2FD6"/>
    <w:rsid w:val="00DA4293"/>
    <w:rsid w:val="00DA543E"/>
    <w:rsid w:val="00DA5580"/>
    <w:rsid w:val="00DA5FA9"/>
    <w:rsid w:val="00DA6194"/>
    <w:rsid w:val="00DA6547"/>
    <w:rsid w:val="00DA6601"/>
    <w:rsid w:val="00DA6C37"/>
    <w:rsid w:val="00DA6F28"/>
    <w:rsid w:val="00DA7CC1"/>
    <w:rsid w:val="00DA7D0B"/>
    <w:rsid w:val="00DB08B0"/>
    <w:rsid w:val="00DB0CFE"/>
    <w:rsid w:val="00DB1450"/>
    <w:rsid w:val="00DB1570"/>
    <w:rsid w:val="00DB18DE"/>
    <w:rsid w:val="00DB1932"/>
    <w:rsid w:val="00DB1B4C"/>
    <w:rsid w:val="00DB1C90"/>
    <w:rsid w:val="00DB25A9"/>
    <w:rsid w:val="00DB2A51"/>
    <w:rsid w:val="00DB69AE"/>
    <w:rsid w:val="00DB7240"/>
    <w:rsid w:val="00DC16F5"/>
    <w:rsid w:val="00DC29CA"/>
    <w:rsid w:val="00DC32E7"/>
    <w:rsid w:val="00DC3DEB"/>
    <w:rsid w:val="00DC41A7"/>
    <w:rsid w:val="00DC41BF"/>
    <w:rsid w:val="00DC425E"/>
    <w:rsid w:val="00DC478E"/>
    <w:rsid w:val="00DC4987"/>
    <w:rsid w:val="00DC53BF"/>
    <w:rsid w:val="00DC53EA"/>
    <w:rsid w:val="00DC61E2"/>
    <w:rsid w:val="00DC6BF4"/>
    <w:rsid w:val="00DC6C36"/>
    <w:rsid w:val="00DC7281"/>
    <w:rsid w:val="00DD003F"/>
    <w:rsid w:val="00DD02C9"/>
    <w:rsid w:val="00DD0444"/>
    <w:rsid w:val="00DD0661"/>
    <w:rsid w:val="00DD0BB8"/>
    <w:rsid w:val="00DD0E29"/>
    <w:rsid w:val="00DD0EE3"/>
    <w:rsid w:val="00DD1A75"/>
    <w:rsid w:val="00DD1C20"/>
    <w:rsid w:val="00DD2BA5"/>
    <w:rsid w:val="00DD30F3"/>
    <w:rsid w:val="00DD3408"/>
    <w:rsid w:val="00DD3633"/>
    <w:rsid w:val="00DD3AB1"/>
    <w:rsid w:val="00DD431F"/>
    <w:rsid w:val="00DD536C"/>
    <w:rsid w:val="00DD58D1"/>
    <w:rsid w:val="00DD5F01"/>
    <w:rsid w:val="00DD6651"/>
    <w:rsid w:val="00DD696A"/>
    <w:rsid w:val="00DD6F3F"/>
    <w:rsid w:val="00DD7C7A"/>
    <w:rsid w:val="00DE0416"/>
    <w:rsid w:val="00DE0785"/>
    <w:rsid w:val="00DE08AF"/>
    <w:rsid w:val="00DE08D6"/>
    <w:rsid w:val="00DE130B"/>
    <w:rsid w:val="00DE14C5"/>
    <w:rsid w:val="00DE1E9A"/>
    <w:rsid w:val="00DE316D"/>
    <w:rsid w:val="00DE3537"/>
    <w:rsid w:val="00DE39DB"/>
    <w:rsid w:val="00DE3F72"/>
    <w:rsid w:val="00DE42F4"/>
    <w:rsid w:val="00DE474F"/>
    <w:rsid w:val="00DE542B"/>
    <w:rsid w:val="00DE599A"/>
    <w:rsid w:val="00DE5D6A"/>
    <w:rsid w:val="00DE5FC8"/>
    <w:rsid w:val="00DE62CB"/>
    <w:rsid w:val="00DE6D17"/>
    <w:rsid w:val="00DE6F6D"/>
    <w:rsid w:val="00DE74D7"/>
    <w:rsid w:val="00DE77E6"/>
    <w:rsid w:val="00DE7B8F"/>
    <w:rsid w:val="00DF0382"/>
    <w:rsid w:val="00DF093D"/>
    <w:rsid w:val="00DF1879"/>
    <w:rsid w:val="00DF1C81"/>
    <w:rsid w:val="00DF2B4F"/>
    <w:rsid w:val="00DF34E5"/>
    <w:rsid w:val="00DF3611"/>
    <w:rsid w:val="00DF3EBE"/>
    <w:rsid w:val="00DF4010"/>
    <w:rsid w:val="00DF5826"/>
    <w:rsid w:val="00DF6183"/>
    <w:rsid w:val="00DF63DB"/>
    <w:rsid w:val="00DF6EDC"/>
    <w:rsid w:val="00DF724B"/>
    <w:rsid w:val="00DF733D"/>
    <w:rsid w:val="00E0005B"/>
    <w:rsid w:val="00E000C6"/>
    <w:rsid w:val="00E00BFE"/>
    <w:rsid w:val="00E013F6"/>
    <w:rsid w:val="00E0188F"/>
    <w:rsid w:val="00E02A3E"/>
    <w:rsid w:val="00E0324E"/>
    <w:rsid w:val="00E0357D"/>
    <w:rsid w:val="00E035E6"/>
    <w:rsid w:val="00E038FC"/>
    <w:rsid w:val="00E0391B"/>
    <w:rsid w:val="00E03B90"/>
    <w:rsid w:val="00E03FFD"/>
    <w:rsid w:val="00E0565F"/>
    <w:rsid w:val="00E056A4"/>
    <w:rsid w:val="00E057D4"/>
    <w:rsid w:val="00E06281"/>
    <w:rsid w:val="00E065E7"/>
    <w:rsid w:val="00E06DDB"/>
    <w:rsid w:val="00E06EF9"/>
    <w:rsid w:val="00E07AD7"/>
    <w:rsid w:val="00E1028A"/>
    <w:rsid w:val="00E105F4"/>
    <w:rsid w:val="00E10B0C"/>
    <w:rsid w:val="00E10B90"/>
    <w:rsid w:val="00E1141B"/>
    <w:rsid w:val="00E11CFA"/>
    <w:rsid w:val="00E12BF5"/>
    <w:rsid w:val="00E13C11"/>
    <w:rsid w:val="00E143DF"/>
    <w:rsid w:val="00E1480E"/>
    <w:rsid w:val="00E14832"/>
    <w:rsid w:val="00E14CCF"/>
    <w:rsid w:val="00E14ED7"/>
    <w:rsid w:val="00E14FEA"/>
    <w:rsid w:val="00E1540D"/>
    <w:rsid w:val="00E158A8"/>
    <w:rsid w:val="00E15B0B"/>
    <w:rsid w:val="00E16069"/>
    <w:rsid w:val="00E16690"/>
    <w:rsid w:val="00E17141"/>
    <w:rsid w:val="00E178E8"/>
    <w:rsid w:val="00E17A8F"/>
    <w:rsid w:val="00E203B9"/>
    <w:rsid w:val="00E206E3"/>
    <w:rsid w:val="00E2080A"/>
    <w:rsid w:val="00E2184D"/>
    <w:rsid w:val="00E23360"/>
    <w:rsid w:val="00E24AA4"/>
    <w:rsid w:val="00E24DC1"/>
    <w:rsid w:val="00E2501E"/>
    <w:rsid w:val="00E250C6"/>
    <w:rsid w:val="00E251A5"/>
    <w:rsid w:val="00E253DD"/>
    <w:rsid w:val="00E256D3"/>
    <w:rsid w:val="00E25A03"/>
    <w:rsid w:val="00E261A6"/>
    <w:rsid w:val="00E263D8"/>
    <w:rsid w:val="00E2686F"/>
    <w:rsid w:val="00E26E9F"/>
    <w:rsid w:val="00E272E1"/>
    <w:rsid w:val="00E276C1"/>
    <w:rsid w:val="00E3064D"/>
    <w:rsid w:val="00E306B9"/>
    <w:rsid w:val="00E30A07"/>
    <w:rsid w:val="00E30D4F"/>
    <w:rsid w:val="00E30D7D"/>
    <w:rsid w:val="00E31D36"/>
    <w:rsid w:val="00E32476"/>
    <w:rsid w:val="00E325F5"/>
    <w:rsid w:val="00E327A4"/>
    <w:rsid w:val="00E32C36"/>
    <w:rsid w:val="00E33BC1"/>
    <w:rsid w:val="00E33F0C"/>
    <w:rsid w:val="00E3406F"/>
    <w:rsid w:val="00E350E5"/>
    <w:rsid w:val="00E35392"/>
    <w:rsid w:val="00E35BAD"/>
    <w:rsid w:val="00E361C4"/>
    <w:rsid w:val="00E3652D"/>
    <w:rsid w:val="00E367DE"/>
    <w:rsid w:val="00E36807"/>
    <w:rsid w:val="00E36A73"/>
    <w:rsid w:val="00E36E81"/>
    <w:rsid w:val="00E36FCF"/>
    <w:rsid w:val="00E37011"/>
    <w:rsid w:val="00E37402"/>
    <w:rsid w:val="00E4081C"/>
    <w:rsid w:val="00E409B1"/>
    <w:rsid w:val="00E40DAD"/>
    <w:rsid w:val="00E4179C"/>
    <w:rsid w:val="00E41C65"/>
    <w:rsid w:val="00E420AB"/>
    <w:rsid w:val="00E420DA"/>
    <w:rsid w:val="00E42238"/>
    <w:rsid w:val="00E4230B"/>
    <w:rsid w:val="00E42634"/>
    <w:rsid w:val="00E42682"/>
    <w:rsid w:val="00E42FEC"/>
    <w:rsid w:val="00E43E7B"/>
    <w:rsid w:val="00E4475A"/>
    <w:rsid w:val="00E44979"/>
    <w:rsid w:val="00E44B59"/>
    <w:rsid w:val="00E44FF9"/>
    <w:rsid w:val="00E4602F"/>
    <w:rsid w:val="00E4659B"/>
    <w:rsid w:val="00E466BC"/>
    <w:rsid w:val="00E46747"/>
    <w:rsid w:val="00E47D9F"/>
    <w:rsid w:val="00E51112"/>
    <w:rsid w:val="00E5196B"/>
    <w:rsid w:val="00E51BCB"/>
    <w:rsid w:val="00E51D0E"/>
    <w:rsid w:val="00E51DAE"/>
    <w:rsid w:val="00E51DCB"/>
    <w:rsid w:val="00E52E1D"/>
    <w:rsid w:val="00E533CE"/>
    <w:rsid w:val="00E53DC6"/>
    <w:rsid w:val="00E53E5F"/>
    <w:rsid w:val="00E5436C"/>
    <w:rsid w:val="00E55C51"/>
    <w:rsid w:val="00E56B02"/>
    <w:rsid w:val="00E56B99"/>
    <w:rsid w:val="00E570A2"/>
    <w:rsid w:val="00E5735F"/>
    <w:rsid w:val="00E5746E"/>
    <w:rsid w:val="00E574A1"/>
    <w:rsid w:val="00E57A99"/>
    <w:rsid w:val="00E600DF"/>
    <w:rsid w:val="00E6019F"/>
    <w:rsid w:val="00E60711"/>
    <w:rsid w:val="00E60BB3"/>
    <w:rsid w:val="00E60FA5"/>
    <w:rsid w:val="00E61124"/>
    <w:rsid w:val="00E612BA"/>
    <w:rsid w:val="00E615D3"/>
    <w:rsid w:val="00E6191F"/>
    <w:rsid w:val="00E61A77"/>
    <w:rsid w:val="00E62677"/>
    <w:rsid w:val="00E632E6"/>
    <w:rsid w:val="00E63D50"/>
    <w:rsid w:val="00E63DDF"/>
    <w:rsid w:val="00E652DC"/>
    <w:rsid w:val="00E654A4"/>
    <w:rsid w:val="00E65A1A"/>
    <w:rsid w:val="00E65DAC"/>
    <w:rsid w:val="00E6665A"/>
    <w:rsid w:val="00E66BAD"/>
    <w:rsid w:val="00E671FB"/>
    <w:rsid w:val="00E67C70"/>
    <w:rsid w:val="00E705B9"/>
    <w:rsid w:val="00E712D2"/>
    <w:rsid w:val="00E71A68"/>
    <w:rsid w:val="00E71E88"/>
    <w:rsid w:val="00E72BC4"/>
    <w:rsid w:val="00E73402"/>
    <w:rsid w:val="00E73467"/>
    <w:rsid w:val="00E73702"/>
    <w:rsid w:val="00E74892"/>
    <w:rsid w:val="00E74CD1"/>
    <w:rsid w:val="00E75626"/>
    <w:rsid w:val="00E7564D"/>
    <w:rsid w:val="00E75983"/>
    <w:rsid w:val="00E75DEA"/>
    <w:rsid w:val="00E7646A"/>
    <w:rsid w:val="00E769AB"/>
    <w:rsid w:val="00E7744B"/>
    <w:rsid w:val="00E77460"/>
    <w:rsid w:val="00E77577"/>
    <w:rsid w:val="00E77FCC"/>
    <w:rsid w:val="00E800B0"/>
    <w:rsid w:val="00E80333"/>
    <w:rsid w:val="00E80612"/>
    <w:rsid w:val="00E80CE8"/>
    <w:rsid w:val="00E80DE2"/>
    <w:rsid w:val="00E81586"/>
    <w:rsid w:val="00E81837"/>
    <w:rsid w:val="00E81A13"/>
    <w:rsid w:val="00E83448"/>
    <w:rsid w:val="00E83719"/>
    <w:rsid w:val="00E859FB"/>
    <w:rsid w:val="00E85A2A"/>
    <w:rsid w:val="00E8650F"/>
    <w:rsid w:val="00E86750"/>
    <w:rsid w:val="00E86E66"/>
    <w:rsid w:val="00E878D7"/>
    <w:rsid w:val="00E919C2"/>
    <w:rsid w:val="00E920FC"/>
    <w:rsid w:val="00E926E0"/>
    <w:rsid w:val="00E92EB4"/>
    <w:rsid w:val="00E93089"/>
    <w:rsid w:val="00E930DB"/>
    <w:rsid w:val="00E93279"/>
    <w:rsid w:val="00E934B1"/>
    <w:rsid w:val="00E9393C"/>
    <w:rsid w:val="00E93AC2"/>
    <w:rsid w:val="00E941DA"/>
    <w:rsid w:val="00E9487A"/>
    <w:rsid w:val="00E957EA"/>
    <w:rsid w:val="00E95DDF"/>
    <w:rsid w:val="00E96F1C"/>
    <w:rsid w:val="00E971CA"/>
    <w:rsid w:val="00E9751B"/>
    <w:rsid w:val="00E97683"/>
    <w:rsid w:val="00EA0676"/>
    <w:rsid w:val="00EA0AFE"/>
    <w:rsid w:val="00EA0EA7"/>
    <w:rsid w:val="00EA1342"/>
    <w:rsid w:val="00EA1C27"/>
    <w:rsid w:val="00EA1E69"/>
    <w:rsid w:val="00EA22F7"/>
    <w:rsid w:val="00EA2556"/>
    <w:rsid w:val="00EA2579"/>
    <w:rsid w:val="00EA2FE3"/>
    <w:rsid w:val="00EA316F"/>
    <w:rsid w:val="00EA3E95"/>
    <w:rsid w:val="00EA40B2"/>
    <w:rsid w:val="00EA4516"/>
    <w:rsid w:val="00EA4538"/>
    <w:rsid w:val="00EA4922"/>
    <w:rsid w:val="00EA4E09"/>
    <w:rsid w:val="00EA5311"/>
    <w:rsid w:val="00EA59F5"/>
    <w:rsid w:val="00EB089D"/>
    <w:rsid w:val="00EB0CB6"/>
    <w:rsid w:val="00EB10EF"/>
    <w:rsid w:val="00EB241A"/>
    <w:rsid w:val="00EB29D8"/>
    <w:rsid w:val="00EB3774"/>
    <w:rsid w:val="00EB4614"/>
    <w:rsid w:val="00EB4E0C"/>
    <w:rsid w:val="00EB4EDF"/>
    <w:rsid w:val="00EB593C"/>
    <w:rsid w:val="00EB5AE9"/>
    <w:rsid w:val="00EB5F03"/>
    <w:rsid w:val="00EB6709"/>
    <w:rsid w:val="00EB6830"/>
    <w:rsid w:val="00EC079E"/>
    <w:rsid w:val="00EC0CC1"/>
    <w:rsid w:val="00EC0FCB"/>
    <w:rsid w:val="00EC0FF9"/>
    <w:rsid w:val="00EC1492"/>
    <w:rsid w:val="00EC20E7"/>
    <w:rsid w:val="00EC21AC"/>
    <w:rsid w:val="00EC2841"/>
    <w:rsid w:val="00EC2904"/>
    <w:rsid w:val="00EC43E6"/>
    <w:rsid w:val="00EC5129"/>
    <w:rsid w:val="00EC529E"/>
    <w:rsid w:val="00EC5307"/>
    <w:rsid w:val="00EC5650"/>
    <w:rsid w:val="00EC579B"/>
    <w:rsid w:val="00EC5A1A"/>
    <w:rsid w:val="00EC6724"/>
    <w:rsid w:val="00EC683A"/>
    <w:rsid w:val="00EC6F9B"/>
    <w:rsid w:val="00EC757C"/>
    <w:rsid w:val="00EC7DB4"/>
    <w:rsid w:val="00ED00C1"/>
    <w:rsid w:val="00ED0223"/>
    <w:rsid w:val="00ED030C"/>
    <w:rsid w:val="00ED0A12"/>
    <w:rsid w:val="00ED0A48"/>
    <w:rsid w:val="00ED0DFF"/>
    <w:rsid w:val="00ED100A"/>
    <w:rsid w:val="00ED10FC"/>
    <w:rsid w:val="00ED2DF5"/>
    <w:rsid w:val="00ED3C8C"/>
    <w:rsid w:val="00ED5289"/>
    <w:rsid w:val="00ED5D45"/>
    <w:rsid w:val="00ED6922"/>
    <w:rsid w:val="00ED6DB0"/>
    <w:rsid w:val="00ED7204"/>
    <w:rsid w:val="00ED762F"/>
    <w:rsid w:val="00EE0473"/>
    <w:rsid w:val="00EE1917"/>
    <w:rsid w:val="00EE1DD8"/>
    <w:rsid w:val="00EE21CE"/>
    <w:rsid w:val="00EE2FEC"/>
    <w:rsid w:val="00EE3916"/>
    <w:rsid w:val="00EE40B7"/>
    <w:rsid w:val="00EE4126"/>
    <w:rsid w:val="00EE4D94"/>
    <w:rsid w:val="00EE4E8F"/>
    <w:rsid w:val="00EE4FA6"/>
    <w:rsid w:val="00EE544E"/>
    <w:rsid w:val="00EE63AD"/>
    <w:rsid w:val="00EE6911"/>
    <w:rsid w:val="00EE7D78"/>
    <w:rsid w:val="00EE7FE4"/>
    <w:rsid w:val="00EF0318"/>
    <w:rsid w:val="00EF0348"/>
    <w:rsid w:val="00EF079A"/>
    <w:rsid w:val="00EF11BF"/>
    <w:rsid w:val="00EF19FB"/>
    <w:rsid w:val="00EF2EE9"/>
    <w:rsid w:val="00EF35AE"/>
    <w:rsid w:val="00EF38BF"/>
    <w:rsid w:val="00EF4359"/>
    <w:rsid w:val="00EF5222"/>
    <w:rsid w:val="00EF52B0"/>
    <w:rsid w:val="00EF5321"/>
    <w:rsid w:val="00EF537B"/>
    <w:rsid w:val="00EF5EB7"/>
    <w:rsid w:val="00EF63F8"/>
    <w:rsid w:val="00F001FB"/>
    <w:rsid w:val="00F00CA1"/>
    <w:rsid w:val="00F010CB"/>
    <w:rsid w:val="00F01598"/>
    <w:rsid w:val="00F01689"/>
    <w:rsid w:val="00F01825"/>
    <w:rsid w:val="00F01E11"/>
    <w:rsid w:val="00F01E14"/>
    <w:rsid w:val="00F02123"/>
    <w:rsid w:val="00F02414"/>
    <w:rsid w:val="00F026FB"/>
    <w:rsid w:val="00F02B37"/>
    <w:rsid w:val="00F031B0"/>
    <w:rsid w:val="00F03DAE"/>
    <w:rsid w:val="00F0469B"/>
    <w:rsid w:val="00F04DA2"/>
    <w:rsid w:val="00F06367"/>
    <w:rsid w:val="00F071A5"/>
    <w:rsid w:val="00F07665"/>
    <w:rsid w:val="00F07672"/>
    <w:rsid w:val="00F07D52"/>
    <w:rsid w:val="00F07EC5"/>
    <w:rsid w:val="00F07FD5"/>
    <w:rsid w:val="00F105CC"/>
    <w:rsid w:val="00F10875"/>
    <w:rsid w:val="00F11510"/>
    <w:rsid w:val="00F12A71"/>
    <w:rsid w:val="00F138F1"/>
    <w:rsid w:val="00F13BB0"/>
    <w:rsid w:val="00F13C9D"/>
    <w:rsid w:val="00F1462C"/>
    <w:rsid w:val="00F1483A"/>
    <w:rsid w:val="00F157D4"/>
    <w:rsid w:val="00F15C62"/>
    <w:rsid w:val="00F15E3F"/>
    <w:rsid w:val="00F15ED3"/>
    <w:rsid w:val="00F16A14"/>
    <w:rsid w:val="00F16A20"/>
    <w:rsid w:val="00F16F86"/>
    <w:rsid w:val="00F171C3"/>
    <w:rsid w:val="00F1792D"/>
    <w:rsid w:val="00F17B36"/>
    <w:rsid w:val="00F20180"/>
    <w:rsid w:val="00F2043D"/>
    <w:rsid w:val="00F20ED2"/>
    <w:rsid w:val="00F20F92"/>
    <w:rsid w:val="00F2222A"/>
    <w:rsid w:val="00F227F8"/>
    <w:rsid w:val="00F2398A"/>
    <w:rsid w:val="00F24032"/>
    <w:rsid w:val="00F241B9"/>
    <w:rsid w:val="00F24996"/>
    <w:rsid w:val="00F249B3"/>
    <w:rsid w:val="00F24CB9"/>
    <w:rsid w:val="00F26027"/>
    <w:rsid w:val="00F275C4"/>
    <w:rsid w:val="00F3015C"/>
    <w:rsid w:val="00F30254"/>
    <w:rsid w:val="00F3068C"/>
    <w:rsid w:val="00F30799"/>
    <w:rsid w:val="00F30EB2"/>
    <w:rsid w:val="00F31328"/>
    <w:rsid w:val="00F31786"/>
    <w:rsid w:val="00F32152"/>
    <w:rsid w:val="00F336ED"/>
    <w:rsid w:val="00F34162"/>
    <w:rsid w:val="00F3543B"/>
    <w:rsid w:val="00F35722"/>
    <w:rsid w:val="00F35E27"/>
    <w:rsid w:val="00F36093"/>
    <w:rsid w:val="00F363A2"/>
    <w:rsid w:val="00F36636"/>
    <w:rsid w:val="00F3669A"/>
    <w:rsid w:val="00F36796"/>
    <w:rsid w:val="00F36A05"/>
    <w:rsid w:val="00F371D4"/>
    <w:rsid w:val="00F376F1"/>
    <w:rsid w:val="00F37972"/>
    <w:rsid w:val="00F40218"/>
    <w:rsid w:val="00F408E9"/>
    <w:rsid w:val="00F40EB6"/>
    <w:rsid w:val="00F410A7"/>
    <w:rsid w:val="00F42B35"/>
    <w:rsid w:val="00F4314E"/>
    <w:rsid w:val="00F432B2"/>
    <w:rsid w:val="00F432D8"/>
    <w:rsid w:val="00F4340A"/>
    <w:rsid w:val="00F4423D"/>
    <w:rsid w:val="00F44986"/>
    <w:rsid w:val="00F45191"/>
    <w:rsid w:val="00F45FC8"/>
    <w:rsid w:val="00F461FF"/>
    <w:rsid w:val="00F46331"/>
    <w:rsid w:val="00F4640C"/>
    <w:rsid w:val="00F46552"/>
    <w:rsid w:val="00F47440"/>
    <w:rsid w:val="00F47711"/>
    <w:rsid w:val="00F47750"/>
    <w:rsid w:val="00F47891"/>
    <w:rsid w:val="00F514DA"/>
    <w:rsid w:val="00F52086"/>
    <w:rsid w:val="00F5235E"/>
    <w:rsid w:val="00F53A9A"/>
    <w:rsid w:val="00F53FC5"/>
    <w:rsid w:val="00F54754"/>
    <w:rsid w:val="00F54B23"/>
    <w:rsid w:val="00F54BED"/>
    <w:rsid w:val="00F55136"/>
    <w:rsid w:val="00F556BC"/>
    <w:rsid w:val="00F55B0A"/>
    <w:rsid w:val="00F55D62"/>
    <w:rsid w:val="00F560A0"/>
    <w:rsid w:val="00F561E1"/>
    <w:rsid w:val="00F56BB0"/>
    <w:rsid w:val="00F5771C"/>
    <w:rsid w:val="00F5778B"/>
    <w:rsid w:val="00F57B60"/>
    <w:rsid w:val="00F60B78"/>
    <w:rsid w:val="00F620A2"/>
    <w:rsid w:val="00F62801"/>
    <w:rsid w:val="00F62CD1"/>
    <w:rsid w:val="00F637BB"/>
    <w:rsid w:val="00F63E9A"/>
    <w:rsid w:val="00F64856"/>
    <w:rsid w:val="00F64BA4"/>
    <w:rsid w:val="00F650CE"/>
    <w:rsid w:val="00F65869"/>
    <w:rsid w:val="00F65FE7"/>
    <w:rsid w:val="00F666CB"/>
    <w:rsid w:val="00F6685D"/>
    <w:rsid w:val="00F67B73"/>
    <w:rsid w:val="00F67D2C"/>
    <w:rsid w:val="00F67E37"/>
    <w:rsid w:val="00F70A4A"/>
    <w:rsid w:val="00F70D97"/>
    <w:rsid w:val="00F713F7"/>
    <w:rsid w:val="00F7150D"/>
    <w:rsid w:val="00F71D06"/>
    <w:rsid w:val="00F71F48"/>
    <w:rsid w:val="00F724A8"/>
    <w:rsid w:val="00F72E1D"/>
    <w:rsid w:val="00F7302F"/>
    <w:rsid w:val="00F73527"/>
    <w:rsid w:val="00F736CE"/>
    <w:rsid w:val="00F73F08"/>
    <w:rsid w:val="00F74174"/>
    <w:rsid w:val="00F75775"/>
    <w:rsid w:val="00F75FE8"/>
    <w:rsid w:val="00F7645A"/>
    <w:rsid w:val="00F76A01"/>
    <w:rsid w:val="00F76C9C"/>
    <w:rsid w:val="00F76F0D"/>
    <w:rsid w:val="00F7718E"/>
    <w:rsid w:val="00F77AF9"/>
    <w:rsid w:val="00F801D3"/>
    <w:rsid w:val="00F80884"/>
    <w:rsid w:val="00F80BDE"/>
    <w:rsid w:val="00F80C9D"/>
    <w:rsid w:val="00F81320"/>
    <w:rsid w:val="00F81C06"/>
    <w:rsid w:val="00F824F9"/>
    <w:rsid w:val="00F830C5"/>
    <w:rsid w:val="00F83585"/>
    <w:rsid w:val="00F8407C"/>
    <w:rsid w:val="00F8452C"/>
    <w:rsid w:val="00F852A6"/>
    <w:rsid w:val="00F855E1"/>
    <w:rsid w:val="00F867ED"/>
    <w:rsid w:val="00F86825"/>
    <w:rsid w:val="00F86F54"/>
    <w:rsid w:val="00F875D6"/>
    <w:rsid w:val="00F917C4"/>
    <w:rsid w:val="00F91E4B"/>
    <w:rsid w:val="00F92341"/>
    <w:rsid w:val="00F92629"/>
    <w:rsid w:val="00F928DE"/>
    <w:rsid w:val="00F92E80"/>
    <w:rsid w:val="00F93BA1"/>
    <w:rsid w:val="00F94382"/>
    <w:rsid w:val="00F94511"/>
    <w:rsid w:val="00F948B4"/>
    <w:rsid w:val="00F94D1A"/>
    <w:rsid w:val="00F95C47"/>
    <w:rsid w:val="00F95F34"/>
    <w:rsid w:val="00F96613"/>
    <w:rsid w:val="00F97E75"/>
    <w:rsid w:val="00FA0F57"/>
    <w:rsid w:val="00FA1923"/>
    <w:rsid w:val="00FA1EE1"/>
    <w:rsid w:val="00FA20B4"/>
    <w:rsid w:val="00FA2867"/>
    <w:rsid w:val="00FA3332"/>
    <w:rsid w:val="00FA380C"/>
    <w:rsid w:val="00FA476A"/>
    <w:rsid w:val="00FA4876"/>
    <w:rsid w:val="00FA4E3E"/>
    <w:rsid w:val="00FA59EB"/>
    <w:rsid w:val="00FA65B4"/>
    <w:rsid w:val="00FA666F"/>
    <w:rsid w:val="00FA66CE"/>
    <w:rsid w:val="00FA6BDD"/>
    <w:rsid w:val="00FA6DF8"/>
    <w:rsid w:val="00FA7C4F"/>
    <w:rsid w:val="00FA7D22"/>
    <w:rsid w:val="00FB041E"/>
    <w:rsid w:val="00FB050B"/>
    <w:rsid w:val="00FB0F0A"/>
    <w:rsid w:val="00FB169D"/>
    <w:rsid w:val="00FB1CDE"/>
    <w:rsid w:val="00FB3376"/>
    <w:rsid w:val="00FB34A2"/>
    <w:rsid w:val="00FB38A5"/>
    <w:rsid w:val="00FB398A"/>
    <w:rsid w:val="00FB410A"/>
    <w:rsid w:val="00FB4293"/>
    <w:rsid w:val="00FB44CC"/>
    <w:rsid w:val="00FB5611"/>
    <w:rsid w:val="00FB56C3"/>
    <w:rsid w:val="00FB5B57"/>
    <w:rsid w:val="00FB5BED"/>
    <w:rsid w:val="00FB6156"/>
    <w:rsid w:val="00FB7154"/>
    <w:rsid w:val="00FB75EB"/>
    <w:rsid w:val="00FB7A5B"/>
    <w:rsid w:val="00FB7C90"/>
    <w:rsid w:val="00FB7D27"/>
    <w:rsid w:val="00FB7E86"/>
    <w:rsid w:val="00FC0318"/>
    <w:rsid w:val="00FC0602"/>
    <w:rsid w:val="00FC0EF5"/>
    <w:rsid w:val="00FC17FC"/>
    <w:rsid w:val="00FC1973"/>
    <w:rsid w:val="00FC1C30"/>
    <w:rsid w:val="00FC1F6F"/>
    <w:rsid w:val="00FC20FD"/>
    <w:rsid w:val="00FC248E"/>
    <w:rsid w:val="00FC2C79"/>
    <w:rsid w:val="00FC3F14"/>
    <w:rsid w:val="00FC4074"/>
    <w:rsid w:val="00FC452B"/>
    <w:rsid w:val="00FC4F83"/>
    <w:rsid w:val="00FC52BF"/>
    <w:rsid w:val="00FC5844"/>
    <w:rsid w:val="00FC5993"/>
    <w:rsid w:val="00FC6707"/>
    <w:rsid w:val="00FC675A"/>
    <w:rsid w:val="00FC6848"/>
    <w:rsid w:val="00FC68DE"/>
    <w:rsid w:val="00FC69C6"/>
    <w:rsid w:val="00FC75E2"/>
    <w:rsid w:val="00FC79B5"/>
    <w:rsid w:val="00FC7DC2"/>
    <w:rsid w:val="00FC7F21"/>
    <w:rsid w:val="00FD0175"/>
    <w:rsid w:val="00FD02DF"/>
    <w:rsid w:val="00FD06BA"/>
    <w:rsid w:val="00FD06E1"/>
    <w:rsid w:val="00FD157E"/>
    <w:rsid w:val="00FD15E3"/>
    <w:rsid w:val="00FD1FD1"/>
    <w:rsid w:val="00FD25B7"/>
    <w:rsid w:val="00FD2D38"/>
    <w:rsid w:val="00FD2E0B"/>
    <w:rsid w:val="00FD3577"/>
    <w:rsid w:val="00FD4398"/>
    <w:rsid w:val="00FD4FD3"/>
    <w:rsid w:val="00FD5241"/>
    <w:rsid w:val="00FD5505"/>
    <w:rsid w:val="00FD555B"/>
    <w:rsid w:val="00FD5ED3"/>
    <w:rsid w:val="00FD7539"/>
    <w:rsid w:val="00FD754B"/>
    <w:rsid w:val="00FD7586"/>
    <w:rsid w:val="00FD76DF"/>
    <w:rsid w:val="00FD7C64"/>
    <w:rsid w:val="00FD7E7E"/>
    <w:rsid w:val="00FE0220"/>
    <w:rsid w:val="00FE098E"/>
    <w:rsid w:val="00FE2750"/>
    <w:rsid w:val="00FE2D75"/>
    <w:rsid w:val="00FE3050"/>
    <w:rsid w:val="00FE37C5"/>
    <w:rsid w:val="00FE3AC5"/>
    <w:rsid w:val="00FE3DDB"/>
    <w:rsid w:val="00FE44C2"/>
    <w:rsid w:val="00FE4C97"/>
    <w:rsid w:val="00FE5318"/>
    <w:rsid w:val="00FE55B5"/>
    <w:rsid w:val="00FE59C3"/>
    <w:rsid w:val="00FE5A8B"/>
    <w:rsid w:val="00FE6680"/>
    <w:rsid w:val="00FE67F2"/>
    <w:rsid w:val="00FE681A"/>
    <w:rsid w:val="00FE7603"/>
    <w:rsid w:val="00FE7903"/>
    <w:rsid w:val="00FF06EA"/>
    <w:rsid w:val="00FF07E4"/>
    <w:rsid w:val="00FF09E8"/>
    <w:rsid w:val="00FF0BB4"/>
    <w:rsid w:val="00FF123E"/>
    <w:rsid w:val="00FF1AFA"/>
    <w:rsid w:val="00FF310D"/>
    <w:rsid w:val="00FF4359"/>
    <w:rsid w:val="00FF46CF"/>
    <w:rsid w:val="00FF532B"/>
    <w:rsid w:val="00FF5769"/>
    <w:rsid w:val="00FF5995"/>
    <w:rsid w:val="00FF5C2A"/>
    <w:rsid w:val="00FF5CDC"/>
    <w:rsid w:val="00FF684C"/>
    <w:rsid w:val="00FF6F66"/>
    <w:rsid w:val="00FF768A"/>
    <w:rsid w:val="00FF7C20"/>
    <w:rsid w:val="00FF7C84"/>
    <w:rsid w:val="00FF7C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731B29D5"/>
  <w15:docId w15:val="{1ADF7A3F-B7FA-42D6-9D74-99D9EADB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BC9"/>
    <w:pPr>
      <w:widowControl w:val="0"/>
    </w:pPr>
    <w:rPr>
      <w:snapToGrid w:val="0"/>
      <w:kern w:val="28"/>
      <w:sz w:val="22"/>
    </w:rPr>
  </w:style>
  <w:style w:type="paragraph" w:styleId="Heading1">
    <w:name w:val="heading 1"/>
    <w:basedOn w:val="Normal"/>
    <w:next w:val="ParaNum"/>
    <w:link w:val="Heading1Char"/>
    <w:qFormat/>
    <w:rsid w:val="003E5B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E5BC9"/>
    <w:pPr>
      <w:keepNext/>
      <w:numPr>
        <w:ilvl w:val="1"/>
        <w:numId w:val="2"/>
      </w:numPr>
      <w:spacing w:after="120"/>
      <w:outlineLvl w:val="1"/>
    </w:pPr>
    <w:rPr>
      <w:b/>
    </w:rPr>
  </w:style>
  <w:style w:type="paragraph" w:styleId="Heading3">
    <w:name w:val="heading 3"/>
    <w:basedOn w:val="Normal"/>
    <w:next w:val="ParaNum"/>
    <w:link w:val="Heading3Char"/>
    <w:qFormat/>
    <w:rsid w:val="003E5BC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E5B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E5BC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E5BC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E5BC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E5B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E5B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E5B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5BC9"/>
  </w:style>
  <w:style w:type="character" w:customStyle="1" w:styleId="Heading1Char">
    <w:name w:val="Heading 1 Char"/>
    <w:basedOn w:val="DefaultParagraphFont"/>
    <w:link w:val="Heading1"/>
    <w:locked/>
    <w:rsid w:val="004A1AB3"/>
    <w:rPr>
      <w:rFonts w:ascii="Times New Roman Bold" w:hAnsi="Times New Roman Bold"/>
      <w:b/>
      <w:caps/>
      <w:snapToGrid w:val="0"/>
      <w:kern w:val="28"/>
      <w:sz w:val="22"/>
    </w:rPr>
  </w:style>
  <w:style w:type="character" w:customStyle="1" w:styleId="Heading2Char">
    <w:name w:val="Heading 2 Char"/>
    <w:basedOn w:val="DefaultParagraphFont"/>
    <w:link w:val="Heading2"/>
    <w:rsid w:val="00883DA1"/>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link w:val="ParaNumCharChar1"/>
    <w:rsid w:val="003E5BC9"/>
    <w:pPr>
      <w:numPr>
        <w:numId w:val="1"/>
      </w:numPr>
      <w:tabs>
        <w:tab w:val="clear" w:pos="1080"/>
        <w:tab w:val="num" w:pos="1440"/>
      </w:tabs>
      <w:spacing w:after="120"/>
    </w:pPr>
  </w:style>
  <w:style w:type="paragraph" w:styleId="EndnoteText">
    <w:name w:val="endnote text"/>
    <w:basedOn w:val="Normal"/>
    <w:link w:val="EndnoteTextChar"/>
    <w:semiHidden/>
    <w:rsid w:val="003E5BC9"/>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3E5BC9"/>
    <w:rPr>
      <w:vertAlign w:val="superscript"/>
    </w:rPr>
  </w:style>
  <w:style w:type="paragraph" w:styleId="FootnoteText">
    <w:name w:val="footnote text"/>
    <w:link w:val="FootnoteTextChar"/>
    <w:rsid w:val="003E5BC9"/>
    <w:pPr>
      <w:spacing w:after="120"/>
    </w:pPr>
  </w:style>
  <w:style w:type="character" w:customStyle="1" w:styleId="FootnoteTextChar">
    <w:name w:val="Footnote Text Char"/>
    <w:basedOn w:val="DefaultParagraphFont"/>
    <w:link w:val="FootnoteText"/>
    <w:locked/>
  </w:style>
  <w:style w:type="character" w:styleId="FootnoteReference">
    <w:name w:val="footnote reference"/>
    <w:rsid w:val="003E5BC9"/>
    <w:rPr>
      <w:rFonts w:ascii="Times New Roman" w:hAnsi="Times New Roman"/>
      <w:dstrike w:val="0"/>
      <w:color w:val="auto"/>
      <w:sz w:val="20"/>
      <w:vertAlign w:val="superscript"/>
    </w:rPr>
  </w:style>
  <w:style w:type="paragraph" w:styleId="TOC1">
    <w:name w:val="toc 1"/>
    <w:basedOn w:val="Normal"/>
    <w:next w:val="Normal"/>
    <w:semiHidden/>
    <w:rsid w:val="003E5B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E5BC9"/>
    <w:pPr>
      <w:tabs>
        <w:tab w:val="left" w:pos="720"/>
        <w:tab w:val="right" w:leader="dot" w:pos="9360"/>
      </w:tabs>
      <w:suppressAutoHyphens/>
      <w:ind w:left="720" w:right="720" w:hanging="360"/>
    </w:pPr>
    <w:rPr>
      <w:noProof/>
    </w:rPr>
  </w:style>
  <w:style w:type="paragraph" w:styleId="TOC3">
    <w:name w:val="toc 3"/>
    <w:basedOn w:val="Normal"/>
    <w:next w:val="Normal"/>
    <w:semiHidden/>
    <w:rsid w:val="003E5B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5B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5B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5B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5B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5B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5B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E5BC9"/>
    <w:pPr>
      <w:tabs>
        <w:tab w:val="right" w:pos="9360"/>
      </w:tabs>
      <w:suppressAutoHyphens/>
    </w:pPr>
  </w:style>
  <w:style w:type="character" w:customStyle="1" w:styleId="EquationCaption">
    <w:name w:val="_Equation Caption"/>
    <w:rsid w:val="003E5BC9"/>
  </w:style>
  <w:style w:type="paragraph" w:styleId="Header">
    <w:name w:val="header"/>
    <w:basedOn w:val="Normal"/>
    <w:link w:val="HeaderChar"/>
    <w:autoRedefine/>
    <w:rsid w:val="003E5BC9"/>
    <w:pPr>
      <w:tabs>
        <w:tab w:val="center" w:pos="4680"/>
        <w:tab w:val="right" w:pos="9360"/>
      </w:tabs>
    </w:pPr>
    <w:rPr>
      <w:b/>
    </w:rPr>
  </w:style>
  <w:style w:type="character" w:customStyle="1" w:styleId="HeaderChar">
    <w:name w:val="Header Char"/>
    <w:basedOn w:val="DefaultParagraphFont"/>
    <w:link w:val="Header"/>
    <w:rPr>
      <w:b/>
      <w:snapToGrid w:val="0"/>
      <w:kern w:val="28"/>
      <w:sz w:val="22"/>
    </w:rPr>
  </w:style>
  <w:style w:type="paragraph" w:styleId="Footer">
    <w:name w:val="footer"/>
    <w:basedOn w:val="Normal"/>
    <w:link w:val="FooterChar"/>
    <w:uiPriority w:val="99"/>
    <w:rsid w:val="003E5BC9"/>
    <w:pPr>
      <w:tabs>
        <w:tab w:val="center" w:pos="4320"/>
        <w:tab w:val="right" w:pos="8640"/>
      </w:tabs>
    </w:pPr>
  </w:style>
  <w:style w:type="character" w:customStyle="1" w:styleId="FooterChar">
    <w:name w:val="Footer Char"/>
    <w:link w:val="Footer"/>
    <w:uiPriority w:val="99"/>
    <w:locked/>
    <w:rsid w:val="003E5BC9"/>
    <w:rPr>
      <w:snapToGrid w:val="0"/>
      <w:kern w:val="28"/>
      <w:sz w:val="22"/>
    </w:rPr>
  </w:style>
  <w:style w:type="character" w:styleId="PageNumber">
    <w:name w:val="page number"/>
    <w:basedOn w:val="DefaultParagraphFont"/>
    <w:rsid w:val="003E5BC9"/>
  </w:style>
  <w:style w:type="paragraph" w:styleId="BlockText">
    <w:name w:val="Block Text"/>
    <w:basedOn w:val="Normal"/>
    <w:rsid w:val="003E5BC9"/>
    <w:pPr>
      <w:spacing w:after="240"/>
      <w:ind w:left="1440" w:right="1440"/>
    </w:pPr>
  </w:style>
  <w:style w:type="paragraph" w:customStyle="1" w:styleId="Paratitle">
    <w:name w:val="Para title"/>
    <w:basedOn w:val="Normal"/>
    <w:rsid w:val="003E5BC9"/>
    <w:pPr>
      <w:tabs>
        <w:tab w:val="center" w:pos="9270"/>
      </w:tabs>
      <w:spacing w:after="240"/>
    </w:pPr>
    <w:rPr>
      <w:spacing w:val="-2"/>
    </w:rPr>
  </w:style>
  <w:style w:type="paragraph" w:customStyle="1" w:styleId="Bullet">
    <w:name w:val="Bullet"/>
    <w:basedOn w:val="Normal"/>
    <w:rsid w:val="003E5BC9"/>
    <w:pPr>
      <w:tabs>
        <w:tab w:val="left" w:pos="2160"/>
      </w:tabs>
      <w:spacing w:after="220"/>
      <w:ind w:left="2160" w:hanging="720"/>
    </w:pPr>
  </w:style>
  <w:style w:type="paragraph" w:customStyle="1" w:styleId="TableFormat">
    <w:name w:val="TableFormat"/>
    <w:basedOn w:val="Bullet"/>
    <w:rsid w:val="003E5BC9"/>
    <w:pPr>
      <w:tabs>
        <w:tab w:val="clear" w:pos="2160"/>
        <w:tab w:val="left" w:pos="5040"/>
      </w:tabs>
      <w:ind w:left="5040" w:hanging="3600"/>
    </w:pPr>
  </w:style>
  <w:style w:type="paragraph" w:customStyle="1" w:styleId="TOCTitle">
    <w:name w:val="TOC Title"/>
    <w:basedOn w:val="Normal"/>
    <w:rsid w:val="003E5B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5BC9"/>
    <w:pPr>
      <w:jc w:val="center"/>
    </w:pPr>
    <w:rPr>
      <w:rFonts w:ascii="Times New Roman Bold" w:hAnsi="Times New Roman Bold"/>
      <w:b/>
      <w:bCs/>
      <w:caps/>
      <w:szCs w:val="22"/>
    </w:rPr>
  </w:style>
  <w:style w:type="character" w:styleId="Hyperlink">
    <w:name w:val="Hyperlink"/>
    <w:rsid w:val="003E5BC9"/>
    <w:rPr>
      <w:color w:val="0000FF"/>
      <w:u w:val="single"/>
    </w:rPr>
  </w:style>
  <w:style w:type="character" w:customStyle="1" w:styleId="ParaNumCharChar1">
    <w:name w:val="ParaNum Char Char1"/>
    <w:link w:val="ParaNum"/>
    <w:locked/>
    <w:rsid w:val="00133345"/>
    <w:rPr>
      <w:snapToGrid w:val="0"/>
      <w:kern w:val="28"/>
      <w:sz w:val="22"/>
    </w:rPr>
  </w:style>
  <w:style w:type="character" w:customStyle="1" w:styleId="UnresolvedMention1">
    <w:name w:val="Unresolved Mention1"/>
    <w:basedOn w:val="DefaultParagraphFont"/>
    <w:uiPriority w:val="99"/>
    <w:semiHidden/>
    <w:unhideWhenUsed/>
    <w:rPr>
      <w:rFonts w:cs="Times New Roman"/>
      <w:color w:val="808080"/>
      <w:shd w:val="clear" w:color="auto" w:fill="E6E6E6"/>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cs="Segoe UI"/>
      <w:kern w:val="28"/>
      <w:sz w:val="18"/>
      <w:szCs w:val="18"/>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cs="Times New Roman"/>
      <w:kern w:val="2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kern w:val="28"/>
    </w:rPr>
  </w:style>
  <w:style w:type="paragraph" w:styleId="Revision">
    <w:name w:val="Revision"/>
    <w:hidden/>
    <w:uiPriority w:val="99"/>
    <w:semiHidden/>
    <w:rPr>
      <w:kern w:val="28"/>
      <w:sz w:val="22"/>
    </w:rPr>
  </w:style>
  <w:style w:type="paragraph" w:styleId="PlainText">
    <w:name w:val="Plain Text"/>
    <w:basedOn w:val="Normal"/>
    <w:link w:val="PlainTextChar"/>
    <w:uiPriority w:val="99"/>
    <w:rsid w:val="00390EE6"/>
    <w:rPr>
      <w:rFonts w:ascii="Consolas" w:hAnsi="Consolas"/>
      <w:sz w:val="21"/>
      <w:szCs w:val="21"/>
    </w:rPr>
  </w:style>
  <w:style w:type="character" w:customStyle="1" w:styleId="PlainTextChar">
    <w:name w:val="Plain Text Char"/>
    <w:basedOn w:val="DefaultParagraphFont"/>
    <w:link w:val="PlainText"/>
    <w:uiPriority w:val="99"/>
    <w:locked/>
    <w:rsid w:val="00390EE6"/>
    <w:rPr>
      <w:rFonts w:ascii="Consolas" w:hAnsi="Consolas" w:cs="Times New Roman"/>
      <w:kern w:val="28"/>
      <w:sz w:val="21"/>
      <w:szCs w:val="21"/>
    </w:rPr>
  </w:style>
  <w:style w:type="paragraph" w:styleId="ListParagraph">
    <w:name w:val="List Paragraph"/>
    <w:basedOn w:val="Normal"/>
    <w:uiPriority w:val="34"/>
    <w:qFormat/>
    <w:rsid w:val="00E5436C"/>
    <w:pPr>
      <w:ind w:left="720"/>
      <w:contextualSpacing/>
    </w:pPr>
  </w:style>
  <w:style w:type="character" w:customStyle="1" w:styleId="UnresolvedMention2">
    <w:name w:val="Unresolved Mention2"/>
    <w:basedOn w:val="DefaultParagraphFont"/>
    <w:uiPriority w:val="99"/>
    <w:rsid w:val="0083793D"/>
    <w:rPr>
      <w:rFonts w:cs="Times New Roman"/>
      <w:color w:val="605E5C"/>
      <w:shd w:val="clear" w:color="auto" w:fill="E1DFDD"/>
    </w:rPr>
  </w:style>
  <w:style w:type="character" w:styleId="FollowedHyperlink">
    <w:name w:val="FollowedHyperlink"/>
    <w:basedOn w:val="DefaultParagraphFont"/>
    <w:rsid w:val="002F55A5"/>
    <w:rPr>
      <w:color w:val="954F72" w:themeColor="followedHyperlink"/>
      <w:u w:val="single"/>
    </w:rPr>
  </w:style>
  <w:style w:type="character" w:customStyle="1" w:styleId="ParaNumChar">
    <w:name w:val="ParaNum Char"/>
    <w:rsid w:val="002F164A"/>
    <w:rPr>
      <w:snapToGrid w:val="0"/>
      <w:kern w:val="28"/>
      <w:sz w:val="22"/>
    </w:rPr>
  </w:style>
  <w:style w:type="character" w:customStyle="1" w:styleId="UnresolvedMention">
    <w:name w:val="Unresolved Mention"/>
    <w:basedOn w:val="DefaultParagraphFont"/>
    <w:rsid w:val="009F5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lynne.engledow@fc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34f55a75ce64a1f8ecbef276793baba0&amp;term_occur=999&amp;term_src=Title:47:Chapter:I:Subchapter:B:Part:61:Subpart:A:61.2" TargetMode="External" /><Relationship Id="rId6" Type="http://schemas.openxmlformats.org/officeDocument/2006/relationships/hyperlink" Target="https://www.law.cornell.edu/definitions/index.php?width=840&amp;height=800&amp;iframe=true&amp;def_id=bb09e4866f205196a894c8c039d37bca&amp;term_occur=999&amp;term_src=Title:47:Chapter:I:Subchapter:B:Part:61:Subpart:A:61.2" TargetMode="External" /><Relationship Id="rId7" Type="http://schemas.openxmlformats.org/officeDocument/2006/relationships/hyperlink" Target="https://www.law.cornell.edu/definitions/index.php?width=840&amp;height=800&amp;iframe=true&amp;def_id=0ad6a197cad33ab4c1bc99c7c7b287fe&amp;term_occur=999&amp;term_src=Title:47:Chapter:I:Subchapter:B:Part:61:Subpart:A:61.2" TargetMode="External" /><Relationship Id="rId8" Type="http://schemas.openxmlformats.org/officeDocument/2006/relationships/hyperlink" Target="https://www.fcc.gov/ecfs/" TargetMode="External" /><Relationship Id="rId9" Type="http://schemas.openxmlformats.org/officeDocument/2006/relationships/hyperlink" Target="https://www.fcc.gov/document/fcc-closes-headquarters-open-window-and-changes-hand-delivery-policy"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sites/default/files/stop_unwanted_robocalls_and_texts.pdf" TargetMode="External" /><Relationship Id="rId2" Type="http://schemas.openxmlformats.org/officeDocument/2006/relationships/hyperlink" Target="https://docs.fcc.gov/public/attachments/DOC-356196A1.pdf" TargetMode="External" /><Relationship Id="rId3" Type="http://schemas.openxmlformats.org/officeDocument/2006/relationships/hyperlink" Target="https://www.law.cornell.edu/definitions/index.php?width=840&amp;height=800&amp;iframe=true&amp;def_id=34f55a75ce64a1f8ecbef276793baba0&amp;term_occur=999&amp;term_src=Title:47:Chapter:I:Subchapter:B:Part:61:Subpart:F:61.54" TargetMode="External" /><Relationship Id="rId4" Type="http://schemas.openxmlformats.org/officeDocument/2006/relationships/hyperlink" Target="https://www.law.cornell.edu/definitions/index.php?width=840&amp;height=800&amp;iframe=true&amp;def_id=974fe48061e86e76cd884bfb06a1dca5&amp;term_occur=999&amp;term_src=Title:47:Chapter:I:Subchapter:B:Part:61:Subpart:F:61.54" TargetMode="External" /><Relationship Id="rId5" Type="http://schemas.openxmlformats.org/officeDocument/2006/relationships/hyperlink" Target="https://www.law.cornell.edu/definitions/index.php?width=840&amp;height=800&amp;iframe=true&amp;def_id=bb09e4866f205196a894c8c039d37bca&amp;term_occur=999&amp;term_src=Title:47:Chapter:I:Subchapter:B:Part:61:Subpart:F:61.54"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