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7033D" w14:paraId="5D86466B"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03487115" w14:textId="2E3AACFE">
      <w:pPr>
        <w:jc w:val="right"/>
        <w:rPr>
          <w:b/>
          <w:szCs w:val="22"/>
        </w:rPr>
      </w:pPr>
      <w:bookmarkStart w:id="1" w:name="_Hlk26280526"/>
      <w:bookmarkStart w:id="2" w:name="_Hlk64383480"/>
      <w:r>
        <w:rPr>
          <w:b/>
          <w:szCs w:val="22"/>
        </w:rPr>
        <w:t>DA 2</w:t>
      </w:r>
      <w:r w:rsidR="00E6637B">
        <w:rPr>
          <w:b/>
          <w:szCs w:val="22"/>
        </w:rPr>
        <w:t>1-</w:t>
      </w:r>
      <w:r w:rsidR="00EF59CB">
        <w:rPr>
          <w:b/>
          <w:szCs w:val="22"/>
        </w:rPr>
        <w:t>741</w:t>
      </w:r>
    </w:p>
    <w:p w:rsidR="00E7033D" w14:paraId="0D26EFEC" w14:textId="77777777">
      <w:pPr>
        <w:spacing w:before="60"/>
        <w:jc w:val="right"/>
        <w:rPr>
          <w:b/>
          <w:szCs w:val="22"/>
        </w:rPr>
      </w:pPr>
      <w:r>
        <w:rPr>
          <w:b/>
          <w:szCs w:val="22"/>
        </w:rPr>
        <w:t>June</w:t>
      </w:r>
      <w:r w:rsidR="00D209FB">
        <w:rPr>
          <w:b/>
          <w:szCs w:val="22"/>
        </w:rPr>
        <w:t xml:space="preserve"> </w:t>
      </w:r>
      <w:r w:rsidR="000D7E4D">
        <w:rPr>
          <w:b/>
          <w:szCs w:val="22"/>
        </w:rPr>
        <w:t>23</w:t>
      </w:r>
      <w:r w:rsidR="00DB15FB">
        <w:rPr>
          <w:b/>
          <w:szCs w:val="22"/>
        </w:rPr>
        <w:t>,</w:t>
      </w:r>
      <w:r w:rsidR="008C294A">
        <w:rPr>
          <w:b/>
          <w:szCs w:val="22"/>
        </w:rPr>
        <w:t xml:space="preserve"> 202</w:t>
      </w:r>
      <w:r w:rsidR="0012329A">
        <w:rPr>
          <w:b/>
          <w:szCs w:val="22"/>
        </w:rPr>
        <w:t>1</w:t>
      </w:r>
    </w:p>
    <w:p w:rsidR="00E7033D" w14:paraId="29CEFA8B" w14:textId="77777777">
      <w:pPr>
        <w:tabs>
          <w:tab w:val="left" w:pos="5900"/>
        </w:tabs>
        <w:rPr>
          <w:szCs w:val="22"/>
        </w:rPr>
      </w:pPr>
      <w:r>
        <w:rPr>
          <w:szCs w:val="22"/>
        </w:rPr>
        <w:tab/>
      </w:r>
    </w:p>
    <w:p w:rsidR="00144E61" w:rsidP="006703D5" w14:paraId="046E6DBF"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p>
    <w:p w:rsidR="001C78FB" w:rsidP="006703D5" w14:paraId="1B74F904" w14:textId="77777777">
      <w:pPr>
        <w:jc w:val="center"/>
        <w:rPr>
          <w:b/>
          <w:bCs/>
          <w:szCs w:val="22"/>
        </w:rPr>
      </w:pPr>
      <w:r w:rsidRPr="009B7836">
        <w:rPr>
          <w:b/>
          <w:bCs/>
          <w:caps/>
          <w:szCs w:val="22"/>
        </w:rPr>
        <w:t xml:space="preserve">TRANSFER OF CONTROL OF </w:t>
      </w:r>
      <w:r w:rsidRPr="009B7836" w:rsidR="00551202">
        <w:rPr>
          <w:b/>
          <w:bCs/>
          <w:caps/>
          <w:szCs w:val="22"/>
        </w:rPr>
        <w:t>METRONET HOLDINGS, LLC</w:t>
      </w:r>
      <w:r w:rsidRPr="009B7836" w:rsidR="0009534A">
        <w:rPr>
          <w:b/>
          <w:bCs/>
          <w:caps/>
          <w:szCs w:val="22"/>
        </w:rPr>
        <w:t xml:space="preserve"> </w:t>
      </w:r>
    </w:p>
    <w:bookmarkEnd w:id="3"/>
    <w:bookmarkEnd w:id="4"/>
    <w:bookmarkEnd w:id="5"/>
    <w:p w:rsidR="00E7033D" w:rsidP="00B908C9" w14:paraId="7181C842" w14:textId="77777777">
      <w:pPr>
        <w:autoSpaceDE w:val="0"/>
        <w:autoSpaceDN w:val="0"/>
        <w:adjustRightInd w:val="0"/>
        <w:jc w:val="right"/>
        <w:rPr>
          <w:b/>
          <w:bCs/>
          <w:szCs w:val="22"/>
        </w:rPr>
      </w:pPr>
    </w:p>
    <w:p w:rsidR="00E7033D" w14:paraId="1AEC7E35" w14:textId="77777777">
      <w:pPr>
        <w:jc w:val="center"/>
        <w:rPr>
          <w:b/>
          <w:szCs w:val="22"/>
        </w:rPr>
      </w:pPr>
      <w:r>
        <w:rPr>
          <w:b/>
          <w:szCs w:val="22"/>
        </w:rPr>
        <w:t xml:space="preserve">STREAMLINED </w:t>
      </w:r>
      <w:r w:rsidR="006A1C8E">
        <w:rPr>
          <w:b/>
          <w:szCs w:val="22"/>
        </w:rPr>
        <w:t>PLEADING CYCLE ESTABLISHED</w:t>
      </w:r>
    </w:p>
    <w:p w:rsidR="00E7033D" w14:paraId="7DB27A9C" w14:textId="77777777">
      <w:pPr>
        <w:jc w:val="center"/>
        <w:rPr>
          <w:b/>
          <w:szCs w:val="22"/>
        </w:rPr>
      </w:pPr>
    </w:p>
    <w:p w:rsidR="00E7033D" w14:paraId="4316BE30" w14:textId="77777777">
      <w:pPr>
        <w:jc w:val="center"/>
        <w:rPr>
          <w:b/>
          <w:szCs w:val="22"/>
        </w:rPr>
      </w:pPr>
      <w:r>
        <w:rPr>
          <w:b/>
          <w:szCs w:val="22"/>
        </w:rPr>
        <w:t xml:space="preserve"> WC Docket No. </w:t>
      </w:r>
      <w:r w:rsidRPr="00C53E5E" w:rsidR="00C53E5E">
        <w:rPr>
          <w:b/>
          <w:szCs w:val="22"/>
        </w:rPr>
        <w:t>21</w:t>
      </w:r>
      <w:r w:rsidRPr="00C53E5E">
        <w:rPr>
          <w:b/>
          <w:szCs w:val="22"/>
        </w:rPr>
        <w:t>-</w:t>
      </w:r>
      <w:r w:rsidR="00FE48E3">
        <w:rPr>
          <w:b/>
          <w:szCs w:val="22"/>
        </w:rPr>
        <w:t>237</w:t>
      </w:r>
    </w:p>
    <w:p w:rsidR="00FF411B" w14:paraId="5A8B19AB" w14:textId="77777777">
      <w:pPr>
        <w:jc w:val="center"/>
        <w:rPr>
          <w:b/>
          <w:szCs w:val="22"/>
        </w:rPr>
      </w:pPr>
    </w:p>
    <w:p w:rsidR="00E7033D" w14:paraId="256493FB" w14:textId="77777777">
      <w:pPr>
        <w:pStyle w:val="NoSpacing"/>
        <w:rPr>
          <w:b/>
          <w:szCs w:val="22"/>
        </w:rPr>
      </w:pPr>
      <w:r w:rsidRPr="005B2105">
        <w:rPr>
          <w:b/>
          <w:szCs w:val="22"/>
        </w:rPr>
        <w:t xml:space="preserve">Comments Due:  </w:t>
      </w:r>
      <w:r w:rsidR="005C5C55">
        <w:rPr>
          <w:b/>
          <w:szCs w:val="22"/>
        </w:rPr>
        <w:t>Ju</w:t>
      </w:r>
      <w:r w:rsidR="000D7E4D">
        <w:rPr>
          <w:b/>
          <w:szCs w:val="22"/>
        </w:rPr>
        <w:t>ly</w:t>
      </w:r>
      <w:r w:rsidR="00041B38">
        <w:rPr>
          <w:b/>
          <w:szCs w:val="22"/>
        </w:rPr>
        <w:t xml:space="preserve"> </w:t>
      </w:r>
      <w:r w:rsidR="000D7E4D">
        <w:rPr>
          <w:b/>
          <w:szCs w:val="22"/>
        </w:rPr>
        <w:t>7</w:t>
      </w:r>
      <w:r w:rsidRPr="005B2105">
        <w:rPr>
          <w:b/>
          <w:szCs w:val="22"/>
        </w:rPr>
        <w:t>, 202</w:t>
      </w:r>
      <w:r w:rsidR="00DB15FB">
        <w:rPr>
          <w:b/>
          <w:szCs w:val="22"/>
        </w:rPr>
        <w:t>1</w:t>
      </w:r>
      <w:r w:rsidR="00D04963">
        <w:rPr>
          <w:b/>
          <w:szCs w:val="22"/>
        </w:rPr>
        <w:t xml:space="preserve"> </w:t>
      </w:r>
    </w:p>
    <w:p w:rsidR="00FF411B" w:rsidRPr="005B2105" w14:paraId="1E8DDC60" w14:textId="77777777">
      <w:pPr>
        <w:pStyle w:val="NoSpacing"/>
        <w:rPr>
          <w:b/>
          <w:szCs w:val="22"/>
        </w:rPr>
      </w:pPr>
      <w:r>
        <w:rPr>
          <w:b/>
          <w:szCs w:val="22"/>
        </w:rPr>
        <w:t xml:space="preserve">Reply Comment Due: </w:t>
      </w:r>
      <w:r w:rsidR="009D25CE">
        <w:rPr>
          <w:b/>
          <w:szCs w:val="22"/>
        </w:rPr>
        <w:t xml:space="preserve"> </w:t>
      </w:r>
      <w:r w:rsidR="005C5C55">
        <w:rPr>
          <w:b/>
          <w:szCs w:val="22"/>
        </w:rPr>
        <w:t>Ju</w:t>
      </w:r>
      <w:r w:rsidR="00B506FC">
        <w:rPr>
          <w:b/>
          <w:szCs w:val="22"/>
        </w:rPr>
        <w:t>ly</w:t>
      </w:r>
      <w:r w:rsidR="00D209FB">
        <w:rPr>
          <w:b/>
          <w:szCs w:val="22"/>
        </w:rPr>
        <w:t xml:space="preserve"> </w:t>
      </w:r>
      <w:r w:rsidR="000D7E4D">
        <w:rPr>
          <w:b/>
          <w:szCs w:val="22"/>
        </w:rPr>
        <w:t>14</w:t>
      </w:r>
      <w:r>
        <w:rPr>
          <w:b/>
          <w:szCs w:val="22"/>
        </w:rPr>
        <w:t>, 2021</w:t>
      </w:r>
      <w:r w:rsidR="00444548">
        <w:rPr>
          <w:b/>
          <w:szCs w:val="22"/>
        </w:rPr>
        <w:t xml:space="preserve"> </w:t>
      </w:r>
    </w:p>
    <w:bookmarkEnd w:id="1"/>
    <w:p w:rsidR="00760269" w:rsidRPr="005B2105" w:rsidP="00A92C9E" w14:paraId="434C20B2" w14:textId="77777777">
      <w:pPr>
        <w:tabs>
          <w:tab w:val="left" w:pos="6221"/>
        </w:tabs>
        <w:autoSpaceDE w:val="0"/>
        <w:autoSpaceDN w:val="0"/>
        <w:adjustRightInd w:val="0"/>
        <w:rPr>
          <w:szCs w:val="22"/>
        </w:rPr>
      </w:pPr>
    </w:p>
    <w:bookmarkEnd w:id="2"/>
    <w:p w:rsidR="007A2155" w:rsidP="00100ED3" w14:paraId="5A8F33FD" w14:textId="77777777">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6" w:name="_Hlk73713070"/>
      <w:bookmarkStart w:id="7" w:name="_Hlk67917977"/>
      <w:r w:rsidRPr="008E3218" w:rsidR="008E3218">
        <w:rPr>
          <w:szCs w:val="22"/>
        </w:rPr>
        <w:t xml:space="preserve">MetroNet Holdings, LLC </w:t>
      </w:r>
      <w:bookmarkEnd w:id="6"/>
      <w:r w:rsidRPr="008E3218" w:rsidR="008E3218">
        <w:rPr>
          <w:szCs w:val="22"/>
        </w:rPr>
        <w:t>(Holdings)</w:t>
      </w:r>
      <w:r w:rsidR="00CD20C1">
        <w:rPr>
          <w:szCs w:val="22"/>
        </w:rPr>
        <w:t xml:space="preserve"> and</w:t>
      </w:r>
      <w:r w:rsidRPr="008E3218" w:rsidR="008E3218">
        <w:rPr>
          <w:szCs w:val="22"/>
        </w:rPr>
        <w:t xml:space="preserve"> OHCP MGP V, Ltd.</w:t>
      </w:r>
      <w:r w:rsidR="008E3218">
        <w:rPr>
          <w:szCs w:val="22"/>
        </w:rPr>
        <w:t xml:space="preserve"> </w:t>
      </w:r>
      <w:r w:rsidRPr="008E3218" w:rsidR="008E3218">
        <w:rPr>
          <w:szCs w:val="22"/>
        </w:rPr>
        <w:t>(</w:t>
      </w:r>
      <w:r w:rsidR="00EA7EFB">
        <w:rPr>
          <w:szCs w:val="22"/>
        </w:rPr>
        <w:t>MGP V</w:t>
      </w:r>
      <w:r w:rsidR="008E3218">
        <w:rPr>
          <w:szCs w:val="22"/>
        </w:rPr>
        <w:t>)</w:t>
      </w:r>
      <w:r w:rsidR="00CD20C1">
        <w:rPr>
          <w:szCs w:val="22"/>
        </w:rPr>
        <w:t xml:space="preserve"> (together, Applicants)</w:t>
      </w:r>
      <w:r w:rsidR="00F22A55">
        <w:rPr>
          <w:szCs w:val="22"/>
        </w:rPr>
        <w:t>,</w:t>
      </w:r>
      <w:r w:rsidRPr="00CD20C1" w:rsidR="00CD20C1">
        <w:rPr>
          <w:szCs w:val="22"/>
        </w:rPr>
        <w:t xml:space="preserve"> </w:t>
      </w:r>
      <w:r w:rsidRPr="00CD711A" w:rsidR="00CD20C1">
        <w:rPr>
          <w:szCs w:val="22"/>
        </w:rPr>
        <w:t>pursuant to section 214 of the Communications Act of 1934, as amended, and sections 63.03-04 of the Commission’s rules</w:t>
      </w:r>
      <w:r w:rsidR="00CD20C1">
        <w:rPr>
          <w:szCs w:val="22"/>
        </w:rPr>
        <w:t xml:space="preserve">, </w:t>
      </w:r>
      <w:r w:rsidR="00D937FF">
        <w:rPr>
          <w:szCs w:val="22"/>
        </w:rPr>
        <w:t>requesting consent to transfer control of Holdings and its subsidiaries</w:t>
      </w:r>
      <w:r w:rsidR="00EA7EFB">
        <w:rPr>
          <w:szCs w:val="22"/>
        </w:rPr>
        <w:t xml:space="preserve">, </w:t>
      </w:r>
      <w:bookmarkStart w:id="8" w:name="_Hlk73972461"/>
      <w:r w:rsidR="00EA7EFB">
        <w:rPr>
          <w:szCs w:val="22"/>
        </w:rPr>
        <w:t xml:space="preserve">CMN-RUS, Inc. (CMN), Jaguar Communications, Inc. (Jaguar), and Metro FiberNet, LLC (MFN) </w:t>
      </w:r>
      <w:bookmarkEnd w:id="8"/>
      <w:r w:rsidR="00EA7EFB">
        <w:rPr>
          <w:szCs w:val="22"/>
        </w:rPr>
        <w:t>(CMN, Jaguar, and MFN, collectively the Licensees)</w:t>
      </w:r>
      <w:bookmarkEnd w:id="7"/>
      <w:r w:rsidRPr="00E22E53" w:rsidR="00E22E53">
        <w:rPr>
          <w:szCs w:val="22"/>
        </w:rPr>
        <w:t>.</w:t>
      </w:r>
      <w:bookmarkStart w:id="9" w:name="_Hlk72758776"/>
      <w:r>
        <w:rPr>
          <w:rStyle w:val="FootnoteReference"/>
          <w:szCs w:val="22"/>
        </w:rPr>
        <w:footnoteReference w:id="3"/>
      </w:r>
      <w:bookmarkEnd w:id="9"/>
      <w:r w:rsidR="00FF44B1">
        <w:rPr>
          <w:szCs w:val="22"/>
        </w:rPr>
        <w:t xml:space="preserve"> </w:t>
      </w:r>
      <w:r>
        <w:rPr>
          <w:szCs w:val="22"/>
        </w:rPr>
        <w:t xml:space="preserve"> </w:t>
      </w:r>
    </w:p>
    <w:p w:rsidR="00BA47A9" w:rsidRPr="00F22A55" w:rsidP="00100ED3" w14:paraId="42CA5D42" w14:textId="77777777">
      <w:pPr>
        <w:autoSpaceDE w:val="0"/>
        <w:autoSpaceDN w:val="0"/>
        <w:adjustRightInd w:val="0"/>
        <w:spacing w:after="120"/>
        <w:ind w:firstLine="720"/>
        <w:rPr>
          <w:szCs w:val="22"/>
        </w:rPr>
      </w:pPr>
      <w:bookmarkStart w:id="10" w:name="_Hlk67918832"/>
      <w:r w:rsidRPr="004A4D05">
        <w:rPr>
          <w:szCs w:val="22"/>
        </w:rPr>
        <w:t>Holdings</w:t>
      </w:r>
      <w:r>
        <w:rPr>
          <w:szCs w:val="22"/>
        </w:rPr>
        <w:t>,</w:t>
      </w:r>
      <w:r w:rsidRPr="004A4D05">
        <w:rPr>
          <w:szCs w:val="22"/>
        </w:rPr>
        <w:t xml:space="preserve"> a Delaware corporation</w:t>
      </w:r>
      <w:r w:rsidR="002B6B43">
        <w:rPr>
          <w:szCs w:val="22"/>
        </w:rPr>
        <w:t xml:space="preserve">, </w:t>
      </w:r>
      <w:r w:rsidRPr="004A4D05">
        <w:rPr>
          <w:szCs w:val="22"/>
        </w:rPr>
        <w:t>through its direct and</w:t>
      </w:r>
      <w:r>
        <w:rPr>
          <w:szCs w:val="22"/>
        </w:rPr>
        <w:t xml:space="preserve"> </w:t>
      </w:r>
      <w:r w:rsidRPr="004A4D05">
        <w:rPr>
          <w:szCs w:val="22"/>
        </w:rPr>
        <w:t xml:space="preserve">indirect wholly owned subsidiaries, </w:t>
      </w:r>
      <w:r w:rsidR="00D937FF">
        <w:rPr>
          <w:szCs w:val="22"/>
        </w:rPr>
        <w:t xml:space="preserve">provides </w:t>
      </w:r>
      <w:r w:rsidR="002B6B43">
        <w:rPr>
          <w:szCs w:val="22"/>
        </w:rPr>
        <w:t>competitive</w:t>
      </w:r>
      <w:r w:rsidRPr="004A4D05">
        <w:rPr>
          <w:szCs w:val="22"/>
        </w:rPr>
        <w:t xml:space="preserve"> </w:t>
      </w:r>
      <w:r w:rsidR="002B6B43">
        <w:rPr>
          <w:szCs w:val="22"/>
        </w:rPr>
        <w:t xml:space="preserve">telecommunications </w:t>
      </w:r>
      <w:r w:rsidRPr="004A4D05">
        <w:rPr>
          <w:szCs w:val="22"/>
        </w:rPr>
        <w:t xml:space="preserve">services in </w:t>
      </w:r>
      <w:r w:rsidR="00D937FF">
        <w:rPr>
          <w:szCs w:val="22"/>
        </w:rPr>
        <w:t>several states</w:t>
      </w:r>
      <w:r w:rsidRPr="00830915" w:rsidR="00830915">
        <w:rPr>
          <w:szCs w:val="22"/>
        </w:rPr>
        <w:t>.</w:t>
      </w:r>
      <w:r w:rsidRPr="008C2DCD" w:rsidR="008C2DCD">
        <w:rPr>
          <w:szCs w:val="22"/>
          <w:vertAlign w:val="superscript"/>
        </w:rPr>
        <w:t xml:space="preserve"> </w:t>
      </w:r>
      <w:r w:rsidR="002B6B43">
        <w:rPr>
          <w:szCs w:val="22"/>
        </w:rPr>
        <w:t xml:space="preserve"> Specifically, </w:t>
      </w:r>
      <w:r w:rsidRPr="004A4D05">
        <w:rPr>
          <w:szCs w:val="22"/>
        </w:rPr>
        <w:t>CMN</w:t>
      </w:r>
      <w:r w:rsidR="00746FDA">
        <w:rPr>
          <w:szCs w:val="22"/>
        </w:rPr>
        <w:t>,</w:t>
      </w:r>
      <w:r w:rsidRPr="004A4D05">
        <w:rPr>
          <w:szCs w:val="22"/>
        </w:rPr>
        <w:t xml:space="preserve"> </w:t>
      </w:r>
      <w:r w:rsidRPr="00746FDA" w:rsidR="00746FDA">
        <w:rPr>
          <w:szCs w:val="22"/>
        </w:rPr>
        <w:t>an Indiana corporation</w:t>
      </w:r>
      <w:r w:rsidR="002B6B43">
        <w:rPr>
          <w:szCs w:val="22"/>
        </w:rPr>
        <w:t xml:space="preserve">, provides competitive telecommunications </w:t>
      </w:r>
      <w:r w:rsidRPr="004A4D05">
        <w:rPr>
          <w:szCs w:val="22"/>
        </w:rPr>
        <w:t>services in Indiana and Kentucky</w:t>
      </w:r>
      <w:bookmarkEnd w:id="10"/>
      <w:r w:rsidR="002B6B43">
        <w:rPr>
          <w:szCs w:val="22"/>
        </w:rPr>
        <w:t xml:space="preserve">; </w:t>
      </w:r>
      <w:r w:rsidRPr="00746FDA" w:rsidR="00746FDA">
        <w:rPr>
          <w:szCs w:val="22"/>
        </w:rPr>
        <w:t>Jaguar</w:t>
      </w:r>
      <w:r w:rsidR="00746FDA">
        <w:rPr>
          <w:szCs w:val="22"/>
        </w:rPr>
        <w:t xml:space="preserve">, </w:t>
      </w:r>
      <w:r w:rsidRPr="00746FDA" w:rsidR="00746FDA">
        <w:rPr>
          <w:szCs w:val="22"/>
        </w:rPr>
        <w:t>a Minnesota corporation</w:t>
      </w:r>
      <w:r w:rsidR="00746FDA">
        <w:rPr>
          <w:szCs w:val="22"/>
        </w:rPr>
        <w:t xml:space="preserve">, </w:t>
      </w:r>
      <w:r w:rsidR="002B6B43">
        <w:rPr>
          <w:szCs w:val="22"/>
        </w:rPr>
        <w:t xml:space="preserve">provides </w:t>
      </w:r>
      <w:r w:rsidRPr="00746FDA" w:rsidR="00746FDA">
        <w:rPr>
          <w:szCs w:val="22"/>
        </w:rPr>
        <w:t>local</w:t>
      </w:r>
      <w:r w:rsidR="002B6B43">
        <w:rPr>
          <w:szCs w:val="22"/>
        </w:rPr>
        <w:t>,</w:t>
      </w:r>
      <w:r w:rsidRPr="00746FDA" w:rsidR="00746FDA">
        <w:rPr>
          <w:szCs w:val="22"/>
        </w:rPr>
        <w:t xml:space="preserve"> long</w:t>
      </w:r>
      <w:r w:rsidR="00746FDA">
        <w:rPr>
          <w:szCs w:val="22"/>
        </w:rPr>
        <w:t xml:space="preserve"> </w:t>
      </w:r>
      <w:r w:rsidRPr="00746FDA" w:rsidR="00746FDA">
        <w:rPr>
          <w:szCs w:val="22"/>
        </w:rPr>
        <w:t>distance</w:t>
      </w:r>
      <w:r w:rsidR="002B6B43">
        <w:rPr>
          <w:szCs w:val="22"/>
        </w:rPr>
        <w:t>, and other competitive telecommunications</w:t>
      </w:r>
      <w:r w:rsidRPr="00746FDA" w:rsidR="00746FDA">
        <w:rPr>
          <w:szCs w:val="22"/>
        </w:rPr>
        <w:t xml:space="preserve"> services in certain areas of Minnesota</w:t>
      </w:r>
      <w:r w:rsidR="002B6B43">
        <w:rPr>
          <w:szCs w:val="22"/>
        </w:rPr>
        <w:t>;</w:t>
      </w:r>
      <w:r>
        <w:rPr>
          <w:rStyle w:val="FootnoteReference"/>
          <w:szCs w:val="22"/>
        </w:rPr>
        <w:footnoteReference w:id="4"/>
      </w:r>
      <w:r w:rsidRPr="00746FDA" w:rsidR="00746FDA">
        <w:rPr>
          <w:szCs w:val="22"/>
        </w:rPr>
        <w:t xml:space="preserve"> </w:t>
      </w:r>
      <w:r w:rsidR="002B6B43">
        <w:rPr>
          <w:szCs w:val="22"/>
        </w:rPr>
        <w:t xml:space="preserve">and </w:t>
      </w:r>
      <w:r w:rsidRPr="00746FDA" w:rsidR="00746FDA">
        <w:rPr>
          <w:szCs w:val="22"/>
        </w:rPr>
        <w:t>MFN</w:t>
      </w:r>
      <w:r w:rsidR="00746FDA">
        <w:rPr>
          <w:szCs w:val="22"/>
        </w:rPr>
        <w:t xml:space="preserve">, </w:t>
      </w:r>
      <w:r w:rsidRPr="00746FDA" w:rsidR="00746FDA">
        <w:rPr>
          <w:szCs w:val="22"/>
        </w:rPr>
        <w:t>a</w:t>
      </w:r>
      <w:r w:rsidR="00746FDA">
        <w:rPr>
          <w:szCs w:val="22"/>
        </w:rPr>
        <w:t xml:space="preserve"> </w:t>
      </w:r>
      <w:r w:rsidRPr="00746FDA" w:rsidR="00746FDA">
        <w:rPr>
          <w:szCs w:val="22"/>
        </w:rPr>
        <w:t>Nevada limited liability company</w:t>
      </w:r>
      <w:r w:rsidR="00746FDA">
        <w:rPr>
          <w:szCs w:val="22"/>
        </w:rPr>
        <w:t>,</w:t>
      </w:r>
      <w:r w:rsidRPr="00746FDA" w:rsidR="00746FDA">
        <w:rPr>
          <w:szCs w:val="22"/>
        </w:rPr>
        <w:t xml:space="preserve"> is authorized to provide</w:t>
      </w:r>
      <w:r w:rsidR="002B6B43">
        <w:rPr>
          <w:szCs w:val="22"/>
        </w:rPr>
        <w:t xml:space="preserve"> competitive</w:t>
      </w:r>
      <w:r w:rsidR="00746FDA">
        <w:rPr>
          <w:szCs w:val="22"/>
        </w:rPr>
        <w:t xml:space="preserve"> </w:t>
      </w:r>
      <w:r w:rsidRPr="00746FDA" w:rsidR="00746FDA">
        <w:rPr>
          <w:szCs w:val="22"/>
        </w:rPr>
        <w:t>telecommunications services in Florida, Illinois, Indiana, Iowa, Kentucky, Michigan,</w:t>
      </w:r>
      <w:r w:rsidR="00746FDA">
        <w:rPr>
          <w:szCs w:val="22"/>
        </w:rPr>
        <w:t xml:space="preserve"> </w:t>
      </w:r>
      <w:r w:rsidRPr="00746FDA" w:rsidR="00746FDA">
        <w:rPr>
          <w:szCs w:val="22"/>
        </w:rPr>
        <w:t>Minnesota, North Carolina, Wisconsin</w:t>
      </w:r>
      <w:r w:rsidR="00D937FF">
        <w:rPr>
          <w:szCs w:val="22"/>
        </w:rPr>
        <w:t>,</w:t>
      </w:r>
      <w:r w:rsidRPr="00746FDA" w:rsidR="00746FDA">
        <w:rPr>
          <w:szCs w:val="22"/>
        </w:rPr>
        <w:t xml:space="preserve"> and Virginia</w:t>
      </w:r>
      <w:r w:rsidR="00746FDA">
        <w:rPr>
          <w:szCs w:val="22"/>
        </w:rPr>
        <w:t xml:space="preserve">. </w:t>
      </w:r>
      <w:r w:rsidR="004A51C9">
        <w:rPr>
          <w:szCs w:val="22"/>
        </w:rPr>
        <w:t xml:space="preserve"> </w:t>
      </w:r>
      <w:r w:rsidR="00B83A8F">
        <w:rPr>
          <w:szCs w:val="22"/>
        </w:rPr>
        <w:t xml:space="preserve">Applicants state that </w:t>
      </w:r>
      <w:r w:rsidR="004A51C9">
        <w:rPr>
          <w:szCs w:val="22"/>
        </w:rPr>
        <w:t xml:space="preserve">Holdings is currently </w:t>
      </w:r>
      <w:r w:rsidRPr="004A51C9" w:rsidR="004A51C9">
        <w:rPr>
          <w:szCs w:val="22"/>
        </w:rPr>
        <w:t>owned primarily by</w:t>
      </w:r>
      <w:r w:rsidR="00F23F94">
        <w:rPr>
          <w:szCs w:val="22"/>
        </w:rPr>
        <w:t xml:space="preserve">: </w:t>
      </w:r>
      <w:r w:rsidRPr="004A51C9" w:rsidR="004A51C9">
        <w:rPr>
          <w:szCs w:val="22"/>
        </w:rPr>
        <w:t xml:space="preserve"> (i) certain funds and entities managed by or</w:t>
      </w:r>
      <w:r w:rsidR="004A51C9">
        <w:rPr>
          <w:szCs w:val="22"/>
        </w:rPr>
        <w:t xml:space="preserve"> </w:t>
      </w:r>
      <w:r w:rsidRPr="004A51C9" w:rsidR="004A51C9">
        <w:rPr>
          <w:szCs w:val="22"/>
        </w:rPr>
        <w:t>affiliated with Oak Hill Capital Management (Oak Hill)</w:t>
      </w:r>
      <w:r>
        <w:rPr>
          <w:rStyle w:val="FootnoteReference"/>
          <w:szCs w:val="22"/>
        </w:rPr>
        <w:footnoteReference w:id="5"/>
      </w:r>
      <w:r w:rsidRPr="004A51C9" w:rsidR="004A51C9">
        <w:rPr>
          <w:szCs w:val="22"/>
        </w:rPr>
        <w:t xml:space="preserve"> (these current investors</w:t>
      </w:r>
      <w:r w:rsidR="00B83A8F">
        <w:rPr>
          <w:szCs w:val="22"/>
        </w:rPr>
        <w:t>,</w:t>
      </w:r>
      <w:r w:rsidRPr="004A51C9" w:rsidR="004A51C9">
        <w:rPr>
          <w:szCs w:val="22"/>
        </w:rPr>
        <w:t xml:space="preserve"> collectively</w:t>
      </w:r>
      <w:r w:rsidR="00B83A8F">
        <w:rPr>
          <w:szCs w:val="22"/>
        </w:rPr>
        <w:t>,</w:t>
      </w:r>
      <w:r w:rsidR="004A51C9">
        <w:rPr>
          <w:szCs w:val="22"/>
        </w:rPr>
        <w:t xml:space="preserve"> </w:t>
      </w:r>
      <w:r w:rsidR="00B83A8F">
        <w:rPr>
          <w:szCs w:val="22"/>
        </w:rPr>
        <w:t xml:space="preserve">the </w:t>
      </w:r>
      <w:bookmarkStart w:id="11" w:name="_Hlk74653651"/>
      <w:r w:rsidRPr="004A51C9" w:rsidR="004A51C9">
        <w:rPr>
          <w:szCs w:val="22"/>
        </w:rPr>
        <w:t>Oak Hill III/IV Investors</w:t>
      </w:r>
      <w:bookmarkEnd w:id="11"/>
      <w:r w:rsidRPr="004A51C9" w:rsidR="004A51C9">
        <w:rPr>
          <w:szCs w:val="22"/>
        </w:rPr>
        <w:t xml:space="preserve">), </w:t>
      </w:r>
      <w:r w:rsidRPr="00F22A55" w:rsidR="004A51C9">
        <w:rPr>
          <w:szCs w:val="22"/>
        </w:rPr>
        <w:t xml:space="preserve">which collectively hold a majority </w:t>
      </w:r>
      <w:r w:rsidRPr="00F22A55" w:rsidR="000A24AA">
        <w:rPr>
          <w:szCs w:val="22"/>
        </w:rPr>
        <w:t xml:space="preserve">(approximately 48.6%) </w:t>
      </w:r>
      <w:r w:rsidRPr="00F22A55" w:rsidR="004A51C9">
        <w:rPr>
          <w:szCs w:val="22"/>
        </w:rPr>
        <w:t>of the common interests in Holdings,</w:t>
      </w:r>
      <w:r>
        <w:rPr>
          <w:rStyle w:val="FootnoteReference"/>
          <w:szCs w:val="22"/>
        </w:rPr>
        <w:footnoteReference w:id="6"/>
      </w:r>
      <w:r w:rsidRPr="00F22A55" w:rsidR="004A51C9">
        <w:rPr>
          <w:szCs w:val="22"/>
        </w:rPr>
        <w:t xml:space="preserve"> and (ii) the Cinelli Investors,</w:t>
      </w:r>
      <w:r>
        <w:rPr>
          <w:rStyle w:val="FootnoteReference"/>
          <w:szCs w:val="22"/>
        </w:rPr>
        <w:footnoteReference w:id="7"/>
      </w:r>
      <w:r w:rsidRPr="00F22A55" w:rsidR="004A51C9">
        <w:rPr>
          <w:szCs w:val="22"/>
        </w:rPr>
        <w:t xml:space="preserve"> which collectively hold a minority </w:t>
      </w:r>
      <w:r w:rsidRPr="00F22A55" w:rsidR="000A24AA">
        <w:rPr>
          <w:szCs w:val="22"/>
        </w:rPr>
        <w:t xml:space="preserve">(approximately 32.2%) </w:t>
      </w:r>
      <w:r w:rsidRPr="00F22A55" w:rsidR="004A51C9">
        <w:rPr>
          <w:szCs w:val="22"/>
        </w:rPr>
        <w:t>of the common interests in Holdings</w:t>
      </w:r>
      <w:r w:rsidRPr="00F22A55" w:rsidR="00C4607F">
        <w:rPr>
          <w:szCs w:val="22"/>
        </w:rPr>
        <w:t xml:space="preserve"> </w:t>
      </w:r>
      <w:r w:rsidRPr="00F22A55">
        <w:rPr>
          <w:szCs w:val="22"/>
        </w:rPr>
        <w:t xml:space="preserve">and also </w:t>
      </w:r>
      <w:r w:rsidRPr="00F22A55" w:rsidR="00C4607F">
        <w:rPr>
          <w:szCs w:val="22"/>
        </w:rPr>
        <w:t xml:space="preserve">hold </w:t>
      </w:r>
      <w:r w:rsidRPr="00F22A55" w:rsidR="00C4607F">
        <w:rPr>
          <w:i/>
          <w:iCs/>
          <w:szCs w:val="22"/>
        </w:rPr>
        <w:t xml:space="preserve">de facto </w:t>
      </w:r>
      <w:r w:rsidRPr="00F22A55" w:rsidR="00C4607F">
        <w:rPr>
          <w:szCs w:val="22"/>
        </w:rPr>
        <w:t>control of Holdings</w:t>
      </w:r>
      <w:r w:rsidRPr="00F22A55" w:rsidR="004A51C9">
        <w:rPr>
          <w:szCs w:val="22"/>
        </w:rPr>
        <w:t>.</w:t>
      </w:r>
      <w:r>
        <w:rPr>
          <w:rStyle w:val="FootnoteReference"/>
          <w:szCs w:val="22"/>
        </w:rPr>
        <w:footnoteReference w:id="8"/>
      </w:r>
      <w:r w:rsidRPr="00F22A55" w:rsidR="004A51C9">
        <w:rPr>
          <w:szCs w:val="22"/>
        </w:rPr>
        <w:t xml:space="preserve"> </w:t>
      </w:r>
    </w:p>
    <w:p w:rsidR="00BA47A9" w:rsidRPr="00F22A55" w:rsidP="00BA47A9" w14:paraId="6868797A" w14:textId="77777777">
      <w:pPr>
        <w:autoSpaceDE w:val="0"/>
        <w:autoSpaceDN w:val="0"/>
        <w:adjustRightInd w:val="0"/>
        <w:spacing w:after="120"/>
        <w:ind w:firstLine="720"/>
        <w:rPr>
          <w:szCs w:val="22"/>
        </w:rPr>
      </w:pPr>
      <w:r w:rsidRPr="00F22A55">
        <w:rPr>
          <w:szCs w:val="22"/>
        </w:rPr>
        <w:t xml:space="preserve">According to Applicants, while certain Cinelli Investors will continue to hold a minority of the common interest in Holdings following the proposed transaction, the Oak Hill III/IV Investors will have no equity interest in Holdings.  Instead, other funds and entities managed by Oak Hill (the New Oak Hill Investors) will hold equity in Holdings. </w:t>
      </w:r>
      <w:r w:rsidR="00F22A55">
        <w:rPr>
          <w:szCs w:val="22"/>
        </w:rPr>
        <w:t xml:space="preserve"> </w:t>
      </w:r>
      <w:r w:rsidRPr="00F22A55">
        <w:rPr>
          <w:szCs w:val="22"/>
        </w:rPr>
        <w:t xml:space="preserve">Following the proposed transaction, the New Oak Hill Investors, which are controlled by MGP V, and the remaining Cinelli Investors will each have negative </w:t>
      </w:r>
      <w:r w:rsidRPr="00F22A55">
        <w:rPr>
          <w:i/>
          <w:iCs/>
          <w:szCs w:val="22"/>
        </w:rPr>
        <w:t xml:space="preserve">de facto </w:t>
      </w:r>
      <w:r w:rsidRPr="00F22A55">
        <w:rPr>
          <w:szCs w:val="22"/>
        </w:rPr>
        <w:t>control of Holdings.</w:t>
      </w:r>
      <w:r>
        <w:rPr>
          <w:rStyle w:val="FootnoteReference"/>
          <w:szCs w:val="22"/>
        </w:rPr>
        <w:footnoteReference w:id="9"/>
      </w:r>
      <w:r w:rsidRPr="00F22A55" w:rsidR="00B83A8F">
        <w:rPr>
          <w:szCs w:val="22"/>
        </w:rPr>
        <w:t xml:space="preserve"> </w:t>
      </w:r>
      <w:r w:rsidRPr="00F22A55" w:rsidR="0061117C">
        <w:rPr>
          <w:szCs w:val="22"/>
        </w:rPr>
        <w:t xml:space="preserve"> </w:t>
      </w:r>
      <w:r w:rsidR="00144E61">
        <w:rPr>
          <w:szCs w:val="22"/>
        </w:rPr>
        <w:t xml:space="preserve">The </w:t>
      </w:r>
      <w:r w:rsidRPr="00F22A55" w:rsidR="0061117C">
        <w:rPr>
          <w:szCs w:val="22"/>
        </w:rPr>
        <w:t xml:space="preserve">common interests of Holdings will be held, either directly or through holding companies, primarily by (a) the New </w:t>
      </w:r>
      <w:r w:rsidRPr="00F22A55" w:rsidR="00AA461C">
        <w:rPr>
          <w:szCs w:val="22"/>
        </w:rPr>
        <w:t>O</w:t>
      </w:r>
      <w:r w:rsidRPr="00F22A55" w:rsidR="0061117C">
        <w:rPr>
          <w:szCs w:val="22"/>
        </w:rPr>
        <w:t xml:space="preserve">ak Hill </w:t>
      </w:r>
      <w:r w:rsidRPr="00F22A55" w:rsidR="00AA461C">
        <w:rPr>
          <w:szCs w:val="22"/>
        </w:rPr>
        <w:t>I</w:t>
      </w:r>
      <w:r w:rsidRPr="00F22A55" w:rsidR="0061117C">
        <w:rPr>
          <w:szCs w:val="22"/>
        </w:rPr>
        <w:t>n</w:t>
      </w:r>
      <w:r w:rsidRPr="00F22A55" w:rsidR="00AA461C">
        <w:rPr>
          <w:szCs w:val="22"/>
        </w:rPr>
        <w:t>v</w:t>
      </w:r>
      <w:r w:rsidRPr="00F22A55" w:rsidR="0061117C">
        <w:rPr>
          <w:szCs w:val="22"/>
        </w:rPr>
        <w:t>estors, (b) the Cinelli Inves</w:t>
      </w:r>
      <w:r w:rsidRPr="00F22A55" w:rsidR="00AA461C">
        <w:rPr>
          <w:szCs w:val="22"/>
        </w:rPr>
        <w:t>tors</w:t>
      </w:r>
      <w:r w:rsidRPr="00F22A55" w:rsidR="0061117C">
        <w:rPr>
          <w:szCs w:val="22"/>
        </w:rPr>
        <w:t>, and (c) a new minority investor owned</w:t>
      </w:r>
      <w:r w:rsidR="00F22A55">
        <w:rPr>
          <w:szCs w:val="22"/>
        </w:rPr>
        <w:t xml:space="preserve"> and/or managed</w:t>
      </w:r>
      <w:r w:rsidRPr="00F22A55" w:rsidR="0061117C">
        <w:rPr>
          <w:szCs w:val="22"/>
        </w:rPr>
        <w:t xml:space="preserve"> by KKR &amp; Co. Inc</w:t>
      </w:r>
      <w:r w:rsidRPr="00F22A55" w:rsidR="00AD2147">
        <w:rPr>
          <w:szCs w:val="22"/>
        </w:rPr>
        <w:t>.</w:t>
      </w:r>
      <w:r w:rsidR="00F22A55">
        <w:rPr>
          <w:szCs w:val="22"/>
        </w:rPr>
        <w:t xml:space="preserve"> (KKR)</w:t>
      </w:r>
      <w:r w:rsidRPr="00F22A55" w:rsidR="00AD2147">
        <w:rPr>
          <w:szCs w:val="22"/>
        </w:rPr>
        <w:t xml:space="preserve">, a Delaware </w:t>
      </w:r>
      <w:r w:rsidR="00F768B9">
        <w:rPr>
          <w:szCs w:val="22"/>
        </w:rPr>
        <w:t xml:space="preserve">investment </w:t>
      </w:r>
      <w:r w:rsidRPr="00F22A55" w:rsidR="00AD2147">
        <w:rPr>
          <w:szCs w:val="22"/>
        </w:rPr>
        <w:t xml:space="preserve">entity.  </w:t>
      </w:r>
    </w:p>
    <w:p w:rsidR="00B309DB" w:rsidP="00100ED3" w14:paraId="0B09289F" w14:textId="77777777">
      <w:pPr>
        <w:autoSpaceDE w:val="0"/>
        <w:autoSpaceDN w:val="0"/>
        <w:adjustRightInd w:val="0"/>
        <w:spacing w:after="120"/>
        <w:ind w:firstLine="720"/>
        <w:rPr>
          <w:szCs w:val="22"/>
        </w:rPr>
      </w:pPr>
      <w:r w:rsidRPr="00F22A55">
        <w:rPr>
          <w:szCs w:val="22"/>
        </w:rPr>
        <w:t xml:space="preserve">Pursuant to the terms of the proposed transaction, </w:t>
      </w:r>
      <w:r w:rsidRPr="00F22A55" w:rsidR="0009534A">
        <w:rPr>
          <w:szCs w:val="22"/>
        </w:rPr>
        <w:t>Holdings and other parties thereto,</w:t>
      </w:r>
      <w:r w:rsidRPr="00F22A55">
        <w:rPr>
          <w:szCs w:val="22"/>
        </w:rPr>
        <w:t xml:space="preserve"> have agreed to </w:t>
      </w:r>
      <w:r w:rsidRPr="00F22A55" w:rsidR="0009534A">
        <w:rPr>
          <w:szCs w:val="22"/>
        </w:rPr>
        <w:t xml:space="preserve">a series of transactions and amendments to the limited liability company agreement (LLC Agreement) of Holdings </w:t>
      </w:r>
      <w:r w:rsidRPr="00F22A55">
        <w:rPr>
          <w:szCs w:val="22"/>
        </w:rPr>
        <w:t xml:space="preserve">that </w:t>
      </w:r>
      <w:r w:rsidRPr="00F22A55" w:rsidR="0009534A">
        <w:rPr>
          <w:szCs w:val="22"/>
        </w:rPr>
        <w:t>will result in changes to the ownership and control of Holdings (the Recapitalization).</w:t>
      </w:r>
      <w:r>
        <w:rPr>
          <w:rStyle w:val="FootnoteReference"/>
          <w:szCs w:val="22"/>
        </w:rPr>
        <w:footnoteReference w:id="10"/>
      </w:r>
      <w:r w:rsidRPr="00F22A55" w:rsidR="0009534A">
        <w:rPr>
          <w:szCs w:val="22"/>
        </w:rPr>
        <w:t xml:space="preserve"> </w:t>
      </w:r>
      <w:r w:rsidRPr="00F22A55">
        <w:rPr>
          <w:szCs w:val="22"/>
        </w:rPr>
        <w:t xml:space="preserve"> Applicants state that t</w:t>
      </w:r>
      <w:r w:rsidRPr="00F22A55" w:rsidR="0009534A">
        <w:rPr>
          <w:szCs w:val="22"/>
        </w:rPr>
        <w:t>he Recapitalization will consist of multiple steps and merger transactions, upon completion of which (a) there will be no majority equity owner in</w:t>
      </w:r>
      <w:r w:rsidR="0009534A">
        <w:rPr>
          <w:szCs w:val="22"/>
        </w:rPr>
        <w:t xml:space="preserve"> </w:t>
      </w:r>
      <w:r w:rsidRPr="0009534A" w:rsidR="0009534A">
        <w:rPr>
          <w:szCs w:val="22"/>
        </w:rPr>
        <w:t>Holdings</w:t>
      </w:r>
      <w:r w:rsidR="00F22A55">
        <w:rPr>
          <w:szCs w:val="22"/>
        </w:rPr>
        <w:t>,</w:t>
      </w:r>
      <w:r w:rsidRPr="0009534A" w:rsidR="0009534A">
        <w:rPr>
          <w:szCs w:val="22"/>
        </w:rPr>
        <w:t xml:space="preserve"> and (b) </w:t>
      </w:r>
      <w:r w:rsidRPr="0009534A" w:rsidR="0009534A">
        <w:rPr>
          <w:i/>
          <w:iCs/>
          <w:szCs w:val="22"/>
        </w:rPr>
        <w:t xml:space="preserve">de facto </w:t>
      </w:r>
      <w:r w:rsidRPr="0009534A" w:rsidR="0009534A">
        <w:rPr>
          <w:szCs w:val="22"/>
        </w:rPr>
        <w:t>or actual control of Holdings will be split on an equal basis between the</w:t>
      </w:r>
      <w:r w:rsidR="0009534A">
        <w:rPr>
          <w:szCs w:val="22"/>
        </w:rPr>
        <w:t xml:space="preserve"> </w:t>
      </w:r>
      <w:r w:rsidRPr="0009534A" w:rsidR="0009534A">
        <w:rPr>
          <w:szCs w:val="22"/>
        </w:rPr>
        <w:t>New Oak Hill Investors and the Cinelli Investors through their representation on the Board</w:t>
      </w:r>
      <w:r w:rsidR="0009534A">
        <w:rPr>
          <w:szCs w:val="22"/>
        </w:rPr>
        <w:t>.</w:t>
      </w:r>
      <w:r>
        <w:rPr>
          <w:rStyle w:val="FootnoteReference"/>
          <w:szCs w:val="22"/>
        </w:rPr>
        <w:footnoteReference w:id="11"/>
      </w:r>
    </w:p>
    <w:p w:rsidR="00D57071" w:rsidRPr="00176BD0" w:rsidP="00176BD0" w14:paraId="7968136E" w14:textId="77777777">
      <w:pPr>
        <w:autoSpaceDE w:val="0"/>
        <w:autoSpaceDN w:val="0"/>
        <w:adjustRightInd w:val="0"/>
        <w:spacing w:after="120"/>
        <w:ind w:firstLine="720"/>
        <w:rPr>
          <w:szCs w:val="22"/>
        </w:rPr>
      </w:pPr>
      <w:r w:rsidRPr="006B36F1">
        <w:rPr>
          <w:bCs/>
          <w:szCs w:val="22"/>
        </w:rPr>
        <w:t xml:space="preserve">Applicants request streamlined treatment of the proposed transaction under the Commission’s rules and assert that a grant of the application would serve the public interest, convenience, and necessity. </w:t>
      </w:r>
      <w:r w:rsidR="00DE3FF0">
        <w:rPr>
          <w:bCs/>
          <w:szCs w:val="22"/>
        </w:rPr>
        <w:t xml:space="preserve"> </w:t>
      </w:r>
      <w:r w:rsidRPr="000629CF" w:rsidR="00C100C9">
        <w:rPr>
          <w:bCs/>
          <w:szCs w:val="22"/>
        </w:rPr>
        <w:t>We accept th</w:t>
      </w:r>
      <w:r w:rsidR="005C7DC4">
        <w:rPr>
          <w:bCs/>
          <w:szCs w:val="22"/>
        </w:rPr>
        <w:t>e</w:t>
      </w:r>
      <w:r w:rsidRPr="000629CF" w:rsidR="00C100C9">
        <w:rPr>
          <w:bCs/>
          <w:szCs w:val="22"/>
        </w:rPr>
        <w:t xml:space="preserve"> </w:t>
      </w:r>
      <w:r w:rsidR="00144E61">
        <w:rPr>
          <w:bCs/>
          <w:szCs w:val="22"/>
        </w:rPr>
        <w:t>a</w:t>
      </w:r>
      <w:r w:rsidR="000B1C31">
        <w:rPr>
          <w:bCs/>
          <w:szCs w:val="22"/>
        </w:rPr>
        <w:t>pplication</w:t>
      </w:r>
      <w:r w:rsidRPr="000629CF" w:rsidR="00C100C9">
        <w:rPr>
          <w:bCs/>
          <w:szCs w:val="22"/>
        </w:rPr>
        <w:t xml:space="preserve"> for filing under section</w:t>
      </w:r>
      <w:r w:rsidR="00EB0DD8">
        <w:rPr>
          <w:bCs/>
          <w:szCs w:val="22"/>
        </w:rPr>
        <w:t xml:space="preserve"> </w:t>
      </w:r>
      <w:r w:rsidRPr="00E43A72" w:rsidR="00EB0DD8">
        <w:rPr>
          <w:bCs/>
          <w:szCs w:val="22"/>
        </w:rPr>
        <w:t>63.03(b)(</w:t>
      </w:r>
      <w:r w:rsidRPr="00E43A72" w:rsidR="003F16BE">
        <w:rPr>
          <w:bCs/>
          <w:szCs w:val="22"/>
        </w:rPr>
        <w:t>2</w:t>
      </w:r>
      <w:r w:rsidRPr="00E43A72" w:rsidR="00EB0DD8">
        <w:rPr>
          <w:bCs/>
          <w:szCs w:val="22"/>
        </w:rPr>
        <w:t>)(</w:t>
      </w:r>
      <w:r w:rsidR="00AF3506">
        <w:rPr>
          <w:bCs/>
          <w:szCs w:val="22"/>
        </w:rPr>
        <w:t>i</w:t>
      </w:r>
      <w:r w:rsidRPr="00E43A72" w:rsidR="00903330">
        <w:rPr>
          <w:bCs/>
          <w:szCs w:val="22"/>
        </w:rPr>
        <w:t>i</w:t>
      </w:r>
      <w:r w:rsidRPr="00E43A72" w:rsidR="00EB0DD8">
        <w:rPr>
          <w:bCs/>
          <w:szCs w:val="22"/>
        </w:rPr>
        <w:t>)</w:t>
      </w:r>
      <w:r w:rsidR="00EB0DD8">
        <w:rPr>
          <w:bCs/>
          <w:szCs w:val="22"/>
        </w:rPr>
        <w:t xml:space="preserve"> </w:t>
      </w:r>
      <w:r w:rsidRPr="000629CF" w:rsidR="00C100C9">
        <w:rPr>
          <w:bCs/>
          <w:szCs w:val="22"/>
        </w:rPr>
        <w:t>of the Commission’s rules.</w:t>
      </w:r>
      <w:r>
        <w:rPr>
          <w:bCs/>
          <w:szCs w:val="22"/>
          <w:vertAlign w:val="superscript"/>
        </w:rPr>
        <w:footnoteReference w:id="12"/>
      </w:r>
      <w:r w:rsidRPr="000629CF" w:rsidR="00C100C9">
        <w:rPr>
          <w:bCs/>
          <w:szCs w:val="22"/>
        </w:rPr>
        <w:t xml:space="preserve"> </w:t>
      </w:r>
      <w:r>
        <w:rPr>
          <w:b/>
          <w:bCs/>
          <w:szCs w:val="22"/>
        </w:rPr>
        <w:t xml:space="preserve">  </w:t>
      </w:r>
    </w:p>
    <w:p w:rsidR="00B00F51" w:rsidP="00B00F51" w14:paraId="28BE6197" w14:textId="77777777">
      <w:pPr>
        <w:ind w:left="720"/>
        <w:rPr>
          <w:szCs w:val="22"/>
        </w:rPr>
      </w:pPr>
      <w:r>
        <w:rPr>
          <w:szCs w:val="22"/>
        </w:rPr>
        <w:t xml:space="preserve">Domestic Section 214 Application Filed for the </w:t>
      </w:r>
      <w:r w:rsidR="00D00C86">
        <w:rPr>
          <w:szCs w:val="22"/>
        </w:rPr>
        <w:t xml:space="preserve">Transfer of Control of </w:t>
      </w:r>
    </w:p>
    <w:p w:rsidR="00524D79" w:rsidP="00176BD0" w14:paraId="2AB2B6CC" w14:textId="77777777">
      <w:pPr>
        <w:ind w:left="720"/>
        <w:rPr>
          <w:szCs w:val="22"/>
        </w:rPr>
      </w:pPr>
      <w:r w:rsidRPr="00B00F51">
        <w:rPr>
          <w:szCs w:val="22"/>
        </w:rPr>
        <w:t>MetroNet Holdings, LLC</w:t>
      </w:r>
      <w:r w:rsidR="00473955">
        <w:rPr>
          <w:szCs w:val="22"/>
        </w:rPr>
        <w:t xml:space="preserve">, </w:t>
      </w:r>
      <w:r w:rsidR="006A1C8E">
        <w:rPr>
          <w:szCs w:val="22"/>
        </w:rPr>
        <w:t xml:space="preserve">WC Docket No. </w:t>
      </w:r>
      <w:r w:rsidRPr="00C53E5E" w:rsidR="0012329A">
        <w:rPr>
          <w:szCs w:val="22"/>
        </w:rPr>
        <w:t>21-</w:t>
      </w:r>
      <w:r w:rsidR="00C53E5E">
        <w:rPr>
          <w:szCs w:val="22"/>
        </w:rPr>
        <w:t>2</w:t>
      </w:r>
      <w:r w:rsidR="0009534A">
        <w:rPr>
          <w:szCs w:val="22"/>
        </w:rPr>
        <w:t>37</w:t>
      </w:r>
      <w:r w:rsidR="006A1C8E">
        <w:rPr>
          <w:szCs w:val="22"/>
        </w:rPr>
        <w:t xml:space="preserve"> (filed </w:t>
      </w:r>
      <w:r w:rsidR="0009534A">
        <w:rPr>
          <w:szCs w:val="22"/>
        </w:rPr>
        <w:t>June</w:t>
      </w:r>
      <w:r w:rsidR="00F57A04">
        <w:rPr>
          <w:szCs w:val="22"/>
        </w:rPr>
        <w:t xml:space="preserve"> </w:t>
      </w:r>
      <w:r w:rsidR="00473955">
        <w:rPr>
          <w:szCs w:val="22"/>
        </w:rPr>
        <w:t>3</w:t>
      </w:r>
      <w:r w:rsidR="006A1C8E">
        <w:rPr>
          <w:szCs w:val="22"/>
        </w:rPr>
        <w:t>, 202</w:t>
      </w:r>
      <w:r w:rsidR="0012329A">
        <w:rPr>
          <w:szCs w:val="22"/>
        </w:rPr>
        <w:t>1</w:t>
      </w:r>
      <w:r w:rsidR="006A1C8E">
        <w:rPr>
          <w:szCs w:val="22"/>
        </w:rPr>
        <w:t>).</w:t>
      </w:r>
    </w:p>
    <w:p w:rsidR="00D94C3B" w14:paraId="251B7AE4" w14:textId="77777777">
      <w:pPr>
        <w:autoSpaceDE w:val="0"/>
        <w:autoSpaceDN w:val="0"/>
        <w:adjustRightInd w:val="0"/>
        <w:rPr>
          <w:b/>
          <w:szCs w:val="22"/>
          <w:u w:val="single"/>
        </w:rPr>
      </w:pPr>
    </w:p>
    <w:p w:rsidR="00E7033D" w14:paraId="2A463AF2" w14:textId="77777777">
      <w:pPr>
        <w:autoSpaceDE w:val="0"/>
        <w:autoSpaceDN w:val="0"/>
        <w:adjustRightInd w:val="0"/>
        <w:rPr>
          <w:szCs w:val="22"/>
        </w:rPr>
      </w:pPr>
      <w:r>
        <w:rPr>
          <w:b/>
          <w:szCs w:val="22"/>
          <w:u w:val="single"/>
        </w:rPr>
        <w:t>GENERAL INFORMATION</w:t>
      </w:r>
    </w:p>
    <w:p w:rsidR="00E7033D" w14:paraId="63501FA4" w14:textId="77777777">
      <w:pPr>
        <w:autoSpaceDE w:val="0"/>
        <w:autoSpaceDN w:val="0"/>
        <w:adjustRightInd w:val="0"/>
        <w:rPr>
          <w:szCs w:val="22"/>
        </w:rPr>
      </w:pPr>
    </w:p>
    <w:p w:rsidR="00E7033D" w:rsidP="000629CF" w14:paraId="13DACC98"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5C5C55">
        <w:rPr>
          <w:b/>
          <w:szCs w:val="22"/>
        </w:rPr>
        <w:t>J</w:t>
      </w:r>
      <w:r w:rsidR="000D7E4D">
        <w:rPr>
          <w:b/>
          <w:szCs w:val="22"/>
        </w:rPr>
        <w:t>uly 7</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5C5C55">
        <w:rPr>
          <w:b/>
          <w:szCs w:val="22"/>
        </w:rPr>
        <w:t>Ju</w:t>
      </w:r>
      <w:r w:rsidR="00B506FC">
        <w:rPr>
          <w:b/>
          <w:szCs w:val="22"/>
        </w:rPr>
        <w:t>ly</w:t>
      </w:r>
      <w:r w:rsidR="00D57071">
        <w:rPr>
          <w:b/>
          <w:szCs w:val="22"/>
        </w:rPr>
        <w:t xml:space="preserve"> </w:t>
      </w:r>
      <w:r w:rsidR="000D7E4D">
        <w:rPr>
          <w:b/>
          <w:szCs w:val="22"/>
        </w:rPr>
        <w:t>14</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4BE799EA"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0F0896C7"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578D11EE" w14:textId="77777777">
      <w:pPr>
        <w:numPr>
          <w:ilvl w:val="0"/>
          <w:numId w:val="18"/>
        </w:numPr>
        <w:autoSpaceDE w:val="0"/>
        <w:autoSpaceDN w:val="0"/>
        <w:adjustRightInd w:val="0"/>
        <w:spacing w:after="120"/>
        <w:rPr>
          <w:szCs w:val="22"/>
        </w:rPr>
      </w:pPr>
      <w:r>
        <w:rPr>
          <w:szCs w:val="22"/>
        </w:rPr>
        <w:t>Myrva Charles</w:t>
      </w:r>
      <w:r w:rsidR="00066D12">
        <w:rPr>
          <w:szCs w:val="22"/>
        </w:rPr>
        <w:t xml:space="preserve">, Competition Policy Division, Wireline Competition Bureau,  </w:t>
      </w:r>
      <w:hyperlink r:id="rId8" w:history="1">
        <w:r w:rsidRPr="00636679">
          <w:rPr>
            <w:rStyle w:val="Hyperlink"/>
            <w:szCs w:val="22"/>
          </w:rPr>
          <w:t>myrva.charles@fcc.gov</w:t>
        </w:r>
      </w:hyperlink>
      <w:r w:rsidR="00066D12">
        <w:rPr>
          <w:szCs w:val="22"/>
        </w:rPr>
        <w:t>;</w:t>
      </w:r>
    </w:p>
    <w:p w:rsidR="003F16BE" w:rsidRPr="0097746C" w:rsidP="0097746C" w14:paraId="59F5B5CB" w14:textId="77777777">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635062">
          <w:rPr>
            <w:rStyle w:val="Hyperlink"/>
            <w:szCs w:val="22"/>
          </w:rPr>
          <w:t>gregory.kwan@fcc.gov</w:t>
        </w:r>
      </w:hyperlink>
      <w:r w:rsidRPr="000B48A6" w:rsidR="001B4C2F">
        <w:rPr>
          <w:szCs w:val="22"/>
        </w:rPr>
        <w:t>;</w:t>
      </w:r>
      <w:r w:rsidRPr="000B48A6" w:rsidR="00FA093F">
        <w:rPr>
          <w:szCs w:val="22"/>
        </w:rPr>
        <w:t xml:space="preserve"> </w:t>
      </w:r>
      <w:r w:rsidRPr="0097746C" w:rsidR="006A1C8E">
        <w:rPr>
          <w:color w:val="000000"/>
          <w:szCs w:val="22"/>
        </w:rPr>
        <w:t>and</w:t>
      </w:r>
    </w:p>
    <w:p w:rsidR="005C342C" w:rsidP="003F16BE" w14:paraId="424C20E3" w14:textId="77777777">
      <w:pPr>
        <w:numPr>
          <w:ilvl w:val="0"/>
          <w:numId w:val="18"/>
        </w:numPr>
        <w:autoSpaceDE w:val="0"/>
        <w:autoSpaceDN w:val="0"/>
        <w:adjustRightInd w:val="0"/>
        <w:spacing w:after="120"/>
        <w:rPr>
          <w:szCs w:val="22"/>
        </w:rPr>
      </w:pPr>
      <w:r>
        <w:rPr>
          <w:szCs w:val="22"/>
        </w:rPr>
        <w:t xml:space="preserve">Kimberly Cook, </w:t>
      </w:r>
      <w:r w:rsidRPr="005C342C">
        <w:rPr>
          <w:szCs w:val="22"/>
        </w:rPr>
        <w:t xml:space="preserve">Telecommunications and Analysis Division, International Bureau, </w:t>
      </w:r>
      <w:hyperlink r:id="rId10" w:history="1">
        <w:r w:rsidRPr="00635062">
          <w:rPr>
            <w:rStyle w:val="Hyperlink"/>
            <w:szCs w:val="22"/>
          </w:rPr>
          <w:t>kimberly.cook@fcc.gov</w:t>
        </w:r>
      </w:hyperlink>
      <w:r w:rsidRPr="005C342C">
        <w:rPr>
          <w:szCs w:val="22"/>
        </w:rPr>
        <w:t>; and</w:t>
      </w:r>
    </w:p>
    <w:p w:rsidR="00E7033D" w:rsidRPr="003F16BE" w:rsidP="003F16BE" w14:paraId="7D966CC4"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93491F" w:rsidR="00677DF3">
          <w:rPr>
            <w:rStyle w:val="Hyperlink"/>
            <w:szCs w:val="22"/>
          </w:rPr>
          <w:t>jim.bird@fcc.gov</w:t>
        </w:r>
      </w:hyperlink>
      <w:r w:rsidRPr="003F16BE">
        <w:rPr>
          <w:szCs w:val="22"/>
        </w:rPr>
        <w:t>.</w:t>
      </w:r>
    </w:p>
    <w:p w:rsidR="00E7033D" w:rsidP="0008381D" w14:paraId="0ED7A646" w14:textId="77777777">
      <w:pPr>
        <w:autoSpaceDE w:val="0"/>
        <w:autoSpaceDN w:val="0"/>
        <w:adjustRightInd w:val="0"/>
        <w:spacing w:after="120"/>
        <w:ind w:firstLine="720"/>
        <w:rPr>
          <w:szCs w:val="22"/>
        </w:rPr>
      </w:pPr>
      <w:r w:rsidRPr="009B1CCF">
        <w:rPr>
          <w:szCs w:val="22"/>
        </w:rPr>
        <w:t xml:space="preserve">People with Disabilities:  We ask that requests for accommodations be made as soon as possible </w:t>
      </w:r>
      <w:r w:rsidRPr="009B1CCF">
        <w:rPr>
          <w:szCs w:val="22"/>
        </w:rPr>
        <w:t>in order to</w:t>
      </w:r>
      <w:r w:rsidRPr="009B1CCF">
        <w:rPr>
          <w:szCs w:val="22"/>
        </w:rPr>
        <w:t xml:space="preserve">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E7033D" w:rsidP="0008381D" w14:paraId="021283B4"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A156E" w14:paraId="1B5353AE"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3"/>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14:paraId="66BDF208" w14:textId="77777777">
      <w:pPr>
        <w:autoSpaceDE w:val="0"/>
        <w:autoSpaceDN w:val="0"/>
        <w:adjustRightInd w:val="0"/>
        <w:spacing w:after="120"/>
        <w:ind w:firstLine="720"/>
        <w:rPr>
          <w:szCs w:val="22"/>
        </w:rPr>
      </w:pPr>
      <w:r>
        <w:rPr>
          <w:szCs w:val="22"/>
        </w:rPr>
        <w:t xml:space="preserve">For further information, please contact </w:t>
      </w:r>
      <w:r w:rsidR="00990455">
        <w:rPr>
          <w:szCs w:val="22"/>
        </w:rPr>
        <w:t>Myrva Charles</w:t>
      </w:r>
      <w:r w:rsidR="004913FF">
        <w:rPr>
          <w:szCs w:val="22"/>
        </w:rPr>
        <w:t xml:space="preserve"> at (202) 418-1</w:t>
      </w:r>
      <w:r w:rsidR="00990455">
        <w:rPr>
          <w:szCs w:val="22"/>
        </w:rPr>
        <w:t>506</w:t>
      </w:r>
      <w:r>
        <w:rPr>
          <w:szCs w:val="22"/>
        </w:rPr>
        <w:t xml:space="preserve"> or</w:t>
      </w:r>
      <w:r w:rsidR="004A7357">
        <w:rPr>
          <w:szCs w:val="22"/>
        </w:rPr>
        <w:t xml:space="preserve"> </w:t>
      </w:r>
      <w:r w:rsidR="000E5955">
        <w:rPr>
          <w:szCs w:val="22"/>
        </w:rPr>
        <w:t>Gregory Kwan</w:t>
      </w:r>
      <w:r w:rsidR="00025A42">
        <w:rPr>
          <w:szCs w:val="22"/>
        </w:rPr>
        <w:t xml:space="preserve"> at </w:t>
      </w:r>
      <w:r>
        <w:rPr>
          <w:szCs w:val="22"/>
        </w:rPr>
        <w:t>(202) 418-</w:t>
      </w:r>
      <w:r w:rsidR="000E5955">
        <w:rPr>
          <w:szCs w:val="22"/>
        </w:rPr>
        <w:t>1191</w:t>
      </w:r>
      <w:r>
        <w:rPr>
          <w:szCs w:val="22"/>
        </w:rPr>
        <w:t>.</w:t>
      </w:r>
    </w:p>
    <w:p w:rsidR="00E7033D" w14:paraId="1FFB1A1D" w14:textId="77777777">
      <w:pPr>
        <w:autoSpaceDE w:val="0"/>
        <w:autoSpaceDN w:val="0"/>
        <w:adjustRightInd w:val="0"/>
        <w:rPr>
          <w:szCs w:val="22"/>
        </w:rPr>
      </w:pPr>
    </w:p>
    <w:p w:rsidR="00E7033D" w14:paraId="7F259203" w14:textId="77777777">
      <w:pPr>
        <w:autoSpaceDE w:val="0"/>
        <w:autoSpaceDN w:val="0"/>
        <w:adjustRightInd w:val="0"/>
        <w:jc w:val="center"/>
        <w:rPr>
          <w:color w:val="000000"/>
          <w:szCs w:val="22"/>
        </w:rPr>
      </w:pPr>
      <w:r>
        <w:rPr>
          <w:b/>
          <w:szCs w:val="22"/>
        </w:rPr>
        <w:t>FCC</w:t>
      </w:r>
    </w:p>
    <w:p w:rsidR="00E7033D" w14:paraId="5F5F883B" w14:textId="77777777">
      <w:pPr>
        <w:autoSpaceDE w:val="0"/>
        <w:autoSpaceDN w:val="0"/>
        <w:adjustRightInd w:val="0"/>
        <w:spacing w:after="120"/>
        <w:jc w:val="center"/>
        <w:rPr>
          <w:b/>
          <w:szCs w:val="22"/>
        </w:rPr>
      </w:pPr>
    </w:p>
    <w:p w:rsidR="00E7033D" w14:paraId="6EFA251C" w14:textId="77777777">
      <w:pPr>
        <w:autoSpaceDE w:val="0"/>
        <w:autoSpaceDN w:val="0"/>
        <w:adjustRightInd w:val="0"/>
        <w:jc w:val="center"/>
        <w:rPr>
          <w:b/>
          <w:szCs w:val="22"/>
        </w:rPr>
      </w:pPr>
    </w:p>
    <w:p w:rsidR="00524D79" w14:paraId="0D6E8FAC" w14:textId="77777777">
      <w:pPr>
        <w:autoSpaceDE w:val="0"/>
        <w:autoSpaceDN w:val="0"/>
        <w:adjustRightInd w:val="0"/>
        <w:rPr>
          <w:color w:val="000000"/>
          <w:szCs w:val="22"/>
        </w:rPr>
      </w:pPr>
      <w:r w:rsidRPr="000E5955">
        <w:rPr>
          <w:color w:val="000000"/>
          <w:szCs w:val="22"/>
        </w:rPr>
        <w:t xml:space="preserve">  </w:t>
      </w: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D8245C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79BBFF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4A837E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4474A09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33EB5B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27CD7643" w14:textId="77777777"/>
  <w:p w:rsidR="005D4020" w14:paraId="103EA0D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64BE" w14:paraId="658A6D8F" w14:textId="77777777">
      <w:r>
        <w:separator/>
      </w:r>
    </w:p>
  </w:footnote>
  <w:footnote w:type="continuationSeparator" w:id="1">
    <w:p w:rsidR="00A964BE" w14:paraId="4DB30726" w14:textId="77777777">
      <w:r>
        <w:continuationSeparator/>
      </w:r>
    </w:p>
  </w:footnote>
  <w:footnote w:type="continuationNotice" w:id="2">
    <w:p w:rsidR="00A964BE" w14:paraId="16F4F87D" w14:textId="77777777"/>
  </w:footnote>
  <w:footnote w:id="3">
    <w:p w:rsidR="005D4020" w:rsidRPr="005C342C" w:rsidP="005C342C" w14:paraId="36584BDD" w14:textId="77777777">
      <w:pPr>
        <w:spacing w:after="120"/>
        <w:rPr>
          <w:bCs/>
          <w:sz w:val="20"/>
        </w:rPr>
      </w:pPr>
      <w:r w:rsidRPr="001A3E67">
        <w:rPr>
          <w:rStyle w:val="FootnoteReference"/>
          <w:sz w:val="20"/>
        </w:rPr>
        <w:footnoteRef/>
      </w:r>
      <w:r w:rsidRPr="005C342C">
        <w:rPr>
          <w:sz w:val="20"/>
        </w:rPr>
        <w:t xml:space="preserve"> </w:t>
      </w:r>
      <w:r w:rsidRPr="005C342C">
        <w:rPr>
          <w:i/>
          <w:sz w:val="20"/>
        </w:rPr>
        <w:t>See</w:t>
      </w:r>
      <w:r w:rsidRPr="005C342C">
        <w:rPr>
          <w:sz w:val="20"/>
        </w:rPr>
        <w:t xml:space="preserve"> 47 U.S.C. § 214; 47 CFR §§ 63.03-04.  </w:t>
      </w:r>
      <w:r w:rsidRPr="005C342C" w:rsidR="006420D0">
        <w:rPr>
          <w:sz w:val="20"/>
        </w:rPr>
        <w:t>Applicants also fil</w:t>
      </w:r>
      <w:r w:rsidR="004E74EE">
        <w:rPr>
          <w:sz w:val="20"/>
        </w:rPr>
        <w:t>ed</w:t>
      </w:r>
      <w:r w:rsidRPr="005C342C" w:rsidR="006420D0">
        <w:rPr>
          <w:sz w:val="20"/>
        </w:rPr>
        <w:t xml:space="preserve"> applications for the transfer of authorizations associated with international services.  </w:t>
      </w:r>
      <w:r w:rsidRPr="005C342C" w:rsidR="00092A4E">
        <w:rPr>
          <w:sz w:val="20"/>
        </w:rPr>
        <w:t>On June 17, 2021</w:t>
      </w:r>
      <w:r w:rsidR="00073173">
        <w:rPr>
          <w:sz w:val="20"/>
        </w:rPr>
        <w:t xml:space="preserve"> and June 22, 2021</w:t>
      </w:r>
      <w:r w:rsidRPr="005C342C" w:rsidR="00092A4E">
        <w:rPr>
          <w:sz w:val="20"/>
        </w:rPr>
        <w:t>, Applicants filed supplement</w:t>
      </w:r>
      <w:r w:rsidR="00073173">
        <w:rPr>
          <w:sz w:val="20"/>
        </w:rPr>
        <w:t>s to</w:t>
      </w:r>
      <w:r w:rsidRPr="005C342C" w:rsidR="00092A4E">
        <w:rPr>
          <w:sz w:val="20"/>
        </w:rPr>
        <w:t xml:space="preserve"> their domestic section 214 application.  </w:t>
      </w:r>
      <w:r w:rsidRPr="005C342C" w:rsidR="006420D0">
        <w:rPr>
          <w:sz w:val="20"/>
        </w:rPr>
        <w:t>Any action on this domestic section 214 application is without prejudice to Commission action on other related, pending applications</w:t>
      </w:r>
      <w:r w:rsidRPr="005C342C" w:rsidR="005C0AE1">
        <w:rPr>
          <w:bCs/>
          <w:sz w:val="20"/>
        </w:rPr>
        <w:t>.</w:t>
      </w:r>
    </w:p>
  </w:footnote>
  <w:footnote w:id="4">
    <w:p w:rsidR="002B6B43" w:rsidRPr="005C342C" w:rsidP="005C342C" w14:paraId="74631E3F" w14:textId="77777777">
      <w:pPr>
        <w:pStyle w:val="FootnoteText"/>
        <w:spacing w:after="120"/>
        <w:rPr>
          <w:sz w:val="20"/>
        </w:rPr>
      </w:pPr>
      <w:r w:rsidRPr="005C342C">
        <w:rPr>
          <w:rStyle w:val="FootnoteReference"/>
          <w:sz w:val="20"/>
        </w:rPr>
        <w:footnoteRef/>
      </w:r>
      <w:r w:rsidRPr="005C342C">
        <w:rPr>
          <w:sz w:val="20"/>
        </w:rPr>
        <w:t xml:space="preserve"> </w:t>
      </w:r>
      <w:r w:rsidRPr="005C342C" w:rsidR="00092A4E">
        <w:rPr>
          <w:sz w:val="20"/>
        </w:rPr>
        <w:t xml:space="preserve">Applicants state that Jaguar is an </w:t>
      </w:r>
      <w:r w:rsidR="0097409F">
        <w:rPr>
          <w:sz w:val="20"/>
        </w:rPr>
        <w:t xml:space="preserve">Eligible </w:t>
      </w:r>
      <w:r w:rsidRPr="005C342C" w:rsidR="00092A4E">
        <w:rPr>
          <w:sz w:val="20"/>
        </w:rPr>
        <w:t>T</w:t>
      </w:r>
      <w:r w:rsidR="0097409F">
        <w:rPr>
          <w:sz w:val="20"/>
        </w:rPr>
        <w:t xml:space="preserve">elecommunications </w:t>
      </w:r>
      <w:r w:rsidRPr="005C342C" w:rsidR="00092A4E">
        <w:rPr>
          <w:sz w:val="20"/>
        </w:rPr>
        <w:t>C</w:t>
      </w:r>
      <w:r w:rsidR="0097409F">
        <w:rPr>
          <w:sz w:val="20"/>
        </w:rPr>
        <w:t>arrier</w:t>
      </w:r>
      <w:r w:rsidRPr="005C342C" w:rsidR="00092A4E">
        <w:rPr>
          <w:sz w:val="20"/>
        </w:rPr>
        <w:t xml:space="preserve"> in Minnesota and has been awarded funds </w:t>
      </w:r>
      <w:r w:rsidRPr="00092A4E" w:rsidR="00092A4E">
        <w:rPr>
          <w:sz w:val="20"/>
        </w:rPr>
        <w:t>in the C</w:t>
      </w:r>
      <w:r w:rsidR="004E74EE">
        <w:rPr>
          <w:sz w:val="20"/>
        </w:rPr>
        <w:t xml:space="preserve">onnect </w:t>
      </w:r>
      <w:r w:rsidRPr="00092A4E" w:rsidR="00092A4E">
        <w:rPr>
          <w:sz w:val="20"/>
        </w:rPr>
        <w:t>A</w:t>
      </w:r>
      <w:r w:rsidR="004E74EE">
        <w:rPr>
          <w:sz w:val="20"/>
        </w:rPr>
        <w:t xml:space="preserve">merica </w:t>
      </w:r>
      <w:r w:rsidRPr="00092A4E" w:rsidR="00092A4E">
        <w:rPr>
          <w:sz w:val="20"/>
        </w:rPr>
        <w:t>F</w:t>
      </w:r>
      <w:r w:rsidR="004E74EE">
        <w:rPr>
          <w:sz w:val="20"/>
        </w:rPr>
        <w:t>und</w:t>
      </w:r>
      <w:r w:rsidRPr="00092A4E" w:rsidR="00092A4E">
        <w:rPr>
          <w:sz w:val="20"/>
        </w:rPr>
        <w:t xml:space="preserve"> II Auction </w:t>
      </w:r>
      <w:r w:rsidR="00144E61">
        <w:rPr>
          <w:sz w:val="20"/>
        </w:rPr>
        <w:t xml:space="preserve">903 </w:t>
      </w:r>
      <w:r w:rsidRPr="00092A4E" w:rsidR="00092A4E">
        <w:rPr>
          <w:sz w:val="20"/>
        </w:rPr>
        <w:t>to provide voice and broadband services in certain census blocks</w:t>
      </w:r>
      <w:r w:rsidRPr="005C342C" w:rsidR="00092A4E">
        <w:rPr>
          <w:sz w:val="20"/>
        </w:rPr>
        <w:t xml:space="preserve"> in Minnesota.  Applicants further state that Jaguar offers Lifeline services but does not currently </w:t>
      </w:r>
      <w:r w:rsidR="00E27AAE">
        <w:rPr>
          <w:sz w:val="20"/>
        </w:rPr>
        <w:t>serve</w:t>
      </w:r>
      <w:r w:rsidRPr="005C342C" w:rsidR="00092A4E">
        <w:rPr>
          <w:sz w:val="20"/>
        </w:rPr>
        <w:t xml:space="preserve"> any Lifeline customers.</w:t>
      </w:r>
    </w:p>
  </w:footnote>
  <w:footnote w:id="5">
    <w:p w:rsidR="00134FFC" w:rsidRPr="005C342C" w:rsidP="005C342C" w14:paraId="198C433C" w14:textId="77777777">
      <w:pPr>
        <w:pStyle w:val="FootnoteText"/>
        <w:spacing w:after="120"/>
        <w:rPr>
          <w:sz w:val="20"/>
        </w:rPr>
      </w:pPr>
      <w:r w:rsidRPr="005C342C">
        <w:rPr>
          <w:rStyle w:val="FootnoteReference"/>
          <w:sz w:val="20"/>
        </w:rPr>
        <w:footnoteRef/>
      </w:r>
      <w:r w:rsidRPr="005C342C">
        <w:rPr>
          <w:sz w:val="20"/>
        </w:rPr>
        <w:t xml:space="preserve"> </w:t>
      </w:r>
      <w:r w:rsidRPr="00100ED3">
        <w:rPr>
          <w:sz w:val="20"/>
        </w:rPr>
        <w:t xml:space="preserve">Oak Hill is a private equity fund based in the United States but whose funds are organized in the Cayman Islands.  </w:t>
      </w:r>
      <w:r w:rsidRPr="00100ED3" w:rsidR="00F3762F">
        <w:rPr>
          <w:sz w:val="20"/>
        </w:rPr>
        <w:t>Applicants state that t</w:t>
      </w:r>
      <w:r w:rsidRPr="00EA27A2" w:rsidR="00F3762F">
        <w:rPr>
          <w:sz w:val="20"/>
        </w:rPr>
        <w:t>he equity in the Oak Hill funds is held through limited partnership interests</w:t>
      </w:r>
      <w:r w:rsidRPr="00100ED3" w:rsidR="00F3762F">
        <w:rPr>
          <w:sz w:val="20"/>
        </w:rPr>
        <w:t xml:space="preserve"> </w:t>
      </w:r>
      <w:r w:rsidRPr="00EA27A2" w:rsidR="00F3762F">
        <w:rPr>
          <w:sz w:val="20"/>
        </w:rPr>
        <w:t>which are, in turn, held by numerous, primarily U.S.-based investors, including individuals, trusts,</w:t>
      </w:r>
      <w:r w:rsidRPr="00100ED3" w:rsidR="00F3762F">
        <w:rPr>
          <w:sz w:val="20"/>
        </w:rPr>
        <w:t xml:space="preserve"> institutions and business entities</w:t>
      </w:r>
      <w:r w:rsidR="00144E61">
        <w:rPr>
          <w:sz w:val="20"/>
        </w:rPr>
        <w:t>,</w:t>
      </w:r>
      <w:r w:rsidRPr="00100ED3" w:rsidR="00F3762F">
        <w:rPr>
          <w:sz w:val="20"/>
        </w:rPr>
        <w:t xml:space="preserve"> and that control of these funds ultimately rests in U.S. entities or citizens.  </w:t>
      </w:r>
      <w:r w:rsidRPr="005C342C">
        <w:rPr>
          <w:sz w:val="20"/>
        </w:rPr>
        <w:t xml:space="preserve">Oak Hill is </w:t>
      </w:r>
      <w:r w:rsidR="00D918DB">
        <w:rPr>
          <w:sz w:val="20"/>
        </w:rPr>
        <w:t xml:space="preserve">currently </w:t>
      </w:r>
      <w:r w:rsidRPr="005C342C">
        <w:rPr>
          <w:sz w:val="20"/>
        </w:rPr>
        <w:t>affiliated with carriers that provide incumbent local exchange carrier (LEC), competitive LEC, cable, and other services in multiple states</w:t>
      </w:r>
      <w:r w:rsidR="00D918DB">
        <w:rPr>
          <w:sz w:val="20"/>
        </w:rPr>
        <w:t xml:space="preserve">.  </w:t>
      </w:r>
      <w:r w:rsidR="00144E61">
        <w:rPr>
          <w:sz w:val="20"/>
        </w:rPr>
        <w:t>Applicants</w:t>
      </w:r>
      <w:r w:rsidR="00D918DB">
        <w:rPr>
          <w:sz w:val="20"/>
        </w:rPr>
        <w:t xml:space="preserve"> state that t</w:t>
      </w:r>
      <w:r w:rsidRPr="005C342C" w:rsidR="00D918DB">
        <w:rPr>
          <w:sz w:val="20"/>
        </w:rPr>
        <w:t>he service territories of th</w:t>
      </w:r>
      <w:r w:rsidR="00D918DB">
        <w:rPr>
          <w:sz w:val="20"/>
        </w:rPr>
        <w:t xml:space="preserve">ose entities </w:t>
      </w:r>
      <w:r w:rsidRPr="005C342C" w:rsidR="00D918DB">
        <w:rPr>
          <w:sz w:val="20"/>
        </w:rPr>
        <w:t xml:space="preserve">are not adjacent to and do not overlap with the service territories of </w:t>
      </w:r>
      <w:r w:rsidR="00D918DB">
        <w:rPr>
          <w:sz w:val="20"/>
        </w:rPr>
        <w:t xml:space="preserve">the Licensees.  </w:t>
      </w:r>
    </w:p>
  </w:footnote>
  <w:footnote w:id="6">
    <w:p w:rsidR="009A483F" w:rsidRPr="005C342C" w:rsidP="005C342C" w14:paraId="34FC2173" w14:textId="77777777">
      <w:pPr>
        <w:pStyle w:val="FootnoteText"/>
        <w:spacing w:after="120"/>
        <w:rPr>
          <w:sz w:val="20"/>
        </w:rPr>
      </w:pPr>
      <w:r w:rsidRPr="005C342C">
        <w:rPr>
          <w:rStyle w:val="FootnoteReference"/>
          <w:sz w:val="20"/>
        </w:rPr>
        <w:footnoteRef/>
      </w:r>
      <w:r w:rsidRPr="005C342C">
        <w:rPr>
          <w:sz w:val="20"/>
        </w:rPr>
        <w:t xml:space="preserve"> </w:t>
      </w:r>
      <w:r w:rsidRPr="005C342C" w:rsidR="00134FFC">
        <w:rPr>
          <w:sz w:val="20"/>
        </w:rPr>
        <w:t>Applicants provide</w:t>
      </w:r>
      <w:r w:rsidR="0097409F">
        <w:rPr>
          <w:sz w:val="20"/>
        </w:rPr>
        <w:t>,</w:t>
      </w:r>
      <w:r w:rsidRPr="005C342C" w:rsidR="00134FFC">
        <w:rPr>
          <w:sz w:val="20"/>
        </w:rPr>
        <w:t xml:space="preserve"> as pages 3-7 of Exhibit A to their application</w:t>
      </w:r>
      <w:r w:rsidR="0097409F">
        <w:rPr>
          <w:sz w:val="20"/>
        </w:rPr>
        <w:t>,</w:t>
      </w:r>
      <w:r w:rsidRPr="005C342C" w:rsidR="00134FFC">
        <w:rPr>
          <w:sz w:val="20"/>
        </w:rPr>
        <w:t xml:space="preserve"> information on each of the entities and individuals included in the Oak Hill III/IV Investors.  Applicants state that OH Metro Holdings LLC (OH-MH) holds approximately 32.2% of the equity in Holdings, while OH Metro Holdings 2, LLC (OH-MH 2) holds approximately 16.4% of the equity of Holdings.  Applicants state that the limited partnership interests in OH-MH and OH-MH 2</w:t>
      </w:r>
      <w:r w:rsidR="009E32BA">
        <w:rPr>
          <w:sz w:val="20"/>
        </w:rPr>
        <w:t>, which are both U.S.-based,</w:t>
      </w:r>
      <w:r w:rsidRPr="005C342C" w:rsidR="00134FFC">
        <w:rPr>
          <w:sz w:val="20"/>
        </w:rPr>
        <w:t xml:space="preserve"> are currently held by numerous, primarily U.S.-based investors, including individuals, trusts, institutions, and business entities</w:t>
      </w:r>
      <w:r w:rsidR="00144E61">
        <w:rPr>
          <w:sz w:val="20"/>
        </w:rPr>
        <w:t>,</w:t>
      </w:r>
      <w:r w:rsidRPr="005C342C" w:rsidR="00134FFC">
        <w:rPr>
          <w:sz w:val="20"/>
        </w:rPr>
        <w:t xml:space="preserve"> and that control of these funds ultimately rests in U.S. entities or citizens.   </w:t>
      </w:r>
      <w:r w:rsidRPr="005C342C" w:rsidR="005A3E2A">
        <w:rPr>
          <w:sz w:val="20"/>
        </w:rPr>
        <w:t xml:space="preserve"> </w:t>
      </w:r>
    </w:p>
  </w:footnote>
  <w:footnote w:id="7">
    <w:p w:rsidR="00B83A8F" w:rsidRPr="005C342C" w:rsidP="005C342C" w14:paraId="479C0BA6" w14:textId="77777777">
      <w:pPr>
        <w:pStyle w:val="FootnoteText"/>
        <w:spacing w:after="120"/>
        <w:rPr>
          <w:sz w:val="20"/>
        </w:rPr>
      </w:pPr>
      <w:r w:rsidRPr="005C342C">
        <w:rPr>
          <w:rStyle w:val="FootnoteReference"/>
          <w:sz w:val="20"/>
        </w:rPr>
        <w:footnoteRef/>
      </w:r>
      <w:r w:rsidRPr="005C342C">
        <w:rPr>
          <w:sz w:val="20"/>
        </w:rPr>
        <w:t xml:space="preserve"> </w:t>
      </w:r>
      <w:r w:rsidRPr="005C342C" w:rsidR="00C4607F">
        <w:rPr>
          <w:sz w:val="20"/>
        </w:rPr>
        <w:t>Applicants provide</w:t>
      </w:r>
      <w:r w:rsidR="0097409F">
        <w:rPr>
          <w:sz w:val="20"/>
        </w:rPr>
        <w:t>,</w:t>
      </w:r>
      <w:r w:rsidRPr="005C342C" w:rsidR="00C4607F">
        <w:rPr>
          <w:sz w:val="20"/>
        </w:rPr>
        <w:t xml:space="preserve"> </w:t>
      </w:r>
      <w:r w:rsidRPr="005C342C" w:rsidR="00C35C48">
        <w:rPr>
          <w:sz w:val="20"/>
        </w:rPr>
        <w:t>in Exhibit A, note 1</w:t>
      </w:r>
      <w:r w:rsidR="00144E61">
        <w:rPr>
          <w:sz w:val="20"/>
        </w:rPr>
        <w:t>,</w:t>
      </w:r>
      <w:r w:rsidR="002606A8">
        <w:rPr>
          <w:sz w:val="20"/>
        </w:rPr>
        <w:t xml:space="preserve"> and Exhibit C, note 1</w:t>
      </w:r>
      <w:r w:rsidRPr="005C342C" w:rsidR="00C35C48">
        <w:rPr>
          <w:sz w:val="20"/>
        </w:rPr>
        <w:t xml:space="preserve"> </w:t>
      </w:r>
      <w:r w:rsidRPr="005C342C" w:rsidR="00C4607F">
        <w:rPr>
          <w:sz w:val="20"/>
        </w:rPr>
        <w:t>to their application</w:t>
      </w:r>
      <w:r w:rsidRPr="005C342C" w:rsidR="00C35C48">
        <w:rPr>
          <w:sz w:val="20"/>
        </w:rPr>
        <w:t>,</w:t>
      </w:r>
      <w:r w:rsidRPr="005C342C" w:rsidR="00C4607F">
        <w:rPr>
          <w:sz w:val="20"/>
        </w:rPr>
        <w:t xml:space="preserve"> information on each of the entities and individuals who are included in the Cinelli Investors.  Applicants state that </w:t>
      </w:r>
      <w:r w:rsidRPr="005C342C" w:rsidR="00C4607F">
        <w:rPr>
          <w:sz w:val="20"/>
        </w:rPr>
        <w:t>all of</w:t>
      </w:r>
      <w:r w:rsidRPr="005C342C" w:rsidR="00C4607F">
        <w:rPr>
          <w:sz w:val="20"/>
        </w:rPr>
        <w:t xml:space="preserve"> the Cinelli Investors are U.S. citizens, trusts, or entities.  </w:t>
      </w:r>
    </w:p>
  </w:footnote>
  <w:footnote w:id="8">
    <w:p w:rsidR="00B83A8F" w:rsidRPr="005C342C" w:rsidP="005C342C" w14:paraId="4877B519" w14:textId="77777777">
      <w:pPr>
        <w:pStyle w:val="FootnoteText"/>
        <w:spacing w:after="120"/>
        <w:rPr>
          <w:sz w:val="20"/>
        </w:rPr>
      </w:pPr>
      <w:r w:rsidRPr="005C342C">
        <w:rPr>
          <w:rStyle w:val="FootnoteReference"/>
          <w:sz w:val="20"/>
        </w:rPr>
        <w:footnoteRef/>
      </w:r>
      <w:r w:rsidRPr="005C342C">
        <w:rPr>
          <w:sz w:val="20"/>
        </w:rPr>
        <w:t xml:space="preserve"> </w:t>
      </w:r>
      <w:r w:rsidRPr="005C342C" w:rsidR="004F686B">
        <w:rPr>
          <w:sz w:val="20"/>
        </w:rPr>
        <w:t>Applicants state that while the Oak Hill III/IV Investors and Cinelli Investors each appoint three of six managers of the Board of Managers (the Board) of Holdings, the Cinelli Investors have control of the day-to-day management of Holdings by virtue of their appointment of the Chairman of the Board</w:t>
      </w:r>
      <w:r w:rsidR="00E27AAE">
        <w:rPr>
          <w:sz w:val="20"/>
        </w:rPr>
        <w:t xml:space="preserve">.  </w:t>
      </w:r>
      <w:r w:rsidRPr="005C342C" w:rsidR="004F686B">
        <w:rPr>
          <w:sz w:val="20"/>
        </w:rPr>
        <w:t xml:space="preserve">As a result, Applicants state that the Cinelli Investors, collectively, have </w:t>
      </w:r>
      <w:r w:rsidR="00E27AAE">
        <w:rPr>
          <w:sz w:val="20"/>
        </w:rPr>
        <w:t xml:space="preserve">current </w:t>
      </w:r>
      <w:r w:rsidRPr="005C342C" w:rsidR="004F686B">
        <w:rPr>
          <w:i/>
          <w:iCs/>
          <w:sz w:val="20"/>
        </w:rPr>
        <w:t xml:space="preserve">de facto </w:t>
      </w:r>
      <w:r w:rsidRPr="005C342C" w:rsidR="004F686B">
        <w:rPr>
          <w:sz w:val="20"/>
        </w:rPr>
        <w:t>control of Holdings.</w:t>
      </w:r>
      <w:bookmarkStart w:id="12" w:name="_Hlk74656898"/>
      <w:r w:rsidRPr="005C342C" w:rsidR="004F686B">
        <w:rPr>
          <w:sz w:val="20"/>
        </w:rPr>
        <w:t xml:space="preserve">  </w:t>
      </w:r>
      <w:bookmarkEnd w:id="12"/>
      <w:r w:rsidRPr="005C342C" w:rsidR="007E64BB">
        <w:rPr>
          <w:sz w:val="20"/>
        </w:rPr>
        <w:t xml:space="preserve">Applicants further state that no individual or entity currently owns </w:t>
      </w:r>
      <w:r w:rsidRPr="005C342C" w:rsidR="007E64BB">
        <w:rPr>
          <w:sz w:val="20"/>
        </w:rPr>
        <w:t>a majority of</w:t>
      </w:r>
      <w:r w:rsidRPr="005C342C" w:rsidR="007E64BB">
        <w:rPr>
          <w:sz w:val="20"/>
        </w:rPr>
        <w:t xml:space="preserve"> the common interests in Holdings.  </w:t>
      </w:r>
    </w:p>
  </w:footnote>
  <w:footnote w:id="9">
    <w:p w:rsidR="00AD2147" w14:paraId="336B5919" w14:textId="77777777">
      <w:pPr>
        <w:pStyle w:val="FootnoteText"/>
      </w:pPr>
      <w:r>
        <w:rPr>
          <w:rStyle w:val="FootnoteReference"/>
        </w:rPr>
        <w:footnoteRef/>
      </w:r>
      <w:r>
        <w:t xml:space="preserve"> </w:t>
      </w:r>
      <w:r w:rsidRPr="00AD2147">
        <w:rPr>
          <w:sz w:val="20"/>
        </w:rPr>
        <w:t xml:space="preserve">MGP V is a Cayman Islands entity, the shares of which are distributed equally among </w:t>
      </w:r>
      <w:r w:rsidR="00DA2A23">
        <w:rPr>
          <w:sz w:val="20"/>
        </w:rPr>
        <w:t>twelve</w:t>
      </w:r>
      <w:r w:rsidRPr="00AD2147">
        <w:rPr>
          <w:sz w:val="20"/>
        </w:rPr>
        <w:t xml:space="preserve"> U.S. citizens.</w:t>
      </w:r>
      <w:r>
        <w:rPr>
          <w:szCs w:val="22"/>
        </w:rPr>
        <w:t xml:space="preserve">  </w:t>
      </w:r>
    </w:p>
  </w:footnote>
  <w:footnote w:id="10">
    <w:p w:rsidR="00B309DB" w:rsidRPr="005C342C" w:rsidP="00100ED3" w14:paraId="3845E5D4" w14:textId="77777777">
      <w:pPr>
        <w:pStyle w:val="FootnoteText"/>
        <w:spacing w:after="120"/>
        <w:rPr>
          <w:sz w:val="20"/>
        </w:rPr>
      </w:pPr>
      <w:r w:rsidRPr="005C342C">
        <w:rPr>
          <w:rStyle w:val="FootnoteReference"/>
          <w:sz w:val="20"/>
        </w:rPr>
        <w:footnoteRef/>
      </w:r>
      <w:r w:rsidRPr="005C342C">
        <w:rPr>
          <w:sz w:val="20"/>
        </w:rPr>
        <w:t xml:space="preserve"> </w:t>
      </w:r>
      <w:r w:rsidRPr="005C342C" w:rsidR="000E5955">
        <w:rPr>
          <w:sz w:val="20"/>
        </w:rPr>
        <w:t xml:space="preserve">Applicants state that, while certain Cinelli Investors will continue to hold a minority of the common interest in Holdings following the consummation of the proposed transaction, the Oak Hill III/IV Investors will have no equity interest in Holdings.  </w:t>
      </w:r>
      <w:r w:rsidR="00F125FF">
        <w:rPr>
          <w:sz w:val="20"/>
        </w:rPr>
        <w:t xml:space="preserve">Applicants provide, as Exhibit C to their application, information on entities and individuals who will hold a direct and indirect 10% or greater interest in Holdings.  </w:t>
      </w:r>
      <w:r w:rsidR="00100ED3">
        <w:rPr>
          <w:sz w:val="20"/>
        </w:rPr>
        <w:t>Applicants state that other tha</w:t>
      </w:r>
      <w:r w:rsidR="00AD2147">
        <w:rPr>
          <w:sz w:val="20"/>
        </w:rPr>
        <w:t>n</w:t>
      </w:r>
      <w:r w:rsidR="00100ED3">
        <w:rPr>
          <w:sz w:val="20"/>
        </w:rPr>
        <w:t xml:space="preserve"> what is described in their application</w:t>
      </w:r>
      <w:r w:rsidRPr="00100ED3" w:rsidR="00100ED3">
        <w:rPr>
          <w:sz w:val="20"/>
        </w:rPr>
        <w:t>, no person or entity that will directly or</w:t>
      </w:r>
      <w:r w:rsidR="00100ED3">
        <w:rPr>
          <w:sz w:val="20"/>
        </w:rPr>
        <w:t xml:space="preserve"> </w:t>
      </w:r>
      <w:r w:rsidRPr="00100ED3" w:rsidR="00100ED3">
        <w:rPr>
          <w:sz w:val="20"/>
        </w:rPr>
        <w:t>indirectly own or control 10% or more of Holdings upon completion of the Recapitalization,</w:t>
      </w:r>
      <w:r w:rsidR="00100ED3">
        <w:rPr>
          <w:sz w:val="20"/>
        </w:rPr>
        <w:t xml:space="preserve"> </w:t>
      </w:r>
      <w:r w:rsidRPr="00100ED3" w:rsidR="00100ED3">
        <w:rPr>
          <w:sz w:val="20"/>
        </w:rPr>
        <w:t>including the KKR investor entities, also directly or indirectly owns or controls 10% or more of</w:t>
      </w:r>
      <w:r w:rsidR="00100ED3">
        <w:rPr>
          <w:sz w:val="20"/>
        </w:rPr>
        <w:t xml:space="preserve"> </w:t>
      </w:r>
      <w:r w:rsidRPr="00100ED3" w:rsidR="00100ED3">
        <w:rPr>
          <w:sz w:val="20"/>
        </w:rPr>
        <w:t>another telecommunications provider.</w:t>
      </w:r>
      <w:r w:rsidR="00F125FF">
        <w:rPr>
          <w:sz w:val="20"/>
        </w:rPr>
        <w:t xml:space="preserve">  </w:t>
      </w:r>
    </w:p>
  </w:footnote>
  <w:footnote w:id="11">
    <w:p w:rsidR="008B3835" w:rsidRPr="005C342C" w:rsidP="005C342C" w14:paraId="6C8ED65F" w14:textId="77777777">
      <w:pPr>
        <w:pStyle w:val="FootnoteText"/>
        <w:spacing w:after="120"/>
        <w:rPr>
          <w:sz w:val="20"/>
        </w:rPr>
      </w:pPr>
      <w:r w:rsidRPr="005C342C">
        <w:rPr>
          <w:rStyle w:val="FootnoteReference"/>
          <w:sz w:val="20"/>
        </w:rPr>
        <w:footnoteRef/>
      </w:r>
      <w:r w:rsidRPr="005C342C">
        <w:rPr>
          <w:sz w:val="20"/>
        </w:rPr>
        <w:t xml:space="preserve"> </w:t>
      </w:r>
      <w:r w:rsidRPr="005C342C" w:rsidR="00F737C1">
        <w:rPr>
          <w:sz w:val="20"/>
        </w:rPr>
        <w:t>Applicants state that</w:t>
      </w:r>
      <w:r w:rsidRPr="005C342C">
        <w:rPr>
          <w:sz w:val="20"/>
        </w:rPr>
        <w:t xml:space="preserve">, upon completion of the Recapitalization and amendment and restatement of </w:t>
      </w:r>
      <w:r w:rsidRPr="008B3835">
        <w:rPr>
          <w:sz w:val="20"/>
        </w:rPr>
        <w:t xml:space="preserve">the LLC Agreement, the Board of Holdings will be comprised of </w:t>
      </w:r>
      <w:r w:rsidRPr="005C342C" w:rsidR="00F737C1">
        <w:rPr>
          <w:sz w:val="20"/>
        </w:rPr>
        <w:t>nine</w:t>
      </w:r>
      <w:r w:rsidRPr="008B3835">
        <w:rPr>
          <w:sz w:val="20"/>
        </w:rPr>
        <w:t xml:space="preserve"> managers as follows:</w:t>
      </w:r>
      <w:r w:rsidRPr="005C342C">
        <w:rPr>
          <w:sz w:val="20"/>
        </w:rPr>
        <w:t xml:space="preserve"> </w:t>
      </w:r>
      <w:r w:rsidRPr="005C342C" w:rsidR="005C342C">
        <w:rPr>
          <w:sz w:val="20"/>
        </w:rPr>
        <w:t xml:space="preserve"> </w:t>
      </w:r>
      <w:r w:rsidRPr="008B3835">
        <w:rPr>
          <w:sz w:val="20"/>
        </w:rPr>
        <w:t>three managers will be appointed by the New Oak Hill Investors; three managers will be</w:t>
      </w:r>
      <w:r w:rsidRPr="005C342C">
        <w:rPr>
          <w:sz w:val="20"/>
        </w:rPr>
        <w:t xml:space="preserve"> </w:t>
      </w:r>
      <w:r w:rsidRPr="008B3835">
        <w:rPr>
          <w:sz w:val="20"/>
        </w:rPr>
        <w:t>appointed by the Cinelli Investors; and three managers will be appointed by fund vehicles</w:t>
      </w:r>
      <w:r w:rsidRPr="005C342C">
        <w:rPr>
          <w:sz w:val="20"/>
        </w:rPr>
        <w:t xml:space="preserve"> </w:t>
      </w:r>
      <w:r w:rsidRPr="008B3835">
        <w:rPr>
          <w:sz w:val="20"/>
        </w:rPr>
        <w:t>managed by KKR.</w:t>
      </w:r>
      <w:r w:rsidRPr="005C342C" w:rsidR="005C342C">
        <w:rPr>
          <w:sz w:val="20"/>
        </w:rPr>
        <w:t xml:space="preserve"> </w:t>
      </w:r>
      <w:r w:rsidRPr="008B3835">
        <w:rPr>
          <w:sz w:val="20"/>
        </w:rPr>
        <w:t xml:space="preserve"> </w:t>
      </w:r>
      <w:r w:rsidRPr="005C342C" w:rsidR="005C342C">
        <w:rPr>
          <w:sz w:val="20"/>
        </w:rPr>
        <w:t>Applicants f</w:t>
      </w:r>
      <w:r w:rsidRPr="008B3835">
        <w:rPr>
          <w:sz w:val="20"/>
        </w:rPr>
        <w:t>urther</w:t>
      </w:r>
      <w:r w:rsidRPr="005C342C" w:rsidR="005C342C">
        <w:rPr>
          <w:sz w:val="20"/>
        </w:rPr>
        <w:t xml:space="preserve"> state that</w:t>
      </w:r>
      <w:r w:rsidRPr="008B3835">
        <w:rPr>
          <w:sz w:val="20"/>
        </w:rPr>
        <w:t>, under the amended and restated LLC Agreement, actions by the Board</w:t>
      </w:r>
      <w:r w:rsidRPr="005C342C">
        <w:rPr>
          <w:sz w:val="20"/>
        </w:rPr>
        <w:t xml:space="preserve"> </w:t>
      </w:r>
      <w:r w:rsidRPr="008B3835">
        <w:rPr>
          <w:sz w:val="20"/>
        </w:rPr>
        <w:t>will require approval of the majority of the Board with the consent of the New Oak Hill Investors</w:t>
      </w:r>
      <w:r w:rsidRPr="005C342C">
        <w:rPr>
          <w:sz w:val="20"/>
        </w:rPr>
        <w:t xml:space="preserve"> </w:t>
      </w:r>
      <w:r w:rsidRPr="008B3835">
        <w:rPr>
          <w:sz w:val="20"/>
        </w:rPr>
        <w:t>and the Cinelli Investors acting through the majority of their respective managers</w:t>
      </w:r>
      <w:r w:rsidRPr="005C342C" w:rsidR="005C342C">
        <w:rPr>
          <w:sz w:val="20"/>
        </w:rPr>
        <w:t xml:space="preserve"> and, therefore,</w:t>
      </w:r>
      <w:r w:rsidRPr="008B3835">
        <w:rPr>
          <w:sz w:val="20"/>
        </w:rPr>
        <w:t xml:space="preserve"> the</w:t>
      </w:r>
      <w:r w:rsidRPr="005C342C">
        <w:rPr>
          <w:sz w:val="20"/>
        </w:rPr>
        <w:t xml:space="preserve"> New Oak Hill Investors and the Cinelli Investors will each hold negative </w:t>
      </w:r>
      <w:r w:rsidRPr="005C342C">
        <w:rPr>
          <w:i/>
          <w:iCs/>
          <w:sz w:val="20"/>
        </w:rPr>
        <w:t xml:space="preserve">de facto </w:t>
      </w:r>
      <w:r w:rsidRPr="005C342C">
        <w:rPr>
          <w:sz w:val="20"/>
        </w:rPr>
        <w:t xml:space="preserve">control of Holdings. </w:t>
      </w:r>
      <w:r w:rsidRPr="005C342C" w:rsidR="005C342C">
        <w:rPr>
          <w:sz w:val="20"/>
        </w:rPr>
        <w:t xml:space="preserve"> </w:t>
      </w:r>
      <w:r w:rsidRPr="005C342C">
        <w:rPr>
          <w:sz w:val="20"/>
        </w:rPr>
        <w:t xml:space="preserve">Since the Cinelli Investors currently control the day-to-day decisions of Holdings under </w:t>
      </w:r>
      <w:r w:rsidRPr="008B3835">
        <w:rPr>
          <w:sz w:val="20"/>
        </w:rPr>
        <w:t xml:space="preserve">the current LLC Agreement, </w:t>
      </w:r>
      <w:r w:rsidRPr="005C342C" w:rsidR="005C342C">
        <w:rPr>
          <w:sz w:val="20"/>
        </w:rPr>
        <w:t xml:space="preserve">Applicants state </w:t>
      </w:r>
      <w:r w:rsidRPr="008B3835">
        <w:rPr>
          <w:sz w:val="20"/>
        </w:rPr>
        <w:t xml:space="preserve">these changes </w:t>
      </w:r>
      <w:r w:rsidR="00F22A55">
        <w:rPr>
          <w:sz w:val="20"/>
        </w:rPr>
        <w:t>would</w:t>
      </w:r>
      <w:r w:rsidRPr="008B3835">
        <w:rPr>
          <w:sz w:val="20"/>
        </w:rPr>
        <w:t xml:space="preserve"> result in a change in control of Holdings.</w:t>
      </w:r>
      <w:r w:rsidRPr="005C342C">
        <w:rPr>
          <w:sz w:val="20"/>
        </w:rPr>
        <w:t xml:space="preserve"> </w:t>
      </w:r>
      <w:r w:rsidRPr="005C342C" w:rsidR="00573CA8">
        <w:rPr>
          <w:sz w:val="20"/>
        </w:rPr>
        <w:t xml:space="preserve">  </w:t>
      </w:r>
    </w:p>
  </w:footnote>
  <w:footnote w:id="12">
    <w:p w:rsidR="005D4020" w:rsidRPr="000B48A6" w:rsidP="005C342C" w14:paraId="3EC2EAFB" w14:textId="77777777">
      <w:pPr>
        <w:pStyle w:val="FootnoteText"/>
        <w:spacing w:after="120"/>
        <w:rPr>
          <w:sz w:val="20"/>
        </w:rPr>
      </w:pPr>
      <w:r w:rsidRPr="005C342C">
        <w:rPr>
          <w:rStyle w:val="FootnoteReference"/>
          <w:sz w:val="20"/>
        </w:rPr>
        <w:footnoteRef/>
      </w:r>
      <w:r w:rsidRPr="005C342C">
        <w:rPr>
          <w:sz w:val="20"/>
        </w:rPr>
        <w:t xml:space="preserve"> </w:t>
      </w:r>
      <w:bookmarkStart w:id="13" w:name="_Hlk55910454"/>
      <w:r w:rsidRPr="005C342C">
        <w:rPr>
          <w:color w:val="020100"/>
          <w:sz w:val="20"/>
        </w:rPr>
        <w:t xml:space="preserve">47 CFR </w:t>
      </w:r>
      <w:bookmarkEnd w:id="13"/>
      <w:r w:rsidRPr="005C342C">
        <w:rPr>
          <w:color w:val="020100"/>
          <w:sz w:val="20"/>
        </w:rPr>
        <w:t>§ 63.03(b)(2)(i</w:t>
      </w:r>
      <w:r w:rsidRPr="005C342C" w:rsidR="00AF3506">
        <w:rPr>
          <w:color w:val="020100"/>
          <w:sz w:val="20"/>
        </w:rPr>
        <w:t>i</w:t>
      </w:r>
      <w:r w:rsidRPr="005C342C">
        <w:rPr>
          <w:color w:val="020100"/>
          <w:sz w:val="20"/>
        </w:rPr>
        <w:t>).</w:t>
      </w:r>
    </w:p>
  </w:footnote>
  <w:footnote w:id="13">
    <w:p w:rsidR="005D4020" w:rsidRPr="000B48A6" w:rsidP="005C342C" w14:paraId="56BD6B62" w14:textId="77777777">
      <w:pPr>
        <w:pStyle w:val="FootnoteText"/>
        <w:tabs>
          <w:tab w:val="clear" w:pos="720"/>
        </w:tabs>
        <w:spacing w:after="120"/>
        <w:rPr>
          <w:sz w:val="20"/>
        </w:rPr>
      </w:pPr>
      <w:r w:rsidRPr="000B48A6">
        <w:rPr>
          <w:rStyle w:val="FootnoteReference"/>
          <w:sz w:val="20"/>
        </w:rPr>
        <w:footnoteRef/>
      </w:r>
      <w:r w:rsidRPr="000B48A6">
        <w:rPr>
          <w:sz w:val="20"/>
        </w:rPr>
        <w:t xml:space="preserve"> </w:t>
      </w:r>
      <w:r w:rsidRPr="000B48A6">
        <w:rPr>
          <w:i/>
          <w:sz w:val="20"/>
        </w:rPr>
        <w:t>See</w:t>
      </w:r>
      <w:r w:rsidRPr="000B48A6">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AFCA1E2"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565CB87C" w14:textId="77777777">
                <w:pPr>
                  <w:rPr>
                    <w:rFonts w:ascii="Arial" w:hAnsi="Arial"/>
                    <w:b/>
                  </w:rPr>
                </w:pPr>
                <w:r>
                  <w:rPr>
                    <w:rFonts w:ascii="Arial" w:hAnsi="Arial"/>
                    <w:b/>
                  </w:rPr>
                  <w:t>Federal Communications Commission</w:t>
                </w:r>
              </w:p>
              <w:p w:rsidR="005D4020" w14:paraId="3E1E43D0" w14:textId="77777777">
                <w:pPr>
                  <w:rPr>
                    <w:rFonts w:ascii="Arial" w:hAnsi="Arial"/>
                    <w:b/>
                  </w:rPr>
                </w:pPr>
                <w:r>
                  <w:rPr>
                    <w:rFonts w:ascii="Arial" w:hAnsi="Arial"/>
                    <w:b/>
                  </w:rPr>
                  <w:t>45 L St., N.E.</w:t>
                </w:r>
              </w:p>
              <w:p w:rsidR="005D4020" w14:paraId="2A1C6971"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78DB40A0"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3E061DB9" w14:textId="77777777">
                <w:pPr>
                  <w:spacing w:before="40"/>
                  <w:jc w:val="right"/>
                  <w:rPr>
                    <w:rFonts w:ascii="Arial" w:hAnsi="Arial"/>
                    <w:b/>
                    <w:sz w:val="16"/>
                  </w:rPr>
                </w:pPr>
                <w:r>
                  <w:rPr>
                    <w:rFonts w:ascii="Arial" w:hAnsi="Arial"/>
                    <w:b/>
                    <w:sz w:val="16"/>
                  </w:rPr>
                  <w:t>News Media Information 202 / 418-0500</w:t>
                </w:r>
              </w:p>
              <w:p w:rsidR="005D4020" w14:paraId="0BAF04E6"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545B91FE" w14:textId="77777777">
                <w:pPr>
                  <w:jc w:val="right"/>
                  <w:rPr>
                    <w:rFonts w:ascii="Arial" w:hAnsi="Arial"/>
                    <w:b/>
                    <w:sz w:val="16"/>
                  </w:rPr>
                </w:pPr>
              </w:p>
              <w:p w:rsidR="005D4020" w14:paraId="57FC9E14" w14:textId="77777777">
                <w:pPr>
                  <w:jc w:val="right"/>
                </w:pPr>
              </w:p>
            </w:txbxContent>
          </v:textbox>
        </v:shape>
      </w:pict>
    </w:r>
  </w:p>
  <w:p w:rsidR="005D4020" w14:paraId="0E4B3F20"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262E7A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5C00"/>
    <w:rsid w:val="0001608E"/>
    <w:rsid w:val="00017A3A"/>
    <w:rsid w:val="00024494"/>
    <w:rsid w:val="00025A42"/>
    <w:rsid w:val="00026F70"/>
    <w:rsid w:val="00027342"/>
    <w:rsid w:val="00035F32"/>
    <w:rsid w:val="00040610"/>
    <w:rsid w:val="00040BA0"/>
    <w:rsid w:val="00040DAF"/>
    <w:rsid w:val="00041B38"/>
    <w:rsid w:val="00041C01"/>
    <w:rsid w:val="0004575B"/>
    <w:rsid w:val="00050A3A"/>
    <w:rsid w:val="000534AC"/>
    <w:rsid w:val="000575E7"/>
    <w:rsid w:val="00057881"/>
    <w:rsid w:val="00057E12"/>
    <w:rsid w:val="000629CF"/>
    <w:rsid w:val="000639C7"/>
    <w:rsid w:val="00063CA5"/>
    <w:rsid w:val="00064C7D"/>
    <w:rsid w:val="000656F9"/>
    <w:rsid w:val="0006624C"/>
    <w:rsid w:val="00066D12"/>
    <w:rsid w:val="00073173"/>
    <w:rsid w:val="000735C8"/>
    <w:rsid w:val="00080F60"/>
    <w:rsid w:val="0008381D"/>
    <w:rsid w:val="00086D16"/>
    <w:rsid w:val="00087205"/>
    <w:rsid w:val="00092A4E"/>
    <w:rsid w:val="000946FB"/>
    <w:rsid w:val="0009534A"/>
    <w:rsid w:val="00097AB0"/>
    <w:rsid w:val="000A24AA"/>
    <w:rsid w:val="000B1C31"/>
    <w:rsid w:val="000B3146"/>
    <w:rsid w:val="000B48A6"/>
    <w:rsid w:val="000B4EDD"/>
    <w:rsid w:val="000B5635"/>
    <w:rsid w:val="000B6839"/>
    <w:rsid w:val="000C7CA4"/>
    <w:rsid w:val="000D3A8B"/>
    <w:rsid w:val="000D7E4D"/>
    <w:rsid w:val="000E14B7"/>
    <w:rsid w:val="000E35A7"/>
    <w:rsid w:val="000E538C"/>
    <w:rsid w:val="000E5955"/>
    <w:rsid w:val="000F02F7"/>
    <w:rsid w:val="000F233E"/>
    <w:rsid w:val="000F467E"/>
    <w:rsid w:val="000F5E94"/>
    <w:rsid w:val="00100ED3"/>
    <w:rsid w:val="001019E2"/>
    <w:rsid w:val="00101D0B"/>
    <w:rsid w:val="001150BA"/>
    <w:rsid w:val="00117529"/>
    <w:rsid w:val="001226CB"/>
    <w:rsid w:val="0012329A"/>
    <w:rsid w:val="00126DDB"/>
    <w:rsid w:val="00131952"/>
    <w:rsid w:val="0013405D"/>
    <w:rsid w:val="00134FFC"/>
    <w:rsid w:val="001356E5"/>
    <w:rsid w:val="0014084C"/>
    <w:rsid w:val="00141388"/>
    <w:rsid w:val="00142ED5"/>
    <w:rsid w:val="00144E61"/>
    <w:rsid w:val="001470F0"/>
    <w:rsid w:val="001513B4"/>
    <w:rsid w:val="0015217F"/>
    <w:rsid w:val="00156EA3"/>
    <w:rsid w:val="00161A99"/>
    <w:rsid w:val="00176BD0"/>
    <w:rsid w:val="00187617"/>
    <w:rsid w:val="00194E1E"/>
    <w:rsid w:val="001A00A7"/>
    <w:rsid w:val="001A2DFA"/>
    <w:rsid w:val="001A3813"/>
    <w:rsid w:val="001A3E67"/>
    <w:rsid w:val="001A47EC"/>
    <w:rsid w:val="001A5568"/>
    <w:rsid w:val="001B2C26"/>
    <w:rsid w:val="001B4C2F"/>
    <w:rsid w:val="001B69F9"/>
    <w:rsid w:val="001B6EFA"/>
    <w:rsid w:val="001C3C98"/>
    <w:rsid w:val="001C5D07"/>
    <w:rsid w:val="001C78FB"/>
    <w:rsid w:val="001D10A0"/>
    <w:rsid w:val="001E382D"/>
    <w:rsid w:val="001E659B"/>
    <w:rsid w:val="001E7604"/>
    <w:rsid w:val="001F1508"/>
    <w:rsid w:val="001F6762"/>
    <w:rsid w:val="00213D04"/>
    <w:rsid w:val="00214441"/>
    <w:rsid w:val="0021680F"/>
    <w:rsid w:val="002217F0"/>
    <w:rsid w:val="00221E35"/>
    <w:rsid w:val="002223D3"/>
    <w:rsid w:val="00222993"/>
    <w:rsid w:val="0022329B"/>
    <w:rsid w:val="002233EF"/>
    <w:rsid w:val="00223E8C"/>
    <w:rsid w:val="0022449B"/>
    <w:rsid w:val="00225F62"/>
    <w:rsid w:val="002308A9"/>
    <w:rsid w:val="00230D61"/>
    <w:rsid w:val="00240B49"/>
    <w:rsid w:val="00241CB2"/>
    <w:rsid w:val="0025247F"/>
    <w:rsid w:val="00253247"/>
    <w:rsid w:val="002606A8"/>
    <w:rsid w:val="0026090D"/>
    <w:rsid w:val="00262C25"/>
    <w:rsid w:val="00262E65"/>
    <w:rsid w:val="00266135"/>
    <w:rsid w:val="00267BF2"/>
    <w:rsid w:val="00272142"/>
    <w:rsid w:val="0028149F"/>
    <w:rsid w:val="0028397D"/>
    <w:rsid w:val="0028555C"/>
    <w:rsid w:val="00287432"/>
    <w:rsid w:val="00297F1D"/>
    <w:rsid w:val="002A1D13"/>
    <w:rsid w:val="002B16FA"/>
    <w:rsid w:val="002B1948"/>
    <w:rsid w:val="002B1EF7"/>
    <w:rsid w:val="002B34DB"/>
    <w:rsid w:val="002B6B43"/>
    <w:rsid w:val="002C0122"/>
    <w:rsid w:val="002C203E"/>
    <w:rsid w:val="002C22F3"/>
    <w:rsid w:val="002C27F4"/>
    <w:rsid w:val="002D09E2"/>
    <w:rsid w:val="002D11BE"/>
    <w:rsid w:val="002D4A00"/>
    <w:rsid w:val="002D65CC"/>
    <w:rsid w:val="002D6F61"/>
    <w:rsid w:val="002E0BAF"/>
    <w:rsid w:val="002E4894"/>
    <w:rsid w:val="002F4E17"/>
    <w:rsid w:val="0030523C"/>
    <w:rsid w:val="00305D86"/>
    <w:rsid w:val="00306AAD"/>
    <w:rsid w:val="0031156F"/>
    <w:rsid w:val="00312CE1"/>
    <w:rsid w:val="00313546"/>
    <w:rsid w:val="00315D50"/>
    <w:rsid w:val="00315FCD"/>
    <w:rsid w:val="0031636F"/>
    <w:rsid w:val="00321F97"/>
    <w:rsid w:val="00325988"/>
    <w:rsid w:val="0032625B"/>
    <w:rsid w:val="00334E6C"/>
    <w:rsid w:val="0033631D"/>
    <w:rsid w:val="00345CA2"/>
    <w:rsid w:val="003479C9"/>
    <w:rsid w:val="00351D1D"/>
    <w:rsid w:val="00353CB5"/>
    <w:rsid w:val="003632CF"/>
    <w:rsid w:val="00364590"/>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A7A"/>
    <w:rsid w:val="00396D92"/>
    <w:rsid w:val="003A0E99"/>
    <w:rsid w:val="003A18A0"/>
    <w:rsid w:val="003A1DFF"/>
    <w:rsid w:val="003A2BEF"/>
    <w:rsid w:val="003A2CE0"/>
    <w:rsid w:val="003A580D"/>
    <w:rsid w:val="003A7B39"/>
    <w:rsid w:val="003B43C3"/>
    <w:rsid w:val="003B5CEE"/>
    <w:rsid w:val="003C23FE"/>
    <w:rsid w:val="003C7229"/>
    <w:rsid w:val="003D0F8F"/>
    <w:rsid w:val="003D4F94"/>
    <w:rsid w:val="003E1784"/>
    <w:rsid w:val="003E187A"/>
    <w:rsid w:val="003E3AD7"/>
    <w:rsid w:val="003E5630"/>
    <w:rsid w:val="003E58EC"/>
    <w:rsid w:val="003E6571"/>
    <w:rsid w:val="003F0ECD"/>
    <w:rsid w:val="003F16BE"/>
    <w:rsid w:val="003F1D04"/>
    <w:rsid w:val="003F2CD4"/>
    <w:rsid w:val="0040580F"/>
    <w:rsid w:val="004076BA"/>
    <w:rsid w:val="004077D0"/>
    <w:rsid w:val="00417052"/>
    <w:rsid w:val="00422B16"/>
    <w:rsid w:val="0042603C"/>
    <w:rsid w:val="004272E4"/>
    <w:rsid w:val="00430AC0"/>
    <w:rsid w:val="004331D7"/>
    <w:rsid w:val="00433D8C"/>
    <w:rsid w:val="00434899"/>
    <w:rsid w:val="00434C96"/>
    <w:rsid w:val="004354F6"/>
    <w:rsid w:val="0043596D"/>
    <w:rsid w:val="00436B4A"/>
    <w:rsid w:val="00440989"/>
    <w:rsid w:val="00444548"/>
    <w:rsid w:val="004503EA"/>
    <w:rsid w:val="00452843"/>
    <w:rsid w:val="0045717F"/>
    <w:rsid w:val="00460914"/>
    <w:rsid w:val="004609A4"/>
    <w:rsid w:val="00462D8F"/>
    <w:rsid w:val="00464E8A"/>
    <w:rsid w:val="00466B9F"/>
    <w:rsid w:val="00473955"/>
    <w:rsid w:val="004808FC"/>
    <w:rsid w:val="00482EB0"/>
    <w:rsid w:val="00483B1B"/>
    <w:rsid w:val="00485D13"/>
    <w:rsid w:val="004913FF"/>
    <w:rsid w:val="00492290"/>
    <w:rsid w:val="00492A28"/>
    <w:rsid w:val="004951AE"/>
    <w:rsid w:val="004A4D05"/>
    <w:rsid w:val="004A51C9"/>
    <w:rsid w:val="004A684C"/>
    <w:rsid w:val="004A7357"/>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E5AE8"/>
    <w:rsid w:val="004E74EE"/>
    <w:rsid w:val="004F2447"/>
    <w:rsid w:val="004F3603"/>
    <w:rsid w:val="004F3CEC"/>
    <w:rsid w:val="004F686B"/>
    <w:rsid w:val="004F6F64"/>
    <w:rsid w:val="00501D17"/>
    <w:rsid w:val="00501F06"/>
    <w:rsid w:val="00504BF5"/>
    <w:rsid w:val="005107DF"/>
    <w:rsid w:val="00524D79"/>
    <w:rsid w:val="00526561"/>
    <w:rsid w:val="005273AB"/>
    <w:rsid w:val="005320B5"/>
    <w:rsid w:val="00533917"/>
    <w:rsid w:val="00535877"/>
    <w:rsid w:val="00536ED2"/>
    <w:rsid w:val="005505CE"/>
    <w:rsid w:val="00551202"/>
    <w:rsid w:val="00551ADB"/>
    <w:rsid w:val="005524B6"/>
    <w:rsid w:val="0055684E"/>
    <w:rsid w:val="0056058F"/>
    <w:rsid w:val="0056467B"/>
    <w:rsid w:val="00567286"/>
    <w:rsid w:val="00573CA8"/>
    <w:rsid w:val="00580DBD"/>
    <w:rsid w:val="00581792"/>
    <w:rsid w:val="0059084B"/>
    <w:rsid w:val="005932BA"/>
    <w:rsid w:val="00597ABB"/>
    <w:rsid w:val="005A13D0"/>
    <w:rsid w:val="005A24CD"/>
    <w:rsid w:val="005A256B"/>
    <w:rsid w:val="005A3E2A"/>
    <w:rsid w:val="005A56D4"/>
    <w:rsid w:val="005A64A7"/>
    <w:rsid w:val="005B2105"/>
    <w:rsid w:val="005B2E8A"/>
    <w:rsid w:val="005B376F"/>
    <w:rsid w:val="005B4CA6"/>
    <w:rsid w:val="005B57F1"/>
    <w:rsid w:val="005C0AE1"/>
    <w:rsid w:val="005C2ADB"/>
    <w:rsid w:val="005C342C"/>
    <w:rsid w:val="005C3E2F"/>
    <w:rsid w:val="005C403A"/>
    <w:rsid w:val="005C5C55"/>
    <w:rsid w:val="005C740F"/>
    <w:rsid w:val="005C7DC4"/>
    <w:rsid w:val="005D4020"/>
    <w:rsid w:val="005D6BD0"/>
    <w:rsid w:val="005D7F49"/>
    <w:rsid w:val="005E1BF3"/>
    <w:rsid w:val="005E40DD"/>
    <w:rsid w:val="005E7A72"/>
    <w:rsid w:val="005E7C21"/>
    <w:rsid w:val="005F06C4"/>
    <w:rsid w:val="005F090A"/>
    <w:rsid w:val="005F189F"/>
    <w:rsid w:val="005F2812"/>
    <w:rsid w:val="005F73CF"/>
    <w:rsid w:val="0060105E"/>
    <w:rsid w:val="0060106A"/>
    <w:rsid w:val="00603E1E"/>
    <w:rsid w:val="00604A3C"/>
    <w:rsid w:val="00604CFF"/>
    <w:rsid w:val="0061117C"/>
    <w:rsid w:val="0061137C"/>
    <w:rsid w:val="00611CD9"/>
    <w:rsid w:val="00611E7B"/>
    <w:rsid w:val="00616221"/>
    <w:rsid w:val="00617F31"/>
    <w:rsid w:val="00622967"/>
    <w:rsid w:val="00633290"/>
    <w:rsid w:val="00635062"/>
    <w:rsid w:val="00636679"/>
    <w:rsid w:val="00637ECE"/>
    <w:rsid w:val="006420D0"/>
    <w:rsid w:val="00642643"/>
    <w:rsid w:val="00642F32"/>
    <w:rsid w:val="00653610"/>
    <w:rsid w:val="00656777"/>
    <w:rsid w:val="0065693D"/>
    <w:rsid w:val="00663300"/>
    <w:rsid w:val="00663975"/>
    <w:rsid w:val="006703D5"/>
    <w:rsid w:val="0067115F"/>
    <w:rsid w:val="006768CC"/>
    <w:rsid w:val="00677DF3"/>
    <w:rsid w:val="0068067C"/>
    <w:rsid w:val="00680868"/>
    <w:rsid w:val="006876EF"/>
    <w:rsid w:val="00690EA9"/>
    <w:rsid w:val="00691832"/>
    <w:rsid w:val="00695785"/>
    <w:rsid w:val="00697832"/>
    <w:rsid w:val="006A156E"/>
    <w:rsid w:val="006A19A2"/>
    <w:rsid w:val="006A1C8E"/>
    <w:rsid w:val="006B3480"/>
    <w:rsid w:val="006B36F1"/>
    <w:rsid w:val="006B5C06"/>
    <w:rsid w:val="006B6400"/>
    <w:rsid w:val="006C146A"/>
    <w:rsid w:val="006C211E"/>
    <w:rsid w:val="006C277B"/>
    <w:rsid w:val="006C2DC7"/>
    <w:rsid w:val="006C32C8"/>
    <w:rsid w:val="006C591C"/>
    <w:rsid w:val="006D4FB7"/>
    <w:rsid w:val="006E099D"/>
    <w:rsid w:val="006E3B3B"/>
    <w:rsid w:val="006E3E11"/>
    <w:rsid w:val="006E4EF0"/>
    <w:rsid w:val="006E61ED"/>
    <w:rsid w:val="006E643F"/>
    <w:rsid w:val="006E7452"/>
    <w:rsid w:val="006F2F1F"/>
    <w:rsid w:val="006F3441"/>
    <w:rsid w:val="006F4B1B"/>
    <w:rsid w:val="006F4D60"/>
    <w:rsid w:val="00703543"/>
    <w:rsid w:val="007052BE"/>
    <w:rsid w:val="007067E2"/>
    <w:rsid w:val="00706D49"/>
    <w:rsid w:val="0071041E"/>
    <w:rsid w:val="00710BAB"/>
    <w:rsid w:val="007124C8"/>
    <w:rsid w:val="00712BB0"/>
    <w:rsid w:val="00714887"/>
    <w:rsid w:val="00721062"/>
    <w:rsid w:val="00721165"/>
    <w:rsid w:val="00724722"/>
    <w:rsid w:val="00733B9B"/>
    <w:rsid w:val="007349C4"/>
    <w:rsid w:val="007413DA"/>
    <w:rsid w:val="00741682"/>
    <w:rsid w:val="0074294F"/>
    <w:rsid w:val="00744022"/>
    <w:rsid w:val="00746FDA"/>
    <w:rsid w:val="00753889"/>
    <w:rsid w:val="00756775"/>
    <w:rsid w:val="007569C5"/>
    <w:rsid w:val="00760269"/>
    <w:rsid w:val="00760571"/>
    <w:rsid w:val="007631B9"/>
    <w:rsid w:val="0076331F"/>
    <w:rsid w:val="0077017E"/>
    <w:rsid w:val="00771214"/>
    <w:rsid w:val="00774E30"/>
    <w:rsid w:val="007758B4"/>
    <w:rsid w:val="00775CD4"/>
    <w:rsid w:val="00777B41"/>
    <w:rsid w:val="00777F32"/>
    <w:rsid w:val="00780F55"/>
    <w:rsid w:val="007904D9"/>
    <w:rsid w:val="00796E19"/>
    <w:rsid w:val="00796E54"/>
    <w:rsid w:val="00797794"/>
    <w:rsid w:val="007A2155"/>
    <w:rsid w:val="007A41CD"/>
    <w:rsid w:val="007A4B45"/>
    <w:rsid w:val="007B1EAE"/>
    <w:rsid w:val="007B4269"/>
    <w:rsid w:val="007B4D1E"/>
    <w:rsid w:val="007B4DB8"/>
    <w:rsid w:val="007B7204"/>
    <w:rsid w:val="007C2014"/>
    <w:rsid w:val="007C263F"/>
    <w:rsid w:val="007C4108"/>
    <w:rsid w:val="007D2657"/>
    <w:rsid w:val="007D2E71"/>
    <w:rsid w:val="007E0464"/>
    <w:rsid w:val="007E051A"/>
    <w:rsid w:val="007E44C2"/>
    <w:rsid w:val="007E64BB"/>
    <w:rsid w:val="007F23AB"/>
    <w:rsid w:val="0080023C"/>
    <w:rsid w:val="00804B53"/>
    <w:rsid w:val="00805DF1"/>
    <w:rsid w:val="00807040"/>
    <w:rsid w:val="0081108D"/>
    <w:rsid w:val="00813C6D"/>
    <w:rsid w:val="0081531F"/>
    <w:rsid w:val="00817CEC"/>
    <w:rsid w:val="00821491"/>
    <w:rsid w:val="00824E65"/>
    <w:rsid w:val="00830915"/>
    <w:rsid w:val="00831D30"/>
    <w:rsid w:val="0083237E"/>
    <w:rsid w:val="0083618B"/>
    <w:rsid w:val="0084125A"/>
    <w:rsid w:val="0084563E"/>
    <w:rsid w:val="0084778A"/>
    <w:rsid w:val="00850A62"/>
    <w:rsid w:val="0085101A"/>
    <w:rsid w:val="00853114"/>
    <w:rsid w:val="0085536D"/>
    <w:rsid w:val="0085579D"/>
    <w:rsid w:val="00856944"/>
    <w:rsid w:val="0086691C"/>
    <w:rsid w:val="008675C7"/>
    <w:rsid w:val="0087554B"/>
    <w:rsid w:val="00876629"/>
    <w:rsid w:val="0087685F"/>
    <w:rsid w:val="00877D35"/>
    <w:rsid w:val="008850A3"/>
    <w:rsid w:val="00895561"/>
    <w:rsid w:val="00895EC3"/>
    <w:rsid w:val="008A5AB2"/>
    <w:rsid w:val="008A65A6"/>
    <w:rsid w:val="008A6CDA"/>
    <w:rsid w:val="008B3835"/>
    <w:rsid w:val="008C0750"/>
    <w:rsid w:val="008C1C7C"/>
    <w:rsid w:val="008C294A"/>
    <w:rsid w:val="008C297A"/>
    <w:rsid w:val="008C2DCD"/>
    <w:rsid w:val="008C58D7"/>
    <w:rsid w:val="008C5968"/>
    <w:rsid w:val="008C679F"/>
    <w:rsid w:val="008C7CA7"/>
    <w:rsid w:val="008D11F6"/>
    <w:rsid w:val="008D16FB"/>
    <w:rsid w:val="008D2804"/>
    <w:rsid w:val="008D51DE"/>
    <w:rsid w:val="008D5CEF"/>
    <w:rsid w:val="008E0514"/>
    <w:rsid w:val="008E27B4"/>
    <w:rsid w:val="008E3218"/>
    <w:rsid w:val="008E416A"/>
    <w:rsid w:val="008F1B9F"/>
    <w:rsid w:val="008F438E"/>
    <w:rsid w:val="008F6981"/>
    <w:rsid w:val="0090059F"/>
    <w:rsid w:val="00903154"/>
    <w:rsid w:val="00903330"/>
    <w:rsid w:val="00903DE0"/>
    <w:rsid w:val="009075DA"/>
    <w:rsid w:val="009101A4"/>
    <w:rsid w:val="00912D13"/>
    <w:rsid w:val="00913852"/>
    <w:rsid w:val="009211C4"/>
    <w:rsid w:val="009236BF"/>
    <w:rsid w:val="0093491F"/>
    <w:rsid w:val="009375A4"/>
    <w:rsid w:val="0094117D"/>
    <w:rsid w:val="00950639"/>
    <w:rsid w:val="0095318C"/>
    <w:rsid w:val="009558A7"/>
    <w:rsid w:val="00956255"/>
    <w:rsid w:val="00960857"/>
    <w:rsid w:val="00963F91"/>
    <w:rsid w:val="00966264"/>
    <w:rsid w:val="0097049D"/>
    <w:rsid w:val="0097409F"/>
    <w:rsid w:val="0097560B"/>
    <w:rsid w:val="00976736"/>
    <w:rsid w:val="0097746C"/>
    <w:rsid w:val="0098015F"/>
    <w:rsid w:val="00980EF3"/>
    <w:rsid w:val="0098437F"/>
    <w:rsid w:val="00990455"/>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6797"/>
    <w:rsid w:val="009B7836"/>
    <w:rsid w:val="009C209E"/>
    <w:rsid w:val="009C3304"/>
    <w:rsid w:val="009C3EC2"/>
    <w:rsid w:val="009C5CEB"/>
    <w:rsid w:val="009C7BE4"/>
    <w:rsid w:val="009D25CE"/>
    <w:rsid w:val="009E1797"/>
    <w:rsid w:val="009E312D"/>
    <w:rsid w:val="009E32BA"/>
    <w:rsid w:val="009E4467"/>
    <w:rsid w:val="009F4216"/>
    <w:rsid w:val="009F4470"/>
    <w:rsid w:val="009F52E2"/>
    <w:rsid w:val="00A00CAA"/>
    <w:rsid w:val="00A02787"/>
    <w:rsid w:val="00A07DE6"/>
    <w:rsid w:val="00A11865"/>
    <w:rsid w:val="00A14FAC"/>
    <w:rsid w:val="00A15248"/>
    <w:rsid w:val="00A229F0"/>
    <w:rsid w:val="00A25AB6"/>
    <w:rsid w:val="00A25C41"/>
    <w:rsid w:val="00A30C04"/>
    <w:rsid w:val="00A326BD"/>
    <w:rsid w:val="00A3545A"/>
    <w:rsid w:val="00A36DEA"/>
    <w:rsid w:val="00A37CD0"/>
    <w:rsid w:val="00A4540E"/>
    <w:rsid w:val="00A47815"/>
    <w:rsid w:val="00A55BA1"/>
    <w:rsid w:val="00A55F2F"/>
    <w:rsid w:val="00A569E4"/>
    <w:rsid w:val="00A64935"/>
    <w:rsid w:val="00A8041F"/>
    <w:rsid w:val="00A824AF"/>
    <w:rsid w:val="00A85921"/>
    <w:rsid w:val="00A92C9E"/>
    <w:rsid w:val="00A964BE"/>
    <w:rsid w:val="00A9705F"/>
    <w:rsid w:val="00AA1CE3"/>
    <w:rsid w:val="00AA461C"/>
    <w:rsid w:val="00AA50FB"/>
    <w:rsid w:val="00AA79C4"/>
    <w:rsid w:val="00AB2A9E"/>
    <w:rsid w:val="00AB582C"/>
    <w:rsid w:val="00AB6787"/>
    <w:rsid w:val="00AC4CEF"/>
    <w:rsid w:val="00AC7FFC"/>
    <w:rsid w:val="00AD0360"/>
    <w:rsid w:val="00AD2147"/>
    <w:rsid w:val="00AE16BD"/>
    <w:rsid w:val="00AE4EB4"/>
    <w:rsid w:val="00AF04F4"/>
    <w:rsid w:val="00AF1A8C"/>
    <w:rsid w:val="00AF26B2"/>
    <w:rsid w:val="00AF3506"/>
    <w:rsid w:val="00AF43D8"/>
    <w:rsid w:val="00AF6905"/>
    <w:rsid w:val="00B001EF"/>
    <w:rsid w:val="00B00CBF"/>
    <w:rsid w:val="00B00F51"/>
    <w:rsid w:val="00B01C67"/>
    <w:rsid w:val="00B02CE4"/>
    <w:rsid w:val="00B04549"/>
    <w:rsid w:val="00B04DDD"/>
    <w:rsid w:val="00B11E8B"/>
    <w:rsid w:val="00B252B2"/>
    <w:rsid w:val="00B30941"/>
    <w:rsid w:val="00B309DB"/>
    <w:rsid w:val="00B32670"/>
    <w:rsid w:val="00B32A8C"/>
    <w:rsid w:val="00B33058"/>
    <w:rsid w:val="00B335D6"/>
    <w:rsid w:val="00B3405E"/>
    <w:rsid w:val="00B43A08"/>
    <w:rsid w:val="00B500E9"/>
    <w:rsid w:val="00B506FC"/>
    <w:rsid w:val="00B50FF2"/>
    <w:rsid w:val="00B52C92"/>
    <w:rsid w:val="00B5576C"/>
    <w:rsid w:val="00B55A93"/>
    <w:rsid w:val="00B565D8"/>
    <w:rsid w:val="00B56E1B"/>
    <w:rsid w:val="00B66A71"/>
    <w:rsid w:val="00B71C43"/>
    <w:rsid w:val="00B72F45"/>
    <w:rsid w:val="00B73AED"/>
    <w:rsid w:val="00B82819"/>
    <w:rsid w:val="00B83A8F"/>
    <w:rsid w:val="00B856DD"/>
    <w:rsid w:val="00B908C9"/>
    <w:rsid w:val="00B91444"/>
    <w:rsid w:val="00B934A6"/>
    <w:rsid w:val="00B9373D"/>
    <w:rsid w:val="00B93BD0"/>
    <w:rsid w:val="00B958E7"/>
    <w:rsid w:val="00BA42C4"/>
    <w:rsid w:val="00BA45FE"/>
    <w:rsid w:val="00BA47A9"/>
    <w:rsid w:val="00BA6803"/>
    <w:rsid w:val="00BB0D72"/>
    <w:rsid w:val="00BB16F2"/>
    <w:rsid w:val="00BB24EB"/>
    <w:rsid w:val="00BB7CEB"/>
    <w:rsid w:val="00BC0F23"/>
    <w:rsid w:val="00BC7555"/>
    <w:rsid w:val="00BD2520"/>
    <w:rsid w:val="00BD3278"/>
    <w:rsid w:val="00BD5AFA"/>
    <w:rsid w:val="00BD5F83"/>
    <w:rsid w:val="00BD6631"/>
    <w:rsid w:val="00BE0364"/>
    <w:rsid w:val="00BE1FC9"/>
    <w:rsid w:val="00BE4C7C"/>
    <w:rsid w:val="00BF0B00"/>
    <w:rsid w:val="00BF3E2A"/>
    <w:rsid w:val="00BF4558"/>
    <w:rsid w:val="00BF741B"/>
    <w:rsid w:val="00C001B1"/>
    <w:rsid w:val="00C100C9"/>
    <w:rsid w:val="00C117C2"/>
    <w:rsid w:val="00C11939"/>
    <w:rsid w:val="00C11C1B"/>
    <w:rsid w:val="00C16F28"/>
    <w:rsid w:val="00C219A5"/>
    <w:rsid w:val="00C229D8"/>
    <w:rsid w:val="00C24812"/>
    <w:rsid w:val="00C35C48"/>
    <w:rsid w:val="00C3705B"/>
    <w:rsid w:val="00C37D69"/>
    <w:rsid w:val="00C404CF"/>
    <w:rsid w:val="00C4446E"/>
    <w:rsid w:val="00C4607F"/>
    <w:rsid w:val="00C53E5E"/>
    <w:rsid w:val="00C60F32"/>
    <w:rsid w:val="00C612FD"/>
    <w:rsid w:val="00C64B14"/>
    <w:rsid w:val="00C64DFC"/>
    <w:rsid w:val="00C70494"/>
    <w:rsid w:val="00C749BC"/>
    <w:rsid w:val="00C75DF3"/>
    <w:rsid w:val="00C76B61"/>
    <w:rsid w:val="00C76C0E"/>
    <w:rsid w:val="00C76CCF"/>
    <w:rsid w:val="00C80742"/>
    <w:rsid w:val="00C81DA7"/>
    <w:rsid w:val="00C82D34"/>
    <w:rsid w:val="00C84A4A"/>
    <w:rsid w:val="00C8763B"/>
    <w:rsid w:val="00C9095A"/>
    <w:rsid w:val="00C9414E"/>
    <w:rsid w:val="00C950B4"/>
    <w:rsid w:val="00CA3644"/>
    <w:rsid w:val="00CA5169"/>
    <w:rsid w:val="00CB08EA"/>
    <w:rsid w:val="00CB5D7D"/>
    <w:rsid w:val="00CC3DC6"/>
    <w:rsid w:val="00CC70CB"/>
    <w:rsid w:val="00CD20C1"/>
    <w:rsid w:val="00CD3CBE"/>
    <w:rsid w:val="00CD5614"/>
    <w:rsid w:val="00CD711A"/>
    <w:rsid w:val="00CE03DE"/>
    <w:rsid w:val="00CE3D85"/>
    <w:rsid w:val="00CE49B4"/>
    <w:rsid w:val="00CF1452"/>
    <w:rsid w:val="00CF6960"/>
    <w:rsid w:val="00D00C86"/>
    <w:rsid w:val="00D02269"/>
    <w:rsid w:val="00D04963"/>
    <w:rsid w:val="00D04DB0"/>
    <w:rsid w:val="00D111DF"/>
    <w:rsid w:val="00D130E3"/>
    <w:rsid w:val="00D13A95"/>
    <w:rsid w:val="00D209FB"/>
    <w:rsid w:val="00D22738"/>
    <w:rsid w:val="00D23CB9"/>
    <w:rsid w:val="00D252B2"/>
    <w:rsid w:val="00D30DAA"/>
    <w:rsid w:val="00D343D8"/>
    <w:rsid w:val="00D347E0"/>
    <w:rsid w:val="00D34AD8"/>
    <w:rsid w:val="00D359B7"/>
    <w:rsid w:val="00D42D5A"/>
    <w:rsid w:val="00D4304C"/>
    <w:rsid w:val="00D4618E"/>
    <w:rsid w:val="00D47918"/>
    <w:rsid w:val="00D553EC"/>
    <w:rsid w:val="00D55FB1"/>
    <w:rsid w:val="00D566DE"/>
    <w:rsid w:val="00D56FEF"/>
    <w:rsid w:val="00D57071"/>
    <w:rsid w:val="00D64667"/>
    <w:rsid w:val="00D64788"/>
    <w:rsid w:val="00D668AD"/>
    <w:rsid w:val="00D674A6"/>
    <w:rsid w:val="00D7063B"/>
    <w:rsid w:val="00D75D75"/>
    <w:rsid w:val="00D767D0"/>
    <w:rsid w:val="00D81CDC"/>
    <w:rsid w:val="00D8568B"/>
    <w:rsid w:val="00D85A2E"/>
    <w:rsid w:val="00D918DB"/>
    <w:rsid w:val="00D937FF"/>
    <w:rsid w:val="00D94C3B"/>
    <w:rsid w:val="00D94FDC"/>
    <w:rsid w:val="00D9655B"/>
    <w:rsid w:val="00DA1392"/>
    <w:rsid w:val="00DA2683"/>
    <w:rsid w:val="00DA2A23"/>
    <w:rsid w:val="00DA2C92"/>
    <w:rsid w:val="00DB15FB"/>
    <w:rsid w:val="00DB59FD"/>
    <w:rsid w:val="00DC097A"/>
    <w:rsid w:val="00DC3A1A"/>
    <w:rsid w:val="00DC441A"/>
    <w:rsid w:val="00DC5921"/>
    <w:rsid w:val="00DC5BDD"/>
    <w:rsid w:val="00DD0493"/>
    <w:rsid w:val="00DD0968"/>
    <w:rsid w:val="00DD1676"/>
    <w:rsid w:val="00DD17EF"/>
    <w:rsid w:val="00DE12DE"/>
    <w:rsid w:val="00DE1DB8"/>
    <w:rsid w:val="00DE2494"/>
    <w:rsid w:val="00DE39A5"/>
    <w:rsid w:val="00DE3FF0"/>
    <w:rsid w:val="00DE684E"/>
    <w:rsid w:val="00DE79C9"/>
    <w:rsid w:val="00DF1AD9"/>
    <w:rsid w:val="00DF3C71"/>
    <w:rsid w:val="00DF538D"/>
    <w:rsid w:val="00DF6BB3"/>
    <w:rsid w:val="00E042F4"/>
    <w:rsid w:val="00E100F3"/>
    <w:rsid w:val="00E10C0C"/>
    <w:rsid w:val="00E11A1D"/>
    <w:rsid w:val="00E16D19"/>
    <w:rsid w:val="00E201EE"/>
    <w:rsid w:val="00E20DF3"/>
    <w:rsid w:val="00E21D8E"/>
    <w:rsid w:val="00E22E53"/>
    <w:rsid w:val="00E23AF4"/>
    <w:rsid w:val="00E27AAE"/>
    <w:rsid w:val="00E31619"/>
    <w:rsid w:val="00E34FAC"/>
    <w:rsid w:val="00E36408"/>
    <w:rsid w:val="00E36A37"/>
    <w:rsid w:val="00E417E3"/>
    <w:rsid w:val="00E43799"/>
    <w:rsid w:val="00E43A72"/>
    <w:rsid w:val="00E54722"/>
    <w:rsid w:val="00E547F0"/>
    <w:rsid w:val="00E55A96"/>
    <w:rsid w:val="00E577F2"/>
    <w:rsid w:val="00E63C52"/>
    <w:rsid w:val="00E6637B"/>
    <w:rsid w:val="00E67D1E"/>
    <w:rsid w:val="00E7033D"/>
    <w:rsid w:val="00E84DF2"/>
    <w:rsid w:val="00E84F99"/>
    <w:rsid w:val="00E86FCB"/>
    <w:rsid w:val="00E87A1A"/>
    <w:rsid w:val="00E90A56"/>
    <w:rsid w:val="00E92F16"/>
    <w:rsid w:val="00EA27A2"/>
    <w:rsid w:val="00EA28AA"/>
    <w:rsid w:val="00EA5DC9"/>
    <w:rsid w:val="00EA7EFB"/>
    <w:rsid w:val="00EB0DD8"/>
    <w:rsid w:val="00EB2E3F"/>
    <w:rsid w:val="00EB30DB"/>
    <w:rsid w:val="00EB4B17"/>
    <w:rsid w:val="00EC0FDA"/>
    <w:rsid w:val="00EC3BF9"/>
    <w:rsid w:val="00EC3CCE"/>
    <w:rsid w:val="00EC4D3D"/>
    <w:rsid w:val="00EC7ADB"/>
    <w:rsid w:val="00ED2A13"/>
    <w:rsid w:val="00ED40B2"/>
    <w:rsid w:val="00ED4E9F"/>
    <w:rsid w:val="00ED6A08"/>
    <w:rsid w:val="00EE0450"/>
    <w:rsid w:val="00EE37C8"/>
    <w:rsid w:val="00EF45D4"/>
    <w:rsid w:val="00EF59CB"/>
    <w:rsid w:val="00F016FA"/>
    <w:rsid w:val="00F02173"/>
    <w:rsid w:val="00F048D9"/>
    <w:rsid w:val="00F04E22"/>
    <w:rsid w:val="00F05755"/>
    <w:rsid w:val="00F125FF"/>
    <w:rsid w:val="00F12E9C"/>
    <w:rsid w:val="00F13E8E"/>
    <w:rsid w:val="00F22A55"/>
    <w:rsid w:val="00F23F94"/>
    <w:rsid w:val="00F24030"/>
    <w:rsid w:val="00F242B0"/>
    <w:rsid w:val="00F242B2"/>
    <w:rsid w:val="00F25C6B"/>
    <w:rsid w:val="00F270D4"/>
    <w:rsid w:val="00F3092F"/>
    <w:rsid w:val="00F30EA4"/>
    <w:rsid w:val="00F3488E"/>
    <w:rsid w:val="00F36FF9"/>
    <w:rsid w:val="00F3762F"/>
    <w:rsid w:val="00F43CCF"/>
    <w:rsid w:val="00F4490B"/>
    <w:rsid w:val="00F54AF5"/>
    <w:rsid w:val="00F57A04"/>
    <w:rsid w:val="00F65523"/>
    <w:rsid w:val="00F6664A"/>
    <w:rsid w:val="00F7052D"/>
    <w:rsid w:val="00F737C1"/>
    <w:rsid w:val="00F768B9"/>
    <w:rsid w:val="00F80D9C"/>
    <w:rsid w:val="00F825B6"/>
    <w:rsid w:val="00FA093F"/>
    <w:rsid w:val="00FA546C"/>
    <w:rsid w:val="00FB15A3"/>
    <w:rsid w:val="00FB729A"/>
    <w:rsid w:val="00FC3E30"/>
    <w:rsid w:val="00FC4B01"/>
    <w:rsid w:val="00FC55AB"/>
    <w:rsid w:val="00FC74B1"/>
    <w:rsid w:val="00FD107E"/>
    <w:rsid w:val="00FD40F2"/>
    <w:rsid w:val="00FD5B6B"/>
    <w:rsid w:val="00FD7085"/>
    <w:rsid w:val="00FE2544"/>
    <w:rsid w:val="00FE43B3"/>
    <w:rsid w:val="00FE48E3"/>
    <w:rsid w:val="00FE6F2D"/>
    <w:rsid w:val="00FF411B"/>
    <w:rsid w:val="00FF44B1"/>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8E695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
    <w:name w:val="Unresolved Mention"/>
    <w:rsid w:val="000B4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imberly.cook@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