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262FAEC0" w14:textId="29C9D838">
      <w:pPr>
        <w:jc w:val="center"/>
        <w:rPr>
          <w:b/>
        </w:rPr>
      </w:pPr>
      <w:r w:rsidRPr="0070224F">
        <w:rPr>
          <w:rFonts w:ascii="Times New Roman Bold" w:hAnsi="Times New Roman Bold"/>
          <w:b/>
          <w:kern w:val="0"/>
          <w:szCs w:val="22"/>
        </w:rPr>
        <w:t>Before</w:t>
      </w:r>
      <w:r>
        <w:rPr>
          <w:b/>
        </w:rPr>
        <w:t xml:space="preserve"> the</w:t>
      </w:r>
    </w:p>
    <w:p w:rsidR="00921803" w:rsidP="00921803" w14:paraId="0E4FCCFA" w14:textId="77777777">
      <w:pPr>
        <w:pStyle w:val="StyleBoldCentered"/>
      </w:pPr>
      <w:r>
        <w:t>F</w:t>
      </w:r>
      <w:r>
        <w:rPr>
          <w:caps w:val="0"/>
        </w:rPr>
        <w:t>ederal Communications Commission</w:t>
      </w:r>
    </w:p>
    <w:p w:rsidR="004C2EE3" w:rsidP="00096D8C" w14:paraId="26774267" w14:textId="77777777">
      <w:pPr>
        <w:pStyle w:val="StyleBoldCentered"/>
      </w:pPr>
      <w:r>
        <w:rPr>
          <w:caps w:val="0"/>
        </w:rPr>
        <w:t>Washington, D.C. 20554</w:t>
      </w:r>
    </w:p>
    <w:p w:rsidR="004C2EE3" w:rsidP="0070224F" w14:paraId="483B2A02" w14:textId="77777777"/>
    <w:p w:rsidR="004C2EE3" w:rsidP="0070224F" w14:paraId="20C7583C" w14:textId="77777777"/>
    <w:tbl>
      <w:tblPr>
        <w:tblW w:w="0" w:type="auto"/>
        <w:tblLayout w:type="fixed"/>
        <w:tblLook w:val="0000"/>
      </w:tblPr>
      <w:tblGrid>
        <w:gridCol w:w="4698"/>
        <w:gridCol w:w="630"/>
        <w:gridCol w:w="4248"/>
      </w:tblGrid>
      <w:tr w14:paraId="5E7C9298" w14:textId="77777777">
        <w:tblPrEx>
          <w:tblW w:w="0" w:type="auto"/>
          <w:tblLayout w:type="fixed"/>
          <w:tblLook w:val="0000"/>
        </w:tblPrEx>
        <w:tc>
          <w:tcPr>
            <w:tcW w:w="4698" w:type="dxa"/>
          </w:tcPr>
          <w:p w:rsidR="004C2EE3" w14:paraId="1A90B08B" w14:textId="77777777">
            <w:pPr>
              <w:tabs>
                <w:tab w:val="center" w:pos="4680"/>
              </w:tabs>
              <w:suppressAutoHyphens/>
              <w:rPr>
                <w:spacing w:val="-2"/>
              </w:rPr>
            </w:pPr>
            <w:r>
              <w:rPr>
                <w:spacing w:val="-2"/>
              </w:rPr>
              <w:t>In the Matter of</w:t>
            </w:r>
          </w:p>
          <w:p w:rsidR="004C2EE3" w14:paraId="3BD1878F" w14:textId="77777777">
            <w:pPr>
              <w:tabs>
                <w:tab w:val="center" w:pos="4680"/>
              </w:tabs>
              <w:suppressAutoHyphens/>
              <w:rPr>
                <w:spacing w:val="-2"/>
              </w:rPr>
            </w:pPr>
          </w:p>
          <w:p w:rsidR="004C2EE3" w:rsidP="007115F7" w14:paraId="2DBCC7AB" w14:textId="77777777">
            <w:pPr>
              <w:tabs>
                <w:tab w:val="center" w:pos="4680"/>
              </w:tabs>
              <w:suppressAutoHyphens/>
              <w:rPr>
                <w:spacing w:val="-2"/>
              </w:rPr>
            </w:pPr>
            <w:r>
              <w:rPr>
                <w:spacing w:val="-2"/>
              </w:rPr>
              <w:t>Establishing the Digital Opportunity Data</w:t>
            </w:r>
          </w:p>
          <w:p w:rsidR="00035595" w:rsidP="007115F7" w14:paraId="41A2161A" w14:textId="77777777">
            <w:pPr>
              <w:tabs>
                <w:tab w:val="center" w:pos="4680"/>
              </w:tabs>
              <w:suppressAutoHyphens/>
              <w:rPr>
                <w:spacing w:val="-2"/>
              </w:rPr>
            </w:pPr>
            <w:r>
              <w:rPr>
                <w:spacing w:val="-2"/>
              </w:rPr>
              <w:t>Collection</w:t>
            </w:r>
          </w:p>
          <w:p w:rsidR="00035595" w:rsidP="007115F7" w14:paraId="0AC31747" w14:textId="77777777">
            <w:pPr>
              <w:tabs>
                <w:tab w:val="center" w:pos="4680"/>
              </w:tabs>
              <w:suppressAutoHyphens/>
              <w:rPr>
                <w:spacing w:val="-2"/>
              </w:rPr>
            </w:pPr>
          </w:p>
          <w:p w:rsidR="00035595" w:rsidRPr="007115F7" w:rsidP="007115F7" w14:paraId="704A423A" w14:textId="36DB1A90">
            <w:pPr>
              <w:tabs>
                <w:tab w:val="center" w:pos="4680"/>
              </w:tabs>
              <w:suppressAutoHyphens/>
              <w:rPr>
                <w:spacing w:val="-2"/>
              </w:rPr>
            </w:pPr>
            <w:r>
              <w:rPr>
                <w:spacing w:val="-2"/>
              </w:rPr>
              <w:t>Modernizing the FCC Form 477 Data Program</w:t>
            </w:r>
          </w:p>
        </w:tc>
        <w:tc>
          <w:tcPr>
            <w:tcW w:w="630" w:type="dxa"/>
          </w:tcPr>
          <w:p w:rsidR="004C2EE3" w14:paraId="6BDB9DA2" w14:textId="77777777">
            <w:pPr>
              <w:tabs>
                <w:tab w:val="center" w:pos="4680"/>
              </w:tabs>
              <w:suppressAutoHyphens/>
              <w:rPr>
                <w:b/>
                <w:spacing w:val="-2"/>
              </w:rPr>
            </w:pPr>
            <w:r>
              <w:rPr>
                <w:b/>
                <w:spacing w:val="-2"/>
              </w:rPr>
              <w:t>)</w:t>
            </w:r>
          </w:p>
          <w:p w:rsidR="004C2EE3" w14:paraId="633B45B6" w14:textId="77777777">
            <w:pPr>
              <w:tabs>
                <w:tab w:val="center" w:pos="4680"/>
              </w:tabs>
              <w:suppressAutoHyphens/>
              <w:rPr>
                <w:b/>
                <w:spacing w:val="-2"/>
              </w:rPr>
            </w:pPr>
            <w:r>
              <w:rPr>
                <w:b/>
                <w:spacing w:val="-2"/>
              </w:rPr>
              <w:t>)</w:t>
            </w:r>
          </w:p>
          <w:p w:rsidR="004C2EE3" w14:paraId="73EE4CAD" w14:textId="77777777">
            <w:pPr>
              <w:tabs>
                <w:tab w:val="center" w:pos="4680"/>
              </w:tabs>
              <w:suppressAutoHyphens/>
              <w:rPr>
                <w:b/>
                <w:spacing w:val="-2"/>
              </w:rPr>
            </w:pPr>
            <w:r>
              <w:rPr>
                <w:b/>
                <w:spacing w:val="-2"/>
              </w:rPr>
              <w:t>)</w:t>
            </w:r>
          </w:p>
          <w:p w:rsidR="004C2EE3" w14:paraId="180088D4" w14:textId="77777777">
            <w:pPr>
              <w:tabs>
                <w:tab w:val="center" w:pos="4680"/>
              </w:tabs>
              <w:suppressAutoHyphens/>
              <w:rPr>
                <w:b/>
                <w:spacing w:val="-2"/>
              </w:rPr>
            </w:pPr>
            <w:r>
              <w:rPr>
                <w:b/>
                <w:spacing w:val="-2"/>
              </w:rPr>
              <w:t>)</w:t>
            </w:r>
          </w:p>
          <w:p w:rsidR="004C2EE3" w14:paraId="678DE9C8" w14:textId="77777777">
            <w:pPr>
              <w:tabs>
                <w:tab w:val="center" w:pos="4680"/>
              </w:tabs>
              <w:suppressAutoHyphens/>
              <w:rPr>
                <w:b/>
                <w:spacing w:val="-2"/>
              </w:rPr>
            </w:pPr>
            <w:r>
              <w:rPr>
                <w:b/>
                <w:spacing w:val="-2"/>
              </w:rPr>
              <w:t>)</w:t>
            </w:r>
          </w:p>
          <w:p w:rsidR="004C2EE3" w:rsidRPr="00035595" w14:paraId="15239953" w14:textId="5B898259">
            <w:pPr>
              <w:tabs>
                <w:tab w:val="center" w:pos="4680"/>
              </w:tabs>
              <w:suppressAutoHyphens/>
              <w:rPr>
                <w:b/>
                <w:spacing w:val="-2"/>
              </w:rPr>
            </w:pPr>
            <w:r>
              <w:rPr>
                <w:b/>
                <w:spacing w:val="-2"/>
              </w:rPr>
              <w:t>)</w:t>
            </w:r>
          </w:p>
        </w:tc>
        <w:tc>
          <w:tcPr>
            <w:tcW w:w="4248" w:type="dxa"/>
          </w:tcPr>
          <w:p w:rsidR="004C2EE3" w14:paraId="11BDBA0E" w14:textId="77777777">
            <w:pPr>
              <w:tabs>
                <w:tab w:val="center" w:pos="4680"/>
              </w:tabs>
              <w:suppressAutoHyphens/>
              <w:rPr>
                <w:spacing w:val="-2"/>
              </w:rPr>
            </w:pPr>
          </w:p>
          <w:p w:rsidR="004C2EE3" w14:paraId="369767B4" w14:textId="77777777">
            <w:pPr>
              <w:pStyle w:val="TOAHeading"/>
              <w:tabs>
                <w:tab w:val="center" w:pos="4680"/>
                <w:tab w:val="clear" w:pos="9360"/>
              </w:tabs>
              <w:rPr>
                <w:spacing w:val="-2"/>
              </w:rPr>
            </w:pPr>
          </w:p>
          <w:p w:rsidR="004C2EE3" w14:paraId="78742DF1" w14:textId="77777777">
            <w:pPr>
              <w:tabs>
                <w:tab w:val="center" w:pos="4680"/>
              </w:tabs>
              <w:suppressAutoHyphens/>
              <w:rPr>
                <w:spacing w:val="-2"/>
              </w:rPr>
            </w:pPr>
            <w:r>
              <w:rPr>
                <w:spacing w:val="-2"/>
              </w:rPr>
              <w:t>WC Docket No. 19-195</w:t>
            </w:r>
          </w:p>
          <w:p w:rsidR="00035595" w14:paraId="30AE8813" w14:textId="77777777">
            <w:pPr>
              <w:tabs>
                <w:tab w:val="center" w:pos="4680"/>
              </w:tabs>
              <w:suppressAutoHyphens/>
              <w:rPr>
                <w:spacing w:val="-2"/>
              </w:rPr>
            </w:pPr>
          </w:p>
          <w:p w:rsidR="00035595" w14:paraId="4B16921B" w14:textId="77777777">
            <w:pPr>
              <w:tabs>
                <w:tab w:val="center" w:pos="4680"/>
              </w:tabs>
              <w:suppressAutoHyphens/>
              <w:rPr>
                <w:spacing w:val="-2"/>
              </w:rPr>
            </w:pPr>
          </w:p>
          <w:p w:rsidR="00035595" w14:paraId="69723C34" w14:textId="196F926C">
            <w:pPr>
              <w:tabs>
                <w:tab w:val="center" w:pos="4680"/>
              </w:tabs>
              <w:suppressAutoHyphens/>
              <w:rPr>
                <w:spacing w:val="-2"/>
              </w:rPr>
            </w:pPr>
            <w:r>
              <w:rPr>
                <w:spacing w:val="-2"/>
              </w:rPr>
              <w:t>WC Docket No. 11-10</w:t>
            </w:r>
          </w:p>
        </w:tc>
      </w:tr>
    </w:tbl>
    <w:p w:rsidR="004C2EE3" w:rsidP="0070224F" w14:paraId="6C10CD26" w14:textId="77777777"/>
    <w:p w:rsidR="00841AB1" w:rsidP="00F021FA" w14:paraId="5B9B1547" w14:textId="1369F047">
      <w:pPr>
        <w:pStyle w:val="StyleBoldCentered"/>
      </w:pPr>
      <w:r>
        <w:t>ORDER</w:t>
      </w:r>
    </w:p>
    <w:p w:rsidR="004C2EE3" w14:paraId="678C22FA" w14:textId="77777777">
      <w:pPr>
        <w:tabs>
          <w:tab w:val="left" w:pos="-720"/>
        </w:tabs>
        <w:suppressAutoHyphens/>
        <w:spacing w:line="227" w:lineRule="auto"/>
        <w:rPr>
          <w:spacing w:val="-2"/>
        </w:rPr>
      </w:pPr>
    </w:p>
    <w:p w:rsidR="004C2EE3" w:rsidP="00133F79" w14:paraId="0626B707" w14:textId="0A7D9F7B">
      <w:pPr>
        <w:tabs>
          <w:tab w:val="left" w:pos="720"/>
          <w:tab w:val="right" w:pos="9360"/>
        </w:tabs>
        <w:suppressAutoHyphens/>
        <w:spacing w:line="227" w:lineRule="auto"/>
        <w:rPr>
          <w:spacing w:val="-2"/>
        </w:rPr>
      </w:pPr>
      <w:r>
        <w:rPr>
          <w:b/>
          <w:spacing w:val="-2"/>
        </w:rPr>
        <w:t xml:space="preserve">Adopted:  </w:t>
      </w:r>
      <w:r w:rsidR="000D68AC">
        <w:rPr>
          <w:b/>
          <w:spacing w:val="-2"/>
        </w:rPr>
        <w:t>June</w:t>
      </w:r>
      <w:r w:rsidR="00035595">
        <w:rPr>
          <w:b/>
          <w:spacing w:val="-2"/>
        </w:rPr>
        <w:t xml:space="preserve"> </w:t>
      </w:r>
      <w:r w:rsidR="00B128BB">
        <w:rPr>
          <w:b/>
          <w:spacing w:val="-2"/>
        </w:rPr>
        <w:t>25</w:t>
      </w:r>
      <w:r w:rsidR="00035595">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D68AC">
        <w:rPr>
          <w:b/>
          <w:spacing w:val="-2"/>
        </w:rPr>
        <w:t xml:space="preserve">June </w:t>
      </w:r>
      <w:r w:rsidR="00B128BB">
        <w:rPr>
          <w:b/>
          <w:spacing w:val="-2"/>
        </w:rPr>
        <w:t>25</w:t>
      </w:r>
      <w:r w:rsidR="00035595">
        <w:rPr>
          <w:b/>
          <w:spacing w:val="-2"/>
        </w:rPr>
        <w:t>, 2021</w:t>
      </w:r>
    </w:p>
    <w:p w:rsidR="00822CE0" w14:paraId="164831BB" w14:textId="77777777"/>
    <w:p w:rsidR="004C2EE3" w:rsidRPr="00035595" w14:paraId="6AA89086" w14:textId="1088879E">
      <w:r>
        <w:t xml:space="preserve">By </w:t>
      </w:r>
      <w:r w:rsidR="004E4A22">
        <w:t>the</w:t>
      </w:r>
      <w:r w:rsidR="002A2D2E">
        <w:t xml:space="preserve"> </w:t>
      </w:r>
      <w:r w:rsidR="00035595">
        <w:t xml:space="preserve">Acting </w:t>
      </w:r>
      <w:r w:rsidRPr="00035595" w:rsidR="00035595">
        <w:t>Chief, Wireless Telecommunications Bureau:</w:t>
      </w:r>
    </w:p>
    <w:p w:rsidR="00822CE0" w14:paraId="5FBD4A5B" w14:textId="77777777">
      <w:pPr>
        <w:rPr>
          <w:spacing w:val="-2"/>
        </w:rPr>
      </w:pPr>
    </w:p>
    <w:p w:rsidR="00412FC5" w:rsidP="00C36B4C" w14:paraId="7BDA718D" w14:textId="48B1A4CE">
      <w:pPr>
        <w:pStyle w:val="Heading1"/>
      </w:pPr>
      <w:r>
        <w:t>introduction</w:t>
      </w:r>
    </w:p>
    <w:p w:rsidR="0016130C" w:rsidP="008107B8" w14:paraId="41DCDE7A" w14:textId="2D82510E">
      <w:pPr>
        <w:pStyle w:val="ParaNum"/>
        <w:tabs>
          <w:tab w:val="clear" w:pos="1080"/>
          <w:tab w:val="num" w:pos="1440"/>
        </w:tabs>
      </w:pPr>
      <w:r>
        <w:t xml:space="preserve">The </w:t>
      </w:r>
      <w:r w:rsidR="00A0528B">
        <w:t xml:space="preserve">Broadband Data Task Force and the </w:t>
      </w:r>
      <w:r>
        <w:t xml:space="preserve">Wireless Telecommunications Bureau </w:t>
      </w:r>
      <w:r w:rsidR="0ED1964D">
        <w:t xml:space="preserve">grant a </w:t>
      </w:r>
      <w:r w:rsidR="1DE8BCAC">
        <w:t xml:space="preserve">limited </w:t>
      </w:r>
      <w:r w:rsidR="0ED1964D">
        <w:t>waiver of section</w:t>
      </w:r>
      <w:r w:rsidR="5318DF90">
        <w:t>s</w:t>
      </w:r>
      <w:r w:rsidR="0ED1964D">
        <w:t xml:space="preserve"> 1.7001(b)</w:t>
      </w:r>
      <w:r w:rsidR="03948E32">
        <w:t>-(c)</w:t>
      </w:r>
      <w:r w:rsidR="5318DF90">
        <w:t xml:space="preserve"> and 1.7002</w:t>
      </w:r>
      <w:r w:rsidR="51805268">
        <w:t xml:space="preserve"> </w:t>
      </w:r>
      <w:r w:rsidR="0ED1964D">
        <w:t xml:space="preserve">of the Commission’s </w:t>
      </w:r>
      <w:r w:rsidR="78B0DB84">
        <w:t xml:space="preserve">rules </w:t>
      </w:r>
      <w:r w:rsidR="0ED1964D">
        <w:t xml:space="preserve">and the related Form 477 </w:t>
      </w:r>
      <w:r w:rsidR="5B081457">
        <w:t>I</w:t>
      </w:r>
      <w:r w:rsidR="0ED1964D">
        <w:t>nstructions to AT&amp;T Wireless, T-Mobile, U.S. Cellular, Verizon Wireless</w:t>
      </w:r>
      <w:r w:rsidR="00513DF8">
        <w:t>,</w:t>
      </w:r>
      <w:r w:rsidR="1DA2E368">
        <w:t xml:space="preserve"> and their subsidiaries</w:t>
      </w:r>
      <w:r w:rsidR="7CF16364">
        <w:t xml:space="preserve"> (collectively,</w:t>
      </w:r>
      <w:r w:rsidR="6875F15A">
        <w:t xml:space="preserve"> </w:t>
      </w:r>
      <w:r w:rsidR="121CC25B">
        <w:t xml:space="preserve">the </w:t>
      </w:r>
      <w:r w:rsidR="2A4F2936">
        <w:t>Companies</w:t>
      </w:r>
      <w:r w:rsidR="7CF16364">
        <w:t>)</w:t>
      </w:r>
      <w:r>
        <w:rPr>
          <w:rStyle w:val="FootnoteReference"/>
        </w:rPr>
        <w:footnoteReference w:id="3"/>
      </w:r>
      <w:r w:rsidR="1DA2E368">
        <w:t xml:space="preserve"> </w:t>
      </w:r>
      <w:r w:rsidR="6875F15A">
        <w:t xml:space="preserve">regarding the </w:t>
      </w:r>
      <w:r w:rsidR="57BF9E73">
        <w:t xml:space="preserve">filing of </w:t>
      </w:r>
      <w:r w:rsidR="00A831E7">
        <w:t xml:space="preserve">certain </w:t>
      </w:r>
      <w:r w:rsidR="6875F15A">
        <w:t>Form 477 data</w:t>
      </w:r>
      <w:r w:rsidR="0ED1964D">
        <w:t>.</w:t>
      </w:r>
      <w:r>
        <w:rPr>
          <w:rStyle w:val="FootnoteReference"/>
        </w:rPr>
        <w:footnoteReference w:id="4"/>
      </w:r>
      <w:r w:rsidR="101CF1FB">
        <w:t xml:space="preserve">  </w:t>
      </w:r>
      <w:r w:rsidR="78B0DB84">
        <w:t xml:space="preserve">Specifically, we </w:t>
      </w:r>
      <w:r w:rsidR="05475459">
        <w:t xml:space="preserve">waive the requirement that </w:t>
      </w:r>
      <w:r w:rsidR="78B0DB84">
        <w:t xml:space="preserve">the Companies </w:t>
      </w:r>
      <w:r w:rsidR="00002811">
        <w:t xml:space="preserve">report </w:t>
      </w:r>
      <w:r w:rsidR="00A23383">
        <w:t xml:space="preserve">their </w:t>
      </w:r>
      <w:r w:rsidR="503F9E29">
        <w:t>4G LTE mobile deployment</w:t>
      </w:r>
      <w:r w:rsidR="05475459">
        <w:t xml:space="preserve"> data as of June 30, 2021.  </w:t>
      </w:r>
      <w:r w:rsidR="009B2383">
        <w:t xml:space="preserve">In recognition of the public interest in improving the data collected by the </w:t>
      </w:r>
      <w:r w:rsidR="009005D0">
        <w:t>Commission</w:t>
      </w:r>
      <w:r w:rsidR="009B2383">
        <w:t xml:space="preserve"> on broadband availability </w:t>
      </w:r>
      <w:r w:rsidR="009005D0">
        <w:t>throughout</w:t>
      </w:r>
      <w:r w:rsidR="009B2383">
        <w:t xml:space="preserve"> the </w:t>
      </w:r>
      <w:r w:rsidR="009005D0">
        <w:t>United</w:t>
      </w:r>
      <w:r w:rsidR="009B2383">
        <w:t xml:space="preserve"> Sta</w:t>
      </w:r>
      <w:r w:rsidR="009005D0">
        <w:t>t</w:t>
      </w:r>
      <w:r w:rsidR="009B2383">
        <w:t>es and in assisting the Commission</w:t>
      </w:r>
      <w:r w:rsidR="00970B5D">
        <w:t>’s</w:t>
      </w:r>
      <w:r w:rsidR="009B2383">
        <w:t xml:space="preserve"> effort to build a </w:t>
      </w:r>
      <w:r w:rsidR="00970B5D">
        <w:t xml:space="preserve">Broadband Data Collection (BDC) </w:t>
      </w:r>
      <w:r w:rsidR="009005D0">
        <w:t>system</w:t>
      </w:r>
      <w:r w:rsidR="009B2383">
        <w:t xml:space="preserve"> to colle</w:t>
      </w:r>
      <w:r w:rsidR="009005D0">
        <w:t>c</w:t>
      </w:r>
      <w:r w:rsidR="009B2383">
        <w:t>t</w:t>
      </w:r>
      <w:r w:rsidR="009005D0">
        <w:t xml:space="preserve"> </w:t>
      </w:r>
      <w:r w:rsidR="009B2383">
        <w:t xml:space="preserve">and make available </w:t>
      </w:r>
      <w:r w:rsidR="009005D0">
        <w:t>more precise and reliable maps, t</w:t>
      </w:r>
      <w:r w:rsidR="101CF1FB">
        <w:t>he</w:t>
      </w:r>
      <w:r w:rsidR="7CF16364">
        <w:t xml:space="preserve"> </w:t>
      </w:r>
      <w:r w:rsidR="2A4F2936">
        <w:t>Companies</w:t>
      </w:r>
      <w:r w:rsidR="7CF16364">
        <w:t xml:space="preserve"> </w:t>
      </w:r>
      <w:r w:rsidR="1C0E7DA5">
        <w:t>have voluntar</w:t>
      </w:r>
      <w:r w:rsidR="5D9E95D1">
        <w:t>il</w:t>
      </w:r>
      <w:r w:rsidR="1C0E7DA5">
        <w:t xml:space="preserve">y committed to </w:t>
      </w:r>
      <w:r w:rsidR="00F72D2A">
        <w:t xml:space="preserve">report </w:t>
      </w:r>
      <w:r w:rsidR="00EC74A8">
        <w:t xml:space="preserve">their 4G LTE mobile deployment </w:t>
      </w:r>
      <w:r w:rsidR="503F9E29">
        <w:t xml:space="preserve">data </w:t>
      </w:r>
      <w:r w:rsidR="015FA8CE">
        <w:t>as of May 15, 2021</w:t>
      </w:r>
      <w:r w:rsidR="4A4F4F46">
        <w:t>,</w:t>
      </w:r>
      <w:r w:rsidR="015FA8CE">
        <w:t xml:space="preserve"> </w:t>
      </w:r>
      <w:r w:rsidR="7CF16364">
        <w:t xml:space="preserve">using </w:t>
      </w:r>
      <w:r w:rsidR="55C8FC93">
        <w:t xml:space="preserve">certain standardized </w:t>
      </w:r>
      <w:r w:rsidRPr="00B94089" w:rsidR="7CF16364">
        <w:t xml:space="preserve">parameters </w:t>
      </w:r>
      <w:r w:rsidR="7CF16364">
        <w:t xml:space="preserve">established </w:t>
      </w:r>
      <w:r w:rsidR="08159685">
        <w:t xml:space="preserve">as part of the </w:t>
      </w:r>
      <w:r w:rsidR="6796F430">
        <w:t>Broadband Data Collection</w:t>
      </w:r>
      <w:r w:rsidR="00702354">
        <w:t>.</w:t>
      </w:r>
      <w:r>
        <w:rPr>
          <w:rStyle w:val="FootnoteReference"/>
        </w:rPr>
        <w:footnoteReference w:id="5"/>
      </w:r>
      <w:r w:rsidR="1DA2E368">
        <w:t xml:space="preserve"> </w:t>
      </w:r>
      <w:r w:rsidR="00702354">
        <w:t xml:space="preserve"> The Companies also have voluntarily committed </w:t>
      </w:r>
      <w:r w:rsidR="00224E51">
        <w:t xml:space="preserve">to upload this data into the Form 477 system </w:t>
      </w:r>
      <w:r w:rsidR="009005D0">
        <w:t xml:space="preserve">as soon as practicable after the Form 477 filing window opens on </w:t>
      </w:r>
      <w:r w:rsidR="008F3103">
        <w:t>July 1, 2021, and to certify the accuracy of th</w:t>
      </w:r>
      <w:r w:rsidR="00970B5D">
        <w:t>e</w:t>
      </w:r>
      <w:r w:rsidR="008F3103">
        <w:t xml:space="preserve"> data</w:t>
      </w:r>
      <w:r w:rsidR="00700169">
        <w:t>.</w:t>
      </w:r>
    </w:p>
    <w:p w:rsidR="008107B8" w:rsidP="008107B8" w14:paraId="2FB0CF00" w14:textId="6AF6E702">
      <w:pPr>
        <w:pStyle w:val="ParaNum"/>
        <w:tabs>
          <w:tab w:val="clear" w:pos="1080"/>
          <w:tab w:val="num" w:pos="1440"/>
        </w:tabs>
      </w:pPr>
      <w:r>
        <w:t>W</w:t>
      </w:r>
      <w:r w:rsidR="1DA2E368">
        <w:t>e find that granting a waiver to</w:t>
      </w:r>
      <w:r w:rsidR="00B62F4C">
        <w:t xml:space="preserve"> the extent necessary to</w:t>
      </w:r>
      <w:r w:rsidR="1DA2E368">
        <w:t xml:space="preserve"> allow the</w:t>
      </w:r>
      <w:r w:rsidR="009A5CD6">
        <w:t xml:space="preserve"> Companies</w:t>
      </w:r>
      <w:r w:rsidR="1DA2E368">
        <w:t xml:space="preserve"> to </w:t>
      </w:r>
      <w:r w:rsidR="00672732">
        <w:t xml:space="preserve">report their 4G LTE mobile deployment data as of May 15, 2021, premised on their voluntary commitments, </w:t>
      </w:r>
      <w:r w:rsidR="1DA2E368">
        <w:t>will benefit the public interest by accelerating the collection of more standardized mobile deployment data as the Commission transitions to the Broadband Data Collection</w:t>
      </w:r>
      <w:r w:rsidR="009005D0">
        <w:t xml:space="preserve"> and will provide the Commission with </w:t>
      </w:r>
      <w:r w:rsidR="005C5E70">
        <w:t xml:space="preserve">real-world </w:t>
      </w:r>
      <w:r w:rsidR="009005D0">
        <w:t xml:space="preserve">data </w:t>
      </w:r>
      <w:r w:rsidR="00970B5D">
        <w:t>consistent with</w:t>
      </w:r>
      <w:r w:rsidR="005C5E70">
        <w:t xml:space="preserve"> the BDC parameters </w:t>
      </w:r>
      <w:r w:rsidR="009005D0">
        <w:t xml:space="preserve">that will assist it </w:t>
      </w:r>
      <w:r w:rsidR="005C5E70">
        <w:t>in the ongoing effort</w:t>
      </w:r>
      <w:r w:rsidR="009005D0">
        <w:t xml:space="preserve"> </w:t>
      </w:r>
      <w:r w:rsidR="005C5E70">
        <w:t xml:space="preserve">to </w:t>
      </w:r>
      <w:r w:rsidR="009005D0">
        <w:t xml:space="preserve">build the </w:t>
      </w:r>
      <w:r w:rsidR="00970B5D">
        <w:t xml:space="preserve">BDC </w:t>
      </w:r>
      <w:r w:rsidR="009005D0">
        <w:t>systems and platforms</w:t>
      </w:r>
      <w:r w:rsidR="1DA2E368">
        <w:t xml:space="preserve">.  </w:t>
      </w:r>
      <w:r w:rsidR="0DD1286D">
        <w:t>T</w:t>
      </w:r>
      <w:r w:rsidR="1DA2E368">
        <w:t xml:space="preserve">he Companies </w:t>
      </w:r>
      <w:r w:rsidR="009B2383">
        <w:t>shall</w:t>
      </w:r>
      <w:r w:rsidR="009005D0">
        <w:t xml:space="preserve"> </w:t>
      </w:r>
      <w:r w:rsidR="268F2C20">
        <w:t>file the re</w:t>
      </w:r>
      <w:r w:rsidR="5D28F8F0">
        <w:t>mainder</w:t>
      </w:r>
      <w:r w:rsidR="268F2C20">
        <w:t xml:space="preserve"> of their Form 477 data in a manner consistent with </w:t>
      </w:r>
      <w:r w:rsidR="503F9E29">
        <w:t xml:space="preserve">the Commission’s rules and </w:t>
      </w:r>
      <w:r w:rsidR="268F2C20">
        <w:t xml:space="preserve">Form 477 </w:t>
      </w:r>
      <w:r w:rsidR="5B081457">
        <w:t>I</w:t>
      </w:r>
      <w:r w:rsidR="268F2C20">
        <w:t>nstructions</w:t>
      </w:r>
      <w:r w:rsidR="0DD1286D">
        <w:t xml:space="preserve"> on or before the September 1, 2021 </w:t>
      </w:r>
      <w:r w:rsidR="2BAE28B5">
        <w:t>deadline for</w:t>
      </w:r>
      <w:r w:rsidR="0DD1286D">
        <w:t xml:space="preserve"> filing </w:t>
      </w:r>
      <w:r w:rsidR="7F66A3B5">
        <w:t>data</w:t>
      </w:r>
      <w:r w:rsidR="60C3AEFB">
        <w:t xml:space="preserve"> as of</w:t>
      </w:r>
      <w:r w:rsidR="7F66A3B5">
        <w:t xml:space="preserve"> </w:t>
      </w:r>
      <w:r w:rsidR="0DD1286D">
        <w:t>June 30</w:t>
      </w:r>
      <w:r w:rsidR="6E636161">
        <w:t>, 2021</w:t>
      </w:r>
      <w:r w:rsidR="268F2C20">
        <w:t>.</w:t>
      </w:r>
    </w:p>
    <w:p w:rsidR="00680445" w:rsidP="00680445" w14:paraId="5C4B9C08" w14:textId="19C36D4D">
      <w:pPr>
        <w:pStyle w:val="Heading1"/>
      </w:pPr>
      <w:r>
        <w:t>background</w:t>
      </w:r>
    </w:p>
    <w:p w:rsidR="002624F2" w:rsidP="0047396C" w14:paraId="162E813F" w14:textId="4E957F8C">
      <w:pPr>
        <w:pStyle w:val="ParaNum"/>
        <w:tabs>
          <w:tab w:val="clear" w:pos="1080"/>
          <w:tab w:val="num" w:pos="1440"/>
        </w:tabs>
      </w:pPr>
      <w:r>
        <w:t xml:space="preserve">The Commission uses </w:t>
      </w:r>
      <w:r w:rsidRPr="00247796">
        <w:t xml:space="preserve">Form 477 </w:t>
      </w:r>
      <w:r>
        <w:t xml:space="preserve">to </w:t>
      </w:r>
      <w:r w:rsidRPr="00247796">
        <w:t xml:space="preserve">collect </w:t>
      </w:r>
      <w:r w:rsidR="00B919A1">
        <w:t xml:space="preserve">data </w:t>
      </w:r>
      <w:r w:rsidRPr="00247796">
        <w:t xml:space="preserve">about broadband connections to end-user locations, wired and wireless local telephone services, and interconnected Voice over Internet Protocol (VoIP) services in the 50 states, the District of Columbia, and the </w:t>
      </w:r>
      <w:r w:rsidR="008B4E92">
        <w:t xml:space="preserve">major U.S. </w:t>
      </w:r>
      <w:r w:rsidRPr="00247796">
        <w:t>Territories and possessions</w:t>
      </w:r>
      <w:r>
        <w:t>.</w:t>
      </w:r>
      <w:r>
        <w:rPr>
          <w:rStyle w:val="FootnoteReference"/>
        </w:rPr>
        <w:footnoteReference w:id="6"/>
      </w:r>
      <w:r w:rsidRPr="00247796">
        <w:t xml:space="preserve"> </w:t>
      </w:r>
      <w:r>
        <w:t xml:space="preserve"> The Commission uses this </w:t>
      </w:r>
      <w:r w:rsidR="002F2609">
        <w:t>information</w:t>
      </w:r>
      <w:r w:rsidRPr="00247796" w:rsidR="002F2609">
        <w:t xml:space="preserve"> </w:t>
      </w:r>
      <w:r w:rsidRPr="00247796">
        <w:t xml:space="preserve">to </w:t>
      </w:r>
      <w:r w:rsidR="009F292B">
        <w:t xml:space="preserve">assess </w:t>
      </w:r>
      <w:r w:rsidRPr="00247796">
        <w:t xml:space="preserve">the deployment of broadband </w:t>
      </w:r>
      <w:r w:rsidR="009F292B">
        <w:t xml:space="preserve">service </w:t>
      </w:r>
      <w:r w:rsidRPr="00247796">
        <w:t xml:space="preserve">and competition </w:t>
      </w:r>
      <w:r>
        <w:t xml:space="preserve">in </w:t>
      </w:r>
      <w:r w:rsidRPr="00247796">
        <w:t>local telecommunications services.</w:t>
      </w:r>
      <w:r>
        <w:rPr>
          <w:rStyle w:val="FootnoteReference"/>
        </w:rPr>
        <w:footnoteReference w:id="7"/>
      </w:r>
      <w:r w:rsidRPr="0047396C">
        <w:t xml:space="preserve">  Th</w:t>
      </w:r>
      <w:r>
        <w:t xml:space="preserve">e data </w:t>
      </w:r>
      <w:r w:rsidR="004736F3">
        <w:t xml:space="preserve">have </w:t>
      </w:r>
      <w:r>
        <w:t>allow</w:t>
      </w:r>
      <w:r w:rsidR="004736F3">
        <w:t>ed</w:t>
      </w:r>
      <w:r>
        <w:t xml:space="preserve"> the Commission to make </w:t>
      </w:r>
      <w:r w:rsidRPr="0047396C">
        <w:t>available a nationwide broadband deployment dataset</w:t>
      </w:r>
      <w:r>
        <w:t>, ha</w:t>
      </w:r>
      <w:r w:rsidR="00F61D22">
        <w:t>ve</w:t>
      </w:r>
      <w:r>
        <w:t xml:space="preserve"> </w:t>
      </w:r>
      <w:r w:rsidRPr="0047396C">
        <w:t>significantly improved the Commission’s understanding of the state of broadband deployment</w:t>
      </w:r>
      <w:r>
        <w:t>,</w:t>
      </w:r>
      <w:r w:rsidRPr="0047396C">
        <w:t xml:space="preserve"> and </w:t>
      </w:r>
      <w:r>
        <w:t>ha</w:t>
      </w:r>
      <w:r w:rsidR="00A66075">
        <w:t>ve</w:t>
      </w:r>
      <w:r>
        <w:t xml:space="preserve"> helped </w:t>
      </w:r>
      <w:r w:rsidRPr="0047396C">
        <w:t xml:space="preserve">to identify the unserved </w:t>
      </w:r>
      <w:r w:rsidR="009005D0">
        <w:t>areas throughout</w:t>
      </w:r>
      <w:r w:rsidRPr="0047396C">
        <w:t xml:space="preserve"> the </w:t>
      </w:r>
      <w:r w:rsidR="009005D0">
        <w:t>United States</w:t>
      </w:r>
      <w:r w:rsidRPr="0047396C">
        <w:t>.</w:t>
      </w:r>
    </w:p>
    <w:p w:rsidR="00641AE5" w:rsidP="0047396C" w14:paraId="6FFEE9E2" w14:textId="40070DEB">
      <w:pPr>
        <w:pStyle w:val="ParaNum"/>
        <w:tabs>
          <w:tab w:val="clear" w:pos="1080"/>
          <w:tab w:val="num" w:pos="1440"/>
        </w:tabs>
      </w:pPr>
      <w:r>
        <w:t>S</w:t>
      </w:r>
      <w:r w:rsidR="006A3DF8">
        <w:t xml:space="preserve">ection 1.7001(b) of the </w:t>
      </w:r>
      <w:r w:rsidRPr="0047396C" w:rsidR="006A3DF8">
        <w:t>Commission’s</w:t>
      </w:r>
      <w:r w:rsidR="006A3DF8">
        <w:t xml:space="preserve"> rules provides that </w:t>
      </w:r>
      <w:r w:rsidR="00F23CB5">
        <w:t>facilities-based</w:t>
      </w:r>
      <w:r w:rsidR="00814D31">
        <w:t xml:space="preserve"> </w:t>
      </w:r>
      <w:r w:rsidR="00EB339F">
        <w:t xml:space="preserve">broadband service </w:t>
      </w:r>
      <w:r w:rsidR="006A3DF8">
        <w:t xml:space="preserve">providers “shall file with the Commission a completed </w:t>
      </w:r>
      <w:r w:rsidR="00EA7E6F">
        <w:t xml:space="preserve">FCC </w:t>
      </w:r>
      <w:r w:rsidR="006A3DF8">
        <w:t xml:space="preserve">Form 477, in accordance with the Commission’s rules and the instructions to the </w:t>
      </w:r>
      <w:r w:rsidR="0063006D">
        <w:t xml:space="preserve">FCC </w:t>
      </w:r>
      <w:r w:rsidR="006A3DF8">
        <w:t>Form 477.”</w:t>
      </w:r>
      <w:r>
        <w:rPr>
          <w:rStyle w:val="FootnoteReference"/>
        </w:rPr>
        <w:footnoteReference w:id="8"/>
      </w:r>
      <w:r w:rsidR="00C82AE3">
        <w:t xml:space="preserve">  Further, section 1.7002 provides that </w:t>
      </w:r>
      <w:r w:rsidR="00683039">
        <w:t xml:space="preserve">these </w:t>
      </w:r>
      <w:r w:rsidR="00C35EE9">
        <w:t xml:space="preserve">broadband service providers </w:t>
      </w:r>
      <w:r w:rsidR="00683039">
        <w:t>“</w:t>
      </w:r>
      <w:r w:rsidRPr="00C82AE3" w:rsidR="00C82AE3">
        <w:t xml:space="preserve">shall file </w:t>
      </w:r>
      <w:r w:rsidR="00E82E51">
        <w:t xml:space="preserve">reports </w:t>
      </w:r>
      <w:r w:rsidRPr="00C82AE3" w:rsidR="00C82AE3">
        <w:t>semi-annually</w:t>
      </w:r>
      <w:r w:rsidR="00320E00">
        <w:t>”</w:t>
      </w:r>
      <w:r w:rsidR="00C35EE9">
        <w:t xml:space="preserve"> with </w:t>
      </w:r>
      <w:r w:rsidR="00284D66">
        <w:t xml:space="preserve">the next report due by </w:t>
      </w:r>
      <w:r w:rsidRPr="00C82AE3" w:rsidR="00C82AE3">
        <w:t xml:space="preserve">September </w:t>
      </w:r>
      <w:r w:rsidR="00C21668">
        <w:t>1</w:t>
      </w:r>
      <w:r w:rsidRPr="00C82AE3" w:rsidR="00C82AE3">
        <w:t xml:space="preserve"> </w:t>
      </w:r>
      <w:r w:rsidR="009005D0">
        <w:t xml:space="preserve">to </w:t>
      </w:r>
      <w:r w:rsidR="002E2645">
        <w:t xml:space="preserve">report </w:t>
      </w:r>
      <w:r w:rsidR="00A018D1">
        <w:t xml:space="preserve">data </w:t>
      </w:r>
      <w:r w:rsidR="009A17F5">
        <w:t xml:space="preserve">from </w:t>
      </w:r>
      <w:r w:rsidR="00F71BB7">
        <w:t xml:space="preserve">January 1 through </w:t>
      </w:r>
      <w:r w:rsidR="00D76291">
        <w:t>June 30</w:t>
      </w:r>
      <w:r w:rsidR="00C35EE9">
        <w:t>.</w:t>
      </w:r>
      <w:r>
        <w:rPr>
          <w:rStyle w:val="FootnoteReference"/>
        </w:rPr>
        <w:footnoteReference w:id="9"/>
      </w:r>
      <w:r>
        <w:t xml:space="preserve">  </w:t>
      </w:r>
      <w:r w:rsidRPr="00641AE5">
        <w:t xml:space="preserve">The current Form 477 </w:t>
      </w:r>
      <w:r w:rsidR="00EE4425">
        <w:t>I</w:t>
      </w:r>
      <w:r w:rsidRPr="00641AE5">
        <w:t xml:space="preserve">nstructions, in turn, provide that facilities-based mobile broadband providers must report on mobile broadband deployment by submitting, for each available transmission technology, polygons in GIS mapping files that digitally represent the geographic areas in which </w:t>
      </w:r>
      <w:r w:rsidR="00B836BA">
        <w:t xml:space="preserve">users </w:t>
      </w:r>
      <w:r w:rsidRPr="00641AE5">
        <w:t xml:space="preserve">should expect to receive the minimum upload and download </w:t>
      </w:r>
      <w:r w:rsidR="009F1C7D">
        <w:t xml:space="preserve">data </w:t>
      </w:r>
      <w:r w:rsidRPr="00641AE5">
        <w:t xml:space="preserve">speed the mobile provider advertises for that area or, if the provider does not advertise such speeds, the minimum upload and download </w:t>
      </w:r>
      <w:r w:rsidR="00942D9B">
        <w:t xml:space="preserve">data </w:t>
      </w:r>
      <w:r w:rsidRPr="00641AE5">
        <w:t>speeds users should expect to receive within the polygon.</w:t>
      </w:r>
      <w:r>
        <w:rPr>
          <w:vertAlign w:val="superscript"/>
        </w:rPr>
        <w:footnoteReference w:id="10"/>
      </w:r>
      <w:r w:rsidRPr="00641AE5">
        <w:t xml:space="preserve">  Mobile service providers must also submit polygons representing geographic coverage for their voice service by transmission technology.</w:t>
      </w:r>
      <w:r>
        <w:rPr>
          <w:vertAlign w:val="superscript"/>
        </w:rPr>
        <w:footnoteReference w:id="11"/>
      </w:r>
    </w:p>
    <w:p w:rsidR="00641AE5" w:rsidP="0047396C" w14:paraId="28DE60E7" w14:textId="26E40C66">
      <w:pPr>
        <w:pStyle w:val="ParaNum"/>
        <w:tabs>
          <w:tab w:val="clear" w:pos="1080"/>
          <w:tab w:val="num" w:pos="1440"/>
        </w:tabs>
      </w:pPr>
      <w:r>
        <w:t>Congress, t</w:t>
      </w:r>
      <w:r w:rsidR="00924D7C">
        <w:t xml:space="preserve">he Commission, and other stakeholders have acknowledged </w:t>
      </w:r>
      <w:r w:rsidR="009005D0">
        <w:t xml:space="preserve">certain </w:t>
      </w:r>
      <w:r w:rsidR="00924D7C">
        <w:t>limitations of the current Form 477 data collection</w:t>
      </w:r>
      <w:r w:rsidR="007A7D04">
        <w:t>, which include the fact that the parameters pertaining to the collection of mobile broadband coverage data lack sufficient specificity and have led to the collection of inconsistent data across the various mobile carriers</w:t>
      </w:r>
      <w:r w:rsidR="00924D7C">
        <w:t>.</w:t>
      </w:r>
      <w:r>
        <w:rPr>
          <w:rStyle w:val="FootnoteReference"/>
        </w:rPr>
        <w:footnoteReference w:id="12"/>
      </w:r>
      <w:r w:rsidR="00D0276A">
        <w:t xml:space="preserve">  </w:t>
      </w:r>
      <w:r w:rsidR="00A66799">
        <w:t>T</w:t>
      </w:r>
      <w:r w:rsidR="00D0276A">
        <w:t xml:space="preserve">he Broadband Deployment Accuracy and </w:t>
      </w:r>
      <w:r w:rsidR="00D0276A">
        <w:t>Technolog</w:t>
      </w:r>
      <w:r w:rsidR="00164962">
        <w:t>ical</w:t>
      </w:r>
      <w:r w:rsidR="00D0276A">
        <w:t xml:space="preserve"> Availability </w:t>
      </w:r>
      <w:r w:rsidR="0011166D">
        <w:t>Act (the Broadband DATA Act)</w:t>
      </w:r>
      <w:r w:rsidR="007A7D04">
        <w:t xml:space="preserve"> therefore</w:t>
      </w:r>
      <w:r w:rsidR="00D0276A">
        <w:t xml:space="preserve"> </w:t>
      </w:r>
      <w:r w:rsidRPr="00E96A19" w:rsidR="00E96A19">
        <w:t>requires the Commission to collect from each mobile broadband provider propagation maps and propagation model details that indicate a provider’s current 4G LTE coverage based on certain minimum specified parameters</w:t>
      </w:r>
      <w:r w:rsidR="0011166D">
        <w:t>.</w:t>
      </w:r>
      <w:r>
        <w:rPr>
          <w:rStyle w:val="FootnoteReference"/>
        </w:rPr>
        <w:footnoteReference w:id="13"/>
      </w:r>
      <w:r w:rsidR="00D0276A">
        <w:t xml:space="preserve"> </w:t>
      </w:r>
      <w:r w:rsidR="00924D7C">
        <w:t xml:space="preserve"> </w:t>
      </w:r>
      <w:r w:rsidRPr="00641AE5">
        <w:t xml:space="preserve">In July 2020, the Commission adopted the </w:t>
      </w:r>
      <w:r w:rsidRPr="744FBD75">
        <w:rPr>
          <w:i/>
          <w:iCs/>
        </w:rPr>
        <w:t>Second Order</w:t>
      </w:r>
      <w:r w:rsidRPr="00641AE5">
        <w:t xml:space="preserve"> </w:t>
      </w:r>
      <w:r w:rsidR="007A7D04">
        <w:t xml:space="preserve">to </w:t>
      </w:r>
      <w:r w:rsidRPr="00641AE5">
        <w:t xml:space="preserve">implement certain requirements of the Broadband DATA Act and </w:t>
      </w:r>
      <w:r w:rsidR="00126B04">
        <w:t xml:space="preserve">to </w:t>
      </w:r>
      <w:r w:rsidRPr="00641AE5">
        <w:t>further specify the framework and elements of the Broadband Data Collection.</w:t>
      </w:r>
      <w:r>
        <w:rPr>
          <w:rStyle w:val="FootnoteReference"/>
        </w:rPr>
        <w:footnoteReference w:id="14"/>
      </w:r>
      <w:r w:rsidRPr="00641AE5">
        <w:t xml:space="preserve">  Among other things, the </w:t>
      </w:r>
      <w:r w:rsidRPr="744FBD75">
        <w:rPr>
          <w:i/>
          <w:iCs/>
        </w:rPr>
        <w:t>Second Order</w:t>
      </w:r>
      <w:r w:rsidRPr="00641AE5">
        <w:t xml:space="preserve"> requires mobile providers to submit propagation maps and propagation model details for each mobile broadband technology </w:t>
      </w:r>
      <w:r w:rsidR="00C328CF">
        <w:t xml:space="preserve">(3G, 4G LTE, and 5G-NR) </w:t>
      </w:r>
      <w:r w:rsidRPr="00641AE5">
        <w:t xml:space="preserve">and </w:t>
      </w:r>
      <w:r w:rsidR="00F80A1E">
        <w:t xml:space="preserve">for </w:t>
      </w:r>
      <w:r w:rsidRPr="00641AE5">
        <w:t>mobile voice service based on specified parameters.</w:t>
      </w:r>
      <w:r>
        <w:rPr>
          <w:vertAlign w:val="superscript"/>
        </w:rPr>
        <w:footnoteReference w:id="15"/>
      </w:r>
      <w:r w:rsidRPr="00641AE5">
        <w:t xml:space="preserve"> </w:t>
      </w:r>
      <w:r w:rsidRPr="00641AE5" w:rsidR="1E6FDF24">
        <w:t xml:space="preserve"> </w:t>
      </w:r>
      <w:r w:rsidRPr="00641AE5">
        <w:t>Specifically, for mobile broadband services</w:t>
      </w:r>
      <w:r w:rsidR="00D1154E">
        <w:t>,</w:t>
      </w:r>
      <w:r w:rsidRPr="00641AE5">
        <w:t xml:space="preserve"> the </w:t>
      </w:r>
      <w:r w:rsidRPr="744FBD75">
        <w:rPr>
          <w:i/>
          <w:iCs/>
        </w:rPr>
        <w:t>Second Order</w:t>
      </w:r>
      <w:r w:rsidRPr="00641AE5">
        <w:t xml:space="preserve"> requires mobile providers to submit, for each transmission technology, </w:t>
      </w:r>
      <w:r w:rsidRPr="0047396C">
        <w:t>propagation</w:t>
      </w:r>
      <w:r w:rsidRPr="00641AE5">
        <w:t xml:space="preserve"> maps reflecting minimum user download and upload speeds </w:t>
      </w:r>
      <w:r w:rsidR="00CA554E">
        <w:t xml:space="preserve">at </w:t>
      </w:r>
      <w:r w:rsidRPr="00641AE5">
        <w:t>prescribed minimum cell edge probabilities, cell loading factors, and modeling resolution.</w:t>
      </w:r>
      <w:r>
        <w:rPr>
          <w:vertAlign w:val="superscript"/>
        </w:rPr>
        <w:footnoteReference w:id="16"/>
      </w:r>
      <w:r w:rsidRPr="00641AE5">
        <w:t xml:space="preserve">  It also requires providers to disclose to the Commission details of their propagation models and the link budgets they use for modeling cell edge network throughput.</w:t>
      </w:r>
      <w:r>
        <w:rPr>
          <w:vertAlign w:val="superscript"/>
        </w:rPr>
        <w:footnoteReference w:id="17"/>
      </w:r>
    </w:p>
    <w:p w:rsidR="00195BED" w:rsidP="00195BED" w14:paraId="12062E37" w14:textId="680DECDE">
      <w:pPr>
        <w:pStyle w:val="Heading1"/>
      </w:pPr>
      <w:r>
        <w:t>discussion</w:t>
      </w:r>
    </w:p>
    <w:p w:rsidR="006F3799" w:rsidP="0000268D" w14:paraId="2545A134" w14:textId="61DDEC4B">
      <w:pPr>
        <w:pStyle w:val="ParaNum"/>
        <w:widowControl/>
        <w:tabs>
          <w:tab w:val="clear" w:pos="1080"/>
          <w:tab w:val="num" w:pos="1440"/>
        </w:tabs>
      </w:pPr>
      <w:r>
        <w:t>Se</w:t>
      </w:r>
      <w:r w:rsidRPr="00B83644">
        <w:t>ction 1.3</w:t>
      </w:r>
      <w:r>
        <w:t xml:space="preserve"> of the Commission’s rules provides that t</w:t>
      </w:r>
      <w:r w:rsidRPr="00DA7784">
        <w:t xml:space="preserve">he Commission may </w:t>
      </w:r>
      <w:r>
        <w:t xml:space="preserve">“on its own motion” </w:t>
      </w:r>
      <w:r w:rsidRPr="00DA7784">
        <w:t xml:space="preserve">waive a rule “for good </w:t>
      </w:r>
      <w:r w:rsidRPr="00EF2E2A">
        <w:t>cause</w:t>
      </w:r>
      <w:r w:rsidRPr="00DA7784">
        <w:t xml:space="preserve"> shown, in whole or in part, at any time.”</w:t>
      </w:r>
      <w:r>
        <w:rPr>
          <w:rStyle w:val="FootnoteReference"/>
        </w:rPr>
        <w:footnoteReference w:id="18"/>
      </w:r>
      <w:r>
        <w:t xml:space="preserve">  </w:t>
      </w:r>
      <w:r>
        <w:t xml:space="preserve">In order to meet the “good cause shown” standard, </w:t>
      </w:r>
      <w:r w:rsidRPr="003C4E79" w:rsidR="003C4E79">
        <w:t>the Commission must find that</w:t>
      </w:r>
      <w:r w:rsidR="008D10B2">
        <w:t>:</w:t>
      </w:r>
      <w:r w:rsidRPr="003C4E79" w:rsidR="003C4E79">
        <w:t xml:space="preserve"> (1) “special circumstances warrant a deviation from the general rule”; and (2) “such deviation serves the public interest.”</w:t>
      </w:r>
      <w:r>
        <w:rPr>
          <w:rStyle w:val="FootnoteReference"/>
        </w:rPr>
        <w:footnoteReference w:id="19"/>
      </w:r>
      <w:r w:rsidR="00721A19">
        <w:t xml:space="preserve">  </w:t>
      </w:r>
      <w:r w:rsidR="00661936">
        <w:t xml:space="preserve">A rule waiver may serve the public interest when </w:t>
      </w:r>
      <w:r w:rsidRPr="00B83644">
        <w:t xml:space="preserve">the relief </w:t>
      </w:r>
      <w:r w:rsidR="00382255">
        <w:t xml:space="preserve">would </w:t>
      </w:r>
      <w:r w:rsidRPr="00B83644">
        <w:t>not undermine</w:t>
      </w:r>
      <w:r>
        <w:t xml:space="preserve"> </w:t>
      </w:r>
      <w:r w:rsidRPr="00B83644">
        <w:t>the policy objectives of the rule.</w:t>
      </w:r>
      <w:r>
        <w:rPr>
          <w:rStyle w:val="FootnoteReference"/>
        </w:rPr>
        <w:footnoteReference w:id="20"/>
      </w:r>
      <w:r>
        <w:t xml:space="preserve">  In this case, </w:t>
      </w:r>
      <w:r w:rsidRPr="0047396C" w:rsidR="00AD2BDD">
        <w:t>granting</w:t>
      </w:r>
      <w:r w:rsidR="00AD2BDD">
        <w:t xml:space="preserve"> a limited waiver of section</w:t>
      </w:r>
      <w:r w:rsidR="00E8626C">
        <w:t>s</w:t>
      </w:r>
      <w:r w:rsidR="00AD2BDD">
        <w:t xml:space="preserve"> 1.7001(b)</w:t>
      </w:r>
      <w:r w:rsidR="003B4F0B">
        <w:t>-(c)</w:t>
      </w:r>
      <w:r w:rsidR="00AD2BDD">
        <w:t xml:space="preserve"> </w:t>
      </w:r>
      <w:r w:rsidR="00E8626C">
        <w:t xml:space="preserve">and 1.7002 </w:t>
      </w:r>
      <w:r w:rsidR="00AD2BDD">
        <w:t>of the Commission’s r</w:t>
      </w:r>
      <w:r w:rsidR="00D70568">
        <w:t>ules</w:t>
      </w:r>
      <w:r w:rsidR="00AD2BDD">
        <w:t xml:space="preserve"> and the related Form 477 </w:t>
      </w:r>
      <w:r w:rsidR="00EE4425">
        <w:t>I</w:t>
      </w:r>
      <w:r w:rsidR="00AD2BDD">
        <w:t xml:space="preserve">nstructions </w:t>
      </w:r>
      <w:r w:rsidR="004A32A9">
        <w:t>to the extent necessary to allow</w:t>
      </w:r>
      <w:r w:rsidR="00AD2BDD">
        <w:t xml:space="preserve"> the Companies to </w:t>
      </w:r>
      <w:r w:rsidR="0052587A">
        <w:t xml:space="preserve">voluntarily </w:t>
      </w:r>
      <w:r w:rsidR="00AD1410">
        <w:t xml:space="preserve">report </w:t>
      </w:r>
      <w:r w:rsidR="00AD2BDD">
        <w:t>the</w:t>
      </w:r>
      <w:r w:rsidR="00EE4425">
        <w:t>ir 4G</w:t>
      </w:r>
      <w:r w:rsidR="00A30434">
        <w:t xml:space="preserve"> </w:t>
      </w:r>
      <w:r w:rsidR="00EE4425">
        <w:t xml:space="preserve">LTE </w:t>
      </w:r>
      <w:r w:rsidR="4F7BC9EE">
        <w:t xml:space="preserve">mobile </w:t>
      </w:r>
      <w:r w:rsidR="00A768F2">
        <w:t xml:space="preserve">deployment </w:t>
      </w:r>
      <w:r w:rsidR="00EE4425">
        <w:t>data as of May 15, 2021</w:t>
      </w:r>
      <w:r w:rsidR="00F91968">
        <w:t>,</w:t>
      </w:r>
      <w:r w:rsidR="00AD2BDD">
        <w:t xml:space="preserve"> </w:t>
      </w:r>
      <w:r w:rsidR="00AD1410">
        <w:t>rather than as of June 30, 2021</w:t>
      </w:r>
      <w:r w:rsidR="009356E9">
        <w:t>,</w:t>
      </w:r>
      <w:r>
        <w:rPr>
          <w:rStyle w:val="FootnoteReference"/>
        </w:rPr>
        <w:footnoteReference w:id="21"/>
      </w:r>
      <w:r w:rsidR="009356E9">
        <w:t xml:space="preserve"> </w:t>
      </w:r>
      <w:r w:rsidR="00430E87">
        <w:t>premised on the Companies’</w:t>
      </w:r>
      <w:r w:rsidR="00B03554">
        <w:t xml:space="preserve"> vol</w:t>
      </w:r>
      <w:r w:rsidR="006C7A31">
        <w:t xml:space="preserve">untary commitments, </w:t>
      </w:r>
      <w:r>
        <w:t>meets both prongs of th</w:t>
      </w:r>
      <w:r w:rsidR="00AD2BDD">
        <w:t>is</w:t>
      </w:r>
      <w:r>
        <w:t xml:space="preserve"> test.</w:t>
      </w:r>
    </w:p>
    <w:p w:rsidR="00861D07" w:rsidP="00E52D43" w14:paraId="2AB3FF5D" w14:textId="00E4B204">
      <w:pPr>
        <w:pStyle w:val="ParaNum"/>
        <w:tabs>
          <w:tab w:val="clear" w:pos="1080"/>
          <w:tab w:val="num" w:pos="1440"/>
        </w:tabs>
      </w:pPr>
      <w:r w:rsidRPr="002D0C52">
        <w:t xml:space="preserve">We find that the Companies’ voluntary commitments constitute “special circumstances” that warrant a deviation from the general rule that providers report their 4G LTE mobile deployment data as of June 30, 2021.  As noted above, </w:t>
      </w:r>
      <w:r w:rsidR="00702673">
        <w:t xml:space="preserve">the Companies </w:t>
      </w:r>
      <w:r w:rsidR="00EC4A21">
        <w:t xml:space="preserve">have </w:t>
      </w:r>
      <w:r w:rsidRPr="00AD3884" w:rsidR="00AD3884">
        <w:t xml:space="preserve">voluntarily committed to report their 4G LTE mobile deployment data as of May 15, 2021, </w:t>
      </w:r>
      <w:r w:rsidR="002163C1">
        <w:t xml:space="preserve">using the </w:t>
      </w:r>
      <w:r w:rsidR="00454F62">
        <w:t>stand</w:t>
      </w:r>
      <w:r w:rsidR="00FB4652">
        <w:t xml:space="preserve">ardized </w:t>
      </w:r>
      <w:r w:rsidR="002163C1">
        <w:t xml:space="preserve">data parameters set forth in </w:t>
      </w:r>
      <w:r w:rsidR="0070084F">
        <w:t xml:space="preserve">section 1.7004(c)(3)(i)-(iii), and </w:t>
      </w:r>
      <w:r w:rsidRPr="00147AE0" w:rsidR="00147AE0">
        <w:t xml:space="preserve">to upload this data into the Form 477 system </w:t>
      </w:r>
      <w:r w:rsidR="005872AC">
        <w:t xml:space="preserve">as soon </w:t>
      </w:r>
      <w:r w:rsidR="007C38CA">
        <w:t>as practicable after the Form 477 filing window opens on July 1, 2021</w:t>
      </w:r>
      <w:r w:rsidR="00D70568">
        <w:t xml:space="preserve">.  </w:t>
      </w:r>
      <w:r w:rsidRPr="00E97B37" w:rsidR="00D70568">
        <w:t xml:space="preserve">Specifically, </w:t>
      </w:r>
      <w:r w:rsidR="00D70568">
        <w:t xml:space="preserve">the Companies will </w:t>
      </w:r>
      <w:r w:rsidRPr="00EE2BCD" w:rsidR="00D70568">
        <w:t xml:space="preserve">use propagation modeling to generate maps showing their 4G LTE </w:t>
      </w:r>
      <w:r w:rsidR="00790D2A">
        <w:t>mobile broadban</w:t>
      </w:r>
      <w:r w:rsidR="00E178CE">
        <w:t xml:space="preserve">d </w:t>
      </w:r>
      <w:r w:rsidR="4972FF70">
        <w:t xml:space="preserve">and voice </w:t>
      </w:r>
      <w:r w:rsidRPr="00EE2BCD" w:rsidR="00D70568">
        <w:t xml:space="preserve">coverage </w:t>
      </w:r>
      <w:r w:rsidRPr="00E97B37" w:rsidR="00D70568">
        <w:t xml:space="preserve">for </w:t>
      </w:r>
      <w:r w:rsidRPr="00EE2BCD" w:rsidR="00D70568">
        <w:t>on-street or pedestrian stationary usage.</w:t>
      </w:r>
      <w:r>
        <w:rPr>
          <w:rStyle w:val="FootnoteReference"/>
        </w:rPr>
        <w:footnoteReference w:id="22"/>
      </w:r>
      <w:r w:rsidRPr="00EE2BCD" w:rsidR="00D70568">
        <w:t xml:space="preserve">  </w:t>
      </w:r>
      <w:r w:rsidR="00D70568">
        <w:t xml:space="preserve">The </w:t>
      </w:r>
      <w:r w:rsidR="38D87E0D">
        <w:t>mobile broadband</w:t>
      </w:r>
      <w:r w:rsidR="00D70568">
        <w:t xml:space="preserve"> </w:t>
      </w:r>
      <w:r w:rsidRPr="00EE2BCD" w:rsidR="00D70568">
        <w:t xml:space="preserve">coverage maps </w:t>
      </w:r>
      <w:r w:rsidR="00D70568">
        <w:t xml:space="preserve">will </w:t>
      </w:r>
      <w:r w:rsidRPr="00EE2BCD" w:rsidR="00D70568">
        <w:t>reflect coverage areas w</w:t>
      </w:r>
      <w:r w:rsidRPr="00E97B37" w:rsidR="00D70568">
        <w:t>here users should expect to receive the minimum required download and upload speeds with cell edge coverage probability of not less than 90% and a cell loading of not less than 50%.</w:t>
      </w:r>
      <w:r>
        <w:rPr>
          <w:rStyle w:val="FootnoteReference"/>
        </w:rPr>
        <w:footnoteReference w:id="23"/>
      </w:r>
      <w:r w:rsidRPr="00EE2BCD" w:rsidR="00D70568">
        <w:t xml:space="preserve">  </w:t>
      </w:r>
      <w:r w:rsidR="00D70568">
        <w:t xml:space="preserve">The Companies will </w:t>
      </w:r>
      <w:r w:rsidRPr="00EE2BCD" w:rsidR="00D70568">
        <w:t>generate coverage maps with a spatial resolution of 100 meters or better</w:t>
      </w:r>
      <w:r w:rsidR="00DB2C75">
        <w:t>,</w:t>
      </w:r>
      <w:r w:rsidRPr="00EE2BCD" w:rsidR="00D70568">
        <w:t xml:space="preserve"> and the maps </w:t>
      </w:r>
      <w:r w:rsidR="00D70568">
        <w:t>should</w:t>
      </w:r>
      <w:r w:rsidRPr="00EE2BCD" w:rsidR="00D70568">
        <w:t xml:space="preserve"> account for terrain and clutter and </w:t>
      </w:r>
      <w:r w:rsidRPr="005244F0" w:rsidR="00D70568">
        <w:t>use terrain and clutter data with a resolution of 100 meters or better.</w:t>
      </w:r>
      <w:r>
        <w:rPr>
          <w:rStyle w:val="FootnoteReference"/>
        </w:rPr>
        <w:footnoteReference w:id="24"/>
      </w:r>
      <w:r w:rsidRPr="005244F0" w:rsidR="00D70568">
        <w:t xml:space="preserve">  </w:t>
      </w:r>
      <w:r w:rsidRPr="005244F0" w:rsidR="247B8E4B">
        <w:t xml:space="preserve">The Companies will </w:t>
      </w:r>
      <w:r w:rsidRPr="005244F0" w:rsidR="001D4C94">
        <w:t xml:space="preserve">upload </w:t>
      </w:r>
      <w:r w:rsidRPr="005244F0" w:rsidR="247B8E4B">
        <w:t>their coverage maps in vector forma</w:t>
      </w:r>
      <w:r w:rsidRPr="005244F0" w:rsidR="00D70568">
        <w:t>t</w:t>
      </w:r>
      <w:r w:rsidRPr="005244F0" w:rsidR="75B75272">
        <w:t>,</w:t>
      </w:r>
      <w:r>
        <w:rPr>
          <w:rStyle w:val="FootnoteReference"/>
        </w:rPr>
        <w:footnoteReference w:id="25"/>
      </w:r>
      <w:r w:rsidRPr="005244F0" w:rsidR="75B75272">
        <w:t xml:space="preserve"> and the </w:t>
      </w:r>
      <w:r w:rsidRPr="005244F0" w:rsidR="004F00FD">
        <w:t xml:space="preserve">mobile </w:t>
      </w:r>
      <w:r w:rsidRPr="005244F0" w:rsidR="002E431B">
        <w:t xml:space="preserve">broadband </w:t>
      </w:r>
      <w:r w:rsidRPr="005244F0" w:rsidR="75B75272">
        <w:t>maps will reflect a minimum expected user download speed of 5 Mbps and user upload speed of 1 Mbps at the cell edge</w:t>
      </w:r>
      <w:r w:rsidRPr="005244F0" w:rsidR="63524C39">
        <w:t>.</w:t>
      </w:r>
      <w:r>
        <w:rPr>
          <w:rStyle w:val="FootnoteReference"/>
        </w:rPr>
        <w:footnoteReference w:id="26"/>
      </w:r>
    </w:p>
    <w:p w:rsidR="00861D07" w:rsidRPr="005244F0" w:rsidP="005244F0" w14:paraId="165AE9AF" w14:textId="47ED60F3">
      <w:pPr>
        <w:pStyle w:val="ParaNum"/>
        <w:tabs>
          <w:tab w:val="clear" w:pos="1080"/>
          <w:tab w:val="num" w:pos="1440"/>
        </w:tabs>
      </w:pPr>
      <w:r w:rsidRPr="005244F0">
        <w:t xml:space="preserve">The limited waiver we grant to the Companies is in the public interest and </w:t>
      </w:r>
      <w:r w:rsidRPr="005244F0" w:rsidR="005244F0">
        <w:t xml:space="preserve">is </w:t>
      </w:r>
      <w:r w:rsidRPr="005244F0" w:rsidR="009B0B5E">
        <w:t xml:space="preserve">consistent with </w:t>
      </w:r>
      <w:r w:rsidRPr="005244F0" w:rsidR="00EF2E2A">
        <w:t>the</w:t>
      </w:r>
      <w:r w:rsidRPr="005244F0" w:rsidR="00200D84">
        <w:t xml:space="preserve"> </w:t>
      </w:r>
      <w:r w:rsidRPr="005244F0" w:rsidR="00C84778">
        <w:t xml:space="preserve">policy </w:t>
      </w:r>
      <w:r w:rsidRPr="005244F0" w:rsidR="00781FB1">
        <w:t>objective</w:t>
      </w:r>
      <w:r w:rsidRPr="005244F0" w:rsidR="00EF2E2A">
        <w:t>s</w:t>
      </w:r>
      <w:r w:rsidRPr="005244F0" w:rsidR="00781FB1">
        <w:t xml:space="preserve"> of section</w:t>
      </w:r>
      <w:r w:rsidRPr="005244F0" w:rsidR="005B10D1">
        <w:t>s</w:t>
      </w:r>
      <w:r w:rsidRPr="005244F0" w:rsidR="00781FB1">
        <w:t xml:space="preserve"> 1.7001(b)</w:t>
      </w:r>
      <w:r w:rsidRPr="005244F0" w:rsidR="002C3C94">
        <w:t>-(c)</w:t>
      </w:r>
      <w:r w:rsidRPr="005244F0" w:rsidR="003278AF">
        <w:t xml:space="preserve"> and</w:t>
      </w:r>
      <w:r w:rsidRPr="005244F0" w:rsidR="005B10D1">
        <w:t xml:space="preserve"> 1.7002</w:t>
      </w:r>
      <w:r w:rsidRPr="005244F0" w:rsidR="003278AF">
        <w:t xml:space="preserve"> of the Commission’s rules</w:t>
      </w:r>
      <w:r w:rsidRPr="005244F0" w:rsidR="00781FB1">
        <w:t xml:space="preserve"> and </w:t>
      </w:r>
      <w:r w:rsidRPr="005244F0" w:rsidR="005D35B2">
        <w:t xml:space="preserve">the </w:t>
      </w:r>
      <w:r w:rsidRPr="005244F0" w:rsidR="00DE3698">
        <w:t>re</w:t>
      </w:r>
      <w:r w:rsidRPr="005244F0" w:rsidR="00AD44F6">
        <w:t>l</w:t>
      </w:r>
      <w:r w:rsidRPr="005244F0" w:rsidR="00335DBC">
        <w:t>e</w:t>
      </w:r>
      <w:r w:rsidRPr="005244F0" w:rsidR="00897A36">
        <w:t>v</w:t>
      </w:r>
      <w:r w:rsidRPr="005244F0" w:rsidR="001F3DE6">
        <w:t>a</w:t>
      </w:r>
      <w:r w:rsidRPr="005244F0" w:rsidR="00335DBC">
        <w:t xml:space="preserve">nt </w:t>
      </w:r>
      <w:r w:rsidRPr="005244F0" w:rsidR="00781FB1">
        <w:t xml:space="preserve">Form 477 Instructions.  </w:t>
      </w:r>
      <w:r w:rsidRPr="005244F0">
        <w:t>Th</w:t>
      </w:r>
      <w:r w:rsidR="007C38CA">
        <w:t>e</w:t>
      </w:r>
      <w:r w:rsidRPr="005244F0">
        <w:t xml:space="preserve"> waiver </w:t>
      </w:r>
      <w:r w:rsidRPr="005244F0" w:rsidR="00B6517C">
        <w:t>will allow t</w:t>
      </w:r>
      <w:r w:rsidRPr="005244F0" w:rsidR="002D4674">
        <w:t>h</w:t>
      </w:r>
      <w:r w:rsidRPr="005244F0" w:rsidR="00C31B49">
        <w:t>e</w:t>
      </w:r>
      <w:r w:rsidRPr="005244F0" w:rsidR="00F354C8">
        <w:t xml:space="preserve"> </w:t>
      </w:r>
      <w:r w:rsidRPr="005244F0" w:rsidR="00E12602">
        <w:t xml:space="preserve">Companies to submit </w:t>
      </w:r>
      <w:r w:rsidRPr="005244F0" w:rsidR="00E063C5">
        <w:t xml:space="preserve">more standardized 4G LTE </w:t>
      </w:r>
      <w:r w:rsidRPr="005244F0" w:rsidR="00E12602">
        <w:t xml:space="preserve">mobile </w:t>
      </w:r>
      <w:r w:rsidRPr="005244F0" w:rsidR="00E063C5">
        <w:t xml:space="preserve">deployment data using the existing Form 477 filing platform while </w:t>
      </w:r>
      <w:r w:rsidRPr="005244F0" w:rsidR="00821CA7">
        <w:t xml:space="preserve">the Commission </w:t>
      </w:r>
      <w:r w:rsidRPr="005244F0" w:rsidR="00E063C5">
        <w:t xml:space="preserve">finalizes </w:t>
      </w:r>
      <w:r w:rsidRPr="005244F0">
        <w:t xml:space="preserve">its work on the </w:t>
      </w:r>
      <w:r w:rsidRPr="005244F0" w:rsidR="00E063C5">
        <w:t>Broadband Data Collection</w:t>
      </w:r>
      <w:r w:rsidRPr="005244F0">
        <w:t xml:space="preserve"> systems and processes</w:t>
      </w:r>
      <w:r w:rsidRPr="005244F0" w:rsidR="00E063C5">
        <w:t>.</w:t>
      </w:r>
      <w:r w:rsidRPr="005244F0" w:rsidR="00FF78AA">
        <w:t xml:space="preserve">  This </w:t>
      </w:r>
      <w:r w:rsidR="007C38CA">
        <w:t>will</w:t>
      </w:r>
      <w:r w:rsidRPr="005244F0" w:rsidR="007C38CA">
        <w:t xml:space="preserve"> </w:t>
      </w:r>
      <w:r w:rsidRPr="005244F0" w:rsidR="00FF78AA">
        <w:t xml:space="preserve">provide more accurate and comprehensive data for </w:t>
      </w:r>
      <w:r w:rsidR="00970B5D">
        <w:t>a variety of purposes</w:t>
      </w:r>
      <w:r w:rsidRPr="005244F0" w:rsidR="00FF78AA">
        <w:t xml:space="preserve">.  For example, it </w:t>
      </w:r>
      <w:r w:rsidR="007C38CA">
        <w:t>will</w:t>
      </w:r>
      <w:r w:rsidRPr="005244F0" w:rsidR="007C38CA">
        <w:t xml:space="preserve"> </w:t>
      </w:r>
      <w:r w:rsidRPr="005244F0" w:rsidR="00FF78AA">
        <w:t xml:space="preserve">allow the Commission </w:t>
      </w:r>
      <w:r w:rsidR="00970B5D">
        <w:t xml:space="preserve">and the public </w:t>
      </w:r>
      <w:r w:rsidRPr="005244F0" w:rsidR="00FF78AA">
        <w:t xml:space="preserve">to </w:t>
      </w:r>
      <w:r w:rsidR="00970B5D">
        <w:t xml:space="preserve">review </w:t>
      </w:r>
      <w:r w:rsidRPr="005244F0" w:rsidR="00FF78AA">
        <w:t xml:space="preserve">mobile deployment data </w:t>
      </w:r>
      <w:r w:rsidRPr="005244F0" w:rsidR="00CB0748">
        <w:t xml:space="preserve">from the three </w:t>
      </w:r>
      <w:r w:rsidR="00405F6F">
        <w:t>nationwide</w:t>
      </w:r>
      <w:r w:rsidRPr="005244F0" w:rsidR="00CB0748">
        <w:t xml:space="preserve"> providers and a large regional provider on a </w:t>
      </w:r>
      <w:r w:rsidRPr="005244F0" w:rsidR="007C38CA">
        <w:t>n</w:t>
      </w:r>
      <w:r w:rsidR="007C38CA">
        <w:t>etwork-wide</w:t>
      </w:r>
      <w:r w:rsidRPr="005244F0" w:rsidR="00CB0748">
        <w:t xml:space="preserve"> basis</w:t>
      </w:r>
      <w:r w:rsidRPr="005244F0" w:rsidR="00821CA7">
        <w:t>,</w:t>
      </w:r>
      <w:r w:rsidRPr="005244F0" w:rsidR="00CB0748">
        <w:t xml:space="preserve"> which </w:t>
      </w:r>
      <w:r w:rsidRPr="005244F0" w:rsidR="00A83BA5">
        <w:t xml:space="preserve">presently </w:t>
      </w:r>
      <w:r w:rsidRPr="005244F0" w:rsidR="006A7462">
        <w:t xml:space="preserve">is </w:t>
      </w:r>
      <w:r w:rsidRPr="005244F0" w:rsidR="00821CA7">
        <w:t xml:space="preserve">not possible due to </w:t>
      </w:r>
      <w:r w:rsidRPr="005244F0" w:rsidR="00535B38">
        <w:t>a lack of standardize</w:t>
      </w:r>
      <w:r w:rsidR="007C38CA">
        <w:t>d</w:t>
      </w:r>
      <w:r w:rsidRPr="005244F0" w:rsidR="00535B38">
        <w:t xml:space="preserve"> parameters</w:t>
      </w:r>
      <w:r w:rsidRPr="005244F0" w:rsidR="006A7462">
        <w:t>.</w:t>
      </w:r>
      <w:r w:rsidRPr="005244F0" w:rsidR="00821CA7">
        <w:t xml:space="preserve">  </w:t>
      </w:r>
      <w:r w:rsidRPr="005244F0" w:rsidR="003D113B">
        <w:t xml:space="preserve">The waiver </w:t>
      </w:r>
      <w:r w:rsidR="005C5E70">
        <w:t>will</w:t>
      </w:r>
      <w:r w:rsidRPr="005244F0" w:rsidR="005C5E70">
        <w:t xml:space="preserve"> </w:t>
      </w:r>
      <w:r w:rsidRPr="005244F0" w:rsidR="00821CA7">
        <w:t xml:space="preserve">also help the Commission </w:t>
      </w:r>
      <w:r w:rsidR="007C38CA">
        <w:t>evaluate</w:t>
      </w:r>
      <w:r w:rsidRPr="005244F0" w:rsidR="007C38CA">
        <w:t xml:space="preserve"> </w:t>
      </w:r>
      <w:r w:rsidRPr="005244F0" w:rsidR="00821CA7">
        <w:t xml:space="preserve">and </w:t>
      </w:r>
      <w:r w:rsidR="007C38CA">
        <w:t xml:space="preserve">if necessary fine-tune </w:t>
      </w:r>
      <w:r w:rsidRPr="005244F0" w:rsidR="00821CA7">
        <w:t xml:space="preserve">the </w:t>
      </w:r>
      <w:r w:rsidR="005C5E70">
        <w:t xml:space="preserve">coverage </w:t>
      </w:r>
      <w:r w:rsidRPr="005244F0" w:rsidR="00821CA7">
        <w:t>parameters</w:t>
      </w:r>
      <w:r w:rsidR="00970B5D">
        <w:t>.  It will also assist the Commission</w:t>
      </w:r>
      <w:r w:rsidR="005C5E70">
        <w:t xml:space="preserve"> </w:t>
      </w:r>
      <w:r w:rsidR="00126B04">
        <w:t xml:space="preserve">in </w:t>
      </w:r>
      <w:r w:rsidR="005C5E70">
        <w:t>develop</w:t>
      </w:r>
      <w:r w:rsidR="00126B04">
        <w:t>ing</w:t>
      </w:r>
      <w:r w:rsidR="005C5E70">
        <w:t xml:space="preserve"> </w:t>
      </w:r>
      <w:r w:rsidR="007C38CA">
        <w:t xml:space="preserve">data file </w:t>
      </w:r>
      <w:r w:rsidR="005C5E70">
        <w:t xml:space="preserve">fields and </w:t>
      </w:r>
      <w:r w:rsidR="007C38CA">
        <w:t xml:space="preserve">format specifications </w:t>
      </w:r>
      <w:r w:rsidR="005C5E70">
        <w:t xml:space="preserve">in the new BDC platform and to test those systems with real-world data </w:t>
      </w:r>
      <w:r w:rsidRPr="005244F0" w:rsidR="00821CA7">
        <w:t xml:space="preserve">before the full implementation of the </w:t>
      </w:r>
      <w:r w:rsidR="007C38CA">
        <w:t>BDC</w:t>
      </w:r>
      <w:r w:rsidRPr="005244F0" w:rsidR="00821CA7">
        <w:t xml:space="preserve">.  </w:t>
      </w:r>
      <w:r w:rsidR="00A30C06">
        <w:t>Moreover, t</w:t>
      </w:r>
      <w:r w:rsidRPr="005244F0" w:rsidR="003D113B">
        <w:t xml:space="preserve">he </w:t>
      </w:r>
      <w:r w:rsidR="00A30C06">
        <w:t xml:space="preserve">limited six-week </w:t>
      </w:r>
      <w:r w:rsidRPr="005244F0" w:rsidR="003D113B">
        <w:t xml:space="preserve">waiver </w:t>
      </w:r>
      <w:r w:rsidR="00A30C06">
        <w:t xml:space="preserve">for 4G data </w:t>
      </w:r>
      <w:r w:rsidRPr="005244F0" w:rsidR="003D113B">
        <w:t>does not compromise the Commission’s ability to collect data on a semi-annual basis</w:t>
      </w:r>
      <w:r w:rsidR="00A30C06">
        <w:t>.</w:t>
      </w:r>
      <w:r>
        <w:rPr>
          <w:vertAlign w:val="superscript"/>
        </w:rPr>
        <w:footnoteReference w:id="27"/>
      </w:r>
      <w:r w:rsidRPr="005244F0" w:rsidR="003D113B">
        <w:t xml:space="preserve"> </w:t>
      </w:r>
      <w:r w:rsidR="00D21386">
        <w:t xml:space="preserve"> </w:t>
      </w:r>
      <w:r w:rsidR="00A30C06">
        <w:t>I</w:t>
      </w:r>
      <w:r w:rsidRPr="005244F0" w:rsidR="005244F0">
        <w:t xml:space="preserve">t is a </w:t>
      </w:r>
      <w:r w:rsidRPr="005244F0" w:rsidR="002D4674">
        <w:t xml:space="preserve">minor deviation from the six-month collection period for the limited purpose of accelerating </w:t>
      </w:r>
      <w:r w:rsidRPr="005244F0" w:rsidR="009779AE">
        <w:t xml:space="preserve">the </w:t>
      </w:r>
      <w:r w:rsidRPr="005244F0" w:rsidR="00810C28">
        <w:t xml:space="preserve">Commission’s </w:t>
      </w:r>
      <w:r w:rsidRPr="005244F0" w:rsidR="009779AE">
        <w:t xml:space="preserve">collection of </w:t>
      </w:r>
      <w:r w:rsidRPr="005244F0" w:rsidR="005C1B8A">
        <w:t xml:space="preserve">more standardized </w:t>
      </w:r>
      <w:r w:rsidRPr="005244F0" w:rsidR="00810C28">
        <w:t xml:space="preserve">4G LTE data </w:t>
      </w:r>
      <w:r w:rsidRPr="005244F0" w:rsidR="00311A1E">
        <w:t>as it moves forward with the t</w:t>
      </w:r>
      <w:r w:rsidRPr="005244F0" w:rsidR="009779AE">
        <w:t>ransition</w:t>
      </w:r>
      <w:r w:rsidRPr="005244F0" w:rsidR="009A4767">
        <w:t xml:space="preserve"> to the new Congressionally mandated data collection requirements</w:t>
      </w:r>
      <w:r w:rsidRPr="005244F0" w:rsidR="009779AE">
        <w:t xml:space="preserve">.  </w:t>
      </w:r>
      <w:r w:rsidR="004C6CD6">
        <w:t xml:space="preserve">Furthermore, </w:t>
      </w:r>
      <w:r w:rsidRPr="005244F0" w:rsidR="005244F0">
        <w:t>continu</w:t>
      </w:r>
      <w:r w:rsidR="00A30C06">
        <w:t>ing</w:t>
      </w:r>
      <w:r w:rsidRPr="005244F0" w:rsidR="005244F0">
        <w:t xml:space="preserve"> to require submissions of data as of June 30</w:t>
      </w:r>
      <w:r w:rsidR="00A30C06">
        <w:t xml:space="preserve"> in addition to collecting 4G data as of May 15 </w:t>
      </w:r>
      <w:r w:rsidRPr="005244F0" w:rsidR="005244F0">
        <w:t xml:space="preserve">would be </w:t>
      </w:r>
      <w:r w:rsidR="00A30C06">
        <w:t xml:space="preserve">overly </w:t>
      </w:r>
      <w:r w:rsidRPr="005244F0" w:rsidR="005244F0">
        <w:t xml:space="preserve">burdensome for the Companies and </w:t>
      </w:r>
      <w:r w:rsidR="00203EEE">
        <w:t xml:space="preserve">would likely be a substantial disincentive to </w:t>
      </w:r>
      <w:r w:rsidRPr="005244F0" w:rsidR="005244F0">
        <w:t xml:space="preserve">voluntarily providing data early.  </w:t>
      </w:r>
      <w:r w:rsidRPr="005244F0" w:rsidR="00810C28">
        <w:t xml:space="preserve">Moreover, </w:t>
      </w:r>
      <w:r w:rsidR="005C5E70">
        <w:t xml:space="preserve">requiring a second submission of 4G data </w:t>
      </w:r>
      <w:r w:rsidR="00203EEE">
        <w:t xml:space="preserve">only six weeks more recent </w:t>
      </w:r>
      <w:r w:rsidR="00254643">
        <w:t xml:space="preserve">than May 15 data </w:t>
      </w:r>
      <w:r w:rsidR="005C5E70">
        <w:t>would not provide materially improved data</w:t>
      </w:r>
      <w:r w:rsidR="00203EEE">
        <w:t xml:space="preserve">, </w:t>
      </w:r>
      <w:r w:rsidR="005C5E70">
        <w:t xml:space="preserve">whereas collecting a </w:t>
      </w:r>
      <w:r w:rsidR="005C5E70">
        <w:t xml:space="preserve">voluntary submission of 4G data as of May 15 </w:t>
      </w:r>
      <w:r w:rsidRPr="00A30C06" w:rsidR="00A30C06">
        <w:t xml:space="preserve">furthers the goals of the Broadband DATA Act </w:t>
      </w:r>
      <w:r w:rsidR="00203EEE">
        <w:t xml:space="preserve">by allowing the Commission to collect real-world </w:t>
      </w:r>
      <w:r w:rsidR="00A30C06">
        <w:t xml:space="preserve">4G data </w:t>
      </w:r>
      <w:r w:rsidR="000C1E04">
        <w:t xml:space="preserve">at </w:t>
      </w:r>
      <w:r w:rsidRPr="005244F0" w:rsidR="00ED3D63">
        <w:t xml:space="preserve">the </w:t>
      </w:r>
      <w:r w:rsidR="00203EEE">
        <w:t xml:space="preserve">BDC </w:t>
      </w:r>
      <w:r w:rsidRPr="005244F0" w:rsidR="00ED3D63">
        <w:t xml:space="preserve">data parameters </w:t>
      </w:r>
      <w:r w:rsidR="00203EEE">
        <w:t>as early as possible in the Form 477 filing window and therefore</w:t>
      </w:r>
      <w:r w:rsidRPr="005244F0" w:rsidR="00810C28">
        <w:t xml:space="preserve"> </w:t>
      </w:r>
      <w:r w:rsidRPr="005244F0" w:rsidR="00ED3D63">
        <w:t xml:space="preserve">furthers the </w:t>
      </w:r>
      <w:r w:rsidR="000C1E04">
        <w:t xml:space="preserve">Commission’s efforts to deploy the </w:t>
      </w:r>
      <w:r w:rsidR="00203EEE">
        <w:t xml:space="preserve">BDC </w:t>
      </w:r>
      <w:r w:rsidR="000C1E04">
        <w:t>systems and platforms as quickly as possible</w:t>
      </w:r>
      <w:r w:rsidRPr="005244F0" w:rsidR="009903B9">
        <w:t>.</w:t>
      </w:r>
    </w:p>
    <w:p w:rsidR="00A85A47" w:rsidRPr="00DB1242" w:rsidP="000D1857" w14:paraId="6DA5D300" w14:textId="4788683F">
      <w:pPr>
        <w:pStyle w:val="ParaNum"/>
        <w:tabs>
          <w:tab w:val="clear" w:pos="1080"/>
          <w:tab w:val="num" w:pos="1440"/>
        </w:tabs>
        <w:rPr>
          <w:snapToGrid/>
          <w:kern w:val="0"/>
        </w:rPr>
      </w:pPr>
      <w:r>
        <w:t>T</w:t>
      </w:r>
      <w:r w:rsidR="00C32FF2">
        <w:t xml:space="preserve">o </w:t>
      </w:r>
      <w:r w:rsidR="00AB17D3">
        <w:t xml:space="preserve">fulfill </w:t>
      </w:r>
      <w:r w:rsidR="0065799D">
        <w:t>the certification obligation for all data</w:t>
      </w:r>
      <w:r w:rsidR="00C77371">
        <w:t>, t</w:t>
      </w:r>
      <w:r w:rsidR="00BD6967">
        <w:t xml:space="preserve">he </w:t>
      </w:r>
      <w:r w:rsidR="00E20209">
        <w:t xml:space="preserve">Companies </w:t>
      </w:r>
      <w:r w:rsidR="00C77371">
        <w:t>will</w:t>
      </w:r>
      <w:r w:rsidR="00BD6967">
        <w:t xml:space="preserve"> </w:t>
      </w:r>
      <w:r w:rsidR="00E20209">
        <w:t xml:space="preserve">upload their 4G LTE broadband </w:t>
      </w:r>
      <w:r w:rsidR="005A48A8">
        <w:t xml:space="preserve">and voice map </w:t>
      </w:r>
      <w:r w:rsidR="00E20209">
        <w:t xml:space="preserve">data in the Form 477 system </w:t>
      </w:r>
      <w:r w:rsidR="00D52B05">
        <w:t xml:space="preserve">as soon </w:t>
      </w:r>
      <w:r>
        <w:t xml:space="preserve">as </w:t>
      </w:r>
      <w:r w:rsidR="0004246A">
        <w:t>practicable</w:t>
      </w:r>
      <w:r w:rsidR="00A668A3">
        <w:t xml:space="preserve"> after the Form 477 filing window opens</w:t>
      </w:r>
      <w:r w:rsidR="0004246A">
        <w:t xml:space="preserve"> on </w:t>
      </w:r>
      <w:r w:rsidR="00A668A3">
        <w:t>July 1, 2021</w:t>
      </w:r>
      <w:r w:rsidR="00603225">
        <w:t xml:space="preserve"> but not </w:t>
      </w:r>
      <w:r w:rsidR="0004246A">
        <w:t xml:space="preserve">formally </w:t>
      </w:r>
      <w:r w:rsidR="00603225">
        <w:t>submit th</w:t>
      </w:r>
      <w:r w:rsidR="00E16FBB">
        <w:t>e</w:t>
      </w:r>
      <w:r w:rsidR="00603225">
        <w:t xml:space="preserve"> data at th</w:t>
      </w:r>
      <w:r w:rsidR="006F6C53">
        <w:t>at</w:t>
      </w:r>
      <w:r w:rsidR="00603225">
        <w:t xml:space="preserve"> time</w:t>
      </w:r>
      <w:r w:rsidR="00F128F0">
        <w:t xml:space="preserve">.  </w:t>
      </w:r>
      <w:r w:rsidR="0065799D">
        <w:t>Instead</w:t>
      </w:r>
      <w:r w:rsidR="00603225">
        <w:t>, t</w:t>
      </w:r>
      <w:r w:rsidR="00F128F0">
        <w:t xml:space="preserve">he </w:t>
      </w:r>
      <w:r w:rsidR="007D5EAC">
        <w:t>upload</w:t>
      </w:r>
      <w:r w:rsidR="009F3480">
        <w:t>ed 4G LTE mobile deployment</w:t>
      </w:r>
      <w:r w:rsidR="007D5EAC">
        <w:t xml:space="preserve"> data </w:t>
      </w:r>
      <w:r w:rsidR="0065799D">
        <w:t xml:space="preserve">for each filer will remain </w:t>
      </w:r>
      <w:r w:rsidR="004F76F7">
        <w:t xml:space="preserve">in the Form 477 system </w:t>
      </w:r>
      <w:r w:rsidR="00B3135B">
        <w:t>until</w:t>
      </w:r>
      <w:r>
        <w:t xml:space="preserve"> </w:t>
      </w:r>
      <w:r w:rsidR="0065799D">
        <w:t xml:space="preserve">each </w:t>
      </w:r>
      <w:r>
        <w:t xml:space="preserve">filer </w:t>
      </w:r>
      <w:r w:rsidR="0065799D">
        <w:t>has</w:t>
      </w:r>
      <w:r w:rsidR="00B3135B">
        <w:t xml:space="preserve"> </w:t>
      </w:r>
      <w:r w:rsidR="00F45DBD">
        <w:t>upload</w:t>
      </w:r>
      <w:r w:rsidR="00735ACA">
        <w:t>ed or entered</w:t>
      </w:r>
      <w:r w:rsidR="00F45DBD">
        <w:t xml:space="preserve"> the rest of </w:t>
      </w:r>
      <w:r w:rsidR="0065799D">
        <w:t xml:space="preserve">its </w:t>
      </w:r>
      <w:r w:rsidR="00F45DBD">
        <w:t xml:space="preserve">mobile broadband and voice deployment and </w:t>
      </w:r>
      <w:r w:rsidR="0089414A">
        <w:t xml:space="preserve">subscribership </w:t>
      </w:r>
      <w:r w:rsidR="00F45DBD">
        <w:t>data as of June 30, 2021</w:t>
      </w:r>
      <w:r w:rsidR="00B3135B">
        <w:t xml:space="preserve">.  </w:t>
      </w:r>
      <w:r w:rsidR="008F48D8">
        <w:t xml:space="preserve">The reporting of this additional data shall take place no later than September 1, 2021.  </w:t>
      </w:r>
      <w:r w:rsidR="0017196D">
        <w:t xml:space="preserve">Once </w:t>
      </w:r>
      <w:r w:rsidR="008F48D8">
        <w:t xml:space="preserve">all additional data has </w:t>
      </w:r>
      <w:r w:rsidR="00C124CC">
        <w:t xml:space="preserve">been </w:t>
      </w:r>
      <w:r w:rsidR="008F48D8">
        <w:t>upload</w:t>
      </w:r>
      <w:r w:rsidR="0017196D">
        <w:t>ed</w:t>
      </w:r>
      <w:r w:rsidR="008F48D8">
        <w:t xml:space="preserve"> or entered</w:t>
      </w:r>
      <w:r w:rsidR="00F45DBD">
        <w:t xml:space="preserve">, </w:t>
      </w:r>
      <w:r w:rsidR="000049C2">
        <w:t xml:space="preserve">the </w:t>
      </w:r>
      <w:r w:rsidR="00C124CC">
        <w:t>filer</w:t>
      </w:r>
      <w:r w:rsidR="000049C2">
        <w:t xml:space="preserve"> will </w:t>
      </w:r>
      <w:r w:rsidR="00AB2E4C">
        <w:t xml:space="preserve">formally </w:t>
      </w:r>
      <w:r w:rsidR="00F45DBD">
        <w:t xml:space="preserve">submit </w:t>
      </w:r>
      <w:r w:rsidR="00AB2E4C">
        <w:t xml:space="preserve">and certify its </w:t>
      </w:r>
      <w:r w:rsidR="000049C2">
        <w:t xml:space="preserve">entire </w:t>
      </w:r>
      <w:r w:rsidR="00F45DBD">
        <w:t>filing as a whole</w:t>
      </w:r>
      <w:r w:rsidR="00365A9C">
        <w:t>.</w:t>
      </w:r>
      <w:r>
        <w:rPr>
          <w:rStyle w:val="FootnoteReference"/>
        </w:rPr>
        <w:footnoteReference w:id="28"/>
      </w:r>
      <w:r w:rsidRPr="005244F0" w:rsidR="006D7D6B">
        <w:t xml:space="preserve">  </w:t>
      </w:r>
      <w:r w:rsidR="00AB2E4C">
        <w:t xml:space="preserve">To attest to the </w:t>
      </w:r>
      <w:r w:rsidR="00970B5D">
        <w:t>accuracy</w:t>
      </w:r>
      <w:r w:rsidR="00AB2E4C">
        <w:t xml:space="preserve"> of the May 15 data as of the time of filing, and in advance of formally submitting the final Form 477 filing with all of the required data, </w:t>
      </w:r>
      <w:r w:rsidRPr="005244F0" w:rsidR="00B069E1">
        <w:t xml:space="preserve">the </w:t>
      </w:r>
      <w:r w:rsidRPr="005244F0" w:rsidR="009522C9">
        <w:t xml:space="preserve">Companies </w:t>
      </w:r>
      <w:r w:rsidRPr="005244F0" w:rsidR="00672A88">
        <w:t xml:space="preserve">have </w:t>
      </w:r>
      <w:r w:rsidR="00AB2E4C">
        <w:t xml:space="preserve">also </w:t>
      </w:r>
      <w:r w:rsidRPr="005244F0" w:rsidR="00672A88">
        <w:t>vol</w:t>
      </w:r>
      <w:r w:rsidRPr="005244F0" w:rsidR="00E22822">
        <w:t xml:space="preserve">untarily committed to </w:t>
      </w:r>
      <w:r w:rsidRPr="005244F0" w:rsidR="009522C9">
        <w:t xml:space="preserve">upload a </w:t>
      </w:r>
      <w:r w:rsidRPr="005244F0" w:rsidR="001C194B">
        <w:t xml:space="preserve">statement </w:t>
      </w:r>
      <w:r w:rsidRPr="005244F0" w:rsidR="00AC0440">
        <w:t xml:space="preserve">in a </w:t>
      </w:r>
      <w:r w:rsidRPr="005244F0" w:rsidR="00E20209">
        <w:t xml:space="preserve">“readme” file </w:t>
      </w:r>
      <w:r w:rsidRPr="005244F0" w:rsidR="00200906">
        <w:t xml:space="preserve">that </w:t>
      </w:r>
      <w:r w:rsidRPr="005244F0" w:rsidR="00AC0440">
        <w:t xml:space="preserve">certifies that </w:t>
      </w:r>
      <w:r w:rsidRPr="005244F0" w:rsidR="000C74C0">
        <w:t>the</w:t>
      </w:r>
      <w:r w:rsidR="000C74C0">
        <w:t xml:space="preserve"> </w:t>
      </w:r>
      <w:r w:rsidR="005F0B4B">
        <w:t xml:space="preserve">4G LTE broadband and voice map </w:t>
      </w:r>
      <w:r w:rsidR="00190CB3">
        <w:t>data</w:t>
      </w:r>
      <w:r w:rsidR="00AC0440">
        <w:t xml:space="preserve"> </w:t>
      </w:r>
      <w:r w:rsidR="003B49CC">
        <w:t xml:space="preserve">they are uploading </w:t>
      </w:r>
      <w:r w:rsidR="00A66BEA">
        <w:t xml:space="preserve">are </w:t>
      </w:r>
      <w:r w:rsidR="00AC0440">
        <w:t xml:space="preserve">accurate and </w:t>
      </w:r>
      <w:r w:rsidR="000F1BD4">
        <w:t>generate</w:t>
      </w:r>
      <w:r w:rsidR="000C74C0">
        <w:t>d</w:t>
      </w:r>
      <w:r w:rsidR="000F1BD4">
        <w:t xml:space="preserve"> in accordance </w:t>
      </w:r>
      <w:r w:rsidR="000C74C0">
        <w:t xml:space="preserve">with the </w:t>
      </w:r>
      <w:r w:rsidR="00AB2E4C">
        <w:t xml:space="preserve">BDC </w:t>
      </w:r>
      <w:r w:rsidR="000C74C0">
        <w:t>standards</w:t>
      </w:r>
      <w:r w:rsidR="00AB2E4C">
        <w:t xml:space="preserve"> described herein</w:t>
      </w:r>
      <w:r w:rsidR="00190CB3">
        <w:t>.</w:t>
      </w:r>
      <w:r>
        <w:rPr>
          <w:rStyle w:val="FootnoteReference"/>
        </w:rPr>
        <w:footnoteReference w:id="29"/>
      </w:r>
    </w:p>
    <w:p w:rsidR="009779AE" w:rsidRPr="007D3064" w:rsidP="009779AE" w14:paraId="31460A7E" w14:textId="77777777">
      <w:pPr>
        <w:pStyle w:val="Heading1"/>
        <w:rPr>
          <w:rFonts w:ascii="Times New Roman" w:hAnsi="Times New Roman"/>
        </w:rPr>
      </w:pPr>
      <w:r w:rsidRPr="007D3064">
        <w:rPr>
          <w:rFonts w:ascii="Times New Roman" w:hAnsi="Times New Roman"/>
        </w:rPr>
        <w:t>ORDERING CLAUSES</w:t>
      </w:r>
    </w:p>
    <w:p w:rsidR="00BA13D1" w:rsidP="00296DD6" w14:paraId="091990A8" w14:textId="6EE6C92B">
      <w:pPr>
        <w:pStyle w:val="ParaNum"/>
        <w:tabs>
          <w:tab w:val="clear" w:pos="1080"/>
          <w:tab w:val="num" w:pos="1440"/>
        </w:tabs>
      </w:pPr>
      <w:r w:rsidRPr="007449C3">
        <w:rPr>
          <w:rStyle w:val="StyleParaNum11pt1CharCharCharCharCharCharCharCharCharCharCharCharCharCharCharCharChar"/>
          <w:color w:val="000000"/>
        </w:rPr>
        <w:t xml:space="preserve">Accordingly, IT IS ORDERED that, </w:t>
      </w:r>
      <w:r w:rsidRPr="007449C3" w:rsidR="007449C3">
        <w:rPr>
          <w:snapToGrid/>
        </w:rPr>
        <w:t>pursuant</w:t>
      </w:r>
      <w:r w:rsidR="007449C3">
        <w:rPr>
          <w:rStyle w:val="StyleParaNum11pt1CharCharCharCharCharCharCharCharCharCharCharCharCharCharCharCharChar"/>
          <w:color w:val="000000"/>
        </w:rPr>
        <w:t xml:space="preserve"> to </w:t>
      </w:r>
      <w:r w:rsidR="00147FA6">
        <w:rPr>
          <w:rStyle w:val="StyleParaNum11pt1CharCharCharCharCharCharCharCharCharCharCharCharCharCharCharCharChar"/>
          <w:color w:val="000000"/>
        </w:rPr>
        <w:t xml:space="preserve">the </w:t>
      </w:r>
      <w:r w:rsidR="000B623E">
        <w:rPr>
          <w:rStyle w:val="StyleParaNum11pt1CharCharCharCharCharCharCharCharCharCharCharCharCharCharCharCharChar"/>
          <w:color w:val="000000"/>
        </w:rPr>
        <w:t xml:space="preserve">authority contained in </w:t>
      </w:r>
      <w:r w:rsidRPr="00EE2BCD" w:rsidR="007449C3">
        <w:t xml:space="preserve">sections 1-4, </w:t>
      </w:r>
      <w:r w:rsidRPr="007801CD" w:rsidR="007449C3">
        <w:t>of</w:t>
      </w:r>
      <w:r w:rsidRPr="00EE2BCD" w:rsidR="007449C3">
        <w:t xml:space="preserve"> the Communications Act of 1934, as amended, 47 U.S.C. §§ 151-154, </w:t>
      </w:r>
      <w:r w:rsidRPr="006811B7">
        <w:t>and section</w:t>
      </w:r>
      <w:r w:rsidR="000B2A31">
        <w:t xml:space="preserve"> </w:t>
      </w:r>
      <w:r w:rsidRPr="006811B7">
        <w:t>1.3 of the Commission’s rules, 47 CFR §</w:t>
      </w:r>
      <w:r w:rsidR="00E502E6">
        <w:t xml:space="preserve"> </w:t>
      </w:r>
      <w:r w:rsidR="0086573F">
        <w:t>1</w:t>
      </w:r>
      <w:r w:rsidRPr="006811B7">
        <w:t>.3, that</w:t>
      </w:r>
      <w:r>
        <w:t xml:space="preserve"> section</w:t>
      </w:r>
      <w:r w:rsidR="0086573F">
        <w:t>s</w:t>
      </w:r>
      <w:r>
        <w:t xml:space="preserve"> 1.7001(b)</w:t>
      </w:r>
      <w:r w:rsidR="002C3C94">
        <w:t>-(c)</w:t>
      </w:r>
      <w:r w:rsidR="0086573F">
        <w:t xml:space="preserve"> and 1.7002</w:t>
      </w:r>
      <w:r>
        <w:t xml:space="preserve">, 47 </w:t>
      </w:r>
      <w:r w:rsidRPr="00EB5F0C">
        <w:t>CFR §</w:t>
      </w:r>
      <w:r w:rsidRPr="00EB5F0C" w:rsidR="0086573F">
        <w:t>§</w:t>
      </w:r>
      <w:r>
        <w:t xml:space="preserve"> 1.7001(b)</w:t>
      </w:r>
      <w:r w:rsidR="002C3C94">
        <w:t>-(c)</w:t>
      </w:r>
      <w:r w:rsidR="0086573F">
        <w:t xml:space="preserve"> and 1.7002</w:t>
      </w:r>
      <w:r>
        <w:t xml:space="preserve">, and the related FCC Form 477 </w:t>
      </w:r>
      <w:r w:rsidR="00D9729B">
        <w:t>I</w:t>
      </w:r>
      <w:r>
        <w:t>nstructions are WAIVED to the extent indicated herein for AT&amp;T Wireless, T-Mobile, U.S. Cellular, Verizon Wireless</w:t>
      </w:r>
      <w:r w:rsidR="00137B27">
        <w:t>,</w:t>
      </w:r>
      <w:r w:rsidRPr="00137B27" w:rsidR="00137B27">
        <w:t xml:space="preserve"> </w:t>
      </w:r>
      <w:r w:rsidR="00137B27">
        <w:t>and their subsidiaries</w:t>
      </w:r>
      <w:r>
        <w:t>.</w:t>
      </w:r>
    </w:p>
    <w:p w:rsidR="00D1154E" w:rsidRPr="00D62E0E" w:rsidP="00DB1242" w14:paraId="227167DE" w14:textId="4171D30A">
      <w:pPr>
        <w:pStyle w:val="ParaNum"/>
        <w:tabs>
          <w:tab w:val="clear" w:pos="1080"/>
          <w:tab w:val="num" w:pos="1440"/>
        </w:tabs>
      </w:pPr>
      <w:r>
        <w:t xml:space="preserve">This action is taken </w:t>
      </w:r>
      <w:r w:rsidRPr="005E2B63" w:rsidR="005E2B63">
        <w:t xml:space="preserve">by the Acting Chief of the Wireless Telecommunications Bureau </w:t>
      </w:r>
      <w:r>
        <w:t>under delegated authority pursuant to sections 0.131 and 0.331 of the Commission</w:t>
      </w:r>
      <w:r w:rsidR="00427B97">
        <w:t>’</w:t>
      </w:r>
      <w:r>
        <w:t>s rules, 47 CFR §§ 0.131, 0.331.</w:t>
      </w:r>
    </w:p>
    <w:p w:rsidR="00A521DE" w:rsidP="00A521DE" w14:paraId="5EADF993" w14:textId="77777777">
      <w:r>
        <w:tab/>
      </w:r>
      <w:r>
        <w:tab/>
      </w:r>
      <w:r>
        <w:tab/>
      </w:r>
      <w:r>
        <w:tab/>
      </w:r>
      <w:r>
        <w:tab/>
      </w:r>
      <w:r>
        <w:tab/>
        <w:t>FEDERAL COMMUNICATIONS COMMISSION</w:t>
      </w:r>
    </w:p>
    <w:p w:rsidR="00A521DE" w:rsidP="00A521DE" w14:paraId="534C550B" w14:textId="77777777"/>
    <w:p w:rsidR="00A521DE" w:rsidP="00A521DE" w14:paraId="32675C44" w14:textId="77777777"/>
    <w:p w:rsidR="00A521DE" w:rsidP="00A521DE" w14:paraId="424B6B4E" w14:textId="77777777"/>
    <w:p w:rsidR="00A521DE" w:rsidP="00A521DE" w14:paraId="62605791" w14:textId="77777777"/>
    <w:p w:rsidR="00A521DE" w:rsidP="00A521DE" w14:paraId="250C336A" w14:textId="5CE11B1D">
      <w:r>
        <w:tab/>
      </w:r>
      <w:r>
        <w:tab/>
      </w:r>
      <w:r>
        <w:tab/>
      </w:r>
      <w:r>
        <w:tab/>
      </w:r>
      <w:r>
        <w:tab/>
      </w:r>
      <w:r>
        <w:tab/>
        <w:t>Joel Taubenblatt</w:t>
      </w:r>
    </w:p>
    <w:p w:rsidR="006F3799" w:rsidRPr="006F3799" w:rsidP="00A521DE" w14:paraId="50B4058C" w14:textId="5E767988">
      <w:r>
        <w:tab/>
      </w:r>
      <w:r>
        <w:tab/>
      </w:r>
      <w:r>
        <w:tab/>
      </w:r>
      <w:r>
        <w:tab/>
      </w:r>
      <w:r>
        <w:tab/>
      </w:r>
      <w:r>
        <w:tab/>
        <w:t>Acting Chief, Wireless Telecommunications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281253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F7D7CD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013EC4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675B4F8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04B5D3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81D09" w14:paraId="0B43F3FA" w14:textId="77777777">
      <w:r>
        <w:separator/>
      </w:r>
    </w:p>
  </w:footnote>
  <w:footnote w:type="continuationSeparator" w:id="1">
    <w:p w:rsidR="00481D09" w:rsidP="00C721AC" w14:paraId="3C51792C" w14:textId="77777777">
      <w:pPr>
        <w:spacing w:before="120"/>
        <w:rPr>
          <w:sz w:val="20"/>
        </w:rPr>
      </w:pPr>
      <w:r>
        <w:rPr>
          <w:sz w:val="20"/>
        </w:rPr>
        <w:t xml:space="preserve">(Continued from previous page)  </w:t>
      </w:r>
      <w:r>
        <w:rPr>
          <w:sz w:val="20"/>
        </w:rPr>
        <w:separator/>
      </w:r>
    </w:p>
  </w:footnote>
  <w:footnote w:type="continuationNotice" w:id="2">
    <w:p w:rsidR="00481D09" w:rsidP="00C721AC" w14:paraId="1D525E33" w14:textId="77777777">
      <w:pPr>
        <w:jc w:val="right"/>
        <w:rPr>
          <w:sz w:val="20"/>
        </w:rPr>
      </w:pPr>
      <w:r>
        <w:rPr>
          <w:sz w:val="20"/>
        </w:rPr>
        <w:t>(continued….)</w:t>
      </w:r>
    </w:p>
  </w:footnote>
  <w:footnote w:id="3">
    <w:p w:rsidR="005D5815" w14:paraId="14671A47" w14:textId="0E42D083">
      <w:pPr>
        <w:pStyle w:val="FootnoteText"/>
      </w:pPr>
      <w:r>
        <w:rPr>
          <w:rStyle w:val="FootnoteReference"/>
        </w:rPr>
        <w:footnoteRef/>
      </w:r>
      <w:r>
        <w:t xml:space="preserve"> The Companies file</w:t>
      </w:r>
      <w:r w:rsidR="00286967">
        <w:t>d their most recent publicly available</w:t>
      </w:r>
      <w:r>
        <w:t xml:space="preserve"> Form 477 data under the following names:  </w:t>
      </w:r>
      <w:r w:rsidRPr="005D5815">
        <w:t xml:space="preserve">New Cingular Wireless </w:t>
      </w:r>
      <w:r w:rsidR="00535E39">
        <w:t>Servs.</w:t>
      </w:r>
      <w:r w:rsidRPr="005D5815">
        <w:t>, Inc.</w:t>
      </w:r>
      <w:r>
        <w:t xml:space="preserve">; </w:t>
      </w:r>
      <w:r w:rsidRPr="005D5815">
        <w:t>T-Mobile USA, Inc.</w:t>
      </w:r>
      <w:r>
        <w:t xml:space="preserve">; U.S. Cellular Corp.; and </w:t>
      </w:r>
      <w:r w:rsidR="00535E39">
        <w:t>Cellco Partnership</w:t>
      </w:r>
      <w:r>
        <w:t>.</w:t>
      </w:r>
      <w:r w:rsidR="00427B97">
        <w:t xml:space="preserve">  The</w:t>
      </w:r>
      <w:r w:rsidR="00286967">
        <w:t>se</w:t>
      </w:r>
      <w:r w:rsidR="00427B97">
        <w:t xml:space="preserve"> fil</w:t>
      </w:r>
      <w:r w:rsidR="00286967">
        <w:t xml:space="preserve">ings </w:t>
      </w:r>
      <w:r w:rsidR="001E79BA">
        <w:t xml:space="preserve">for their </w:t>
      </w:r>
      <w:r w:rsidR="00427B97">
        <w:t xml:space="preserve">June 2020 477 data </w:t>
      </w:r>
      <w:r w:rsidR="00AF733C">
        <w:t>w</w:t>
      </w:r>
      <w:r w:rsidR="00A74938">
        <w:t>ere</w:t>
      </w:r>
      <w:r w:rsidR="00AF733C">
        <w:t xml:space="preserve"> </w:t>
      </w:r>
      <w:r w:rsidR="00254319">
        <w:t xml:space="preserve">done </w:t>
      </w:r>
      <w:r w:rsidR="00427B97">
        <w:t>using the following F</w:t>
      </w:r>
      <w:r w:rsidR="00D70568">
        <w:t xml:space="preserve">ederal </w:t>
      </w:r>
      <w:r w:rsidR="00427B97">
        <w:t>R</w:t>
      </w:r>
      <w:r w:rsidR="00D70568">
        <w:t xml:space="preserve">egistration </w:t>
      </w:r>
      <w:r w:rsidR="00427B97">
        <w:t>N</w:t>
      </w:r>
      <w:r w:rsidR="00D70568">
        <w:t>umber</w:t>
      </w:r>
      <w:r w:rsidR="00427B97">
        <w:t>s</w:t>
      </w:r>
      <w:r w:rsidR="00E906C7">
        <w:t>,</w:t>
      </w:r>
      <w:r w:rsidR="00427B97">
        <w:t xml:space="preserve"> respectively:  </w:t>
      </w:r>
      <w:r w:rsidRPr="00A24B79" w:rsidR="00A24B79">
        <w:t>0003766532</w:t>
      </w:r>
      <w:r w:rsidR="00242B46">
        <w:t>;</w:t>
      </w:r>
      <w:r w:rsidR="00427B97">
        <w:t xml:space="preserve"> </w:t>
      </w:r>
      <w:r w:rsidRPr="00DE0066" w:rsidR="00DE0066">
        <w:t>0006945950</w:t>
      </w:r>
      <w:r w:rsidR="00242B46">
        <w:t>;</w:t>
      </w:r>
      <w:r w:rsidR="00427B97">
        <w:t xml:space="preserve"> </w:t>
      </w:r>
      <w:r w:rsidRPr="00B22B20" w:rsidR="00B22B20">
        <w:t>0004372322</w:t>
      </w:r>
      <w:r w:rsidR="00242B46">
        <w:t>;</w:t>
      </w:r>
      <w:r w:rsidR="00427B97">
        <w:t xml:space="preserve"> and </w:t>
      </w:r>
      <w:r w:rsidR="00B22B20">
        <w:t>00</w:t>
      </w:r>
      <w:r w:rsidR="00427B97">
        <w:t>18506568.</w:t>
      </w:r>
    </w:p>
  </w:footnote>
  <w:footnote w:id="4">
    <w:p w:rsidR="006510EA" w14:paraId="70FBFB3C" w14:textId="2A27AA53">
      <w:pPr>
        <w:pStyle w:val="FootnoteText"/>
      </w:pPr>
      <w:r>
        <w:rPr>
          <w:rStyle w:val="FootnoteReference"/>
        </w:rPr>
        <w:footnoteRef/>
      </w:r>
      <w:r>
        <w:t xml:space="preserve"> </w:t>
      </w:r>
      <w:r w:rsidRPr="006510EA">
        <w:t>47 CFR §</w:t>
      </w:r>
      <w:r w:rsidRPr="006510EA" w:rsidR="00A1437B">
        <w:t>§</w:t>
      </w:r>
      <w:r w:rsidRPr="006510EA">
        <w:t xml:space="preserve"> 1.7001(b)</w:t>
      </w:r>
      <w:r w:rsidR="003B4F0B">
        <w:t>-(c)</w:t>
      </w:r>
      <w:r w:rsidR="00A1437B">
        <w:t>, 1.7002</w:t>
      </w:r>
      <w:r>
        <w:t xml:space="preserve">; </w:t>
      </w:r>
      <w:r w:rsidRPr="006510EA">
        <w:t>FCC Form 477, Local Telephone Competition and Broadband Reporting Instructions</w:t>
      </w:r>
      <w:r w:rsidR="00A36480">
        <w:t xml:space="preserve"> </w:t>
      </w:r>
      <w:r w:rsidRPr="006510EA">
        <w:t xml:space="preserve">(Form 477 Instructions), </w:t>
      </w:r>
      <w:hyperlink r:id="rId1" w:history="1">
        <w:r w:rsidRPr="006510EA">
          <w:rPr>
            <w:rStyle w:val="Hyperlink"/>
          </w:rPr>
          <w:t>https://us-fcc.app.box.com/v/Form477Instructions</w:t>
        </w:r>
      </w:hyperlink>
      <w:r w:rsidRPr="006510EA">
        <w:t>.</w:t>
      </w:r>
    </w:p>
  </w:footnote>
  <w:footnote w:id="5">
    <w:p w:rsidR="006510EA" w14:paraId="44AECB35" w14:textId="29DD0E0D">
      <w:pPr>
        <w:pStyle w:val="FootnoteText"/>
      </w:pPr>
      <w:r>
        <w:rPr>
          <w:rStyle w:val="FootnoteReference"/>
        </w:rPr>
        <w:footnoteRef/>
      </w:r>
      <w:r>
        <w:t xml:space="preserve"> </w:t>
      </w:r>
      <w:r w:rsidRPr="003936C9" w:rsidR="00046D96">
        <w:rPr>
          <w:i/>
          <w:iCs/>
        </w:rPr>
        <w:t>See</w:t>
      </w:r>
      <w:r w:rsidR="00046D96">
        <w:t xml:space="preserve"> </w:t>
      </w:r>
      <w:r w:rsidRPr="006510EA" w:rsidR="00937096">
        <w:t>47 CFR § 1.700</w:t>
      </w:r>
      <w:r w:rsidR="00E4398A">
        <w:t>4</w:t>
      </w:r>
      <w:r w:rsidR="00937096">
        <w:t>(c)</w:t>
      </w:r>
      <w:r w:rsidR="00F74DEB">
        <w:t>(3)</w:t>
      </w:r>
      <w:r w:rsidR="00DC3145">
        <w:t>(i)</w:t>
      </w:r>
      <w:r w:rsidR="002F05FE">
        <w:t>-(i</w:t>
      </w:r>
      <w:r w:rsidR="00F27875">
        <w:t>v</w:t>
      </w:r>
      <w:r w:rsidR="002F05FE">
        <w:t>)</w:t>
      </w:r>
      <w:r w:rsidR="001D4173">
        <w:t>;</w:t>
      </w:r>
      <w:r w:rsidR="00937096">
        <w:t xml:space="preserve"> </w:t>
      </w:r>
      <w:r w:rsidRPr="006510EA">
        <w:rPr>
          <w:i/>
          <w:iCs/>
        </w:rPr>
        <w:t>Establishing the</w:t>
      </w:r>
      <w:r w:rsidRPr="006510EA">
        <w:rPr>
          <w:i/>
        </w:rPr>
        <w:t xml:space="preserve"> </w:t>
      </w:r>
      <w:r w:rsidRPr="006510EA">
        <w:rPr>
          <w:i/>
          <w:iCs/>
        </w:rPr>
        <w:t>Digital Opportunity Data Collection; Modernizing the FCC Form 477 Data Program</w:t>
      </w:r>
      <w:r w:rsidRPr="006510EA">
        <w:t>, WC Docket Nos. 19-195, 11-10, Second Report and Order and Third Further Notice of Proposed Rulemaking, 35 FCC Rcd 7460</w:t>
      </w:r>
      <w:r w:rsidR="00581199">
        <w:t xml:space="preserve">, </w:t>
      </w:r>
      <w:r w:rsidR="007C34EE">
        <w:t xml:space="preserve">7474, </w:t>
      </w:r>
      <w:r w:rsidR="00871142">
        <w:t xml:space="preserve">7477-78, paras. </w:t>
      </w:r>
      <w:r w:rsidR="00020303">
        <w:t>33, 39-41</w:t>
      </w:r>
      <w:r w:rsidRPr="006510EA">
        <w:t xml:space="preserve"> (2020)</w:t>
      </w:r>
      <w:r w:rsidRPr="006510EA">
        <w:rPr>
          <w:i/>
          <w:iCs/>
        </w:rPr>
        <w:t xml:space="preserve"> </w:t>
      </w:r>
      <w:r w:rsidRPr="006510EA">
        <w:t>(</w:t>
      </w:r>
      <w:r w:rsidRPr="006510EA">
        <w:rPr>
          <w:i/>
          <w:iCs/>
        </w:rPr>
        <w:t>Second Order</w:t>
      </w:r>
      <w:r w:rsidRPr="006510EA">
        <w:t>).</w:t>
      </w:r>
      <w:r w:rsidRPr="00662E7C" w:rsidR="00662E7C">
        <w:t xml:space="preserve"> </w:t>
      </w:r>
      <w:r w:rsidR="00C05319">
        <w:t xml:space="preserve"> </w:t>
      </w:r>
      <w:r w:rsidRPr="00662E7C" w:rsidR="00662E7C">
        <w:t>The Broadband Data Collection was formerly known as the Digital Opportunity Data Collection.</w:t>
      </w:r>
    </w:p>
  </w:footnote>
  <w:footnote w:id="6">
    <w:p w:rsidR="00744765" w:rsidP="00744765" w14:paraId="62534BE4" w14:textId="17693F2C">
      <w:pPr>
        <w:pStyle w:val="FootnoteText"/>
      </w:pPr>
      <w:r>
        <w:rPr>
          <w:rStyle w:val="FootnoteReference"/>
        </w:rPr>
        <w:footnoteRef/>
      </w:r>
      <w:r>
        <w:t xml:space="preserve"> </w:t>
      </w:r>
      <w:r>
        <w:rPr>
          <w:i/>
          <w:iCs/>
        </w:rPr>
        <w:t>S</w:t>
      </w:r>
      <w:r w:rsidRPr="009E1428">
        <w:rPr>
          <w:i/>
          <w:iCs/>
        </w:rPr>
        <w:t xml:space="preserve">ee </w:t>
      </w:r>
      <w:r w:rsidRPr="009E1428">
        <w:t>47 U.S.C. § 153(58)</w:t>
      </w:r>
      <w:r w:rsidR="00DB1DBC">
        <w:t xml:space="preserve">; </w:t>
      </w:r>
      <w:r w:rsidRPr="007D5B36" w:rsidR="00DB1DBC">
        <w:rPr>
          <w:i/>
          <w:iCs/>
        </w:rPr>
        <w:t>see also</w:t>
      </w:r>
      <w:r w:rsidR="00A246A0">
        <w:t xml:space="preserve"> </w:t>
      </w:r>
      <w:r w:rsidRPr="006510EA" w:rsidR="00227BD9">
        <w:t>47 CFR § 1.7001(b)</w:t>
      </w:r>
      <w:r w:rsidR="00426C97">
        <w:t xml:space="preserve"> (listing entities that are required to file Form 477)</w:t>
      </w:r>
      <w:r w:rsidR="00E2099E">
        <w:t>.</w:t>
      </w:r>
    </w:p>
  </w:footnote>
  <w:footnote w:id="7">
    <w:p w:rsidR="00744765" w:rsidP="00744765" w14:paraId="30936742" w14:textId="1DEC572E">
      <w:pPr>
        <w:pStyle w:val="FootnoteText"/>
      </w:pPr>
      <w:r>
        <w:rPr>
          <w:rStyle w:val="FootnoteReference"/>
        </w:rPr>
        <w:footnoteRef/>
      </w:r>
      <w:r w:rsidR="744FBD75">
        <w:t xml:space="preserve"> </w:t>
      </w:r>
      <w:r w:rsidRPr="744FBD75" w:rsidR="744FBD75">
        <w:rPr>
          <w:i/>
          <w:iCs/>
        </w:rPr>
        <w:t>See Establishing the Digital Opportunity Data Collection</w:t>
      </w:r>
      <w:r w:rsidRPr="009E1428" w:rsidR="744FBD75">
        <w:t>, WC Docket No. 19-195, Report and Order and Second Further Notice of Proposed Rulemaking, 34 FCC Rcd 7505 (2019)</w:t>
      </w:r>
      <w:r w:rsidR="744FBD75">
        <w:t xml:space="preserve"> (</w:t>
      </w:r>
      <w:r w:rsidRPr="744FBD75" w:rsidR="744FBD75">
        <w:rPr>
          <w:i/>
          <w:iCs/>
          <w:color w:val="000000"/>
          <w:shd w:val="clear" w:color="auto" w:fill="FFFFFF"/>
        </w:rPr>
        <w:t>2019 Order</w:t>
      </w:r>
      <w:r w:rsidRPr="744FBD75" w:rsidR="744FBD75">
        <w:rPr>
          <w:color w:val="000000"/>
          <w:shd w:val="clear" w:color="auto" w:fill="FFFFFF"/>
        </w:rPr>
        <w:t xml:space="preserve">); </w:t>
      </w:r>
      <w:r w:rsidRPr="744FBD75" w:rsidR="744FBD75">
        <w:rPr>
          <w:i/>
          <w:iCs/>
        </w:rPr>
        <w:t>Modernizing the FCC Form 477 Data Program</w:t>
      </w:r>
      <w:r w:rsidR="744FBD75">
        <w:t>, WC Docket No. 11-10, Report and Order, 28 FCC Rcd 9887 (2013)</w:t>
      </w:r>
      <w:r w:rsidRPr="744FBD75" w:rsidR="744FBD75">
        <w:t>.</w:t>
      </w:r>
    </w:p>
  </w:footnote>
  <w:footnote w:id="8">
    <w:p w:rsidR="006A3DF8" w14:paraId="39550127" w14:textId="6C5C6109">
      <w:pPr>
        <w:pStyle w:val="FootnoteText"/>
      </w:pPr>
      <w:r>
        <w:rPr>
          <w:rStyle w:val="FootnoteReference"/>
        </w:rPr>
        <w:footnoteRef/>
      </w:r>
      <w:r>
        <w:t xml:space="preserve"> </w:t>
      </w:r>
      <w:r w:rsidRPr="006510EA">
        <w:t>47 CFR § 1.7001(b)</w:t>
      </w:r>
      <w:r>
        <w:t>.</w:t>
      </w:r>
      <w:r w:rsidR="00C55BAB">
        <w:t xml:space="preserve">  </w:t>
      </w:r>
      <w:r w:rsidR="00420206">
        <w:t>Filers also “</w:t>
      </w:r>
      <w:r w:rsidRPr="00420206" w:rsidR="00420206">
        <w:t>shall include in each report a certification signed by an appropriate official of the respondent (as specified in the instructions to FCC Form 477) and shall report the title of their certifying of</w:t>
      </w:r>
      <w:r w:rsidR="003B4F0B">
        <w:t>ficial</w:t>
      </w:r>
      <w:r w:rsidR="00420206">
        <w:t>.”</w:t>
      </w:r>
      <w:r w:rsidR="00262503">
        <w:t xml:space="preserve">  47 CFR § 1.7001(c).</w:t>
      </w:r>
    </w:p>
  </w:footnote>
  <w:footnote w:id="9">
    <w:p w:rsidR="00C82AE3" w14:paraId="798ABD50" w14:textId="5B1892FD">
      <w:pPr>
        <w:pStyle w:val="FootnoteText"/>
      </w:pPr>
      <w:r>
        <w:rPr>
          <w:rStyle w:val="FootnoteReference"/>
        </w:rPr>
        <w:footnoteRef/>
      </w:r>
      <w:r>
        <w:t xml:space="preserve"> </w:t>
      </w:r>
      <w:r w:rsidRPr="006510EA">
        <w:t>47 CFR §</w:t>
      </w:r>
      <w:r w:rsidR="00EE343A">
        <w:t xml:space="preserve"> </w:t>
      </w:r>
      <w:r>
        <w:t>1.7002</w:t>
      </w:r>
      <w:r w:rsidR="00A36480">
        <w:t xml:space="preserve">; </w:t>
      </w:r>
      <w:r w:rsidRPr="00A36480" w:rsidR="00A36480">
        <w:rPr>
          <w:i/>
          <w:iCs/>
        </w:rPr>
        <w:t>see also</w:t>
      </w:r>
      <w:r w:rsidRPr="006510EA" w:rsidR="00A36480">
        <w:t xml:space="preserve"> Form 477 Instructions</w:t>
      </w:r>
      <w:r w:rsidR="00A36480">
        <w:t xml:space="preserve"> at 32</w:t>
      </w:r>
      <w:r w:rsidR="006524D9">
        <w:t xml:space="preserve"> </w:t>
      </w:r>
      <w:r w:rsidRPr="00B0125F" w:rsidR="00B0125F">
        <w:t>(stating that, by “September 1st of each year[,] providers must file data as of June 30 of the same year”)</w:t>
      </w:r>
      <w:r>
        <w:t>.</w:t>
      </w:r>
    </w:p>
  </w:footnote>
  <w:footnote w:id="10">
    <w:p w:rsidR="00641AE5" w:rsidRPr="00F550D7" w:rsidP="00641AE5" w14:paraId="67F3A294" w14:textId="4E3F6277">
      <w:pPr>
        <w:pStyle w:val="FootnoteText"/>
      </w:pPr>
      <w:r w:rsidRPr="00F550D7">
        <w:rPr>
          <w:rStyle w:val="FootnoteReference"/>
        </w:rPr>
        <w:footnoteRef/>
      </w:r>
      <w:r w:rsidR="744FBD75">
        <w:t xml:space="preserve"> The</w:t>
      </w:r>
      <w:r w:rsidRPr="00F550D7" w:rsidR="744FBD75">
        <w:t xml:space="preserve"> Form 477</w:t>
      </w:r>
      <w:r w:rsidR="744FBD75">
        <w:t xml:space="preserve"> Instructions </w:t>
      </w:r>
      <w:r w:rsidRPr="00F550D7" w:rsidR="744FBD75">
        <w:t xml:space="preserve">state that “[m]obile broadband providers shall submit polygons in a shapefile format representing geographic coverage nationwide . . . for each mobile broadband transmission technology . . . . The data associated with each polygon should indicate the minimum advertised upload and download data speeds associated with that network technology . . . and the coverage area polygon should depict the boundaries where, according to providers, users should expect to receive those advertised speeds.  If a provider advertises different minimum upload and download speeds in different areas of the country using the same technology, then the provider should submit separate polygons showing the coverage area for each speed.  A variation in technology or speed would require the submission of a separate polygon.  If a provider does not advertise the minimum upload and/or download data speeds, the provider must indicate the minimum upload/download data speeds that users should expect to receive within the polygon depicting the geographic coverage area of the deployed technology.”  </w:t>
      </w:r>
      <w:r w:rsidRPr="006510EA" w:rsidR="744FBD75">
        <w:t>Form 477 Instructions</w:t>
      </w:r>
      <w:r w:rsidR="744FBD75">
        <w:t xml:space="preserve"> at 25</w:t>
      </w:r>
      <w:r w:rsidR="00FF5FD6">
        <w:t xml:space="preserve"> </w:t>
      </w:r>
      <w:r w:rsidRPr="00FF5FD6" w:rsidR="00FF5FD6">
        <w:t>(emphasis omitted)</w:t>
      </w:r>
      <w:r w:rsidRPr="744FBD75" w:rsidR="744FBD75">
        <w:rPr>
          <w:i/>
          <w:iCs/>
        </w:rPr>
        <w:t>.</w:t>
      </w:r>
    </w:p>
  </w:footnote>
  <w:footnote w:id="11">
    <w:p w:rsidR="00641AE5" w:rsidRPr="00F550D7" w:rsidP="00641AE5" w14:paraId="08B0EA00" w14:textId="4E28342F">
      <w:pPr>
        <w:pStyle w:val="FootnoteText"/>
      </w:pPr>
      <w:r w:rsidRPr="00F550D7">
        <w:rPr>
          <w:rStyle w:val="FootnoteReference"/>
        </w:rPr>
        <w:footnoteRef/>
      </w:r>
      <w:r w:rsidRPr="00F550D7">
        <w:t xml:space="preserve"> Form 477 Instructions at 26.</w:t>
      </w:r>
    </w:p>
  </w:footnote>
  <w:footnote w:id="12">
    <w:p w:rsidR="00A45589" w14:paraId="56813494" w14:textId="6909E6E6">
      <w:pPr>
        <w:pStyle w:val="FootnoteText"/>
      </w:pPr>
      <w:r>
        <w:rPr>
          <w:rStyle w:val="FootnoteReference"/>
        </w:rPr>
        <w:footnoteRef/>
      </w:r>
      <w:r>
        <w:t xml:space="preserve"> </w:t>
      </w:r>
      <w:r w:rsidRPr="00AE6563" w:rsidR="00AE6563">
        <w:rPr>
          <w:i/>
          <w:iCs/>
        </w:rPr>
        <w:t>See, e.g.</w:t>
      </w:r>
      <w:r w:rsidRPr="00AE6563" w:rsidR="00AE6563">
        <w:t>, H.R. Rep. No. 116-350, at 9-10 (2019); S. Rep. No. 116-74, at 2-3 (2019)</w:t>
      </w:r>
      <w:r w:rsidR="004410E6">
        <w:t xml:space="preserve">; </w:t>
      </w:r>
      <w:r w:rsidRPr="003936C9" w:rsidR="004410E6">
        <w:rPr>
          <w:i/>
          <w:iCs/>
        </w:rPr>
        <w:t>Second Order</w:t>
      </w:r>
      <w:r w:rsidRPr="00D1154E" w:rsidR="004410E6">
        <w:t xml:space="preserve">, 35 FCC Rcd </w:t>
      </w:r>
      <w:r w:rsidR="004410E6">
        <w:t xml:space="preserve">at </w:t>
      </w:r>
      <w:r w:rsidRPr="00D1154E" w:rsidR="004410E6">
        <w:t>746</w:t>
      </w:r>
      <w:r w:rsidR="005F2B0B">
        <w:t>2</w:t>
      </w:r>
      <w:r w:rsidR="004410E6">
        <w:t>-6</w:t>
      </w:r>
      <w:r w:rsidR="00814579">
        <w:t>4</w:t>
      </w:r>
      <w:r w:rsidR="004410E6">
        <w:t xml:space="preserve">, paras. </w:t>
      </w:r>
      <w:r w:rsidR="0057653D">
        <w:t>4-8</w:t>
      </w:r>
      <w:r w:rsidR="004410E6">
        <w:t>.</w:t>
      </w:r>
    </w:p>
  </w:footnote>
  <w:footnote w:id="13">
    <w:p w:rsidR="00AC7B34" w:rsidP="00AC7B34" w14:paraId="090A76CD" w14:textId="58CBC8E1">
      <w:pPr>
        <w:pStyle w:val="FootnoteText"/>
      </w:pPr>
      <w:r>
        <w:rPr>
          <w:rStyle w:val="FootnoteReference"/>
        </w:rPr>
        <w:footnoteRef/>
      </w:r>
      <w:r>
        <w:t xml:space="preserve"> </w:t>
      </w:r>
      <w:r w:rsidRPr="00F550D7">
        <w:t>Broadband Deployment Accuracy and Technolog</w:t>
      </w:r>
      <w:r w:rsidR="0057033F">
        <w:t>ical</w:t>
      </w:r>
      <w:r w:rsidRPr="00F550D7">
        <w:t xml:space="preserve"> Availability Act, Pub. L. No. 116-130, </w:t>
      </w:r>
      <w:r w:rsidRPr="00547C45" w:rsidR="00547C45">
        <w:t xml:space="preserve">§ 802(b)(2)(B), </w:t>
      </w:r>
      <w:r w:rsidRPr="00F550D7">
        <w:t>134 Stat. 228</w:t>
      </w:r>
      <w:r w:rsidR="00454E4B">
        <w:t>, 232-33</w:t>
      </w:r>
      <w:r w:rsidRPr="00F550D7">
        <w:t xml:space="preserve"> (2020) (codified at 47 U.S.C. § 64</w:t>
      </w:r>
      <w:r w:rsidR="004632B6">
        <w:t>2(b)(2)(B)</w:t>
      </w:r>
      <w:r w:rsidR="00BA01A9">
        <w:t>)</w:t>
      </w:r>
      <w:r w:rsidRPr="00F550D7">
        <w:t xml:space="preserve"> (Broadband DATA Act</w:t>
      </w:r>
      <w:r>
        <w:t>).</w:t>
      </w:r>
      <w:r w:rsidR="00665042">
        <w:t xml:space="preserve">  </w:t>
      </w:r>
      <w:r w:rsidRPr="009821A0" w:rsidR="009821A0">
        <w:t>The Act requires the maps to</w:t>
      </w:r>
      <w:r w:rsidR="00497503">
        <w:t>:</w:t>
      </w:r>
      <w:r w:rsidRPr="009821A0" w:rsidR="009821A0">
        <w:t xml:space="preserve"> (1) “take into consideration the effect of clutter”; (2) reflect “a download speed of not less than 5 megabits per second and an upload speed of not less than 1 megabit per second with a cell edge probability of not less than 90%”</w:t>
      </w:r>
      <w:r w:rsidR="003260B0">
        <w:t>;</w:t>
      </w:r>
      <w:r w:rsidRPr="009821A0" w:rsidR="009821A0">
        <w:t xml:space="preserve"> and “cell loading of not less than 50%”; and (3) reflect “any other parameter that the Commission determines to be necessary to create a map . . . that is more precise than the map produced” under the Mobility Fund Phase II data collection.  </w:t>
      </w:r>
      <w:r w:rsidRPr="009821A0" w:rsidR="009821A0">
        <w:rPr>
          <w:i/>
          <w:iCs/>
        </w:rPr>
        <w:t>Id.</w:t>
      </w:r>
    </w:p>
  </w:footnote>
  <w:footnote w:id="14">
    <w:p w:rsidR="00D1154E" w14:paraId="545588A0" w14:textId="7B90C69D">
      <w:pPr>
        <w:pStyle w:val="FootnoteText"/>
      </w:pPr>
      <w:r>
        <w:rPr>
          <w:rStyle w:val="FootnoteReference"/>
        </w:rPr>
        <w:footnoteRef/>
      </w:r>
      <w:r>
        <w:t xml:space="preserve"> </w:t>
      </w:r>
      <w:r w:rsidRPr="003936C9">
        <w:rPr>
          <w:i/>
          <w:iCs/>
        </w:rPr>
        <w:t>Second Order</w:t>
      </w:r>
      <w:r w:rsidRPr="00D1154E">
        <w:t xml:space="preserve">, 35 FCC Rcd </w:t>
      </w:r>
      <w:r>
        <w:t xml:space="preserve">at </w:t>
      </w:r>
      <w:r w:rsidRPr="00D1154E">
        <w:t>746</w:t>
      </w:r>
      <w:r w:rsidR="00E120B3">
        <w:t>1</w:t>
      </w:r>
      <w:r w:rsidR="001F6CBD">
        <w:t>-62</w:t>
      </w:r>
      <w:r>
        <w:t>, para</w:t>
      </w:r>
      <w:r w:rsidR="001F6CBD">
        <w:t>s</w:t>
      </w:r>
      <w:r>
        <w:t xml:space="preserve">. </w:t>
      </w:r>
      <w:r w:rsidR="001F6CBD">
        <w:t>2-3</w:t>
      </w:r>
      <w:r>
        <w:t>.</w:t>
      </w:r>
    </w:p>
  </w:footnote>
  <w:footnote w:id="15">
    <w:p w:rsidR="00641AE5" w:rsidRPr="00F550D7" w:rsidP="00641AE5" w14:paraId="284B8F1F" w14:textId="472F42FF">
      <w:pPr>
        <w:pStyle w:val="FootnoteText"/>
      </w:pPr>
      <w:r w:rsidRPr="00F550D7">
        <w:rPr>
          <w:rStyle w:val="FootnoteReference"/>
        </w:rPr>
        <w:footnoteRef/>
      </w:r>
      <w:r w:rsidRPr="00F550D7">
        <w:t xml:space="preserve"> The Commission found that requiring propagation maps based on standardized parameters for all broadband technologies and for mobile voice services would help it assess and compare coverage maps among providers.  </w:t>
      </w:r>
      <w:r w:rsidRPr="00F550D7">
        <w:rPr>
          <w:i/>
          <w:iCs/>
        </w:rPr>
        <w:t xml:space="preserve">Second Order, </w:t>
      </w:r>
      <w:r w:rsidRPr="00F550D7">
        <w:t>35 FCC Rcd at 7476-77, para. 38.</w:t>
      </w:r>
    </w:p>
  </w:footnote>
  <w:footnote w:id="16">
    <w:p w:rsidR="00641AE5" w:rsidRPr="00F550D7" w:rsidP="00641AE5" w14:paraId="75BE4FA1" w14:textId="71324747">
      <w:pPr>
        <w:pStyle w:val="FootnoteText"/>
      </w:pPr>
      <w:r w:rsidRPr="00F550D7">
        <w:rPr>
          <w:rStyle w:val="FootnoteReference"/>
        </w:rPr>
        <w:footnoteRef/>
      </w:r>
      <w:r w:rsidRPr="00F550D7">
        <w:rPr>
          <w:i/>
          <w:iCs/>
        </w:rPr>
        <w:t xml:space="preserve"> S</w:t>
      </w:r>
      <w:r w:rsidR="002163C1">
        <w:rPr>
          <w:i/>
          <w:iCs/>
        </w:rPr>
        <w:t>ee S</w:t>
      </w:r>
      <w:r w:rsidRPr="00F550D7">
        <w:rPr>
          <w:i/>
          <w:iCs/>
        </w:rPr>
        <w:t>econd Order</w:t>
      </w:r>
      <w:r w:rsidRPr="00F550D7">
        <w:t>, 35 FCC Rcd at 7474, 7476-81, paras. 32, 38-47</w:t>
      </w:r>
      <w:r w:rsidR="002163C1">
        <w:t xml:space="preserve">; 47 CFR </w:t>
      </w:r>
      <w:r w:rsidR="00180D5F">
        <w:t>§ 1.7004(c)(3)(i)-(iii)</w:t>
      </w:r>
      <w:r w:rsidRPr="00F550D7">
        <w:t>.</w:t>
      </w:r>
    </w:p>
  </w:footnote>
  <w:footnote w:id="17">
    <w:p w:rsidR="00641AE5" w:rsidRPr="00F550D7" w:rsidP="00641AE5" w14:paraId="2101DC9C" w14:textId="01686989">
      <w:pPr>
        <w:pStyle w:val="FootnoteText"/>
      </w:pPr>
      <w:r w:rsidRPr="00F550D7">
        <w:rPr>
          <w:rStyle w:val="FootnoteReference"/>
        </w:rPr>
        <w:footnoteRef/>
      </w:r>
      <w:r w:rsidRPr="00F550D7">
        <w:t xml:space="preserve"> </w:t>
      </w:r>
      <w:r w:rsidRPr="00F550D7">
        <w:rPr>
          <w:i/>
          <w:iCs/>
        </w:rPr>
        <w:t>Second Order</w:t>
      </w:r>
      <w:r w:rsidRPr="00F550D7">
        <w:t>, 35 FCC Rcd at 7481, para. 48.</w:t>
      </w:r>
    </w:p>
  </w:footnote>
  <w:footnote w:id="18">
    <w:p w:rsidR="005445D2" w:rsidP="005445D2" w14:paraId="57F26DC4" w14:textId="77777777">
      <w:pPr>
        <w:pStyle w:val="FootnoteText"/>
      </w:pPr>
      <w:r>
        <w:rPr>
          <w:rStyle w:val="FootnoteReference"/>
        </w:rPr>
        <w:footnoteRef/>
      </w:r>
      <w:r>
        <w:t xml:space="preserve"> 47 CFR § 1.3.</w:t>
      </w:r>
    </w:p>
  </w:footnote>
  <w:footnote w:id="19">
    <w:p w:rsidR="00721A19" w14:paraId="2CD29BEA" w14:textId="338FDF39">
      <w:pPr>
        <w:pStyle w:val="FootnoteText"/>
      </w:pPr>
      <w:r>
        <w:rPr>
          <w:rStyle w:val="FootnoteReference"/>
        </w:rPr>
        <w:footnoteRef/>
      </w:r>
      <w:r>
        <w:t xml:space="preserve"> </w:t>
      </w:r>
      <w:r w:rsidRPr="00261AE8" w:rsidR="00261AE8">
        <w:rPr>
          <w:i/>
          <w:iCs/>
        </w:rPr>
        <w:t>See, e.g., Ne. Cellular Tel. Co. v. FCC</w:t>
      </w:r>
      <w:r w:rsidRPr="00261AE8" w:rsidR="00261AE8">
        <w:t xml:space="preserve">, 897 F.2d 1164, 1166 (D.C. Cir. 1990); </w:t>
      </w:r>
      <w:r w:rsidRPr="00261AE8" w:rsidR="00261AE8">
        <w:rPr>
          <w:i/>
          <w:iCs/>
        </w:rPr>
        <w:t>see</w:t>
      </w:r>
      <w:r w:rsidRPr="00261AE8" w:rsidR="00261AE8">
        <w:t xml:space="preserve"> </w:t>
      </w:r>
      <w:r w:rsidRPr="00261AE8" w:rsidR="00261AE8">
        <w:rPr>
          <w:i/>
          <w:iCs/>
        </w:rPr>
        <w:t>WAIT Radio v. FCC</w:t>
      </w:r>
      <w:r w:rsidRPr="00261AE8" w:rsidR="00261AE8">
        <w:t>, 418 F.2d 1153, 1157-59 (D.C. Cir. 1969)</w:t>
      </w:r>
      <w:r w:rsidR="00ED6910">
        <w:t xml:space="preserve"> (</w:t>
      </w:r>
      <w:r w:rsidRPr="00ED6910" w:rsidR="00ED6910">
        <w:rPr>
          <w:i/>
          <w:iCs/>
        </w:rPr>
        <w:t>WAIT Radio</w:t>
      </w:r>
      <w:r w:rsidR="00ED6910">
        <w:t>)</w:t>
      </w:r>
      <w:r w:rsidRPr="00261AE8" w:rsidR="00261AE8">
        <w:t>.</w:t>
      </w:r>
    </w:p>
  </w:footnote>
  <w:footnote w:id="20">
    <w:p w:rsidR="006F3799" w:rsidP="006F3799" w14:paraId="4BE4FBFA" w14:textId="3D0E6D7F">
      <w:pPr>
        <w:pStyle w:val="FootnoteText"/>
      </w:pPr>
      <w:r>
        <w:rPr>
          <w:rStyle w:val="FootnoteReference"/>
        </w:rPr>
        <w:footnoteRef/>
      </w:r>
      <w:r w:rsidR="744FBD75">
        <w:t xml:space="preserve"> </w:t>
      </w:r>
      <w:r w:rsidRPr="744FBD75" w:rsidR="744FBD75">
        <w:rPr>
          <w:i/>
          <w:iCs/>
        </w:rPr>
        <w:t>See WAIT Radio, 418</w:t>
      </w:r>
      <w:r w:rsidRPr="00B83644" w:rsidR="744FBD75">
        <w:t xml:space="preserve"> F.2d </w:t>
      </w:r>
      <w:r w:rsidR="00412422">
        <w:t xml:space="preserve">at </w:t>
      </w:r>
      <w:r w:rsidRPr="00B83644" w:rsidR="744FBD75">
        <w:t>115</w:t>
      </w:r>
      <w:r w:rsidR="009052B5">
        <w:t>5</w:t>
      </w:r>
      <w:r w:rsidRPr="00B83644" w:rsidR="744FBD75">
        <w:t>, 1157.</w:t>
      </w:r>
    </w:p>
  </w:footnote>
  <w:footnote w:id="21">
    <w:p w:rsidR="0015327E" w14:paraId="4286D244" w14:textId="1C32BA79">
      <w:pPr>
        <w:pStyle w:val="FootnoteText"/>
      </w:pPr>
      <w:r>
        <w:rPr>
          <w:rStyle w:val="FootnoteReference"/>
        </w:rPr>
        <w:footnoteRef/>
      </w:r>
      <w:r>
        <w:t xml:space="preserve"> </w:t>
      </w:r>
      <w:r w:rsidRPr="003E7137" w:rsidR="003E7137">
        <w:t xml:space="preserve">We waive the requirement in section 1.7002 and the Form 477 Instructions that providers report their 4G LTE mobile deployment data as of June 30, 2021.  </w:t>
      </w:r>
      <w:r w:rsidRPr="003E7137" w:rsidR="003E7137">
        <w:rPr>
          <w:i/>
          <w:iCs/>
        </w:rPr>
        <w:t>See</w:t>
      </w:r>
      <w:r w:rsidRPr="003E7137" w:rsidR="003E7137">
        <w:t xml:space="preserve"> 47 CFR § 1.7002; Form 477 Instructions at 32.  In addition, we waive section 1.7001(c) and the Form 477 Instructions to the extent that they require the Companies to certify that the 4G LTE mobile deployment data is accurate as of June 30, 2021.  </w:t>
      </w:r>
      <w:r w:rsidRPr="003E7137" w:rsidR="003E7137">
        <w:rPr>
          <w:i/>
          <w:iCs/>
        </w:rPr>
        <w:t>See</w:t>
      </w:r>
      <w:r w:rsidRPr="003E7137" w:rsidR="003E7137">
        <w:t xml:space="preserve"> 47 CFR § 1.7001(c); Form 477 Instructions at 32.  Finally, we grant a limited waiver of section 1.7001(b), which requires facilities-based broadband providers to file Form 477 “in accordance with the Commission’s rules and the instructions to the FCC Form 477,” to the extent that the rules and Instructions require the reporting of 4G LTE mobile deployment data as of June 30, 2021</w:t>
      </w:r>
      <w:r w:rsidRPr="001C06D2" w:rsidR="001C06D2">
        <w:t>.</w:t>
      </w:r>
      <w:r w:rsidR="004B30A3">
        <w:t xml:space="preserve">  The Companies do not require a waiver to </w:t>
      </w:r>
      <w:r w:rsidR="00510C67">
        <w:t xml:space="preserve">report 4G LTE </w:t>
      </w:r>
      <w:r w:rsidR="00995BCC">
        <w:t xml:space="preserve">mobile deployment data using </w:t>
      </w:r>
      <w:r w:rsidR="00664857">
        <w:t xml:space="preserve">the parameters </w:t>
      </w:r>
      <w:r w:rsidR="005925F6">
        <w:t xml:space="preserve">set forth in section 1.7004(c)(3)-(iii) </w:t>
      </w:r>
      <w:r w:rsidR="007B4F36">
        <w:t xml:space="preserve">because doing so is consistent with </w:t>
      </w:r>
      <w:r w:rsidR="0000030F">
        <w:t>the Commission’s rules and related Form 477 instructions.</w:t>
      </w:r>
    </w:p>
  </w:footnote>
  <w:footnote w:id="22">
    <w:p w:rsidR="00D70568" w:rsidRPr="00F550D7" w:rsidP="00D70568" w14:paraId="7D7B035C" w14:textId="77777777">
      <w:pPr>
        <w:pStyle w:val="FootnoteText"/>
      </w:pPr>
      <w:r w:rsidRPr="00F550D7">
        <w:rPr>
          <w:rStyle w:val="FootnoteReference"/>
        </w:rPr>
        <w:footnoteRef/>
      </w:r>
      <w:r w:rsidRPr="00F550D7">
        <w:t xml:space="preserve"> </w:t>
      </w:r>
      <w:r>
        <w:rPr>
          <w:i/>
          <w:iCs/>
        </w:rPr>
        <w:t>S</w:t>
      </w:r>
      <w:r w:rsidRPr="00F550D7">
        <w:rPr>
          <w:i/>
          <w:iCs/>
        </w:rPr>
        <w:t>econd Order</w:t>
      </w:r>
      <w:r w:rsidRPr="00F550D7">
        <w:t>, 35 FCC Rcd at 7474, para. 33</w:t>
      </w:r>
      <w:r>
        <w:t>.</w:t>
      </w:r>
    </w:p>
  </w:footnote>
  <w:footnote w:id="23">
    <w:p w:rsidR="00D70568" w:rsidRPr="00F550D7" w:rsidP="00D70568" w14:paraId="733CDBAD" w14:textId="579B8494">
      <w:pPr>
        <w:pStyle w:val="FootnoteText"/>
      </w:pPr>
      <w:r w:rsidRPr="00F550D7">
        <w:rPr>
          <w:rStyle w:val="FootnoteReference"/>
        </w:rPr>
        <w:footnoteRef/>
      </w:r>
      <w:r w:rsidRPr="00F550D7">
        <w:t xml:space="preserve"> </w:t>
      </w:r>
      <w:r w:rsidRPr="003634A1" w:rsidR="003634A1">
        <w:rPr>
          <w:i/>
          <w:iCs/>
        </w:rPr>
        <w:t>See</w:t>
      </w:r>
      <w:r w:rsidRPr="003634A1" w:rsidR="003634A1">
        <w:t xml:space="preserve"> 47 CFR § 1.7004(c)(3)(ii); </w:t>
      </w:r>
      <w:r>
        <w:rPr>
          <w:i/>
          <w:iCs/>
        </w:rPr>
        <w:t>S</w:t>
      </w:r>
      <w:r w:rsidRPr="00F550D7">
        <w:rPr>
          <w:i/>
          <w:iCs/>
        </w:rPr>
        <w:t>econd Order</w:t>
      </w:r>
      <w:r w:rsidRPr="00F550D7">
        <w:t>, 35 FCC Rcd at 7477, para. 39.</w:t>
      </w:r>
      <w:r w:rsidR="00F629C9">
        <w:t xml:space="preserve">  </w:t>
      </w:r>
      <w:r w:rsidR="00341442">
        <w:t xml:space="preserve">4G LTE mobile voice coverage maps should reflect </w:t>
      </w:r>
      <w:r w:rsidR="00FA622B">
        <w:t>coverage areas with cell edge coverage probability of not less than 90% and a cell loading of not less than 50%.</w:t>
      </w:r>
    </w:p>
  </w:footnote>
  <w:footnote w:id="24">
    <w:p w:rsidR="00D70568" w:rsidRPr="00F550D7" w:rsidP="00D70568" w14:paraId="00C47469" w14:textId="5FE19467">
      <w:pPr>
        <w:pStyle w:val="FootnoteText"/>
      </w:pPr>
      <w:r w:rsidRPr="00F550D7">
        <w:rPr>
          <w:rStyle w:val="FootnoteReference"/>
        </w:rPr>
        <w:footnoteRef/>
      </w:r>
      <w:r w:rsidRPr="00F550D7">
        <w:t xml:space="preserve"> </w:t>
      </w:r>
      <w:r w:rsidRPr="008C7F12" w:rsidR="008C7F12">
        <w:rPr>
          <w:i/>
          <w:iCs/>
        </w:rPr>
        <w:t>See</w:t>
      </w:r>
      <w:r w:rsidRPr="008C7F12" w:rsidR="008C7F12">
        <w:t xml:space="preserve"> 47 CFR § 1.7004(c)(3)(iii);</w:t>
      </w:r>
      <w:r w:rsidR="008C7F12">
        <w:t xml:space="preserve"> </w:t>
      </w:r>
      <w:r>
        <w:rPr>
          <w:i/>
          <w:iCs/>
        </w:rPr>
        <w:t>S</w:t>
      </w:r>
      <w:r w:rsidRPr="00F550D7">
        <w:rPr>
          <w:i/>
          <w:iCs/>
        </w:rPr>
        <w:t>econd Order</w:t>
      </w:r>
      <w:r w:rsidRPr="00F550D7">
        <w:t>, 35 FCC Rcd at 7477-78, paras. 40-41.</w:t>
      </w:r>
    </w:p>
  </w:footnote>
  <w:footnote w:id="25">
    <w:p w:rsidR="006840BB" w:rsidP="006840BB" w14:paraId="21577B6D" w14:textId="77777777">
      <w:pPr>
        <w:pStyle w:val="FootnoteText"/>
      </w:pPr>
      <w:r>
        <w:rPr>
          <w:rStyle w:val="FootnoteReference"/>
        </w:rPr>
        <w:footnoteRef/>
      </w:r>
      <w:r>
        <w:t xml:space="preserve"> </w:t>
      </w:r>
      <w:r w:rsidRPr="00BB0D88">
        <w:rPr>
          <w:i/>
          <w:iCs/>
        </w:rPr>
        <w:t>See</w:t>
      </w:r>
      <w:r w:rsidRPr="00BB0D88">
        <w:t xml:space="preserve"> 47 CFR § 1.7004(c)(3)(iv); </w:t>
      </w:r>
      <w:r w:rsidRPr="5682A167">
        <w:rPr>
          <w:i/>
          <w:iCs/>
        </w:rPr>
        <w:t>Second Order</w:t>
      </w:r>
      <w:r>
        <w:t xml:space="preserve">, 35 FCC Rcd at </w:t>
      </w:r>
      <w:r w:rsidRPr="00F550D7">
        <w:t>7482</w:t>
      </w:r>
      <w:r>
        <w:t>, para. 50.</w:t>
      </w:r>
    </w:p>
  </w:footnote>
  <w:footnote w:id="26">
    <w:p w:rsidR="00D70568" w:rsidP="00D70568" w14:paraId="0BB29DAA" w14:textId="23AB1744">
      <w:pPr>
        <w:pStyle w:val="FootnoteText"/>
      </w:pPr>
      <w:r>
        <w:rPr>
          <w:rStyle w:val="FootnoteReference"/>
        </w:rPr>
        <w:footnoteRef/>
      </w:r>
      <w:r w:rsidR="5682A167">
        <w:t xml:space="preserve"> </w:t>
      </w:r>
      <w:r w:rsidRPr="00BB0D88" w:rsidR="00BB0D88">
        <w:rPr>
          <w:i/>
          <w:iCs/>
        </w:rPr>
        <w:t>See</w:t>
      </w:r>
      <w:r w:rsidRPr="00BB0D88" w:rsidR="00BB0D88">
        <w:t xml:space="preserve"> 47 CFR § 1.7004(c)(3)(i); </w:t>
      </w:r>
      <w:r w:rsidRPr="5682A167" w:rsidR="5682A167">
        <w:rPr>
          <w:i/>
          <w:iCs/>
        </w:rPr>
        <w:t>Second Order</w:t>
      </w:r>
      <w:r w:rsidR="5682A167">
        <w:t xml:space="preserve">, 35 FCC Rcd at </w:t>
      </w:r>
      <w:r w:rsidRPr="00F550D7" w:rsidR="0066432B">
        <w:t>74</w:t>
      </w:r>
      <w:r w:rsidR="0066432B">
        <w:t>79</w:t>
      </w:r>
      <w:r w:rsidR="5682A167">
        <w:t xml:space="preserve">, para. </w:t>
      </w:r>
      <w:r w:rsidR="0066432B">
        <w:t>44</w:t>
      </w:r>
      <w:r w:rsidR="5682A167">
        <w:t>.</w:t>
      </w:r>
    </w:p>
  </w:footnote>
  <w:footnote w:id="27">
    <w:p w:rsidR="005244F0" w:rsidP="005244F0" w14:paraId="3F88A290" w14:textId="77777777">
      <w:pPr>
        <w:pStyle w:val="FootnoteText"/>
      </w:pPr>
      <w:r>
        <w:rPr>
          <w:rStyle w:val="FootnoteReference"/>
        </w:rPr>
        <w:footnoteRef/>
      </w:r>
      <w:r>
        <w:t xml:space="preserve"> </w:t>
      </w:r>
      <w:r w:rsidRPr="006B5E41">
        <w:rPr>
          <w:i/>
          <w:iCs/>
        </w:rPr>
        <w:t xml:space="preserve">Local Competition and Broadband Reporting, </w:t>
      </w:r>
      <w:r w:rsidRPr="00D11F1B">
        <w:t>Report and Order</w:t>
      </w:r>
      <w:r w:rsidRPr="006B5E41">
        <w:t xml:space="preserve">, </w:t>
      </w:r>
      <w:r>
        <w:t xml:space="preserve">CC </w:t>
      </w:r>
      <w:r w:rsidRPr="00C668DD">
        <w:t>Docket No.</w:t>
      </w:r>
      <w:r>
        <w:t xml:space="preserve"> 99-301,</w:t>
      </w:r>
      <w:r w:rsidRPr="006B5E41">
        <w:t>15 FCC Rcd 7717, 77</w:t>
      </w:r>
      <w:r>
        <w:t>46</w:t>
      </w:r>
      <w:r w:rsidRPr="006B5E41">
        <w:t xml:space="preserve">, para. </w:t>
      </w:r>
      <w:r>
        <w:t>56</w:t>
      </w:r>
      <w:r w:rsidRPr="006B5E41">
        <w:t xml:space="preserve"> (2000)</w:t>
      </w:r>
      <w:r>
        <w:t xml:space="preserve"> (requiring providers to report their data semi-annually to “best balance [its] need for timely information with [its] desire to minimize the reporting burden”); </w:t>
      </w:r>
      <w:r w:rsidRPr="00CC68A0">
        <w:rPr>
          <w:i/>
          <w:iCs/>
        </w:rPr>
        <w:t>id.</w:t>
      </w:r>
      <w:r>
        <w:t xml:space="preserve"> (noting that semi-annual reporting would provide “the most accurate, comprehensive, and timely picture” of the data and would “enable [it] to quickly compose a baseline assessment” of the market)</w:t>
      </w:r>
      <w:r w:rsidRPr="006B5E41">
        <w:t>.</w:t>
      </w:r>
    </w:p>
  </w:footnote>
  <w:footnote w:id="28">
    <w:p w:rsidR="0004266F" w14:paraId="302A3782" w14:textId="3EE7241B">
      <w:pPr>
        <w:pStyle w:val="FootnoteText"/>
      </w:pPr>
      <w:r>
        <w:rPr>
          <w:rStyle w:val="FootnoteReference"/>
        </w:rPr>
        <w:footnoteRef/>
      </w:r>
      <w:r>
        <w:t xml:space="preserve"> </w:t>
      </w:r>
      <w:r w:rsidRPr="000A0077" w:rsidR="000A0077">
        <w:rPr>
          <w:i/>
          <w:iCs/>
        </w:rPr>
        <w:t>See</w:t>
      </w:r>
      <w:r w:rsidRPr="000A0077" w:rsidR="000A0077">
        <w:t xml:space="preserve"> 47 CFR § 1.7002.</w:t>
      </w:r>
    </w:p>
  </w:footnote>
  <w:footnote w:id="29">
    <w:p w:rsidR="00E20209" w:rsidP="00BA75B7" w14:paraId="1B7408C9" w14:textId="1EFF47E9">
      <w:pPr>
        <w:pStyle w:val="FootnoteText"/>
      </w:pPr>
      <w:r>
        <w:rPr>
          <w:rStyle w:val="FootnoteReference"/>
        </w:rPr>
        <w:footnoteRef/>
      </w:r>
      <w:r>
        <w:t xml:space="preserve"> </w:t>
      </w:r>
      <w:r w:rsidR="005F0B4B">
        <w:t xml:space="preserve">Specifically, the certification </w:t>
      </w:r>
      <w:r w:rsidR="001964C4">
        <w:t xml:space="preserve">document </w:t>
      </w:r>
      <w:r w:rsidR="00415A53">
        <w:t xml:space="preserve">uploaded as a “readme” file </w:t>
      </w:r>
      <w:r w:rsidR="005F7416">
        <w:t xml:space="preserve">must </w:t>
      </w:r>
      <w:r w:rsidR="000D126C">
        <w:t>provide</w:t>
      </w:r>
      <w:r w:rsidR="00415A53">
        <w:t xml:space="preserve"> </w:t>
      </w:r>
      <w:r w:rsidR="005F7416">
        <w:t>as follows:</w:t>
      </w:r>
      <w:r w:rsidR="008C2488">
        <w:t xml:space="preserve"> </w:t>
      </w:r>
      <w:r w:rsidR="005F7416">
        <w:t>“</w:t>
      </w:r>
      <w:r w:rsidR="00BA75B7">
        <w:t xml:space="preserve">I certify under penalty of perjury that (a) I am a person with agency or authority to make this certification on behalf of the submitting party; (b) I have examined the information submitted and it is true, accurate, and correct to the best of my knowledge, information, and belief; and (c) all data and statements contained in the shapefile(s) submitted for data as of May 15, 2021, were generated in accordance with the parameters for mobile broadband service set forth in 47 CFR § 1.7004(c)(3)(i)-(iii).  I understand that persons making willful false statements in any part of this data collection can be punished by fine or imprisonment, pursuant to 47 U.S.C. § 220(e). </w:t>
      </w:r>
      <w:r w:rsidR="007174C4">
        <w:t xml:space="preserve"> </w:t>
      </w:r>
      <w:r w:rsidR="00BA75B7">
        <w:t>For purposes of this submission, the entry of my name here constitutes my electronic signature to this certification: [[Enter first name and last name here]]</w:t>
      </w:r>
      <w:r w:rsidR="00DB1242">
        <w:t>.</w:t>
      </w:r>
      <w:r w:rsidR="0018373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A8D7CBB" w14:textId="4FA72EEC">
    <w:pPr>
      <w:pStyle w:val="Header"/>
      <w:rPr>
        <w:b w:val="0"/>
      </w:rPr>
    </w:pPr>
    <w:r>
      <w:tab/>
      <w:t>Federal Communications Commission</w:t>
    </w:r>
    <w:r>
      <w:tab/>
    </w:r>
    <w:r w:rsidR="00544B8F">
      <w:t>DA</w:t>
    </w:r>
    <w:r w:rsidR="00514A1F">
      <w:t xml:space="preserve"> 21-</w:t>
    </w:r>
    <w:r w:rsidR="00A94ACD">
      <w:t>752</w:t>
    </w:r>
  </w:p>
  <w:p w:rsidR="00D25FB5" w14:paraId="40F6DF7C" w14:textId="6520944D">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9E871C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6434A4" w14:textId="0046CA5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544B8F">
      <w:rPr>
        <w:spacing w:val="-2"/>
      </w:rPr>
      <w:t>DA</w:t>
    </w:r>
    <w:r>
      <w:rPr>
        <w:spacing w:val="-2"/>
      </w:rPr>
      <w:t xml:space="preserve"> 21-</w:t>
    </w:r>
    <w:r w:rsidR="00A94ACD">
      <w:rPr>
        <w:spacing w:val="-2"/>
      </w:rPr>
      <w:t>752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8010BD0"/>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multilevel"/>
    <w:tmpl w:val="B1F45678"/>
    <w:lvl w:ilvl="0">
      <w:start w:val="1"/>
      <w:numFmt w:val="decimal"/>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95A0B"/>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0A74050"/>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2294F2A"/>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CD253D2"/>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AA53BDD"/>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EA11E48"/>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1182925"/>
    <w:multiLevelType w:val="singleLevel"/>
    <w:tmpl w:val="1A44F844"/>
    <w:lvl w:ilvl="0">
      <w:start w:val="1"/>
      <w:numFmt w:val="decimal"/>
      <w:pStyle w:val="ParaNum"/>
      <w:lvlText w:val="%1."/>
      <w:lvlJc w:val="left"/>
      <w:pPr>
        <w:tabs>
          <w:tab w:val="num" w:pos="1080"/>
        </w:tabs>
        <w:ind w:left="0" w:firstLine="720"/>
      </w:pPr>
      <w:rPr>
        <w:rFonts w:ascii="Times New Roman" w:hAnsi="Times New Roman" w:cs="Times New Roman" w:hint="default"/>
      </w:rPr>
    </w:lvl>
  </w:abstractNum>
  <w:num w:numId="1">
    <w:abstractNumId w:val="2"/>
  </w:num>
  <w:num w:numId="2">
    <w:abstractNumId w:val="12"/>
  </w:num>
  <w:num w:numId="3">
    <w:abstractNumId w:val="4"/>
  </w:num>
  <w:num w:numId="4">
    <w:abstractNumId w:val="9"/>
  </w:num>
  <w:num w:numId="5">
    <w:abstractNumId w:val="3"/>
  </w:num>
  <w:num w:numId="6">
    <w:abstractNumId w:val="0"/>
  </w:num>
  <w:num w:numId="7">
    <w:abstractNumId w:val="12"/>
    <w:lvlOverride w:ilvl="0">
      <w:startOverride w:val="1"/>
    </w:lvlOverride>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lvlOverride w:ilvl="0">
      <w:startOverride w:val="1"/>
    </w:lvlOverride>
  </w:num>
  <w:num w:numId="30">
    <w:abstractNumId w:val="12"/>
  </w:num>
  <w:num w:numId="31">
    <w:abstractNumId w:val="12"/>
  </w:num>
  <w:num w:numId="32">
    <w:abstractNumId w:val="12"/>
    <w:lvlOverride w:ilvl="0">
      <w:startOverride w:val="1"/>
    </w:lvlOverride>
  </w:num>
  <w:num w:numId="33">
    <w:abstractNumId w:val="12"/>
    <w:lvlOverride w:ilvl="0">
      <w:startOverride w:val="1"/>
    </w:lvlOverride>
  </w:num>
  <w:num w:numId="34">
    <w:abstractNumId w:val="12"/>
  </w:num>
  <w:num w:numId="35">
    <w:abstractNumId w:val="1"/>
  </w:num>
  <w:num w:numId="36">
    <w:abstractNumId w:val="7"/>
  </w:num>
  <w:num w:numId="37">
    <w:abstractNumId w:val="5"/>
  </w:num>
  <w:num w:numId="38">
    <w:abstractNumId w:val="8"/>
  </w:num>
  <w:num w:numId="39">
    <w:abstractNumId w:val="11"/>
  </w:num>
  <w:num w:numId="40">
    <w:abstractNumId w:val="10"/>
  </w:num>
  <w:num w:numId="41">
    <w:abstractNumId w:val="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595"/>
    <w:rsid w:val="0000030F"/>
    <w:rsid w:val="0000268D"/>
    <w:rsid w:val="00002811"/>
    <w:rsid w:val="000049C2"/>
    <w:rsid w:val="0001047B"/>
    <w:rsid w:val="00010F95"/>
    <w:rsid w:val="00012385"/>
    <w:rsid w:val="00017B01"/>
    <w:rsid w:val="00020303"/>
    <w:rsid w:val="000212F1"/>
    <w:rsid w:val="00023445"/>
    <w:rsid w:val="000265A1"/>
    <w:rsid w:val="00026913"/>
    <w:rsid w:val="00026A1A"/>
    <w:rsid w:val="00035595"/>
    <w:rsid w:val="00036039"/>
    <w:rsid w:val="00037F90"/>
    <w:rsid w:val="00041206"/>
    <w:rsid w:val="000418DB"/>
    <w:rsid w:val="0004246A"/>
    <w:rsid w:val="0004266F"/>
    <w:rsid w:val="0004308E"/>
    <w:rsid w:val="00044BB0"/>
    <w:rsid w:val="0004519B"/>
    <w:rsid w:val="00046C30"/>
    <w:rsid w:val="00046D96"/>
    <w:rsid w:val="00046F89"/>
    <w:rsid w:val="000510B0"/>
    <w:rsid w:val="000530F3"/>
    <w:rsid w:val="00053E05"/>
    <w:rsid w:val="000654F2"/>
    <w:rsid w:val="00071434"/>
    <w:rsid w:val="00074A43"/>
    <w:rsid w:val="000752F4"/>
    <w:rsid w:val="00077177"/>
    <w:rsid w:val="00080A67"/>
    <w:rsid w:val="000832ED"/>
    <w:rsid w:val="000842C8"/>
    <w:rsid w:val="000875BF"/>
    <w:rsid w:val="0009014D"/>
    <w:rsid w:val="000926F4"/>
    <w:rsid w:val="000938D9"/>
    <w:rsid w:val="000938E8"/>
    <w:rsid w:val="00093FA4"/>
    <w:rsid w:val="00096D8C"/>
    <w:rsid w:val="00097656"/>
    <w:rsid w:val="00097F61"/>
    <w:rsid w:val="000A0077"/>
    <w:rsid w:val="000A63C9"/>
    <w:rsid w:val="000A6BD7"/>
    <w:rsid w:val="000B0E56"/>
    <w:rsid w:val="000B166C"/>
    <w:rsid w:val="000B2A31"/>
    <w:rsid w:val="000B412D"/>
    <w:rsid w:val="000B623E"/>
    <w:rsid w:val="000B6AD4"/>
    <w:rsid w:val="000B7128"/>
    <w:rsid w:val="000B72BB"/>
    <w:rsid w:val="000B783D"/>
    <w:rsid w:val="000C0B65"/>
    <w:rsid w:val="000C1E04"/>
    <w:rsid w:val="000C1E25"/>
    <w:rsid w:val="000C36F0"/>
    <w:rsid w:val="000C5631"/>
    <w:rsid w:val="000C5A9E"/>
    <w:rsid w:val="000C5C71"/>
    <w:rsid w:val="000C606D"/>
    <w:rsid w:val="000C74C0"/>
    <w:rsid w:val="000D126C"/>
    <w:rsid w:val="000D16C7"/>
    <w:rsid w:val="000D1857"/>
    <w:rsid w:val="000D68AC"/>
    <w:rsid w:val="000E05FE"/>
    <w:rsid w:val="000E1752"/>
    <w:rsid w:val="000E3D42"/>
    <w:rsid w:val="000E5208"/>
    <w:rsid w:val="000E711A"/>
    <w:rsid w:val="000F1BD4"/>
    <w:rsid w:val="000F3284"/>
    <w:rsid w:val="000F34E6"/>
    <w:rsid w:val="000F3CBB"/>
    <w:rsid w:val="000F7A9A"/>
    <w:rsid w:val="00101F8B"/>
    <w:rsid w:val="0010223D"/>
    <w:rsid w:val="00102E7A"/>
    <w:rsid w:val="001035FE"/>
    <w:rsid w:val="001036E7"/>
    <w:rsid w:val="00103E62"/>
    <w:rsid w:val="0011166D"/>
    <w:rsid w:val="00112E59"/>
    <w:rsid w:val="00116E1E"/>
    <w:rsid w:val="00117E65"/>
    <w:rsid w:val="0012053C"/>
    <w:rsid w:val="00121EF3"/>
    <w:rsid w:val="00122BD5"/>
    <w:rsid w:val="00122F7E"/>
    <w:rsid w:val="00123844"/>
    <w:rsid w:val="00126B04"/>
    <w:rsid w:val="00131B23"/>
    <w:rsid w:val="00133F79"/>
    <w:rsid w:val="001379CF"/>
    <w:rsid w:val="00137B27"/>
    <w:rsid w:val="00147AE0"/>
    <w:rsid w:val="00147C99"/>
    <w:rsid w:val="00147FA6"/>
    <w:rsid w:val="001524C7"/>
    <w:rsid w:val="00152890"/>
    <w:rsid w:val="0015327E"/>
    <w:rsid w:val="00155961"/>
    <w:rsid w:val="001572C4"/>
    <w:rsid w:val="0016130C"/>
    <w:rsid w:val="00161990"/>
    <w:rsid w:val="00162D60"/>
    <w:rsid w:val="00164962"/>
    <w:rsid w:val="0017196D"/>
    <w:rsid w:val="001722BB"/>
    <w:rsid w:val="0017687A"/>
    <w:rsid w:val="00180D5F"/>
    <w:rsid w:val="0018373C"/>
    <w:rsid w:val="00186928"/>
    <w:rsid w:val="00190411"/>
    <w:rsid w:val="0019047B"/>
    <w:rsid w:val="00190CB3"/>
    <w:rsid w:val="00190E93"/>
    <w:rsid w:val="0019215F"/>
    <w:rsid w:val="00192F27"/>
    <w:rsid w:val="00194A66"/>
    <w:rsid w:val="00195BED"/>
    <w:rsid w:val="0019639A"/>
    <w:rsid w:val="001964C4"/>
    <w:rsid w:val="001968C0"/>
    <w:rsid w:val="001A52BA"/>
    <w:rsid w:val="001B250C"/>
    <w:rsid w:val="001B26C6"/>
    <w:rsid w:val="001B6B8F"/>
    <w:rsid w:val="001C06D2"/>
    <w:rsid w:val="001C194B"/>
    <w:rsid w:val="001C19FD"/>
    <w:rsid w:val="001D2FBA"/>
    <w:rsid w:val="001D4173"/>
    <w:rsid w:val="001D4C94"/>
    <w:rsid w:val="001D6AEC"/>
    <w:rsid w:val="001D6AF0"/>
    <w:rsid w:val="001D6BCF"/>
    <w:rsid w:val="001D7491"/>
    <w:rsid w:val="001D7543"/>
    <w:rsid w:val="001E01CA"/>
    <w:rsid w:val="001E1BCE"/>
    <w:rsid w:val="001E3288"/>
    <w:rsid w:val="001E5CCA"/>
    <w:rsid w:val="001E79BA"/>
    <w:rsid w:val="001F01C8"/>
    <w:rsid w:val="001F3DE6"/>
    <w:rsid w:val="001F6A04"/>
    <w:rsid w:val="001F6CBD"/>
    <w:rsid w:val="001F7FCE"/>
    <w:rsid w:val="00200266"/>
    <w:rsid w:val="00200906"/>
    <w:rsid w:val="00200D84"/>
    <w:rsid w:val="00203BD5"/>
    <w:rsid w:val="00203EEE"/>
    <w:rsid w:val="0020660F"/>
    <w:rsid w:val="00211B5C"/>
    <w:rsid w:val="00212909"/>
    <w:rsid w:val="002159C7"/>
    <w:rsid w:val="002163C1"/>
    <w:rsid w:val="00217C7E"/>
    <w:rsid w:val="002227EF"/>
    <w:rsid w:val="00222D92"/>
    <w:rsid w:val="00222E39"/>
    <w:rsid w:val="00224E51"/>
    <w:rsid w:val="00225613"/>
    <w:rsid w:val="00227BD9"/>
    <w:rsid w:val="00231031"/>
    <w:rsid w:val="00231960"/>
    <w:rsid w:val="00231F8B"/>
    <w:rsid w:val="00232102"/>
    <w:rsid w:val="00240B15"/>
    <w:rsid w:val="00242B46"/>
    <w:rsid w:val="00242CFF"/>
    <w:rsid w:val="00243536"/>
    <w:rsid w:val="00247796"/>
    <w:rsid w:val="00250071"/>
    <w:rsid w:val="002534D2"/>
    <w:rsid w:val="00254319"/>
    <w:rsid w:val="00254643"/>
    <w:rsid w:val="00257ADB"/>
    <w:rsid w:val="00261AE8"/>
    <w:rsid w:val="002624F2"/>
    <w:rsid w:val="00262503"/>
    <w:rsid w:val="00262D66"/>
    <w:rsid w:val="00264697"/>
    <w:rsid w:val="002650FB"/>
    <w:rsid w:val="002671BC"/>
    <w:rsid w:val="00271C2C"/>
    <w:rsid w:val="00272CBE"/>
    <w:rsid w:val="002742E6"/>
    <w:rsid w:val="002744CF"/>
    <w:rsid w:val="00275CF5"/>
    <w:rsid w:val="0028099F"/>
    <w:rsid w:val="00281BBC"/>
    <w:rsid w:val="002824EE"/>
    <w:rsid w:val="0028301F"/>
    <w:rsid w:val="00284D66"/>
    <w:rsid w:val="00285017"/>
    <w:rsid w:val="00286967"/>
    <w:rsid w:val="00287171"/>
    <w:rsid w:val="00292053"/>
    <w:rsid w:val="00296DD6"/>
    <w:rsid w:val="002A2323"/>
    <w:rsid w:val="002A271B"/>
    <w:rsid w:val="002A2D2E"/>
    <w:rsid w:val="002A64EA"/>
    <w:rsid w:val="002A7C18"/>
    <w:rsid w:val="002B14B1"/>
    <w:rsid w:val="002B3DA2"/>
    <w:rsid w:val="002B7B92"/>
    <w:rsid w:val="002C00E8"/>
    <w:rsid w:val="002C12EA"/>
    <w:rsid w:val="002C186D"/>
    <w:rsid w:val="002C199B"/>
    <w:rsid w:val="002C3C94"/>
    <w:rsid w:val="002D0C52"/>
    <w:rsid w:val="002D4674"/>
    <w:rsid w:val="002E084E"/>
    <w:rsid w:val="002E2645"/>
    <w:rsid w:val="002E431B"/>
    <w:rsid w:val="002E4A14"/>
    <w:rsid w:val="002E4BB7"/>
    <w:rsid w:val="002E5307"/>
    <w:rsid w:val="002F05FE"/>
    <w:rsid w:val="002F14AD"/>
    <w:rsid w:val="002F2609"/>
    <w:rsid w:val="002F5442"/>
    <w:rsid w:val="002F546C"/>
    <w:rsid w:val="002F598A"/>
    <w:rsid w:val="002F71EA"/>
    <w:rsid w:val="003012B0"/>
    <w:rsid w:val="00302B12"/>
    <w:rsid w:val="0030476C"/>
    <w:rsid w:val="0030722F"/>
    <w:rsid w:val="00311057"/>
    <w:rsid w:val="00311A1E"/>
    <w:rsid w:val="0031257E"/>
    <w:rsid w:val="00314D7C"/>
    <w:rsid w:val="00314E00"/>
    <w:rsid w:val="00316B94"/>
    <w:rsid w:val="00317649"/>
    <w:rsid w:val="00320E00"/>
    <w:rsid w:val="00321380"/>
    <w:rsid w:val="00321630"/>
    <w:rsid w:val="00321855"/>
    <w:rsid w:val="00324605"/>
    <w:rsid w:val="003260B0"/>
    <w:rsid w:val="00326F96"/>
    <w:rsid w:val="00327554"/>
    <w:rsid w:val="003278AF"/>
    <w:rsid w:val="00327A1A"/>
    <w:rsid w:val="00330806"/>
    <w:rsid w:val="00332B7E"/>
    <w:rsid w:val="003332E3"/>
    <w:rsid w:val="003337BD"/>
    <w:rsid w:val="00335DBC"/>
    <w:rsid w:val="0034016A"/>
    <w:rsid w:val="00341442"/>
    <w:rsid w:val="003421A3"/>
    <w:rsid w:val="00343749"/>
    <w:rsid w:val="00347EDE"/>
    <w:rsid w:val="00351609"/>
    <w:rsid w:val="00351874"/>
    <w:rsid w:val="00353B88"/>
    <w:rsid w:val="003553AA"/>
    <w:rsid w:val="003634A1"/>
    <w:rsid w:val="00365747"/>
    <w:rsid w:val="00365A9C"/>
    <w:rsid w:val="003660ED"/>
    <w:rsid w:val="00366656"/>
    <w:rsid w:val="00366E29"/>
    <w:rsid w:val="00372EC1"/>
    <w:rsid w:val="003760D0"/>
    <w:rsid w:val="00381CDA"/>
    <w:rsid w:val="00382255"/>
    <w:rsid w:val="00387922"/>
    <w:rsid w:val="0039335C"/>
    <w:rsid w:val="003936C9"/>
    <w:rsid w:val="003947F4"/>
    <w:rsid w:val="003956D0"/>
    <w:rsid w:val="003A02C0"/>
    <w:rsid w:val="003A31B8"/>
    <w:rsid w:val="003A37C7"/>
    <w:rsid w:val="003A3AEF"/>
    <w:rsid w:val="003A601F"/>
    <w:rsid w:val="003B0550"/>
    <w:rsid w:val="003B267E"/>
    <w:rsid w:val="003B32E8"/>
    <w:rsid w:val="003B49CC"/>
    <w:rsid w:val="003B4F0B"/>
    <w:rsid w:val="003B694F"/>
    <w:rsid w:val="003B6A59"/>
    <w:rsid w:val="003C1898"/>
    <w:rsid w:val="003C4E79"/>
    <w:rsid w:val="003C59BC"/>
    <w:rsid w:val="003C5D7B"/>
    <w:rsid w:val="003D113B"/>
    <w:rsid w:val="003D2EFA"/>
    <w:rsid w:val="003D73C1"/>
    <w:rsid w:val="003E14FE"/>
    <w:rsid w:val="003E21F8"/>
    <w:rsid w:val="003E3DC8"/>
    <w:rsid w:val="003E7137"/>
    <w:rsid w:val="003E770D"/>
    <w:rsid w:val="003E78AC"/>
    <w:rsid w:val="003F171C"/>
    <w:rsid w:val="003F2515"/>
    <w:rsid w:val="003F2913"/>
    <w:rsid w:val="003F3F06"/>
    <w:rsid w:val="003F6386"/>
    <w:rsid w:val="003F7CF2"/>
    <w:rsid w:val="004002F2"/>
    <w:rsid w:val="00400540"/>
    <w:rsid w:val="00402AAE"/>
    <w:rsid w:val="00405F6F"/>
    <w:rsid w:val="00406637"/>
    <w:rsid w:val="00407F98"/>
    <w:rsid w:val="00411D08"/>
    <w:rsid w:val="00412422"/>
    <w:rsid w:val="00412FC5"/>
    <w:rsid w:val="00415A53"/>
    <w:rsid w:val="004164EB"/>
    <w:rsid w:val="00417CB3"/>
    <w:rsid w:val="00420206"/>
    <w:rsid w:val="00420EE4"/>
    <w:rsid w:val="00422276"/>
    <w:rsid w:val="004227DD"/>
    <w:rsid w:val="004242F1"/>
    <w:rsid w:val="00425CE4"/>
    <w:rsid w:val="00426C97"/>
    <w:rsid w:val="00427B97"/>
    <w:rsid w:val="00430E87"/>
    <w:rsid w:val="00432C00"/>
    <w:rsid w:val="00434E27"/>
    <w:rsid w:val="00440503"/>
    <w:rsid w:val="004410E6"/>
    <w:rsid w:val="004418E5"/>
    <w:rsid w:val="00441E8A"/>
    <w:rsid w:val="00443066"/>
    <w:rsid w:val="004432CF"/>
    <w:rsid w:val="00443A50"/>
    <w:rsid w:val="00443E1F"/>
    <w:rsid w:val="00445291"/>
    <w:rsid w:val="00445922"/>
    <w:rsid w:val="00445A00"/>
    <w:rsid w:val="00451B0F"/>
    <w:rsid w:val="00454E4B"/>
    <w:rsid w:val="00454F62"/>
    <w:rsid w:val="004573DC"/>
    <w:rsid w:val="00457EE5"/>
    <w:rsid w:val="004619C2"/>
    <w:rsid w:val="00462226"/>
    <w:rsid w:val="004632B6"/>
    <w:rsid w:val="00464405"/>
    <w:rsid w:val="00466178"/>
    <w:rsid w:val="0046679C"/>
    <w:rsid w:val="00466CCE"/>
    <w:rsid w:val="004731C1"/>
    <w:rsid w:val="004736F3"/>
    <w:rsid w:val="0047396C"/>
    <w:rsid w:val="00473C44"/>
    <w:rsid w:val="00477CAC"/>
    <w:rsid w:val="00481D09"/>
    <w:rsid w:val="004831A2"/>
    <w:rsid w:val="004847BC"/>
    <w:rsid w:val="00492272"/>
    <w:rsid w:val="004937D6"/>
    <w:rsid w:val="0049571B"/>
    <w:rsid w:val="00495F45"/>
    <w:rsid w:val="00497503"/>
    <w:rsid w:val="004A210C"/>
    <w:rsid w:val="004A21C4"/>
    <w:rsid w:val="004A32A9"/>
    <w:rsid w:val="004A73CB"/>
    <w:rsid w:val="004B10BA"/>
    <w:rsid w:val="004B23BB"/>
    <w:rsid w:val="004B30A3"/>
    <w:rsid w:val="004B3D1C"/>
    <w:rsid w:val="004B4690"/>
    <w:rsid w:val="004B65DA"/>
    <w:rsid w:val="004C00FE"/>
    <w:rsid w:val="004C16A4"/>
    <w:rsid w:val="004C2EE3"/>
    <w:rsid w:val="004C5C00"/>
    <w:rsid w:val="004C6CD6"/>
    <w:rsid w:val="004D037A"/>
    <w:rsid w:val="004D090F"/>
    <w:rsid w:val="004D6DA6"/>
    <w:rsid w:val="004D7D97"/>
    <w:rsid w:val="004E093E"/>
    <w:rsid w:val="004E2CCB"/>
    <w:rsid w:val="004E2D17"/>
    <w:rsid w:val="004E2F37"/>
    <w:rsid w:val="004E475E"/>
    <w:rsid w:val="004E4A22"/>
    <w:rsid w:val="004E55D6"/>
    <w:rsid w:val="004E5C5C"/>
    <w:rsid w:val="004E6479"/>
    <w:rsid w:val="004E6B62"/>
    <w:rsid w:val="004F00FD"/>
    <w:rsid w:val="004F01C2"/>
    <w:rsid w:val="004F0267"/>
    <w:rsid w:val="004F2E3C"/>
    <w:rsid w:val="004F64E8"/>
    <w:rsid w:val="004F76F7"/>
    <w:rsid w:val="0050058A"/>
    <w:rsid w:val="005025A3"/>
    <w:rsid w:val="00510C67"/>
    <w:rsid w:val="00511968"/>
    <w:rsid w:val="00513DF8"/>
    <w:rsid w:val="00514A1F"/>
    <w:rsid w:val="00515D76"/>
    <w:rsid w:val="00515F25"/>
    <w:rsid w:val="005244F0"/>
    <w:rsid w:val="0052587A"/>
    <w:rsid w:val="0052782A"/>
    <w:rsid w:val="00535B38"/>
    <w:rsid w:val="00535D48"/>
    <w:rsid w:val="00535E39"/>
    <w:rsid w:val="00536147"/>
    <w:rsid w:val="005376F8"/>
    <w:rsid w:val="00541058"/>
    <w:rsid w:val="00541E9C"/>
    <w:rsid w:val="005445D2"/>
    <w:rsid w:val="005448D8"/>
    <w:rsid w:val="00544B8F"/>
    <w:rsid w:val="00545DD9"/>
    <w:rsid w:val="00547C45"/>
    <w:rsid w:val="00553629"/>
    <w:rsid w:val="0055614C"/>
    <w:rsid w:val="00556B5A"/>
    <w:rsid w:val="005600FF"/>
    <w:rsid w:val="00560B91"/>
    <w:rsid w:val="0056105E"/>
    <w:rsid w:val="005618CB"/>
    <w:rsid w:val="005644EF"/>
    <w:rsid w:val="00566D06"/>
    <w:rsid w:val="0057033F"/>
    <w:rsid w:val="005713BC"/>
    <w:rsid w:val="0057653D"/>
    <w:rsid w:val="005769E8"/>
    <w:rsid w:val="00580EFD"/>
    <w:rsid w:val="00581199"/>
    <w:rsid w:val="00583CCA"/>
    <w:rsid w:val="00584142"/>
    <w:rsid w:val="00584664"/>
    <w:rsid w:val="00586F4D"/>
    <w:rsid w:val="005872AC"/>
    <w:rsid w:val="005902AA"/>
    <w:rsid w:val="005925F6"/>
    <w:rsid w:val="00594A50"/>
    <w:rsid w:val="00596F9E"/>
    <w:rsid w:val="005A347C"/>
    <w:rsid w:val="005A48A8"/>
    <w:rsid w:val="005A5613"/>
    <w:rsid w:val="005A6F76"/>
    <w:rsid w:val="005B0151"/>
    <w:rsid w:val="005B10D1"/>
    <w:rsid w:val="005B4FD0"/>
    <w:rsid w:val="005B53F3"/>
    <w:rsid w:val="005B5662"/>
    <w:rsid w:val="005B75A0"/>
    <w:rsid w:val="005C11EF"/>
    <w:rsid w:val="005C1B8A"/>
    <w:rsid w:val="005C2A0F"/>
    <w:rsid w:val="005C5E70"/>
    <w:rsid w:val="005D0A98"/>
    <w:rsid w:val="005D1FE9"/>
    <w:rsid w:val="005D35B2"/>
    <w:rsid w:val="005D5815"/>
    <w:rsid w:val="005D5CBB"/>
    <w:rsid w:val="005D71F7"/>
    <w:rsid w:val="005D7C35"/>
    <w:rsid w:val="005E14C2"/>
    <w:rsid w:val="005E2B63"/>
    <w:rsid w:val="005E2F3F"/>
    <w:rsid w:val="005E3313"/>
    <w:rsid w:val="005E59CB"/>
    <w:rsid w:val="005F0B4B"/>
    <w:rsid w:val="005F2B0B"/>
    <w:rsid w:val="005F3B73"/>
    <w:rsid w:val="005F4891"/>
    <w:rsid w:val="005F499A"/>
    <w:rsid w:val="005F7287"/>
    <w:rsid w:val="005F7416"/>
    <w:rsid w:val="005F778D"/>
    <w:rsid w:val="006014DB"/>
    <w:rsid w:val="006019D3"/>
    <w:rsid w:val="00603225"/>
    <w:rsid w:val="00604331"/>
    <w:rsid w:val="0060458D"/>
    <w:rsid w:val="00606189"/>
    <w:rsid w:val="00607BA5"/>
    <w:rsid w:val="0061180A"/>
    <w:rsid w:val="0061295B"/>
    <w:rsid w:val="006201AB"/>
    <w:rsid w:val="00621EF5"/>
    <w:rsid w:val="00623006"/>
    <w:rsid w:val="0062681A"/>
    <w:rsid w:val="00626EB6"/>
    <w:rsid w:val="00627B47"/>
    <w:rsid w:val="0063006D"/>
    <w:rsid w:val="00631F45"/>
    <w:rsid w:val="00635857"/>
    <w:rsid w:val="00635BC4"/>
    <w:rsid w:val="00641998"/>
    <w:rsid w:val="00641AE5"/>
    <w:rsid w:val="00646064"/>
    <w:rsid w:val="006510EA"/>
    <w:rsid w:val="0065243D"/>
    <w:rsid w:val="006524D9"/>
    <w:rsid w:val="0065349E"/>
    <w:rsid w:val="00653532"/>
    <w:rsid w:val="00654712"/>
    <w:rsid w:val="00655A51"/>
    <w:rsid w:val="00655D03"/>
    <w:rsid w:val="0065799D"/>
    <w:rsid w:val="0066091F"/>
    <w:rsid w:val="00661936"/>
    <w:rsid w:val="0066275A"/>
    <w:rsid w:val="00662E7C"/>
    <w:rsid w:val="00663C4D"/>
    <w:rsid w:val="0066432B"/>
    <w:rsid w:val="00664857"/>
    <w:rsid w:val="00664982"/>
    <w:rsid w:val="00665042"/>
    <w:rsid w:val="00665A53"/>
    <w:rsid w:val="00670E8B"/>
    <w:rsid w:val="00672732"/>
    <w:rsid w:val="00672A88"/>
    <w:rsid w:val="00672B85"/>
    <w:rsid w:val="006739AF"/>
    <w:rsid w:val="00673C31"/>
    <w:rsid w:val="00675812"/>
    <w:rsid w:val="0067685D"/>
    <w:rsid w:val="00677F9A"/>
    <w:rsid w:val="00680445"/>
    <w:rsid w:val="006811B7"/>
    <w:rsid w:val="00681668"/>
    <w:rsid w:val="00681C6F"/>
    <w:rsid w:val="00683039"/>
    <w:rsid w:val="006831CD"/>
    <w:rsid w:val="00683388"/>
    <w:rsid w:val="00683AC2"/>
    <w:rsid w:val="00683F84"/>
    <w:rsid w:val="006840BB"/>
    <w:rsid w:val="006869AA"/>
    <w:rsid w:val="006923B0"/>
    <w:rsid w:val="00694D71"/>
    <w:rsid w:val="006A3DF8"/>
    <w:rsid w:val="006A6A81"/>
    <w:rsid w:val="006A7462"/>
    <w:rsid w:val="006B0018"/>
    <w:rsid w:val="006B02AE"/>
    <w:rsid w:val="006B04C9"/>
    <w:rsid w:val="006B0BA2"/>
    <w:rsid w:val="006B255E"/>
    <w:rsid w:val="006B462D"/>
    <w:rsid w:val="006B4EF9"/>
    <w:rsid w:val="006B5CF2"/>
    <w:rsid w:val="006B5E41"/>
    <w:rsid w:val="006C06FD"/>
    <w:rsid w:val="006C131D"/>
    <w:rsid w:val="006C160B"/>
    <w:rsid w:val="006C57C3"/>
    <w:rsid w:val="006C7A31"/>
    <w:rsid w:val="006D18E7"/>
    <w:rsid w:val="006D3844"/>
    <w:rsid w:val="006D4008"/>
    <w:rsid w:val="006D522C"/>
    <w:rsid w:val="006D7594"/>
    <w:rsid w:val="006D7D6B"/>
    <w:rsid w:val="006E11FE"/>
    <w:rsid w:val="006F3799"/>
    <w:rsid w:val="006F6C53"/>
    <w:rsid w:val="006F7393"/>
    <w:rsid w:val="006F7E0D"/>
    <w:rsid w:val="00700169"/>
    <w:rsid w:val="007004B6"/>
    <w:rsid w:val="0070084F"/>
    <w:rsid w:val="00700F19"/>
    <w:rsid w:val="0070224F"/>
    <w:rsid w:val="00702354"/>
    <w:rsid w:val="00702673"/>
    <w:rsid w:val="00703F87"/>
    <w:rsid w:val="0070447E"/>
    <w:rsid w:val="00706717"/>
    <w:rsid w:val="00706A24"/>
    <w:rsid w:val="00711129"/>
    <w:rsid w:val="007115F7"/>
    <w:rsid w:val="00714447"/>
    <w:rsid w:val="00714F7F"/>
    <w:rsid w:val="00715651"/>
    <w:rsid w:val="007174C4"/>
    <w:rsid w:val="00717C4E"/>
    <w:rsid w:val="00721A19"/>
    <w:rsid w:val="00724065"/>
    <w:rsid w:val="00727B7A"/>
    <w:rsid w:val="007309C2"/>
    <w:rsid w:val="00735ACA"/>
    <w:rsid w:val="00736ED9"/>
    <w:rsid w:val="007401FD"/>
    <w:rsid w:val="00742371"/>
    <w:rsid w:val="00742792"/>
    <w:rsid w:val="007438D3"/>
    <w:rsid w:val="00744365"/>
    <w:rsid w:val="00744765"/>
    <w:rsid w:val="007449C3"/>
    <w:rsid w:val="00744E01"/>
    <w:rsid w:val="0074585A"/>
    <w:rsid w:val="00747628"/>
    <w:rsid w:val="0074773F"/>
    <w:rsid w:val="0075174A"/>
    <w:rsid w:val="0075292D"/>
    <w:rsid w:val="00764140"/>
    <w:rsid w:val="007643F6"/>
    <w:rsid w:val="00766007"/>
    <w:rsid w:val="00773644"/>
    <w:rsid w:val="00774E70"/>
    <w:rsid w:val="007755EB"/>
    <w:rsid w:val="00775E23"/>
    <w:rsid w:val="007773CD"/>
    <w:rsid w:val="007801CD"/>
    <w:rsid w:val="00780493"/>
    <w:rsid w:val="00781FB1"/>
    <w:rsid w:val="007824C7"/>
    <w:rsid w:val="00782537"/>
    <w:rsid w:val="0078262F"/>
    <w:rsid w:val="007827E6"/>
    <w:rsid w:val="0078283E"/>
    <w:rsid w:val="00785689"/>
    <w:rsid w:val="00790D2A"/>
    <w:rsid w:val="00791BF1"/>
    <w:rsid w:val="00792486"/>
    <w:rsid w:val="007930A6"/>
    <w:rsid w:val="00793592"/>
    <w:rsid w:val="00794CD8"/>
    <w:rsid w:val="00796621"/>
    <w:rsid w:val="0079754B"/>
    <w:rsid w:val="00797955"/>
    <w:rsid w:val="007A0721"/>
    <w:rsid w:val="007A14F5"/>
    <w:rsid w:val="007A1C42"/>
    <w:rsid w:val="007A1E6D"/>
    <w:rsid w:val="007A3032"/>
    <w:rsid w:val="007A6A9C"/>
    <w:rsid w:val="007A7377"/>
    <w:rsid w:val="007A75F0"/>
    <w:rsid w:val="007A7B64"/>
    <w:rsid w:val="007A7D04"/>
    <w:rsid w:val="007B0EB2"/>
    <w:rsid w:val="007B24F1"/>
    <w:rsid w:val="007B2B6A"/>
    <w:rsid w:val="007B4F36"/>
    <w:rsid w:val="007B6B40"/>
    <w:rsid w:val="007C053B"/>
    <w:rsid w:val="007C14CD"/>
    <w:rsid w:val="007C2E4A"/>
    <w:rsid w:val="007C34EE"/>
    <w:rsid w:val="007C38CA"/>
    <w:rsid w:val="007C44D9"/>
    <w:rsid w:val="007D0F0F"/>
    <w:rsid w:val="007D1081"/>
    <w:rsid w:val="007D1DF0"/>
    <w:rsid w:val="007D3064"/>
    <w:rsid w:val="007D469F"/>
    <w:rsid w:val="007D46AE"/>
    <w:rsid w:val="007D5112"/>
    <w:rsid w:val="007D54B3"/>
    <w:rsid w:val="007D5B36"/>
    <w:rsid w:val="007D5EAC"/>
    <w:rsid w:val="007E1AF4"/>
    <w:rsid w:val="007E3603"/>
    <w:rsid w:val="007E50B6"/>
    <w:rsid w:val="007F0C34"/>
    <w:rsid w:val="007F3CDE"/>
    <w:rsid w:val="007F69A6"/>
    <w:rsid w:val="00800EFA"/>
    <w:rsid w:val="00802288"/>
    <w:rsid w:val="00802862"/>
    <w:rsid w:val="0080402C"/>
    <w:rsid w:val="008044E4"/>
    <w:rsid w:val="0080621D"/>
    <w:rsid w:val="00806BF9"/>
    <w:rsid w:val="00807F7E"/>
    <w:rsid w:val="008107B8"/>
    <w:rsid w:val="00810B6F"/>
    <w:rsid w:val="00810C28"/>
    <w:rsid w:val="0081192E"/>
    <w:rsid w:val="00814579"/>
    <w:rsid w:val="00814D31"/>
    <w:rsid w:val="00816606"/>
    <w:rsid w:val="00816AA4"/>
    <w:rsid w:val="00820C1D"/>
    <w:rsid w:val="008219EB"/>
    <w:rsid w:val="00821CA7"/>
    <w:rsid w:val="00822CE0"/>
    <w:rsid w:val="00824447"/>
    <w:rsid w:val="00833B17"/>
    <w:rsid w:val="0083670E"/>
    <w:rsid w:val="008416E3"/>
    <w:rsid w:val="00841AB1"/>
    <w:rsid w:val="0084343D"/>
    <w:rsid w:val="0084467D"/>
    <w:rsid w:val="00850494"/>
    <w:rsid w:val="00852A0A"/>
    <w:rsid w:val="00855C97"/>
    <w:rsid w:val="00855D7E"/>
    <w:rsid w:val="00861D07"/>
    <w:rsid w:val="00862E97"/>
    <w:rsid w:val="008641EE"/>
    <w:rsid w:val="0086573F"/>
    <w:rsid w:val="00865BE9"/>
    <w:rsid w:val="008663D7"/>
    <w:rsid w:val="00866FF5"/>
    <w:rsid w:val="008670D4"/>
    <w:rsid w:val="00867F37"/>
    <w:rsid w:val="00870293"/>
    <w:rsid w:val="00871142"/>
    <w:rsid w:val="00873D84"/>
    <w:rsid w:val="00873DD3"/>
    <w:rsid w:val="0087599B"/>
    <w:rsid w:val="00875C0A"/>
    <w:rsid w:val="00883D6D"/>
    <w:rsid w:val="008847C9"/>
    <w:rsid w:val="00886EEC"/>
    <w:rsid w:val="00887CB7"/>
    <w:rsid w:val="00893E09"/>
    <w:rsid w:val="0089414A"/>
    <w:rsid w:val="00897A36"/>
    <w:rsid w:val="008A0FFC"/>
    <w:rsid w:val="008A285F"/>
    <w:rsid w:val="008A44CB"/>
    <w:rsid w:val="008A5188"/>
    <w:rsid w:val="008B05B0"/>
    <w:rsid w:val="008B4E92"/>
    <w:rsid w:val="008C02B8"/>
    <w:rsid w:val="008C2488"/>
    <w:rsid w:val="008C2801"/>
    <w:rsid w:val="008C5ACF"/>
    <w:rsid w:val="008C68F1"/>
    <w:rsid w:val="008C771C"/>
    <w:rsid w:val="008C7F12"/>
    <w:rsid w:val="008D0AE7"/>
    <w:rsid w:val="008D10B2"/>
    <w:rsid w:val="008D500D"/>
    <w:rsid w:val="008D706B"/>
    <w:rsid w:val="008E456C"/>
    <w:rsid w:val="008E6B79"/>
    <w:rsid w:val="008E7355"/>
    <w:rsid w:val="008E7D97"/>
    <w:rsid w:val="008F3103"/>
    <w:rsid w:val="008F48D8"/>
    <w:rsid w:val="008F4A4D"/>
    <w:rsid w:val="008F4C11"/>
    <w:rsid w:val="008F5FEC"/>
    <w:rsid w:val="009005D0"/>
    <w:rsid w:val="009008ED"/>
    <w:rsid w:val="00903653"/>
    <w:rsid w:val="009052B5"/>
    <w:rsid w:val="00910586"/>
    <w:rsid w:val="009112CB"/>
    <w:rsid w:val="00911ABE"/>
    <w:rsid w:val="00911BDF"/>
    <w:rsid w:val="00912B10"/>
    <w:rsid w:val="00912E51"/>
    <w:rsid w:val="009159E8"/>
    <w:rsid w:val="00915A79"/>
    <w:rsid w:val="00916272"/>
    <w:rsid w:val="009206CF"/>
    <w:rsid w:val="00920FF0"/>
    <w:rsid w:val="00921803"/>
    <w:rsid w:val="00921B8F"/>
    <w:rsid w:val="00923088"/>
    <w:rsid w:val="009231F3"/>
    <w:rsid w:val="00924D7C"/>
    <w:rsid w:val="00926503"/>
    <w:rsid w:val="00931BE0"/>
    <w:rsid w:val="00932F8D"/>
    <w:rsid w:val="00935434"/>
    <w:rsid w:val="009356E9"/>
    <w:rsid w:val="00935D72"/>
    <w:rsid w:val="00937096"/>
    <w:rsid w:val="00937EED"/>
    <w:rsid w:val="00941371"/>
    <w:rsid w:val="00942D9B"/>
    <w:rsid w:val="009461A3"/>
    <w:rsid w:val="009464AB"/>
    <w:rsid w:val="009522C9"/>
    <w:rsid w:val="0095697E"/>
    <w:rsid w:val="00957965"/>
    <w:rsid w:val="00961884"/>
    <w:rsid w:val="00963C12"/>
    <w:rsid w:val="00965178"/>
    <w:rsid w:val="00967632"/>
    <w:rsid w:val="009701E4"/>
    <w:rsid w:val="009707BE"/>
    <w:rsid w:val="00970B5D"/>
    <w:rsid w:val="00970CFB"/>
    <w:rsid w:val="009726D8"/>
    <w:rsid w:val="00976316"/>
    <w:rsid w:val="009779AE"/>
    <w:rsid w:val="009821A0"/>
    <w:rsid w:val="0098368E"/>
    <w:rsid w:val="00984424"/>
    <w:rsid w:val="00984434"/>
    <w:rsid w:val="0098473C"/>
    <w:rsid w:val="009903B9"/>
    <w:rsid w:val="00995BCC"/>
    <w:rsid w:val="009A17F5"/>
    <w:rsid w:val="009A3300"/>
    <w:rsid w:val="009A4767"/>
    <w:rsid w:val="009A4F04"/>
    <w:rsid w:val="009A5CD6"/>
    <w:rsid w:val="009A7EBE"/>
    <w:rsid w:val="009B0B5E"/>
    <w:rsid w:val="009B2238"/>
    <w:rsid w:val="009B2383"/>
    <w:rsid w:val="009B57F2"/>
    <w:rsid w:val="009B6A66"/>
    <w:rsid w:val="009B7120"/>
    <w:rsid w:val="009B752C"/>
    <w:rsid w:val="009C09AF"/>
    <w:rsid w:val="009C15AA"/>
    <w:rsid w:val="009C1759"/>
    <w:rsid w:val="009C1921"/>
    <w:rsid w:val="009C1C61"/>
    <w:rsid w:val="009C2F17"/>
    <w:rsid w:val="009C6571"/>
    <w:rsid w:val="009C7260"/>
    <w:rsid w:val="009C7E8F"/>
    <w:rsid w:val="009D0BCB"/>
    <w:rsid w:val="009D0D43"/>
    <w:rsid w:val="009D1229"/>
    <w:rsid w:val="009D3D67"/>
    <w:rsid w:val="009D7308"/>
    <w:rsid w:val="009E099C"/>
    <w:rsid w:val="009E1428"/>
    <w:rsid w:val="009E3DE1"/>
    <w:rsid w:val="009E4106"/>
    <w:rsid w:val="009E4631"/>
    <w:rsid w:val="009E63AB"/>
    <w:rsid w:val="009F1C7D"/>
    <w:rsid w:val="009F292B"/>
    <w:rsid w:val="009F3480"/>
    <w:rsid w:val="009F4359"/>
    <w:rsid w:val="009F75B1"/>
    <w:rsid w:val="009F76DB"/>
    <w:rsid w:val="00A018D1"/>
    <w:rsid w:val="00A01AC2"/>
    <w:rsid w:val="00A020C9"/>
    <w:rsid w:val="00A02C42"/>
    <w:rsid w:val="00A0431B"/>
    <w:rsid w:val="00A0528B"/>
    <w:rsid w:val="00A072B1"/>
    <w:rsid w:val="00A12D08"/>
    <w:rsid w:val="00A1437B"/>
    <w:rsid w:val="00A152C9"/>
    <w:rsid w:val="00A16663"/>
    <w:rsid w:val="00A16F37"/>
    <w:rsid w:val="00A22090"/>
    <w:rsid w:val="00A23383"/>
    <w:rsid w:val="00A246A0"/>
    <w:rsid w:val="00A24B79"/>
    <w:rsid w:val="00A24EF1"/>
    <w:rsid w:val="00A30434"/>
    <w:rsid w:val="00A30C06"/>
    <w:rsid w:val="00A32C3B"/>
    <w:rsid w:val="00A3587D"/>
    <w:rsid w:val="00A36480"/>
    <w:rsid w:val="00A412B9"/>
    <w:rsid w:val="00A41704"/>
    <w:rsid w:val="00A43726"/>
    <w:rsid w:val="00A44656"/>
    <w:rsid w:val="00A4511F"/>
    <w:rsid w:val="00A45589"/>
    <w:rsid w:val="00A45F4F"/>
    <w:rsid w:val="00A50243"/>
    <w:rsid w:val="00A50598"/>
    <w:rsid w:val="00A521DE"/>
    <w:rsid w:val="00A5235E"/>
    <w:rsid w:val="00A54376"/>
    <w:rsid w:val="00A56685"/>
    <w:rsid w:val="00A56D76"/>
    <w:rsid w:val="00A57A7E"/>
    <w:rsid w:val="00A600A9"/>
    <w:rsid w:val="00A607F4"/>
    <w:rsid w:val="00A626A9"/>
    <w:rsid w:val="00A655E0"/>
    <w:rsid w:val="00A66075"/>
    <w:rsid w:val="00A66799"/>
    <w:rsid w:val="00A668A3"/>
    <w:rsid w:val="00A66BEA"/>
    <w:rsid w:val="00A676C9"/>
    <w:rsid w:val="00A715CE"/>
    <w:rsid w:val="00A72DAA"/>
    <w:rsid w:val="00A74938"/>
    <w:rsid w:val="00A768F2"/>
    <w:rsid w:val="00A76D49"/>
    <w:rsid w:val="00A805C7"/>
    <w:rsid w:val="00A80A26"/>
    <w:rsid w:val="00A831E7"/>
    <w:rsid w:val="00A83BA5"/>
    <w:rsid w:val="00A85A47"/>
    <w:rsid w:val="00A8784C"/>
    <w:rsid w:val="00A9140D"/>
    <w:rsid w:val="00A93EE7"/>
    <w:rsid w:val="00A94ACD"/>
    <w:rsid w:val="00A9727F"/>
    <w:rsid w:val="00AA0414"/>
    <w:rsid w:val="00AA1A14"/>
    <w:rsid w:val="00AA210D"/>
    <w:rsid w:val="00AA2558"/>
    <w:rsid w:val="00AA354B"/>
    <w:rsid w:val="00AA4549"/>
    <w:rsid w:val="00AA47DE"/>
    <w:rsid w:val="00AA55B7"/>
    <w:rsid w:val="00AA5B9E"/>
    <w:rsid w:val="00AB17D3"/>
    <w:rsid w:val="00AB2407"/>
    <w:rsid w:val="00AB257C"/>
    <w:rsid w:val="00AB2E4C"/>
    <w:rsid w:val="00AB34DF"/>
    <w:rsid w:val="00AB4A36"/>
    <w:rsid w:val="00AB53DF"/>
    <w:rsid w:val="00AB6339"/>
    <w:rsid w:val="00AC0440"/>
    <w:rsid w:val="00AC26F8"/>
    <w:rsid w:val="00AC4374"/>
    <w:rsid w:val="00AC4719"/>
    <w:rsid w:val="00AC540E"/>
    <w:rsid w:val="00AC7B34"/>
    <w:rsid w:val="00ACA97C"/>
    <w:rsid w:val="00AD0744"/>
    <w:rsid w:val="00AD1410"/>
    <w:rsid w:val="00AD2BDD"/>
    <w:rsid w:val="00AD3884"/>
    <w:rsid w:val="00AD3BE7"/>
    <w:rsid w:val="00AD44F6"/>
    <w:rsid w:val="00AD5DDA"/>
    <w:rsid w:val="00AD7097"/>
    <w:rsid w:val="00AD7142"/>
    <w:rsid w:val="00AE21D9"/>
    <w:rsid w:val="00AE265C"/>
    <w:rsid w:val="00AE316E"/>
    <w:rsid w:val="00AE6563"/>
    <w:rsid w:val="00AE700A"/>
    <w:rsid w:val="00AE7413"/>
    <w:rsid w:val="00AF6C17"/>
    <w:rsid w:val="00AF733C"/>
    <w:rsid w:val="00B0125F"/>
    <w:rsid w:val="00B01D24"/>
    <w:rsid w:val="00B03554"/>
    <w:rsid w:val="00B04450"/>
    <w:rsid w:val="00B069E1"/>
    <w:rsid w:val="00B06E9A"/>
    <w:rsid w:val="00B07B9A"/>
    <w:rsid w:val="00B07E5C"/>
    <w:rsid w:val="00B128BB"/>
    <w:rsid w:val="00B169DA"/>
    <w:rsid w:val="00B22B20"/>
    <w:rsid w:val="00B25D66"/>
    <w:rsid w:val="00B27713"/>
    <w:rsid w:val="00B3135B"/>
    <w:rsid w:val="00B35109"/>
    <w:rsid w:val="00B36037"/>
    <w:rsid w:val="00B40AE7"/>
    <w:rsid w:val="00B4132A"/>
    <w:rsid w:val="00B432DB"/>
    <w:rsid w:val="00B437B5"/>
    <w:rsid w:val="00B44480"/>
    <w:rsid w:val="00B44FE5"/>
    <w:rsid w:val="00B477C5"/>
    <w:rsid w:val="00B507B4"/>
    <w:rsid w:val="00B511BF"/>
    <w:rsid w:val="00B55E82"/>
    <w:rsid w:val="00B6147A"/>
    <w:rsid w:val="00B62F4C"/>
    <w:rsid w:val="00B64D91"/>
    <w:rsid w:val="00B6517C"/>
    <w:rsid w:val="00B74560"/>
    <w:rsid w:val="00B770D7"/>
    <w:rsid w:val="00B77E2C"/>
    <w:rsid w:val="00B811F7"/>
    <w:rsid w:val="00B82288"/>
    <w:rsid w:val="00B83644"/>
    <w:rsid w:val="00B836BA"/>
    <w:rsid w:val="00B83B16"/>
    <w:rsid w:val="00B87D70"/>
    <w:rsid w:val="00B919A1"/>
    <w:rsid w:val="00B922CC"/>
    <w:rsid w:val="00B939B6"/>
    <w:rsid w:val="00B93A3B"/>
    <w:rsid w:val="00B94089"/>
    <w:rsid w:val="00B94DC2"/>
    <w:rsid w:val="00B951D1"/>
    <w:rsid w:val="00BA01A9"/>
    <w:rsid w:val="00BA0866"/>
    <w:rsid w:val="00BA13D1"/>
    <w:rsid w:val="00BA213A"/>
    <w:rsid w:val="00BA49B9"/>
    <w:rsid w:val="00BA517D"/>
    <w:rsid w:val="00BA55CB"/>
    <w:rsid w:val="00BA5DC6"/>
    <w:rsid w:val="00BA6196"/>
    <w:rsid w:val="00BA75B7"/>
    <w:rsid w:val="00BA7C4E"/>
    <w:rsid w:val="00BB0873"/>
    <w:rsid w:val="00BB0D88"/>
    <w:rsid w:val="00BB1170"/>
    <w:rsid w:val="00BB5090"/>
    <w:rsid w:val="00BB639B"/>
    <w:rsid w:val="00BB77A2"/>
    <w:rsid w:val="00BC238E"/>
    <w:rsid w:val="00BC3A6C"/>
    <w:rsid w:val="00BC3FF9"/>
    <w:rsid w:val="00BC5AEA"/>
    <w:rsid w:val="00BC6742"/>
    <w:rsid w:val="00BC6D8C"/>
    <w:rsid w:val="00BD1006"/>
    <w:rsid w:val="00BD2071"/>
    <w:rsid w:val="00BD3787"/>
    <w:rsid w:val="00BD3D8A"/>
    <w:rsid w:val="00BD4017"/>
    <w:rsid w:val="00BD4AE4"/>
    <w:rsid w:val="00BD5720"/>
    <w:rsid w:val="00BD598A"/>
    <w:rsid w:val="00BD6967"/>
    <w:rsid w:val="00BE0A6B"/>
    <w:rsid w:val="00BE1270"/>
    <w:rsid w:val="00BE5D77"/>
    <w:rsid w:val="00BF0B2B"/>
    <w:rsid w:val="00BF0FF2"/>
    <w:rsid w:val="00BF1D04"/>
    <w:rsid w:val="00BF539A"/>
    <w:rsid w:val="00BF57F6"/>
    <w:rsid w:val="00C05319"/>
    <w:rsid w:val="00C06A4C"/>
    <w:rsid w:val="00C06EBD"/>
    <w:rsid w:val="00C124CC"/>
    <w:rsid w:val="00C13891"/>
    <w:rsid w:val="00C156A7"/>
    <w:rsid w:val="00C15E90"/>
    <w:rsid w:val="00C16458"/>
    <w:rsid w:val="00C21668"/>
    <w:rsid w:val="00C21C11"/>
    <w:rsid w:val="00C30769"/>
    <w:rsid w:val="00C30CDA"/>
    <w:rsid w:val="00C31B49"/>
    <w:rsid w:val="00C328CF"/>
    <w:rsid w:val="00C32FF2"/>
    <w:rsid w:val="00C34006"/>
    <w:rsid w:val="00C35EE9"/>
    <w:rsid w:val="00C368F2"/>
    <w:rsid w:val="00C36934"/>
    <w:rsid w:val="00C36B4C"/>
    <w:rsid w:val="00C37983"/>
    <w:rsid w:val="00C41D83"/>
    <w:rsid w:val="00C41FD9"/>
    <w:rsid w:val="00C426B1"/>
    <w:rsid w:val="00C42FCD"/>
    <w:rsid w:val="00C444E9"/>
    <w:rsid w:val="00C479C7"/>
    <w:rsid w:val="00C508DE"/>
    <w:rsid w:val="00C52454"/>
    <w:rsid w:val="00C55BAB"/>
    <w:rsid w:val="00C570B4"/>
    <w:rsid w:val="00C61179"/>
    <w:rsid w:val="00C62236"/>
    <w:rsid w:val="00C66160"/>
    <w:rsid w:val="00C668DD"/>
    <w:rsid w:val="00C7200F"/>
    <w:rsid w:val="00C721AC"/>
    <w:rsid w:val="00C72B4D"/>
    <w:rsid w:val="00C7366B"/>
    <w:rsid w:val="00C736AF"/>
    <w:rsid w:val="00C73ADC"/>
    <w:rsid w:val="00C76163"/>
    <w:rsid w:val="00C76275"/>
    <w:rsid w:val="00C77371"/>
    <w:rsid w:val="00C7772A"/>
    <w:rsid w:val="00C777B2"/>
    <w:rsid w:val="00C8067E"/>
    <w:rsid w:val="00C80D19"/>
    <w:rsid w:val="00C82AE3"/>
    <w:rsid w:val="00C83079"/>
    <w:rsid w:val="00C83495"/>
    <w:rsid w:val="00C83A97"/>
    <w:rsid w:val="00C84778"/>
    <w:rsid w:val="00C863DD"/>
    <w:rsid w:val="00C86D1B"/>
    <w:rsid w:val="00C90D6A"/>
    <w:rsid w:val="00C930B8"/>
    <w:rsid w:val="00C95244"/>
    <w:rsid w:val="00C96768"/>
    <w:rsid w:val="00C97425"/>
    <w:rsid w:val="00C97A7D"/>
    <w:rsid w:val="00CA225B"/>
    <w:rsid w:val="00CA247E"/>
    <w:rsid w:val="00CA42B6"/>
    <w:rsid w:val="00CA554E"/>
    <w:rsid w:val="00CA6D21"/>
    <w:rsid w:val="00CB0748"/>
    <w:rsid w:val="00CB1CF2"/>
    <w:rsid w:val="00CB21F5"/>
    <w:rsid w:val="00CB3EBE"/>
    <w:rsid w:val="00CB5881"/>
    <w:rsid w:val="00CC4208"/>
    <w:rsid w:val="00CC56A7"/>
    <w:rsid w:val="00CC68A0"/>
    <w:rsid w:val="00CC72B6"/>
    <w:rsid w:val="00CD0078"/>
    <w:rsid w:val="00CD1B51"/>
    <w:rsid w:val="00CD6D93"/>
    <w:rsid w:val="00CE5663"/>
    <w:rsid w:val="00CE7C8C"/>
    <w:rsid w:val="00CF22AB"/>
    <w:rsid w:val="00CF254D"/>
    <w:rsid w:val="00CF3667"/>
    <w:rsid w:val="00CF4497"/>
    <w:rsid w:val="00D0218D"/>
    <w:rsid w:val="00D0276A"/>
    <w:rsid w:val="00D029BB"/>
    <w:rsid w:val="00D07C65"/>
    <w:rsid w:val="00D07F62"/>
    <w:rsid w:val="00D10D6D"/>
    <w:rsid w:val="00D111B7"/>
    <w:rsid w:val="00D1154E"/>
    <w:rsid w:val="00D11F1B"/>
    <w:rsid w:val="00D145FA"/>
    <w:rsid w:val="00D156EA"/>
    <w:rsid w:val="00D1744B"/>
    <w:rsid w:val="00D17CE6"/>
    <w:rsid w:val="00D20AB9"/>
    <w:rsid w:val="00D21386"/>
    <w:rsid w:val="00D25716"/>
    <w:rsid w:val="00D25FB5"/>
    <w:rsid w:val="00D277A3"/>
    <w:rsid w:val="00D30A0C"/>
    <w:rsid w:val="00D33125"/>
    <w:rsid w:val="00D33399"/>
    <w:rsid w:val="00D333C5"/>
    <w:rsid w:val="00D34FA9"/>
    <w:rsid w:val="00D35A83"/>
    <w:rsid w:val="00D377EA"/>
    <w:rsid w:val="00D405A3"/>
    <w:rsid w:val="00D415A8"/>
    <w:rsid w:val="00D44182"/>
    <w:rsid w:val="00D44223"/>
    <w:rsid w:val="00D44D28"/>
    <w:rsid w:val="00D47AC5"/>
    <w:rsid w:val="00D506F0"/>
    <w:rsid w:val="00D51ADE"/>
    <w:rsid w:val="00D52B05"/>
    <w:rsid w:val="00D5442E"/>
    <w:rsid w:val="00D55581"/>
    <w:rsid w:val="00D61023"/>
    <w:rsid w:val="00D62E0E"/>
    <w:rsid w:val="00D70568"/>
    <w:rsid w:val="00D738F3"/>
    <w:rsid w:val="00D73A73"/>
    <w:rsid w:val="00D7521C"/>
    <w:rsid w:val="00D75BD8"/>
    <w:rsid w:val="00D75C99"/>
    <w:rsid w:val="00D76291"/>
    <w:rsid w:val="00D77FC4"/>
    <w:rsid w:val="00D80966"/>
    <w:rsid w:val="00D82B0E"/>
    <w:rsid w:val="00D83A2D"/>
    <w:rsid w:val="00D841C7"/>
    <w:rsid w:val="00D8788A"/>
    <w:rsid w:val="00D90870"/>
    <w:rsid w:val="00D9382C"/>
    <w:rsid w:val="00D9729B"/>
    <w:rsid w:val="00DA0529"/>
    <w:rsid w:val="00DA2529"/>
    <w:rsid w:val="00DA387F"/>
    <w:rsid w:val="00DA5C3B"/>
    <w:rsid w:val="00DA7784"/>
    <w:rsid w:val="00DA79D4"/>
    <w:rsid w:val="00DB1242"/>
    <w:rsid w:val="00DB130A"/>
    <w:rsid w:val="00DB1DBC"/>
    <w:rsid w:val="00DB2440"/>
    <w:rsid w:val="00DB2C75"/>
    <w:rsid w:val="00DB2EBB"/>
    <w:rsid w:val="00DB454E"/>
    <w:rsid w:val="00DB4966"/>
    <w:rsid w:val="00DB4C55"/>
    <w:rsid w:val="00DB74E3"/>
    <w:rsid w:val="00DC10A1"/>
    <w:rsid w:val="00DC25C0"/>
    <w:rsid w:val="00DC2B20"/>
    <w:rsid w:val="00DC3145"/>
    <w:rsid w:val="00DC3E08"/>
    <w:rsid w:val="00DC4888"/>
    <w:rsid w:val="00DC61EF"/>
    <w:rsid w:val="00DC655F"/>
    <w:rsid w:val="00DD0B59"/>
    <w:rsid w:val="00DD1031"/>
    <w:rsid w:val="00DD213F"/>
    <w:rsid w:val="00DD3ABA"/>
    <w:rsid w:val="00DD3AD7"/>
    <w:rsid w:val="00DD4709"/>
    <w:rsid w:val="00DD5CF7"/>
    <w:rsid w:val="00DD7EBD"/>
    <w:rsid w:val="00DE0066"/>
    <w:rsid w:val="00DE04FD"/>
    <w:rsid w:val="00DE22C2"/>
    <w:rsid w:val="00DE3698"/>
    <w:rsid w:val="00DE483B"/>
    <w:rsid w:val="00DE6C71"/>
    <w:rsid w:val="00DF136D"/>
    <w:rsid w:val="00DF19DA"/>
    <w:rsid w:val="00DF3B6A"/>
    <w:rsid w:val="00DF4407"/>
    <w:rsid w:val="00DF5630"/>
    <w:rsid w:val="00DF62B6"/>
    <w:rsid w:val="00DF6EF2"/>
    <w:rsid w:val="00DF75C4"/>
    <w:rsid w:val="00E011F4"/>
    <w:rsid w:val="00E01FF1"/>
    <w:rsid w:val="00E05B2A"/>
    <w:rsid w:val="00E063C5"/>
    <w:rsid w:val="00E07225"/>
    <w:rsid w:val="00E103DD"/>
    <w:rsid w:val="00E10DA5"/>
    <w:rsid w:val="00E111CB"/>
    <w:rsid w:val="00E120B3"/>
    <w:rsid w:val="00E12602"/>
    <w:rsid w:val="00E126C7"/>
    <w:rsid w:val="00E12ED7"/>
    <w:rsid w:val="00E1497E"/>
    <w:rsid w:val="00E152ED"/>
    <w:rsid w:val="00E16FBB"/>
    <w:rsid w:val="00E178CE"/>
    <w:rsid w:val="00E20209"/>
    <w:rsid w:val="00E207A4"/>
    <w:rsid w:val="00E2099E"/>
    <w:rsid w:val="00E22822"/>
    <w:rsid w:val="00E30EDE"/>
    <w:rsid w:val="00E319D5"/>
    <w:rsid w:val="00E35607"/>
    <w:rsid w:val="00E368E8"/>
    <w:rsid w:val="00E375A0"/>
    <w:rsid w:val="00E37D38"/>
    <w:rsid w:val="00E40BBC"/>
    <w:rsid w:val="00E4398A"/>
    <w:rsid w:val="00E44178"/>
    <w:rsid w:val="00E456E6"/>
    <w:rsid w:val="00E46462"/>
    <w:rsid w:val="00E47640"/>
    <w:rsid w:val="00E47A71"/>
    <w:rsid w:val="00E502E6"/>
    <w:rsid w:val="00E52752"/>
    <w:rsid w:val="00E52D43"/>
    <w:rsid w:val="00E52E3D"/>
    <w:rsid w:val="00E5409F"/>
    <w:rsid w:val="00E54AB5"/>
    <w:rsid w:val="00E62269"/>
    <w:rsid w:val="00E710A5"/>
    <w:rsid w:val="00E71687"/>
    <w:rsid w:val="00E71F2D"/>
    <w:rsid w:val="00E753BF"/>
    <w:rsid w:val="00E77FD6"/>
    <w:rsid w:val="00E813D0"/>
    <w:rsid w:val="00E82C04"/>
    <w:rsid w:val="00E82E51"/>
    <w:rsid w:val="00E82F8F"/>
    <w:rsid w:val="00E846B5"/>
    <w:rsid w:val="00E8626C"/>
    <w:rsid w:val="00E867F6"/>
    <w:rsid w:val="00E86EAE"/>
    <w:rsid w:val="00E90510"/>
    <w:rsid w:val="00E906C7"/>
    <w:rsid w:val="00E91B58"/>
    <w:rsid w:val="00E93AE4"/>
    <w:rsid w:val="00E93E89"/>
    <w:rsid w:val="00E949B8"/>
    <w:rsid w:val="00E96A19"/>
    <w:rsid w:val="00E9741F"/>
    <w:rsid w:val="00E97A56"/>
    <w:rsid w:val="00E97B37"/>
    <w:rsid w:val="00EA2121"/>
    <w:rsid w:val="00EA707F"/>
    <w:rsid w:val="00EA7741"/>
    <w:rsid w:val="00EA7B50"/>
    <w:rsid w:val="00EA7E6F"/>
    <w:rsid w:val="00EB1699"/>
    <w:rsid w:val="00EB29C7"/>
    <w:rsid w:val="00EB323D"/>
    <w:rsid w:val="00EB339F"/>
    <w:rsid w:val="00EB4027"/>
    <w:rsid w:val="00EB5F0C"/>
    <w:rsid w:val="00EC1E40"/>
    <w:rsid w:val="00EC2A2E"/>
    <w:rsid w:val="00EC4145"/>
    <w:rsid w:val="00EC4A21"/>
    <w:rsid w:val="00EC74A8"/>
    <w:rsid w:val="00ED03B1"/>
    <w:rsid w:val="00ED097E"/>
    <w:rsid w:val="00ED2A94"/>
    <w:rsid w:val="00ED3D63"/>
    <w:rsid w:val="00ED5A7C"/>
    <w:rsid w:val="00ED6910"/>
    <w:rsid w:val="00ED6A2D"/>
    <w:rsid w:val="00EE13F3"/>
    <w:rsid w:val="00EE2BCD"/>
    <w:rsid w:val="00EE343A"/>
    <w:rsid w:val="00EE4425"/>
    <w:rsid w:val="00EE481D"/>
    <w:rsid w:val="00EE48DD"/>
    <w:rsid w:val="00EE6488"/>
    <w:rsid w:val="00EE7061"/>
    <w:rsid w:val="00EF0DA2"/>
    <w:rsid w:val="00EF2E2A"/>
    <w:rsid w:val="00EF60DD"/>
    <w:rsid w:val="00EF7F0F"/>
    <w:rsid w:val="00F021FA"/>
    <w:rsid w:val="00F02BA3"/>
    <w:rsid w:val="00F03FBF"/>
    <w:rsid w:val="00F05944"/>
    <w:rsid w:val="00F128F0"/>
    <w:rsid w:val="00F146AD"/>
    <w:rsid w:val="00F14F16"/>
    <w:rsid w:val="00F15E8B"/>
    <w:rsid w:val="00F22AB3"/>
    <w:rsid w:val="00F230A6"/>
    <w:rsid w:val="00F231B1"/>
    <w:rsid w:val="00F2321C"/>
    <w:rsid w:val="00F23CB5"/>
    <w:rsid w:val="00F24307"/>
    <w:rsid w:val="00F26AA9"/>
    <w:rsid w:val="00F27875"/>
    <w:rsid w:val="00F351A3"/>
    <w:rsid w:val="00F35485"/>
    <w:rsid w:val="00F354C8"/>
    <w:rsid w:val="00F4127B"/>
    <w:rsid w:val="00F413F0"/>
    <w:rsid w:val="00F444E9"/>
    <w:rsid w:val="00F45DBD"/>
    <w:rsid w:val="00F4664D"/>
    <w:rsid w:val="00F47028"/>
    <w:rsid w:val="00F47F50"/>
    <w:rsid w:val="00F51AF5"/>
    <w:rsid w:val="00F53B23"/>
    <w:rsid w:val="00F550D7"/>
    <w:rsid w:val="00F61BE7"/>
    <w:rsid w:val="00F61D22"/>
    <w:rsid w:val="00F626FB"/>
    <w:rsid w:val="00F629C9"/>
    <w:rsid w:val="00F62E97"/>
    <w:rsid w:val="00F64209"/>
    <w:rsid w:val="00F66953"/>
    <w:rsid w:val="00F71BB7"/>
    <w:rsid w:val="00F72D2A"/>
    <w:rsid w:val="00F74DEB"/>
    <w:rsid w:val="00F75D4A"/>
    <w:rsid w:val="00F772CF"/>
    <w:rsid w:val="00F77B02"/>
    <w:rsid w:val="00F80A1E"/>
    <w:rsid w:val="00F817B2"/>
    <w:rsid w:val="00F86DAC"/>
    <w:rsid w:val="00F87598"/>
    <w:rsid w:val="00F9123E"/>
    <w:rsid w:val="00F91968"/>
    <w:rsid w:val="00F92E4F"/>
    <w:rsid w:val="00F93087"/>
    <w:rsid w:val="00F93BF5"/>
    <w:rsid w:val="00F9452F"/>
    <w:rsid w:val="00F96ABF"/>
    <w:rsid w:val="00FA3424"/>
    <w:rsid w:val="00FA4673"/>
    <w:rsid w:val="00FA59E6"/>
    <w:rsid w:val="00FA622B"/>
    <w:rsid w:val="00FA669E"/>
    <w:rsid w:val="00FA7F7A"/>
    <w:rsid w:val="00FB07C9"/>
    <w:rsid w:val="00FB0E69"/>
    <w:rsid w:val="00FB1608"/>
    <w:rsid w:val="00FB1E47"/>
    <w:rsid w:val="00FB4652"/>
    <w:rsid w:val="00FC1D53"/>
    <w:rsid w:val="00FC5D37"/>
    <w:rsid w:val="00FC79DE"/>
    <w:rsid w:val="00FD3130"/>
    <w:rsid w:val="00FD5C7D"/>
    <w:rsid w:val="00FD75A5"/>
    <w:rsid w:val="00FE03BE"/>
    <w:rsid w:val="00FE0A6D"/>
    <w:rsid w:val="00FE1AD8"/>
    <w:rsid w:val="00FE1E8C"/>
    <w:rsid w:val="00FE7D30"/>
    <w:rsid w:val="00FE7FE3"/>
    <w:rsid w:val="00FF16FB"/>
    <w:rsid w:val="00FF1BF7"/>
    <w:rsid w:val="00FF3FF8"/>
    <w:rsid w:val="00FF5431"/>
    <w:rsid w:val="00FF5FD6"/>
    <w:rsid w:val="00FF78AA"/>
    <w:rsid w:val="00FF7A0A"/>
    <w:rsid w:val="01133469"/>
    <w:rsid w:val="01358E59"/>
    <w:rsid w:val="015FA8CE"/>
    <w:rsid w:val="0192B3D5"/>
    <w:rsid w:val="01B10636"/>
    <w:rsid w:val="01F7FF80"/>
    <w:rsid w:val="02039D52"/>
    <w:rsid w:val="022E1AD0"/>
    <w:rsid w:val="0232B4A4"/>
    <w:rsid w:val="026896A9"/>
    <w:rsid w:val="0295B00D"/>
    <w:rsid w:val="02D34736"/>
    <w:rsid w:val="030B8272"/>
    <w:rsid w:val="0319BE17"/>
    <w:rsid w:val="031EB26E"/>
    <w:rsid w:val="0328C4CC"/>
    <w:rsid w:val="0329D7B5"/>
    <w:rsid w:val="03948E32"/>
    <w:rsid w:val="039FFD76"/>
    <w:rsid w:val="03A60752"/>
    <w:rsid w:val="03C4D09A"/>
    <w:rsid w:val="03FA09FE"/>
    <w:rsid w:val="046C965C"/>
    <w:rsid w:val="04762B94"/>
    <w:rsid w:val="049592B8"/>
    <w:rsid w:val="049C680D"/>
    <w:rsid w:val="04A4A22C"/>
    <w:rsid w:val="04B2612C"/>
    <w:rsid w:val="04C776C5"/>
    <w:rsid w:val="04D0A3B9"/>
    <w:rsid w:val="04E8B873"/>
    <w:rsid w:val="05177029"/>
    <w:rsid w:val="05475459"/>
    <w:rsid w:val="056D6CBD"/>
    <w:rsid w:val="05A86BC5"/>
    <w:rsid w:val="05D891D4"/>
    <w:rsid w:val="05FC69B5"/>
    <w:rsid w:val="064ED10D"/>
    <w:rsid w:val="064F7B37"/>
    <w:rsid w:val="06B11C8D"/>
    <w:rsid w:val="07133644"/>
    <w:rsid w:val="07EE72F3"/>
    <w:rsid w:val="0807A98B"/>
    <w:rsid w:val="0810DDF5"/>
    <w:rsid w:val="08159685"/>
    <w:rsid w:val="0829D7CC"/>
    <w:rsid w:val="084B76D7"/>
    <w:rsid w:val="08C92A75"/>
    <w:rsid w:val="08CBA9B3"/>
    <w:rsid w:val="08F4BA82"/>
    <w:rsid w:val="09351A47"/>
    <w:rsid w:val="093DD613"/>
    <w:rsid w:val="09681164"/>
    <w:rsid w:val="09947690"/>
    <w:rsid w:val="0A270B12"/>
    <w:rsid w:val="0A9A63A1"/>
    <w:rsid w:val="0AE847BD"/>
    <w:rsid w:val="0AEDE5B0"/>
    <w:rsid w:val="0B1B7577"/>
    <w:rsid w:val="0B29EFE2"/>
    <w:rsid w:val="0B3EB32A"/>
    <w:rsid w:val="0B4AC538"/>
    <w:rsid w:val="0B55EE4D"/>
    <w:rsid w:val="0B5E2E1D"/>
    <w:rsid w:val="0BA30CAB"/>
    <w:rsid w:val="0BB857AE"/>
    <w:rsid w:val="0BD63154"/>
    <w:rsid w:val="0BDD5254"/>
    <w:rsid w:val="0BF4F7A1"/>
    <w:rsid w:val="0C65D16A"/>
    <w:rsid w:val="0CAE5B25"/>
    <w:rsid w:val="0CB02982"/>
    <w:rsid w:val="0CD3D583"/>
    <w:rsid w:val="0CF2D905"/>
    <w:rsid w:val="0CFB2D5B"/>
    <w:rsid w:val="0D24C9D1"/>
    <w:rsid w:val="0D3C3922"/>
    <w:rsid w:val="0D4F546F"/>
    <w:rsid w:val="0DD1286D"/>
    <w:rsid w:val="0DF09276"/>
    <w:rsid w:val="0E48BC46"/>
    <w:rsid w:val="0E706623"/>
    <w:rsid w:val="0EC359CA"/>
    <w:rsid w:val="0EC71297"/>
    <w:rsid w:val="0ED1964D"/>
    <w:rsid w:val="0EF9298C"/>
    <w:rsid w:val="0F68D2F4"/>
    <w:rsid w:val="0F7E7AE5"/>
    <w:rsid w:val="0FD7D5EB"/>
    <w:rsid w:val="0FFDAD38"/>
    <w:rsid w:val="101CF1FB"/>
    <w:rsid w:val="10278BA5"/>
    <w:rsid w:val="1034D917"/>
    <w:rsid w:val="104BB8EC"/>
    <w:rsid w:val="1055992A"/>
    <w:rsid w:val="10A7D6F3"/>
    <w:rsid w:val="10F4C5CB"/>
    <w:rsid w:val="119898E7"/>
    <w:rsid w:val="11EBBC7C"/>
    <w:rsid w:val="121531A2"/>
    <w:rsid w:val="121CC25B"/>
    <w:rsid w:val="125DFC97"/>
    <w:rsid w:val="12732DC9"/>
    <w:rsid w:val="1335BB44"/>
    <w:rsid w:val="1387A3FB"/>
    <w:rsid w:val="1399F598"/>
    <w:rsid w:val="139B341F"/>
    <w:rsid w:val="13B29771"/>
    <w:rsid w:val="13C1E061"/>
    <w:rsid w:val="143CD339"/>
    <w:rsid w:val="145BECAB"/>
    <w:rsid w:val="14AED60A"/>
    <w:rsid w:val="14D4A1FD"/>
    <w:rsid w:val="151C1248"/>
    <w:rsid w:val="15331187"/>
    <w:rsid w:val="15E1623E"/>
    <w:rsid w:val="15F8E5ED"/>
    <w:rsid w:val="160744A4"/>
    <w:rsid w:val="165D10CE"/>
    <w:rsid w:val="16808D34"/>
    <w:rsid w:val="168F2034"/>
    <w:rsid w:val="16BF4CF4"/>
    <w:rsid w:val="16E54CF8"/>
    <w:rsid w:val="16F173E2"/>
    <w:rsid w:val="171E0CBD"/>
    <w:rsid w:val="1776E836"/>
    <w:rsid w:val="177AC755"/>
    <w:rsid w:val="17A4DF1E"/>
    <w:rsid w:val="17BCCBAA"/>
    <w:rsid w:val="1857BF59"/>
    <w:rsid w:val="18C01BE5"/>
    <w:rsid w:val="18E3C431"/>
    <w:rsid w:val="18EBA711"/>
    <w:rsid w:val="193F6580"/>
    <w:rsid w:val="1948982B"/>
    <w:rsid w:val="1A52201C"/>
    <w:rsid w:val="1ABE2FF8"/>
    <w:rsid w:val="1ABEB327"/>
    <w:rsid w:val="1B44231A"/>
    <w:rsid w:val="1B7470E5"/>
    <w:rsid w:val="1B94DDEE"/>
    <w:rsid w:val="1B98AAB4"/>
    <w:rsid w:val="1BD4F924"/>
    <w:rsid w:val="1BD76D73"/>
    <w:rsid w:val="1BE286F6"/>
    <w:rsid w:val="1BE7318B"/>
    <w:rsid w:val="1BE8F92F"/>
    <w:rsid w:val="1C0E7DA5"/>
    <w:rsid w:val="1CA5E690"/>
    <w:rsid w:val="1CEC4AC8"/>
    <w:rsid w:val="1CF364C0"/>
    <w:rsid w:val="1D30AE4F"/>
    <w:rsid w:val="1D44A7DB"/>
    <w:rsid w:val="1DA2E368"/>
    <w:rsid w:val="1DAC50D9"/>
    <w:rsid w:val="1DDCD53F"/>
    <w:rsid w:val="1DE8BCAC"/>
    <w:rsid w:val="1E547D27"/>
    <w:rsid w:val="1E6C2833"/>
    <w:rsid w:val="1E6FDF24"/>
    <w:rsid w:val="1E8C2A09"/>
    <w:rsid w:val="1EC2072B"/>
    <w:rsid w:val="1EE44A48"/>
    <w:rsid w:val="1EEC5FAF"/>
    <w:rsid w:val="205395F3"/>
    <w:rsid w:val="206122D9"/>
    <w:rsid w:val="20E6CB9D"/>
    <w:rsid w:val="20EBDCB9"/>
    <w:rsid w:val="21184A05"/>
    <w:rsid w:val="212BBFAC"/>
    <w:rsid w:val="218E86C8"/>
    <w:rsid w:val="21E89EEC"/>
    <w:rsid w:val="21FEB115"/>
    <w:rsid w:val="222BB571"/>
    <w:rsid w:val="226D14BF"/>
    <w:rsid w:val="22B8C545"/>
    <w:rsid w:val="2338B1B2"/>
    <w:rsid w:val="2348856F"/>
    <w:rsid w:val="23600F8B"/>
    <w:rsid w:val="23D89FA8"/>
    <w:rsid w:val="247B8E4B"/>
    <w:rsid w:val="24F33CF3"/>
    <w:rsid w:val="25122391"/>
    <w:rsid w:val="257F6CBD"/>
    <w:rsid w:val="258914D4"/>
    <w:rsid w:val="25CE035D"/>
    <w:rsid w:val="25ECE60C"/>
    <w:rsid w:val="262DA316"/>
    <w:rsid w:val="268F2C20"/>
    <w:rsid w:val="26BEFA24"/>
    <w:rsid w:val="26D4C1F9"/>
    <w:rsid w:val="26DBD564"/>
    <w:rsid w:val="272649CB"/>
    <w:rsid w:val="274E7159"/>
    <w:rsid w:val="2773AD2C"/>
    <w:rsid w:val="2796A0B5"/>
    <w:rsid w:val="27C34334"/>
    <w:rsid w:val="283ACA8E"/>
    <w:rsid w:val="288AD22D"/>
    <w:rsid w:val="288D4497"/>
    <w:rsid w:val="28C36080"/>
    <w:rsid w:val="28F32778"/>
    <w:rsid w:val="28FD829D"/>
    <w:rsid w:val="29623B83"/>
    <w:rsid w:val="2978ADAC"/>
    <w:rsid w:val="2984DAF3"/>
    <w:rsid w:val="29EF466A"/>
    <w:rsid w:val="2A2B433C"/>
    <w:rsid w:val="2A4F2936"/>
    <w:rsid w:val="2A7616CB"/>
    <w:rsid w:val="2A7F8152"/>
    <w:rsid w:val="2A98BBB6"/>
    <w:rsid w:val="2AA901B4"/>
    <w:rsid w:val="2AF68191"/>
    <w:rsid w:val="2B4044C1"/>
    <w:rsid w:val="2BAE28B5"/>
    <w:rsid w:val="2BB68988"/>
    <w:rsid w:val="2C564029"/>
    <w:rsid w:val="2C5A4198"/>
    <w:rsid w:val="2CB47527"/>
    <w:rsid w:val="2D0D1A98"/>
    <w:rsid w:val="2D5FD83B"/>
    <w:rsid w:val="2D62142D"/>
    <w:rsid w:val="2D64FDCE"/>
    <w:rsid w:val="2E7F7827"/>
    <w:rsid w:val="2E921CDE"/>
    <w:rsid w:val="2EEE0273"/>
    <w:rsid w:val="2F766EA4"/>
    <w:rsid w:val="2F95D367"/>
    <w:rsid w:val="2FAC8732"/>
    <w:rsid w:val="2FF63C04"/>
    <w:rsid w:val="300B07ED"/>
    <w:rsid w:val="3034569A"/>
    <w:rsid w:val="3110FAD7"/>
    <w:rsid w:val="314F516B"/>
    <w:rsid w:val="3156B548"/>
    <w:rsid w:val="31B158EB"/>
    <w:rsid w:val="31E87BE6"/>
    <w:rsid w:val="321D2841"/>
    <w:rsid w:val="330E5E6F"/>
    <w:rsid w:val="330E800E"/>
    <w:rsid w:val="332A5ECC"/>
    <w:rsid w:val="334B8456"/>
    <w:rsid w:val="336014A8"/>
    <w:rsid w:val="3398F8AB"/>
    <w:rsid w:val="33D77380"/>
    <w:rsid w:val="33ECBC94"/>
    <w:rsid w:val="34005C90"/>
    <w:rsid w:val="3400C452"/>
    <w:rsid w:val="34463CD6"/>
    <w:rsid w:val="3446741C"/>
    <w:rsid w:val="3452C369"/>
    <w:rsid w:val="34DA9813"/>
    <w:rsid w:val="34DDD821"/>
    <w:rsid w:val="34FDEA60"/>
    <w:rsid w:val="35049FBE"/>
    <w:rsid w:val="352FF90B"/>
    <w:rsid w:val="35B2B68D"/>
    <w:rsid w:val="35C17E91"/>
    <w:rsid w:val="3619BC49"/>
    <w:rsid w:val="3643CEEE"/>
    <w:rsid w:val="36D8BF38"/>
    <w:rsid w:val="371ECD53"/>
    <w:rsid w:val="37260DE3"/>
    <w:rsid w:val="372DAA9D"/>
    <w:rsid w:val="37C40EA3"/>
    <w:rsid w:val="3876E2A4"/>
    <w:rsid w:val="38917246"/>
    <w:rsid w:val="38D87E0D"/>
    <w:rsid w:val="38D8C3C3"/>
    <w:rsid w:val="3913FD04"/>
    <w:rsid w:val="39343A14"/>
    <w:rsid w:val="39752277"/>
    <w:rsid w:val="39A67CC6"/>
    <w:rsid w:val="3A019555"/>
    <w:rsid w:val="3A20EE27"/>
    <w:rsid w:val="3A3B6DE6"/>
    <w:rsid w:val="3A570977"/>
    <w:rsid w:val="3A63E60A"/>
    <w:rsid w:val="3A79388A"/>
    <w:rsid w:val="3A9887D6"/>
    <w:rsid w:val="3AB41C97"/>
    <w:rsid w:val="3AC413BF"/>
    <w:rsid w:val="3ADE83C1"/>
    <w:rsid w:val="3AFDAD0E"/>
    <w:rsid w:val="3B13655D"/>
    <w:rsid w:val="3B13CA93"/>
    <w:rsid w:val="3B55CD25"/>
    <w:rsid w:val="3BBB52E8"/>
    <w:rsid w:val="3BC665CB"/>
    <w:rsid w:val="3BD156A0"/>
    <w:rsid w:val="3BF87F97"/>
    <w:rsid w:val="3C09364F"/>
    <w:rsid w:val="3C18EDA7"/>
    <w:rsid w:val="3C305B1B"/>
    <w:rsid w:val="3C3FFD06"/>
    <w:rsid w:val="3C5B3DB9"/>
    <w:rsid w:val="3C974E4A"/>
    <w:rsid w:val="3CB96312"/>
    <w:rsid w:val="3CCF4192"/>
    <w:rsid w:val="3CE2EF70"/>
    <w:rsid w:val="3D05A66F"/>
    <w:rsid w:val="3D11A887"/>
    <w:rsid w:val="3D181144"/>
    <w:rsid w:val="3D30A1FD"/>
    <w:rsid w:val="3D67495C"/>
    <w:rsid w:val="3DD2CB82"/>
    <w:rsid w:val="3DF7FAB3"/>
    <w:rsid w:val="3DFE2C3F"/>
    <w:rsid w:val="3E76BF43"/>
    <w:rsid w:val="3E85516B"/>
    <w:rsid w:val="3EA31AFF"/>
    <w:rsid w:val="3F05E533"/>
    <w:rsid w:val="3F2A6DAC"/>
    <w:rsid w:val="3F6A7706"/>
    <w:rsid w:val="3F7AEBCE"/>
    <w:rsid w:val="3FB24F7B"/>
    <w:rsid w:val="3FBFB78E"/>
    <w:rsid w:val="3FCC2286"/>
    <w:rsid w:val="4015141F"/>
    <w:rsid w:val="404A6014"/>
    <w:rsid w:val="4078CC02"/>
    <w:rsid w:val="408B9BCB"/>
    <w:rsid w:val="409EC907"/>
    <w:rsid w:val="40F83CB5"/>
    <w:rsid w:val="41235CE5"/>
    <w:rsid w:val="4129F1B7"/>
    <w:rsid w:val="4161B2ED"/>
    <w:rsid w:val="41647D4F"/>
    <w:rsid w:val="4164D44A"/>
    <w:rsid w:val="419084EA"/>
    <w:rsid w:val="419B21ED"/>
    <w:rsid w:val="41B05E7D"/>
    <w:rsid w:val="423226AC"/>
    <w:rsid w:val="427A6381"/>
    <w:rsid w:val="42A1B581"/>
    <w:rsid w:val="42E6345A"/>
    <w:rsid w:val="430276B4"/>
    <w:rsid w:val="436E0E28"/>
    <w:rsid w:val="43AE8BD2"/>
    <w:rsid w:val="43C68459"/>
    <w:rsid w:val="43F596E7"/>
    <w:rsid w:val="43F65A40"/>
    <w:rsid w:val="4402A8A1"/>
    <w:rsid w:val="441739A4"/>
    <w:rsid w:val="4462E744"/>
    <w:rsid w:val="44ADE11D"/>
    <w:rsid w:val="44B9B0BA"/>
    <w:rsid w:val="44C8E4EE"/>
    <w:rsid w:val="44CAD602"/>
    <w:rsid w:val="44EBFC3E"/>
    <w:rsid w:val="459406F5"/>
    <w:rsid w:val="45BB7A30"/>
    <w:rsid w:val="45E08B75"/>
    <w:rsid w:val="4655811B"/>
    <w:rsid w:val="466720F0"/>
    <w:rsid w:val="46BDB358"/>
    <w:rsid w:val="46F23C93"/>
    <w:rsid w:val="4758D0D2"/>
    <w:rsid w:val="47D0170B"/>
    <w:rsid w:val="47F1517C"/>
    <w:rsid w:val="485FF1A6"/>
    <w:rsid w:val="486F2E1C"/>
    <w:rsid w:val="48726425"/>
    <w:rsid w:val="4878E83A"/>
    <w:rsid w:val="4885EB85"/>
    <w:rsid w:val="48B4C87D"/>
    <w:rsid w:val="48C8D693"/>
    <w:rsid w:val="48E077DC"/>
    <w:rsid w:val="49095041"/>
    <w:rsid w:val="4925EA1D"/>
    <w:rsid w:val="4933F116"/>
    <w:rsid w:val="49413A82"/>
    <w:rsid w:val="4972FF70"/>
    <w:rsid w:val="497E3577"/>
    <w:rsid w:val="498D21DD"/>
    <w:rsid w:val="4A38F211"/>
    <w:rsid w:val="4A4DAB7B"/>
    <w:rsid w:val="4A4F4F46"/>
    <w:rsid w:val="4A539181"/>
    <w:rsid w:val="4A5D296B"/>
    <w:rsid w:val="4A6449D9"/>
    <w:rsid w:val="4AD9FF0C"/>
    <w:rsid w:val="4AEF15F1"/>
    <w:rsid w:val="4AFD78BD"/>
    <w:rsid w:val="4B12A5E9"/>
    <w:rsid w:val="4B28A102"/>
    <w:rsid w:val="4B66B1B2"/>
    <w:rsid w:val="4B686D39"/>
    <w:rsid w:val="4BA4B969"/>
    <w:rsid w:val="4BCA2109"/>
    <w:rsid w:val="4BE0BD38"/>
    <w:rsid w:val="4BF032C1"/>
    <w:rsid w:val="4C175787"/>
    <w:rsid w:val="4C65AF36"/>
    <w:rsid w:val="4C9BEBA0"/>
    <w:rsid w:val="4CD0E17D"/>
    <w:rsid w:val="4CE31500"/>
    <w:rsid w:val="4CE9E800"/>
    <w:rsid w:val="4CEBF7A0"/>
    <w:rsid w:val="4D2A7BF1"/>
    <w:rsid w:val="4D3B0D97"/>
    <w:rsid w:val="4D41D543"/>
    <w:rsid w:val="4D5D6FB9"/>
    <w:rsid w:val="4D764871"/>
    <w:rsid w:val="4E21AD07"/>
    <w:rsid w:val="4E43D204"/>
    <w:rsid w:val="4E474553"/>
    <w:rsid w:val="4E475370"/>
    <w:rsid w:val="4EAEC2B3"/>
    <w:rsid w:val="4EBE54EB"/>
    <w:rsid w:val="4ED349FA"/>
    <w:rsid w:val="4EF33FB7"/>
    <w:rsid w:val="4F23FDAF"/>
    <w:rsid w:val="4F5F46C3"/>
    <w:rsid w:val="4F6B77C3"/>
    <w:rsid w:val="4F78E87B"/>
    <w:rsid w:val="4F7BC9EE"/>
    <w:rsid w:val="4FBAFFF1"/>
    <w:rsid w:val="50391E8E"/>
    <w:rsid w:val="503F9E29"/>
    <w:rsid w:val="50495F98"/>
    <w:rsid w:val="5070E6CB"/>
    <w:rsid w:val="50755732"/>
    <w:rsid w:val="5076B8A6"/>
    <w:rsid w:val="507C84BE"/>
    <w:rsid w:val="50BB960A"/>
    <w:rsid w:val="50F84E85"/>
    <w:rsid w:val="5136FE89"/>
    <w:rsid w:val="5161F7A8"/>
    <w:rsid w:val="516CA86A"/>
    <w:rsid w:val="51805268"/>
    <w:rsid w:val="51874DA8"/>
    <w:rsid w:val="51A40587"/>
    <w:rsid w:val="51E2FA06"/>
    <w:rsid w:val="527E8B68"/>
    <w:rsid w:val="52BA08DA"/>
    <w:rsid w:val="52ECAD2C"/>
    <w:rsid w:val="52F83FA4"/>
    <w:rsid w:val="5318DF90"/>
    <w:rsid w:val="531B0D71"/>
    <w:rsid w:val="54123AC7"/>
    <w:rsid w:val="543AD4D1"/>
    <w:rsid w:val="54F36754"/>
    <w:rsid w:val="5531AD49"/>
    <w:rsid w:val="55847DB8"/>
    <w:rsid w:val="558AC0DC"/>
    <w:rsid w:val="55C8FC93"/>
    <w:rsid w:val="55D3E7F0"/>
    <w:rsid w:val="560E8E84"/>
    <w:rsid w:val="5682A167"/>
    <w:rsid w:val="5757C68B"/>
    <w:rsid w:val="577EED29"/>
    <w:rsid w:val="57BF9E73"/>
    <w:rsid w:val="57E1957F"/>
    <w:rsid w:val="57E35BB2"/>
    <w:rsid w:val="57F2C35F"/>
    <w:rsid w:val="5857EA16"/>
    <w:rsid w:val="5870B2E3"/>
    <w:rsid w:val="589356A6"/>
    <w:rsid w:val="58B75AA4"/>
    <w:rsid w:val="58C19B31"/>
    <w:rsid w:val="58C5A3A9"/>
    <w:rsid w:val="58F4CB8A"/>
    <w:rsid w:val="59015803"/>
    <w:rsid w:val="590C9606"/>
    <w:rsid w:val="5927FF2B"/>
    <w:rsid w:val="59357E4F"/>
    <w:rsid w:val="59C6D877"/>
    <w:rsid w:val="5A328DFE"/>
    <w:rsid w:val="5AD9B9BF"/>
    <w:rsid w:val="5AF01192"/>
    <w:rsid w:val="5AFD37EF"/>
    <w:rsid w:val="5B081457"/>
    <w:rsid w:val="5B3AE812"/>
    <w:rsid w:val="5B42E42F"/>
    <w:rsid w:val="5B96742C"/>
    <w:rsid w:val="5BB10C3B"/>
    <w:rsid w:val="5BC61000"/>
    <w:rsid w:val="5BCF4FD2"/>
    <w:rsid w:val="5BFB2B6C"/>
    <w:rsid w:val="5C4B52E6"/>
    <w:rsid w:val="5C64AB86"/>
    <w:rsid w:val="5C85FA92"/>
    <w:rsid w:val="5CA3B6DD"/>
    <w:rsid w:val="5CDA3C7A"/>
    <w:rsid w:val="5CF7E33B"/>
    <w:rsid w:val="5D08DB4E"/>
    <w:rsid w:val="5D213A2F"/>
    <w:rsid w:val="5D267AA7"/>
    <w:rsid w:val="5D28F8F0"/>
    <w:rsid w:val="5D2A6A72"/>
    <w:rsid w:val="5D424F96"/>
    <w:rsid w:val="5D719787"/>
    <w:rsid w:val="5D75D54A"/>
    <w:rsid w:val="5D82325F"/>
    <w:rsid w:val="5D9E95D1"/>
    <w:rsid w:val="5DEFAA74"/>
    <w:rsid w:val="5E702F36"/>
    <w:rsid w:val="5E80CEA4"/>
    <w:rsid w:val="5E8997E4"/>
    <w:rsid w:val="5E8D3029"/>
    <w:rsid w:val="5EB17B38"/>
    <w:rsid w:val="5EF4850E"/>
    <w:rsid w:val="5EF71A25"/>
    <w:rsid w:val="5F16D245"/>
    <w:rsid w:val="5F32CD82"/>
    <w:rsid w:val="5F4BC6B6"/>
    <w:rsid w:val="5F8DFD08"/>
    <w:rsid w:val="5FB47E4A"/>
    <w:rsid w:val="5FDBD6B6"/>
    <w:rsid w:val="5FDDFB3B"/>
    <w:rsid w:val="6027A365"/>
    <w:rsid w:val="60602CEB"/>
    <w:rsid w:val="60738B86"/>
    <w:rsid w:val="60A6AA69"/>
    <w:rsid w:val="60C3AEFB"/>
    <w:rsid w:val="60E7A33A"/>
    <w:rsid w:val="61003281"/>
    <w:rsid w:val="6127C78F"/>
    <w:rsid w:val="61650F68"/>
    <w:rsid w:val="61E5EF63"/>
    <w:rsid w:val="61F1236C"/>
    <w:rsid w:val="61FC5467"/>
    <w:rsid w:val="6203F304"/>
    <w:rsid w:val="621A7776"/>
    <w:rsid w:val="62418895"/>
    <w:rsid w:val="624803DD"/>
    <w:rsid w:val="62B779BB"/>
    <w:rsid w:val="62E2B9EF"/>
    <w:rsid w:val="6315C813"/>
    <w:rsid w:val="63191136"/>
    <w:rsid w:val="6339AF50"/>
    <w:rsid w:val="63524C39"/>
    <w:rsid w:val="6366E38F"/>
    <w:rsid w:val="63A5791A"/>
    <w:rsid w:val="63BBBB45"/>
    <w:rsid w:val="6464A7DC"/>
    <w:rsid w:val="65005938"/>
    <w:rsid w:val="6555375A"/>
    <w:rsid w:val="65596608"/>
    <w:rsid w:val="65B620EC"/>
    <w:rsid w:val="6649BB74"/>
    <w:rsid w:val="6675AB7B"/>
    <w:rsid w:val="66CD8F49"/>
    <w:rsid w:val="66F45E32"/>
    <w:rsid w:val="673D1D6C"/>
    <w:rsid w:val="6740F286"/>
    <w:rsid w:val="6796F430"/>
    <w:rsid w:val="67C076DE"/>
    <w:rsid w:val="67F857EB"/>
    <w:rsid w:val="6801C9A9"/>
    <w:rsid w:val="6859A97A"/>
    <w:rsid w:val="6875F15A"/>
    <w:rsid w:val="6897029F"/>
    <w:rsid w:val="693F0CA8"/>
    <w:rsid w:val="69515342"/>
    <w:rsid w:val="696F3DB4"/>
    <w:rsid w:val="6990C573"/>
    <w:rsid w:val="69B2EAF6"/>
    <w:rsid w:val="6A3E30A3"/>
    <w:rsid w:val="6A6B68FB"/>
    <w:rsid w:val="6A78C0DF"/>
    <w:rsid w:val="6A828EDA"/>
    <w:rsid w:val="6AF61E67"/>
    <w:rsid w:val="6B011EE8"/>
    <w:rsid w:val="6B0E7803"/>
    <w:rsid w:val="6B1BEFFB"/>
    <w:rsid w:val="6B2ED003"/>
    <w:rsid w:val="6B73BEFC"/>
    <w:rsid w:val="6BADFD76"/>
    <w:rsid w:val="6BAFBC7D"/>
    <w:rsid w:val="6BD6A998"/>
    <w:rsid w:val="6C4CC4A5"/>
    <w:rsid w:val="6C4D7D4F"/>
    <w:rsid w:val="6D5EDB2C"/>
    <w:rsid w:val="6E5D5802"/>
    <w:rsid w:val="6E636161"/>
    <w:rsid w:val="6E70AE86"/>
    <w:rsid w:val="6E74EDDE"/>
    <w:rsid w:val="6E8FA723"/>
    <w:rsid w:val="6E9D96B1"/>
    <w:rsid w:val="6EA1155B"/>
    <w:rsid w:val="6EC3DADD"/>
    <w:rsid w:val="6ED0BE5B"/>
    <w:rsid w:val="6ED482E9"/>
    <w:rsid w:val="6ED51EE4"/>
    <w:rsid w:val="6F01D4C7"/>
    <w:rsid w:val="6F1F3B3D"/>
    <w:rsid w:val="6F6C1AFC"/>
    <w:rsid w:val="6F8934F8"/>
    <w:rsid w:val="6F976A8F"/>
    <w:rsid w:val="6FEE2473"/>
    <w:rsid w:val="6FF86835"/>
    <w:rsid w:val="702E016E"/>
    <w:rsid w:val="70326FA6"/>
    <w:rsid w:val="70AD0F8D"/>
    <w:rsid w:val="70C66A30"/>
    <w:rsid w:val="70D78FCC"/>
    <w:rsid w:val="70F9FE8B"/>
    <w:rsid w:val="71040FD4"/>
    <w:rsid w:val="711A205D"/>
    <w:rsid w:val="711DB34C"/>
    <w:rsid w:val="7133AC8D"/>
    <w:rsid w:val="7134B50F"/>
    <w:rsid w:val="71395504"/>
    <w:rsid w:val="7149DDBF"/>
    <w:rsid w:val="71646BF0"/>
    <w:rsid w:val="71885081"/>
    <w:rsid w:val="71A4211F"/>
    <w:rsid w:val="71E1BC09"/>
    <w:rsid w:val="71E82708"/>
    <w:rsid w:val="7259DBEE"/>
    <w:rsid w:val="72C98EB6"/>
    <w:rsid w:val="72F1EDE2"/>
    <w:rsid w:val="72F8698C"/>
    <w:rsid w:val="73135843"/>
    <w:rsid w:val="734C9D02"/>
    <w:rsid w:val="73607ED7"/>
    <w:rsid w:val="737B2629"/>
    <w:rsid w:val="73E82E71"/>
    <w:rsid w:val="7404521F"/>
    <w:rsid w:val="741B87C6"/>
    <w:rsid w:val="742A72A7"/>
    <w:rsid w:val="744FBD75"/>
    <w:rsid w:val="74583C8F"/>
    <w:rsid w:val="749E1598"/>
    <w:rsid w:val="74DBFD15"/>
    <w:rsid w:val="74FF1B40"/>
    <w:rsid w:val="75041764"/>
    <w:rsid w:val="75391F7F"/>
    <w:rsid w:val="75ADE219"/>
    <w:rsid w:val="75B75272"/>
    <w:rsid w:val="75DD8F94"/>
    <w:rsid w:val="75F4C3EF"/>
    <w:rsid w:val="76174BCD"/>
    <w:rsid w:val="766A112C"/>
    <w:rsid w:val="76FD62E7"/>
    <w:rsid w:val="77231F4C"/>
    <w:rsid w:val="773296AE"/>
    <w:rsid w:val="778C0F60"/>
    <w:rsid w:val="77D7C0C3"/>
    <w:rsid w:val="77D95C1C"/>
    <w:rsid w:val="780F3037"/>
    <w:rsid w:val="782FC77F"/>
    <w:rsid w:val="78960CAB"/>
    <w:rsid w:val="78A66D9A"/>
    <w:rsid w:val="78B0DB84"/>
    <w:rsid w:val="790E7FFE"/>
    <w:rsid w:val="7916D04E"/>
    <w:rsid w:val="79389FFC"/>
    <w:rsid w:val="794EE5EB"/>
    <w:rsid w:val="797EDE26"/>
    <w:rsid w:val="797F6B0F"/>
    <w:rsid w:val="7988C39A"/>
    <w:rsid w:val="79A81D3A"/>
    <w:rsid w:val="79B4204F"/>
    <w:rsid w:val="79E4171A"/>
    <w:rsid w:val="79F180A9"/>
    <w:rsid w:val="7A147977"/>
    <w:rsid w:val="7A2E54E0"/>
    <w:rsid w:val="7A58F322"/>
    <w:rsid w:val="7A8AC2E9"/>
    <w:rsid w:val="7AA3D231"/>
    <w:rsid w:val="7AB429ED"/>
    <w:rsid w:val="7B572D6D"/>
    <w:rsid w:val="7B65759B"/>
    <w:rsid w:val="7B752184"/>
    <w:rsid w:val="7B76F637"/>
    <w:rsid w:val="7BEAA482"/>
    <w:rsid w:val="7BEDE138"/>
    <w:rsid w:val="7C3EB300"/>
    <w:rsid w:val="7C517B59"/>
    <w:rsid w:val="7CF16364"/>
    <w:rsid w:val="7D09F6EB"/>
    <w:rsid w:val="7D1553B6"/>
    <w:rsid w:val="7D1A4F63"/>
    <w:rsid w:val="7D36934F"/>
    <w:rsid w:val="7D4CDE1E"/>
    <w:rsid w:val="7D97DBFA"/>
    <w:rsid w:val="7DA75A4A"/>
    <w:rsid w:val="7DA9AADB"/>
    <w:rsid w:val="7DC808ED"/>
    <w:rsid w:val="7DE64C60"/>
    <w:rsid w:val="7DF9BFAA"/>
    <w:rsid w:val="7E0AFD7F"/>
    <w:rsid w:val="7E2C3134"/>
    <w:rsid w:val="7E4E958B"/>
    <w:rsid w:val="7E7981BA"/>
    <w:rsid w:val="7E9B43E9"/>
    <w:rsid w:val="7EB65718"/>
    <w:rsid w:val="7EB6C7F8"/>
    <w:rsid w:val="7EC599DC"/>
    <w:rsid w:val="7EE2C5F6"/>
    <w:rsid w:val="7F66A3B5"/>
    <w:rsid w:val="7FC9E4A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01033BD6"/>
  <w15:chartTrackingRefBased/>
  <w15:docId w15:val="{E65D28C7-6818-4A1C-B75D-DAD73FA7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035595"/>
    <w:rPr>
      <w:rFonts w:ascii="Segoe UI" w:hAnsi="Segoe UI" w:cs="Segoe UI"/>
      <w:sz w:val="18"/>
      <w:szCs w:val="18"/>
    </w:rPr>
  </w:style>
  <w:style w:type="character" w:customStyle="1" w:styleId="BalloonTextChar">
    <w:name w:val="Balloon Text Char"/>
    <w:basedOn w:val="DefaultParagraphFont"/>
    <w:link w:val="BalloonText"/>
    <w:rsid w:val="00035595"/>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6510EA"/>
    <w:rPr>
      <w:color w:val="605E5C"/>
      <w:shd w:val="clear" w:color="auto" w:fill="E1DFDD"/>
    </w:rPr>
  </w:style>
  <w:style w:type="character" w:customStyle="1" w:styleId="FootnoteTextChar">
    <w:name w:val="Footnote Text Char"/>
    <w:aliases w:val="ALTS FOOTNOTE Char,ALTS FOOTNOTE Char1 Char,Footnote Text Char Char Char,Footnote Text Char2 Char,Footnote Text Char2 Char Char Char,Footnote Text Char2 Char1 Char1 Char Char Char,Footnote Text Char3 Char1 Char Char Char,f Char"/>
    <w:basedOn w:val="DefaultParagraphFont"/>
    <w:link w:val="FootnoteText"/>
    <w:rsid w:val="006F3799"/>
  </w:style>
  <w:style w:type="character" w:customStyle="1" w:styleId="ParaNumChar">
    <w:name w:val="ParaNum Char"/>
    <w:link w:val="ParaNum"/>
    <w:locked/>
    <w:rsid w:val="009779AE"/>
    <w:rPr>
      <w:snapToGrid w:val="0"/>
      <w:kern w:val="28"/>
      <w:sz w:val="22"/>
    </w:rPr>
  </w:style>
  <w:style w:type="character" w:styleId="CommentReference">
    <w:name w:val="annotation reference"/>
    <w:rsid w:val="009779AE"/>
    <w:rPr>
      <w:sz w:val="16"/>
      <w:szCs w:val="16"/>
    </w:rPr>
  </w:style>
  <w:style w:type="paragraph" w:styleId="CommentText">
    <w:name w:val="annotation text"/>
    <w:basedOn w:val="Normal"/>
    <w:link w:val="CommentTextChar"/>
    <w:rsid w:val="009779AE"/>
    <w:pPr>
      <w:widowControl/>
      <w:spacing w:after="200" w:line="276" w:lineRule="auto"/>
    </w:pPr>
    <w:rPr>
      <w:rFonts w:asciiTheme="minorHAnsi" w:eastAsiaTheme="minorHAnsi" w:hAnsiTheme="minorHAnsi" w:cstheme="minorBidi"/>
      <w:snapToGrid/>
      <w:kern w:val="0"/>
      <w:sz w:val="20"/>
      <w:szCs w:val="22"/>
    </w:rPr>
  </w:style>
  <w:style w:type="character" w:customStyle="1" w:styleId="CommentTextChar">
    <w:name w:val="Comment Text Char"/>
    <w:basedOn w:val="DefaultParagraphFont"/>
    <w:link w:val="CommentText"/>
    <w:rsid w:val="009779AE"/>
    <w:rPr>
      <w:rFonts w:asciiTheme="minorHAnsi" w:eastAsiaTheme="minorHAnsi" w:hAnsiTheme="minorHAnsi" w:cstheme="minorBidi"/>
      <w:szCs w:val="22"/>
    </w:rPr>
  </w:style>
  <w:style w:type="character" w:customStyle="1" w:styleId="HeaderChar">
    <w:name w:val="Header Char"/>
    <w:basedOn w:val="DefaultParagraphFont"/>
    <w:link w:val="Header"/>
    <w:rsid w:val="009779AE"/>
    <w:rPr>
      <w:b/>
      <w:snapToGrid w:val="0"/>
      <w:kern w:val="28"/>
      <w:sz w:val="22"/>
    </w:rPr>
  </w:style>
  <w:style w:type="character" w:customStyle="1" w:styleId="StyleParaNum11pt1CharCharCharCharCharCharCharCharCharCharCharCharCharCharCharCharChar">
    <w:name w:val="Style ParaNum + 11 pt1 Char Char Char Char Char Char Char Char Char Char Char Char Char Char Char Char Char"/>
    <w:basedOn w:val="DefaultParagraphFont"/>
    <w:rsid w:val="00A521DE"/>
    <w:rPr>
      <w:noProof w:val="0"/>
      <w:snapToGrid w:val="0"/>
      <w:kern w:val="28"/>
      <w:sz w:val="22"/>
      <w:szCs w:val="22"/>
      <w:lang w:val="en-US" w:eastAsia="en-US" w:bidi="ar-SA"/>
    </w:rPr>
  </w:style>
  <w:style w:type="paragraph" w:styleId="CommentSubject">
    <w:name w:val="annotation subject"/>
    <w:basedOn w:val="CommentText"/>
    <w:next w:val="CommentText"/>
    <w:link w:val="CommentSubjectChar"/>
    <w:rsid w:val="000B412D"/>
    <w:pPr>
      <w:widowControl w:val="0"/>
      <w:spacing w:after="0" w:line="240" w:lineRule="auto"/>
    </w:pPr>
    <w:rPr>
      <w:rFonts w:ascii="Times New Roman" w:eastAsia="Times New Roman" w:hAnsi="Times New Roman" w:cs="Times New Roman"/>
      <w:b/>
      <w:bCs/>
      <w:snapToGrid w:val="0"/>
      <w:kern w:val="28"/>
      <w:szCs w:val="20"/>
    </w:rPr>
  </w:style>
  <w:style w:type="character" w:customStyle="1" w:styleId="CommentSubjectChar">
    <w:name w:val="Comment Subject Char"/>
    <w:basedOn w:val="CommentTextChar"/>
    <w:link w:val="CommentSubject"/>
    <w:rsid w:val="000B412D"/>
    <w:rPr>
      <w:rFonts w:asciiTheme="minorHAnsi" w:eastAsiaTheme="minorHAnsi" w:hAnsiTheme="minorHAnsi" w:cstheme="minorBidi"/>
      <w:b/>
      <w:bCs/>
      <w:snapToGrid w:val="0"/>
      <w:kern w:val="28"/>
      <w:szCs w:val="22"/>
    </w:rPr>
  </w:style>
  <w:style w:type="paragraph" w:styleId="Revision">
    <w:name w:val="Revision"/>
    <w:hidden/>
    <w:uiPriority w:val="99"/>
    <w:semiHidden/>
    <w:rsid w:val="000D185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us-fcc.app.box.com/v/Form477Instructions"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